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footer2.xml" ContentType="application/vnd.openxmlformats-officedocument.wordprocessingml.foot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5EB2DB" w14:textId="49C658E5" w:rsidR="007A1880" w:rsidRPr="00497441" w:rsidRDefault="002D1AD4" w:rsidP="00E01CE3">
      <w:pPr>
        <w:tabs>
          <w:tab w:val="left" w:pos="3135"/>
          <w:tab w:val="right" w:pos="8838"/>
        </w:tabs>
        <w:spacing w:after="0" w:line="240" w:lineRule="auto"/>
        <w:rPr>
          <w:rFonts w:ascii="Book Antiqua" w:hAnsi="Book Antiqua" w:cs="Book Antiqua"/>
          <w:sz w:val="24"/>
          <w:szCs w:val="24"/>
          <w:lang w:val="pt-BR"/>
        </w:rPr>
      </w:pPr>
      <w:r>
        <w:rPr>
          <w:rFonts w:ascii="Book Antiqua" w:hAnsi="Book Antiqua" w:cs="Book Antiqua"/>
          <w:sz w:val="24"/>
          <w:szCs w:val="24"/>
          <w:lang w:val="pt-BR"/>
        </w:rPr>
        <w:tab/>
      </w:r>
      <w:r>
        <w:rPr>
          <w:rFonts w:ascii="Book Antiqua" w:hAnsi="Book Antiqua" w:cs="Book Antiqua"/>
          <w:sz w:val="24"/>
          <w:szCs w:val="24"/>
          <w:lang w:val="pt-BR"/>
        </w:rPr>
        <w:tab/>
      </w:r>
      <w:r w:rsidR="000E4A95">
        <w:rPr>
          <w:rFonts w:ascii="Book Antiqua" w:hAnsi="Book Antiqua" w:cs="Book Antiqua"/>
          <w:sz w:val="24"/>
          <w:szCs w:val="24"/>
          <w:lang w:val="pt-BR"/>
        </w:rPr>
        <w:t>314</w:t>
      </w:r>
      <w:r w:rsidR="007A1880" w:rsidRPr="00497441">
        <w:rPr>
          <w:rFonts w:ascii="Book Antiqua" w:hAnsi="Book Antiqua" w:cs="Book Antiqua"/>
          <w:sz w:val="24"/>
          <w:szCs w:val="24"/>
          <w:lang w:val="pt-BR"/>
        </w:rPr>
        <w:t>-PLA-</w:t>
      </w:r>
      <w:r w:rsidR="007A1880">
        <w:rPr>
          <w:rFonts w:ascii="Book Antiqua" w:hAnsi="Book Antiqua" w:cs="Book Antiqua"/>
          <w:sz w:val="24"/>
          <w:szCs w:val="24"/>
          <w:lang w:val="pt-BR"/>
        </w:rPr>
        <w:t>MI</w:t>
      </w:r>
      <w:r w:rsidR="007A1880" w:rsidRPr="00497441">
        <w:rPr>
          <w:rFonts w:ascii="Book Antiqua" w:hAnsi="Book Antiqua" w:cs="Book Antiqua"/>
          <w:sz w:val="24"/>
          <w:szCs w:val="24"/>
          <w:lang w:val="pt-BR"/>
        </w:rPr>
        <w:t>-</w:t>
      </w:r>
      <w:r w:rsidR="000E4A95">
        <w:rPr>
          <w:rFonts w:ascii="Book Antiqua" w:hAnsi="Book Antiqua" w:cs="Book Antiqua"/>
          <w:sz w:val="24"/>
          <w:szCs w:val="24"/>
          <w:lang w:val="pt-BR"/>
        </w:rPr>
        <w:t>RH-</w:t>
      </w:r>
      <w:r w:rsidR="007A1880" w:rsidRPr="00497441">
        <w:rPr>
          <w:rFonts w:ascii="Book Antiqua" w:hAnsi="Book Antiqua" w:cs="Book Antiqua"/>
          <w:sz w:val="24"/>
          <w:szCs w:val="24"/>
          <w:lang w:val="pt-BR"/>
        </w:rPr>
        <w:t>20</w:t>
      </w:r>
      <w:r w:rsidR="007A1880">
        <w:rPr>
          <w:rFonts w:ascii="Book Antiqua" w:hAnsi="Book Antiqua" w:cs="Book Antiqua"/>
          <w:sz w:val="24"/>
          <w:szCs w:val="24"/>
          <w:lang w:val="pt-BR"/>
        </w:rPr>
        <w:t>2</w:t>
      </w:r>
      <w:r w:rsidR="00856FDD">
        <w:rPr>
          <w:rFonts w:ascii="Book Antiqua" w:hAnsi="Book Antiqua" w:cs="Book Antiqua"/>
          <w:sz w:val="24"/>
          <w:szCs w:val="24"/>
          <w:lang w:val="pt-BR"/>
        </w:rPr>
        <w:t>2</w:t>
      </w:r>
    </w:p>
    <w:p w14:paraId="2592D535" w14:textId="556DBE63" w:rsidR="00E01CE3" w:rsidRDefault="007A1880" w:rsidP="00E01CE3">
      <w:pPr>
        <w:tabs>
          <w:tab w:val="left" w:pos="1740"/>
        </w:tabs>
        <w:spacing w:after="0" w:line="240" w:lineRule="auto"/>
        <w:jc w:val="right"/>
        <w:rPr>
          <w:rFonts w:ascii="Book Antiqua" w:hAnsi="Book Antiqua" w:cs="Book Antiqua"/>
          <w:sz w:val="24"/>
          <w:szCs w:val="24"/>
        </w:rPr>
      </w:pPr>
      <w:r w:rsidRPr="00497441">
        <w:rPr>
          <w:rFonts w:ascii="Book Antiqua" w:hAnsi="Book Antiqua" w:cs="Book Antiqua"/>
          <w:sz w:val="24"/>
          <w:szCs w:val="24"/>
        </w:rPr>
        <w:t>Ref. SICE:</w:t>
      </w:r>
      <w:r w:rsidRPr="00DF6E33">
        <w:rPr>
          <w:rFonts w:ascii="Book Antiqua" w:hAnsi="Book Antiqua" w:cs="Book Antiqua"/>
          <w:sz w:val="24"/>
          <w:szCs w:val="24"/>
        </w:rPr>
        <w:t xml:space="preserve"> </w:t>
      </w:r>
      <w:r w:rsidR="00856FDD" w:rsidRPr="000E23D4">
        <w:rPr>
          <w:rFonts w:ascii="Book Antiqua" w:hAnsi="Book Antiqua"/>
          <w:sz w:val="24"/>
          <w:szCs w:val="24"/>
          <w:lang w:eastAsia="es-CR"/>
        </w:rPr>
        <w:t>Ref</w:t>
      </w:r>
      <w:r w:rsidR="00856FDD" w:rsidRPr="000E23D4">
        <w:rPr>
          <w:rFonts w:ascii="Book Antiqua" w:hAnsi="Book Antiqua"/>
          <w:b/>
          <w:bCs/>
          <w:sz w:val="24"/>
          <w:szCs w:val="24"/>
          <w:lang w:eastAsia="es-CR"/>
        </w:rPr>
        <w:t xml:space="preserve">. </w:t>
      </w:r>
      <w:r w:rsidR="00A46DDD">
        <w:rPr>
          <w:rFonts w:ascii="Book Antiqua" w:hAnsi="Book Antiqua"/>
          <w:b/>
          <w:bCs/>
          <w:sz w:val="24"/>
          <w:szCs w:val="24"/>
          <w:lang w:eastAsia="es-CR"/>
        </w:rPr>
        <w:t>71</w:t>
      </w:r>
      <w:r w:rsidR="00856FDD" w:rsidRPr="000E23D4">
        <w:rPr>
          <w:rFonts w:ascii="Book Antiqua" w:hAnsi="Book Antiqua"/>
          <w:b/>
          <w:bCs/>
          <w:sz w:val="24"/>
          <w:szCs w:val="24"/>
          <w:lang w:eastAsia="es-CR"/>
        </w:rPr>
        <w:t>-202</w:t>
      </w:r>
      <w:r w:rsidR="00A46DDD">
        <w:rPr>
          <w:rFonts w:ascii="Book Antiqua" w:hAnsi="Book Antiqua"/>
          <w:b/>
          <w:bCs/>
          <w:sz w:val="24"/>
          <w:szCs w:val="24"/>
          <w:lang w:eastAsia="es-CR"/>
        </w:rPr>
        <w:t>2</w:t>
      </w:r>
    </w:p>
    <w:p w14:paraId="6F7351A2" w14:textId="77777777" w:rsidR="00E01CE3" w:rsidRDefault="00E01CE3" w:rsidP="00E01CE3">
      <w:pPr>
        <w:tabs>
          <w:tab w:val="left" w:pos="1740"/>
        </w:tabs>
        <w:spacing w:line="276" w:lineRule="auto"/>
        <w:rPr>
          <w:rFonts w:ascii="Book Antiqua" w:hAnsi="Book Antiqua" w:cs="Book Antiqua"/>
          <w:sz w:val="24"/>
          <w:szCs w:val="24"/>
          <w:lang w:val="pt-BR"/>
        </w:rPr>
      </w:pPr>
    </w:p>
    <w:p w14:paraId="1C8D0E6F" w14:textId="187397CF" w:rsidR="007A1880" w:rsidRPr="00E01CE3" w:rsidRDefault="00E01CE3" w:rsidP="00E01CE3">
      <w:pPr>
        <w:tabs>
          <w:tab w:val="left" w:pos="1740"/>
        </w:tabs>
        <w:spacing w:line="276" w:lineRule="auto"/>
        <w:rPr>
          <w:rFonts w:ascii="Book Antiqua" w:hAnsi="Book Antiqua" w:cs="Book Antiqua"/>
          <w:sz w:val="24"/>
          <w:szCs w:val="24"/>
        </w:rPr>
      </w:pPr>
      <w:r>
        <w:rPr>
          <w:rFonts w:ascii="Book Antiqua" w:hAnsi="Book Antiqua" w:cs="Book Antiqua"/>
          <w:sz w:val="24"/>
          <w:szCs w:val="24"/>
          <w:lang w:val="pt-BR"/>
        </w:rPr>
        <w:t>19 de abril</w:t>
      </w:r>
      <w:r w:rsidR="00306313">
        <w:rPr>
          <w:rFonts w:ascii="Book Antiqua" w:hAnsi="Book Antiqua" w:cs="Book Antiqua"/>
          <w:sz w:val="24"/>
          <w:szCs w:val="24"/>
          <w:lang w:val="pt-BR"/>
        </w:rPr>
        <w:t xml:space="preserve"> de 2022</w:t>
      </w:r>
    </w:p>
    <w:p w14:paraId="541C3461" w14:textId="77777777" w:rsidR="007A1880" w:rsidRDefault="007A1880" w:rsidP="007A1880">
      <w:pPr>
        <w:pStyle w:val="Textoindependiente2"/>
        <w:spacing w:line="276" w:lineRule="auto"/>
        <w:rPr>
          <w:rFonts w:ascii="Book Antiqua" w:hAnsi="Book Antiqua" w:cs="Book Antiqua"/>
          <w:color w:val="FF0000"/>
          <w:lang w:val="es-CR"/>
        </w:rPr>
      </w:pPr>
    </w:p>
    <w:p w14:paraId="3FBD1226" w14:textId="77777777" w:rsidR="00CF71DD" w:rsidRDefault="00CF71DD" w:rsidP="007A1880">
      <w:pPr>
        <w:pStyle w:val="Textoindependiente2"/>
        <w:spacing w:line="276" w:lineRule="auto"/>
        <w:rPr>
          <w:rFonts w:ascii="Book Antiqua" w:hAnsi="Book Antiqua"/>
        </w:rPr>
      </w:pPr>
    </w:p>
    <w:p w14:paraId="59124D38" w14:textId="002FAAEE" w:rsidR="007A1880" w:rsidRPr="00E4204F" w:rsidRDefault="007A1880" w:rsidP="007A1880">
      <w:pPr>
        <w:pStyle w:val="Textoindependiente2"/>
        <w:spacing w:line="276" w:lineRule="auto"/>
        <w:rPr>
          <w:rFonts w:ascii="Book Antiqua" w:hAnsi="Book Antiqua"/>
        </w:rPr>
      </w:pPr>
      <w:r w:rsidRPr="00E4204F">
        <w:rPr>
          <w:rFonts w:ascii="Book Antiqua" w:hAnsi="Book Antiqua"/>
        </w:rPr>
        <w:t xml:space="preserve">Licenciada </w:t>
      </w:r>
    </w:p>
    <w:p w14:paraId="2E295156" w14:textId="77777777" w:rsidR="007A1880" w:rsidRPr="00E4204F" w:rsidRDefault="007A1880" w:rsidP="007A1880">
      <w:pPr>
        <w:pStyle w:val="Textoindependiente2"/>
        <w:spacing w:line="276" w:lineRule="auto"/>
        <w:rPr>
          <w:rFonts w:ascii="Book Antiqua" w:hAnsi="Book Antiqua"/>
        </w:rPr>
      </w:pPr>
      <w:r w:rsidRPr="00E4204F">
        <w:rPr>
          <w:rFonts w:ascii="Book Antiqua" w:hAnsi="Book Antiqua"/>
        </w:rPr>
        <w:t>Silvia Navarro Romanini</w:t>
      </w:r>
    </w:p>
    <w:p w14:paraId="02220A9E" w14:textId="77777777" w:rsidR="007A1880" w:rsidRPr="00E4204F" w:rsidRDefault="007A1880" w:rsidP="007A1880">
      <w:pPr>
        <w:pStyle w:val="Textoindependiente2"/>
        <w:spacing w:line="276" w:lineRule="auto"/>
        <w:rPr>
          <w:rFonts w:ascii="Book Antiqua" w:hAnsi="Book Antiqua"/>
        </w:rPr>
      </w:pPr>
      <w:r w:rsidRPr="00E4204F">
        <w:rPr>
          <w:rFonts w:ascii="Book Antiqua" w:hAnsi="Book Antiqua"/>
        </w:rPr>
        <w:t>Secretaría General de la Corte</w:t>
      </w:r>
    </w:p>
    <w:p w14:paraId="1EDE5E4A" w14:textId="60F25645" w:rsidR="007A1880" w:rsidRPr="00E4204F" w:rsidRDefault="00803686" w:rsidP="00803686">
      <w:pPr>
        <w:widowControl w:val="0"/>
        <w:tabs>
          <w:tab w:val="left" w:pos="3777"/>
        </w:tabs>
        <w:spacing w:line="276" w:lineRule="auto"/>
        <w:rPr>
          <w:rFonts w:ascii="Book Antiqua" w:hAnsi="Book Antiqua" w:cs="Book Antiqua"/>
          <w:snapToGrid w:val="0"/>
          <w:sz w:val="24"/>
          <w:szCs w:val="24"/>
        </w:rPr>
      </w:pPr>
      <w:r>
        <w:rPr>
          <w:rFonts w:ascii="Book Antiqua" w:hAnsi="Book Antiqua" w:cs="Book Antiqua"/>
          <w:snapToGrid w:val="0"/>
          <w:sz w:val="24"/>
          <w:szCs w:val="24"/>
        </w:rPr>
        <w:tab/>
      </w:r>
    </w:p>
    <w:p w14:paraId="435AC2D1" w14:textId="77777777" w:rsidR="00CF71DD" w:rsidRDefault="00CF71DD" w:rsidP="007A1880">
      <w:pPr>
        <w:widowControl w:val="0"/>
        <w:spacing w:line="276" w:lineRule="auto"/>
        <w:rPr>
          <w:rFonts w:ascii="Book Antiqua" w:hAnsi="Book Antiqua" w:cs="Book Antiqua"/>
          <w:snapToGrid w:val="0"/>
          <w:sz w:val="24"/>
          <w:szCs w:val="24"/>
        </w:rPr>
      </w:pPr>
    </w:p>
    <w:p w14:paraId="53D3F7DA" w14:textId="536E23A8" w:rsidR="007A1880" w:rsidRPr="00E4204F" w:rsidRDefault="007A1880" w:rsidP="007A1880">
      <w:pPr>
        <w:widowControl w:val="0"/>
        <w:spacing w:line="276" w:lineRule="auto"/>
        <w:rPr>
          <w:rFonts w:ascii="Book Antiqua" w:hAnsi="Book Antiqua" w:cs="Book Antiqua"/>
          <w:snapToGrid w:val="0"/>
          <w:sz w:val="24"/>
          <w:szCs w:val="24"/>
        </w:rPr>
      </w:pPr>
      <w:r w:rsidRPr="00E4204F">
        <w:rPr>
          <w:rFonts w:ascii="Book Antiqua" w:hAnsi="Book Antiqua" w:cs="Book Antiqua"/>
          <w:snapToGrid w:val="0"/>
          <w:sz w:val="24"/>
          <w:szCs w:val="24"/>
        </w:rPr>
        <w:t>Estimada señora:</w:t>
      </w:r>
    </w:p>
    <w:p w14:paraId="68A5911C" w14:textId="77777777" w:rsidR="00CF71DD" w:rsidRDefault="00CF71DD" w:rsidP="00AF3D2D">
      <w:pPr>
        <w:shd w:val="clear" w:color="auto" w:fill="FFFFFF"/>
        <w:spacing w:line="276" w:lineRule="auto"/>
        <w:jc w:val="both"/>
        <w:rPr>
          <w:rFonts w:ascii="Book Antiqua" w:hAnsi="Book Antiqua" w:cs="Book Antiqua"/>
          <w:snapToGrid w:val="0"/>
          <w:color w:val="FF0000"/>
          <w:sz w:val="24"/>
          <w:szCs w:val="24"/>
        </w:rPr>
      </w:pPr>
    </w:p>
    <w:p w14:paraId="387BFD36" w14:textId="57C2D656" w:rsidR="00CB0EF2" w:rsidRDefault="007A1880" w:rsidP="00AF3D2D">
      <w:pPr>
        <w:shd w:val="clear" w:color="auto" w:fill="FFFFFF"/>
        <w:spacing w:line="276" w:lineRule="auto"/>
        <w:jc w:val="both"/>
        <w:rPr>
          <w:rFonts w:ascii="Book Antiqua" w:hAnsi="Book Antiqua" w:cs="Book Antiqua"/>
          <w:color w:val="FF0000"/>
          <w:sz w:val="24"/>
          <w:szCs w:val="24"/>
          <w:u w:val="single"/>
        </w:rPr>
      </w:pPr>
      <w:r w:rsidRPr="00856FDD">
        <w:rPr>
          <w:rFonts w:ascii="Book Antiqua" w:hAnsi="Book Antiqua" w:cs="Book Antiqua"/>
          <w:sz w:val="24"/>
          <w:szCs w:val="24"/>
        </w:rPr>
        <w:t xml:space="preserve">Le remito el informe suscrito por </w:t>
      </w:r>
      <w:r w:rsidR="00E01CE3">
        <w:rPr>
          <w:rFonts w:ascii="Book Antiqua" w:hAnsi="Book Antiqua" w:cs="Book Antiqua"/>
          <w:sz w:val="24"/>
          <w:szCs w:val="24"/>
        </w:rPr>
        <w:t xml:space="preserve">el </w:t>
      </w:r>
      <w:r w:rsidRPr="00856FDD">
        <w:rPr>
          <w:rFonts w:ascii="Book Antiqua" w:hAnsi="Book Antiqua" w:cs="Book Antiqua"/>
          <w:sz w:val="24"/>
          <w:szCs w:val="24"/>
        </w:rPr>
        <w:t xml:space="preserve">Subproceso de Modernización Institucional, relacionado </w:t>
      </w:r>
      <w:r w:rsidR="007118DB">
        <w:rPr>
          <w:rFonts w:ascii="Book Antiqua" w:hAnsi="Book Antiqua" w:cs="Book Antiqua"/>
          <w:sz w:val="24"/>
          <w:szCs w:val="24"/>
        </w:rPr>
        <w:t xml:space="preserve">con </w:t>
      </w:r>
      <w:r w:rsidR="00AF3D2D">
        <w:rPr>
          <w:rFonts w:ascii="Book Antiqua" w:hAnsi="Book Antiqua" w:cs="Book Antiqua"/>
          <w:sz w:val="24"/>
          <w:szCs w:val="24"/>
        </w:rPr>
        <w:t xml:space="preserve">el </w:t>
      </w:r>
      <w:r w:rsidR="00AF3D2D" w:rsidRPr="00AF3D2D">
        <w:rPr>
          <w:rFonts w:ascii="Book Antiqua" w:hAnsi="Book Antiqua" w:cs="Book Antiqua"/>
          <w:sz w:val="24"/>
          <w:szCs w:val="24"/>
        </w:rPr>
        <w:t>Impacto organizacional y presupuestario en el Poder Judicial a partir de la promulgación del Código Procesal de Familia para el 202</w:t>
      </w:r>
      <w:r w:rsidR="00AF3D2D">
        <w:rPr>
          <w:rFonts w:ascii="Book Antiqua" w:hAnsi="Book Antiqua" w:cs="Book Antiqua"/>
          <w:sz w:val="24"/>
          <w:szCs w:val="24"/>
        </w:rPr>
        <w:t>3.</w:t>
      </w:r>
    </w:p>
    <w:p w14:paraId="41C216A8" w14:textId="77777777" w:rsidR="00CB0EF2" w:rsidRPr="003E0D53" w:rsidRDefault="00CB0EF2" w:rsidP="00CB0EF2">
      <w:pPr>
        <w:spacing w:line="276" w:lineRule="auto"/>
        <w:jc w:val="both"/>
        <w:rPr>
          <w:rFonts w:ascii="Book Antiqua" w:hAnsi="Book Antiqua" w:cs="Book Antiqua"/>
          <w:color w:val="FF0000"/>
          <w:sz w:val="24"/>
          <w:szCs w:val="24"/>
          <w:u w:val="single"/>
        </w:rPr>
      </w:pPr>
    </w:p>
    <w:p w14:paraId="6EDB8550" w14:textId="19C346F0" w:rsidR="007A1880" w:rsidRPr="003E0D53" w:rsidRDefault="007A1880" w:rsidP="007A1880">
      <w:pPr>
        <w:widowControl w:val="0"/>
        <w:spacing w:line="276" w:lineRule="auto"/>
        <w:rPr>
          <w:rFonts w:ascii="Book Antiqua" w:hAnsi="Book Antiqua" w:cs="Book Antiqua"/>
          <w:b/>
          <w:bCs/>
          <w:snapToGrid w:val="0"/>
          <w:sz w:val="24"/>
          <w:szCs w:val="24"/>
          <w:lang w:val="pt-BR"/>
        </w:rPr>
      </w:pPr>
      <w:r w:rsidRPr="00833C0C">
        <w:rPr>
          <w:rFonts w:ascii="Book Antiqua" w:hAnsi="Book Antiqua" w:cs="Book Antiqua"/>
          <w:snapToGrid w:val="0"/>
          <w:sz w:val="24"/>
          <w:szCs w:val="24"/>
          <w:lang w:val="pt-BR"/>
        </w:rPr>
        <w:t>Atentamente,</w:t>
      </w:r>
    </w:p>
    <w:p w14:paraId="769648CB" w14:textId="77777777" w:rsidR="007A1880" w:rsidRPr="00833C0C" w:rsidRDefault="007A1880" w:rsidP="00E01CE3">
      <w:pPr>
        <w:widowControl w:val="0"/>
        <w:spacing w:after="0" w:line="240" w:lineRule="auto"/>
        <w:rPr>
          <w:rFonts w:ascii="Book Antiqua" w:hAnsi="Book Antiqua" w:cs="Book Antiqua"/>
          <w:snapToGrid w:val="0"/>
          <w:sz w:val="24"/>
          <w:szCs w:val="24"/>
          <w:lang w:val="pt-BR"/>
        </w:rPr>
      </w:pPr>
    </w:p>
    <w:p w14:paraId="6784FB76" w14:textId="77777777" w:rsidR="00E01CE3" w:rsidRDefault="00F15E29" w:rsidP="00E01CE3">
      <w:pPr>
        <w:spacing w:after="0" w:line="240" w:lineRule="auto"/>
        <w:rPr>
          <w:rFonts w:ascii="Book Antiqua" w:hAnsi="Book Antiqua" w:cs="Book Antiqua"/>
          <w:snapToGrid w:val="0"/>
          <w:sz w:val="24"/>
          <w:szCs w:val="24"/>
          <w:lang w:val="pt-BR"/>
        </w:rPr>
      </w:pPr>
      <w:r>
        <w:rPr>
          <w:rFonts w:ascii="Book Antiqua" w:hAnsi="Book Antiqua" w:cs="Book Antiqua"/>
          <w:snapToGrid w:val="0"/>
          <w:sz w:val="24"/>
          <w:szCs w:val="24"/>
          <w:lang w:val="pt-BR"/>
        </w:rPr>
        <w:t>Licda. Nacira Valverde Bermúdez</w:t>
      </w:r>
    </w:p>
    <w:p w14:paraId="7E7381F6" w14:textId="43F8CF0F" w:rsidR="007A1880" w:rsidRPr="00311F1F" w:rsidRDefault="00F15E29" w:rsidP="00E01CE3">
      <w:pPr>
        <w:spacing w:after="0" w:line="240" w:lineRule="auto"/>
        <w:rPr>
          <w:rFonts w:ascii="Book Antiqua" w:hAnsi="Book Antiqua" w:cs="Book Antiqua"/>
          <w:snapToGrid w:val="0"/>
          <w:sz w:val="24"/>
          <w:szCs w:val="24"/>
          <w:lang w:val="pt-BR"/>
        </w:rPr>
      </w:pPr>
      <w:r>
        <w:rPr>
          <w:rFonts w:ascii="Book Antiqua" w:hAnsi="Book Antiqua" w:cs="Book Antiqua"/>
          <w:snapToGrid w:val="0"/>
          <w:sz w:val="24"/>
          <w:szCs w:val="24"/>
          <w:lang w:val="pt-BR"/>
        </w:rPr>
        <w:t>Directora</w:t>
      </w:r>
      <w:r w:rsidR="00E01CE3">
        <w:rPr>
          <w:rFonts w:ascii="Book Antiqua" w:hAnsi="Book Antiqua" w:cs="Book Antiqua"/>
          <w:snapToGrid w:val="0"/>
          <w:sz w:val="24"/>
          <w:szCs w:val="24"/>
          <w:lang w:val="pt-BR"/>
        </w:rPr>
        <w:t xml:space="preserve"> a.i. de Planificación</w:t>
      </w:r>
      <w:r w:rsidR="007A1880" w:rsidRPr="00311F1F">
        <w:rPr>
          <w:rFonts w:ascii="Book Antiqua" w:hAnsi="Book Antiqua" w:cs="Book Antiqua"/>
          <w:snapToGrid w:val="0"/>
          <w:sz w:val="24"/>
          <w:szCs w:val="24"/>
          <w:lang w:val="pt-BR"/>
        </w:rPr>
        <w:t xml:space="preserve"> </w:t>
      </w:r>
    </w:p>
    <w:p w14:paraId="6488006E" w14:textId="228B4C28" w:rsidR="00856FDD" w:rsidRDefault="00856FDD" w:rsidP="00E01CE3">
      <w:pPr>
        <w:spacing w:after="0" w:line="240" w:lineRule="auto"/>
        <w:rPr>
          <w:rFonts w:ascii="Book Antiqua" w:hAnsi="Book Antiqua" w:cs="Book Antiqua"/>
          <w:snapToGrid w:val="0"/>
          <w:sz w:val="24"/>
          <w:szCs w:val="24"/>
          <w:lang w:val="pt-BR"/>
        </w:rPr>
      </w:pPr>
    </w:p>
    <w:p w14:paraId="4E3F66D9" w14:textId="56345FAD" w:rsidR="00E01CE3" w:rsidRDefault="00E01CE3" w:rsidP="00E01CE3">
      <w:pPr>
        <w:tabs>
          <w:tab w:val="left" w:pos="1164"/>
        </w:tabs>
        <w:spacing w:after="0" w:line="240" w:lineRule="auto"/>
        <w:rPr>
          <w:rFonts w:ascii="Book Antiqua" w:hAnsi="Book Antiqua"/>
          <w:sz w:val="24"/>
          <w:szCs w:val="24"/>
          <w:lang w:eastAsia="es-CR"/>
        </w:rPr>
      </w:pPr>
      <w:bookmarkStart w:id="0" w:name="_Hlk93407531"/>
    </w:p>
    <w:p w14:paraId="48D747BA" w14:textId="77777777" w:rsidR="00E01CE3" w:rsidRDefault="00E01CE3" w:rsidP="00E01CE3">
      <w:pPr>
        <w:tabs>
          <w:tab w:val="left" w:pos="1164"/>
        </w:tabs>
        <w:spacing w:after="0" w:line="240" w:lineRule="auto"/>
        <w:rPr>
          <w:rFonts w:ascii="Book Antiqua" w:hAnsi="Book Antiqua"/>
          <w:sz w:val="24"/>
          <w:szCs w:val="24"/>
          <w:lang w:eastAsia="es-CR"/>
        </w:rPr>
      </w:pPr>
    </w:p>
    <w:p w14:paraId="1CCFBBB7" w14:textId="5D8EEE82" w:rsidR="00E01CE3" w:rsidRDefault="00E01CE3" w:rsidP="00E01CE3">
      <w:pPr>
        <w:tabs>
          <w:tab w:val="left" w:pos="1164"/>
        </w:tabs>
        <w:spacing w:after="0" w:line="240" w:lineRule="auto"/>
        <w:rPr>
          <w:rFonts w:ascii="Book Antiqua" w:hAnsi="Book Antiqua"/>
          <w:sz w:val="24"/>
          <w:szCs w:val="24"/>
          <w:lang w:eastAsia="es-CR"/>
        </w:rPr>
      </w:pPr>
      <w:proofErr w:type="spellStart"/>
      <w:r>
        <w:rPr>
          <w:rFonts w:ascii="Book Antiqua" w:hAnsi="Book Antiqua"/>
          <w:sz w:val="24"/>
          <w:szCs w:val="24"/>
          <w:lang w:eastAsia="es-CR"/>
        </w:rPr>
        <w:t>amc</w:t>
      </w:r>
      <w:proofErr w:type="spellEnd"/>
    </w:p>
    <w:p w14:paraId="7C9EDE35" w14:textId="22B67F53" w:rsidR="00E01CE3" w:rsidRPr="00770255" w:rsidRDefault="00E01CE3" w:rsidP="00E01CE3">
      <w:pPr>
        <w:tabs>
          <w:tab w:val="left" w:pos="1164"/>
        </w:tabs>
        <w:spacing w:after="0" w:line="240" w:lineRule="auto"/>
        <w:rPr>
          <w:lang w:eastAsia="es-CR"/>
        </w:rPr>
      </w:pPr>
      <w:r w:rsidRPr="00E9569B" w:rsidDel="000E23D4">
        <w:rPr>
          <w:rFonts w:ascii="Book Antiqua" w:hAnsi="Book Antiqua"/>
          <w:sz w:val="24"/>
          <w:szCs w:val="24"/>
          <w:lang w:eastAsia="es-CR"/>
        </w:rPr>
        <w:t>Ref</w:t>
      </w:r>
      <w:r w:rsidRPr="00E9569B" w:rsidDel="000E23D4">
        <w:rPr>
          <w:rFonts w:ascii="Book Antiqua" w:hAnsi="Book Antiqua"/>
          <w:b/>
          <w:bCs/>
          <w:sz w:val="24"/>
          <w:szCs w:val="24"/>
          <w:lang w:eastAsia="es-CR"/>
        </w:rPr>
        <w:t xml:space="preserve">. </w:t>
      </w:r>
      <w:r>
        <w:rPr>
          <w:rFonts w:ascii="Book Antiqua" w:hAnsi="Book Antiqua"/>
          <w:b/>
          <w:bCs/>
          <w:sz w:val="24"/>
          <w:szCs w:val="24"/>
          <w:lang w:eastAsia="es-CR"/>
        </w:rPr>
        <w:t>71</w:t>
      </w:r>
      <w:r w:rsidRPr="000E23D4">
        <w:rPr>
          <w:rFonts w:ascii="Book Antiqua" w:hAnsi="Book Antiqua"/>
          <w:b/>
          <w:bCs/>
          <w:sz w:val="24"/>
          <w:szCs w:val="24"/>
          <w:lang w:eastAsia="es-CR"/>
        </w:rPr>
        <w:t>-202</w:t>
      </w:r>
      <w:r>
        <w:rPr>
          <w:rFonts w:ascii="Book Antiqua" w:hAnsi="Book Antiqua"/>
          <w:b/>
          <w:bCs/>
          <w:sz w:val="24"/>
          <w:szCs w:val="24"/>
          <w:lang w:eastAsia="es-CR"/>
        </w:rPr>
        <w:t>2</w:t>
      </w:r>
      <w:r w:rsidRPr="000E23D4">
        <w:rPr>
          <w:rFonts w:ascii="Book Antiqua" w:hAnsi="Book Antiqua"/>
          <w:sz w:val="24"/>
          <w:szCs w:val="24"/>
          <w:lang w:eastAsia="es-CR"/>
        </w:rPr>
        <w:t xml:space="preserve">, </w:t>
      </w:r>
      <w:r>
        <w:rPr>
          <w:rFonts w:ascii="Book Antiqua" w:hAnsi="Book Antiqua"/>
          <w:sz w:val="24"/>
          <w:szCs w:val="24"/>
          <w:lang w:eastAsia="es-CR"/>
        </w:rPr>
        <w:t>400</w:t>
      </w:r>
      <w:r w:rsidRPr="000E23D4">
        <w:rPr>
          <w:rFonts w:ascii="Book Antiqua" w:hAnsi="Book Antiqua"/>
          <w:sz w:val="24"/>
          <w:szCs w:val="24"/>
          <w:lang w:eastAsia="es-CR"/>
        </w:rPr>
        <w:t>-</w:t>
      </w:r>
      <w:r>
        <w:rPr>
          <w:rFonts w:ascii="Book Antiqua" w:hAnsi="Book Antiqua"/>
          <w:sz w:val="24"/>
          <w:szCs w:val="24"/>
          <w:lang w:eastAsia="es-CR"/>
        </w:rPr>
        <w:t>2020, 39-2022, 1689-2021, 467-2022, 452-22</w:t>
      </w:r>
      <w:bookmarkEnd w:id="0"/>
      <w:r>
        <w:rPr>
          <w:rFonts w:ascii="Book Antiqua" w:hAnsi="Book Antiqua"/>
          <w:sz w:val="24"/>
          <w:szCs w:val="24"/>
          <w:lang w:eastAsia="es-CR"/>
        </w:rPr>
        <w:t>, 236-22</w:t>
      </w:r>
    </w:p>
    <w:p w14:paraId="54F551D4" w14:textId="67566A7E" w:rsidR="00856FDD" w:rsidRDefault="00856FDD" w:rsidP="007A1880">
      <w:pPr>
        <w:rPr>
          <w:rFonts w:ascii="Book Antiqua" w:hAnsi="Book Antiqua" w:cs="Book Antiqua"/>
          <w:snapToGrid w:val="0"/>
          <w:sz w:val="24"/>
          <w:szCs w:val="24"/>
          <w:lang w:val="pt-BR"/>
        </w:rPr>
      </w:pPr>
    </w:p>
    <w:p w14:paraId="79405CEE" w14:textId="5E764F84" w:rsidR="00856FDD" w:rsidRDefault="00856FDD" w:rsidP="007A1880">
      <w:pPr>
        <w:rPr>
          <w:rFonts w:ascii="Book Antiqua" w:hAnsi="Book Antiqua" w:cs="Book Antiqua"/>
          <w:snapToGrid w:val="0"/>
          <w:sz w:val="24"/>
          <w:szCs w:val="24"/>
          <w:lang w:val="pt-BR"/>
        </w:rPr>
      </w:pPr>
    </w:p>
    <w:p w14:paraId="7BD55217" w14:textId="635515F1" w:rsidR="00856FDD" w:rsidRDefault="00856FDD" w:rsidP="007A1880">
      <w:pPr>
        <w:rPr>
          <w:rFonts w:ascii="Book Antiqua" w:hAnsi="Book Antiqua" w:cs="Book Antiqua"/>
          <w:snapToGrid w:val="0"/>
          <w:sz w:val="24"/>
          <w:szCs w:val="24"/>
          <w:lang w:val="pt-BR"/>
        </w:rPr>
      </w:pPr>
    </w:p>
    <w:p w14:paraId="5237A26E" w14:textId="3B5F34AC" w:rsidR="00CB0EF2" w:rsidRDefault="00CB0EF2" w:rsidP="007A1880">
      <w:pPr>
        <w:rPr>
          <w:rFonts w:ascii="Book Antiqua" w:hAnsi="Book Antiqua" w:cs="Book Antiqua"/>
          <w:snapToGrid w:val="0"/>
          <w:sz w:val="24"/>
          <w:szCs w:val="24"/>
          <w:lang w:val="pt-BR"/>
        </w:rPr>
      </w:pPr>
    </w:p>
    <w:p w14:paraId="1AD4E3A7" w14:textId="77777777" w:rsidR="00CF1091" w:rsidRPr="003E0D53" w:rsidRDefault="00CF1091" w:rsidP="009E73B0">
      <w:pPr>
        <w:spacing w:before="120" w:after="120" w:line="276" w:lineRule="auto"/>
        <w:rPr>
          <w:rFonts w:ascii="Book Antiqua" w:hAnsi="Book Antiqua" w:cs="Book Antiqua"/>
          <w:sz w:val="24"/>
          <w:szCs w:val="24"/>
        </w:rPr>
      </w:pPr>
    </w:p>
    <w:p w14:paraId="1AD4E3A8" w14:textId="334077B0" w:rsidR="00CF1091" w:rsidRPr="003E0D53" w:rsidRDefault="00CF71DD" w:rsidP="009E73B0">
      <w:pPr>
        <w:spacing w:before="120" w:after="120" w:line="276" w:lineRule="auto"/>
        <w:rPr>
          <w:rFonts w:ascii="Book Antiqua" w:hAnsi="Book Antiqua" w:cs="Book Antiqua"/>
          <w:sz w:val="24"/>
          <w:szCs w:val="24"/>
        </w:rPr>
      </w:pPr>
      <w:r>
        <w:rPr>
          <w:rFonts w:ascii="Book Antiqua" w:hAnsi="Book Antiqua" w:cs="Book Antiqua"/>
          <w:sz w:val="24"/>
          <w:szCs w:val="24"/>
        </w:rPr>
        <w:t>19 de abril</w:t>
      </w:r>
      <w:r w:rsidR="00306313">
        <w:rPr>
          <w:rFonts w:ascii="Book Antiqua" w:hAnsi="Book Antiqua" w:cs="Book Antiqua"/>
          <w:sz w:val="24"/>
          <w:szCs w:val="24"/>
        </w:rPr>
        <w:t xml:space="preserve"> de 2022</w:t>
      </w:r>
    </w:p>
    <w:p w14:paraId="1AD4E3A9" w14:textId="77777777" w:rsidR="00CF1091" w:rsidRPr="003E0D53" w:rsidRDefault="00CF1091" w:rsidP="00CF71DD">
      <w:pPr>
        <w:spacing w:after="0" w:line="240" w:lineRule="auto"/>
        <w:rPr>
          <w:rFonts w:ascii="Book Antiqua" w:hAnsi="Book Antiqua" w:cs="Book Antiqua"/>
          <w:sz w:val="24"/>
          <w:szCs w:val="24"/>
        </w:rPr>
      </w:pPr>
    </w:p>
    <w:p w14:paraId="49628FBB" w14:textId="77777777" w:rsidR="00CF71DD" w:rsidRDefault="00CF71DD" w:rsidP="00CF71DD">
      <w:pPr>
        <w:spacing w:after="0" w:line="240" w:lineRule="auto"/>
        <w:rPr>
          <w:rFonts w:ascii="Book Antiqua" w:hAnsi="Book Antiqua" w:cs="Arial"/>
          <w:sz w:val="24"/>
          <w:szCs w:val="24"/>
        </w:rPr>
      </w:pPr>
    </w:p>
    <w:p w14:paraId="69D4A833" w14:textId="6DFE21C6" w:rsidR="00CF71DD" w:rsidRDefault="00F15E29" w:rsidP="00CF71DD">
      <w:pPr>
        <w:spacing w:after="0" w:line="240" w:lineRule="auto"/>
        <w:rPr>
          <w:rFonts w:ascii="Book Antiqua" w:hAnsi="Book Antiqua" w:cs="Arial"/>
          <w:sz w:val="24"/>
          <w:szCs w:val="24"/>
        </w:rPr>
      </w:pPr>
      <w:r>
        <w:rPr>
          <w:rFonts w:ascii="Book Antiqua" w:hAnsi="Book Antiqua" w:cs="Arial"/>
          <w:sz w:val="24"/>
          <w:szCs w:val="24"/>
        </w:rPr>
        <w:t>Lic</w:t>
      </w:r>
      <w:r w:rsidR="00CF71DD">
        <w:rPr>
          <w:rFonts w:ascii="Book Antiqua" w:hAnsi="Book Antiqua" w:cs="Arial"/>
          <w:sz w:val="24"/>
          <w:szCs w:val="24"/>
        </w:rPr>
        <w:t>enciada</w:t>
      </w:r>
    </w:p>
    <w:p w14:paraId="1AD4E3AC" w14:textId="1E4591FC" w:rsidR="00CF1091" w:rsidRDefault="00F15E29" w:rsidP="00CF71DD">
      <w:pPr>
        <w:spacing w:after="0" w:line="240" w:lineRule="auto"/>
        <w:rPr>
          <w:rFonts w:ascii="Book Antiqua" w:hAnsi="Book Antiqua" w:cs="Arial"/>
          <w:sz w:val="24"/>
          <w:szCs w:val="24"/>
        </w:rPr>
      </w:pPr>
      <w:r>
        <w:rPr>
          <w:rFonts w:ascii="Book Antiqua" w:hAnsi="Book Antiqua" w:cs="Arial"/>
          <w:sz w:val="24"/>
          <w:szCs w:val="24"/>
        </w:rPr>
        <w:t>Nacira Valverde Bermúdez</w:t>
      </w:r>
    </w:p>
    <w:p w14:paraId="5AA83E3F" w14:textId="790A9AB7" w:rsidR="00F15E29" w:rsidRPr="003E0D53" w:rsidRDefault="00F15E29" w:rsidP="00CF71DD">
      <w:pPr>
        <w:spacing w:after="0" w:line="240" w:lineRule="auto"/>
        <w:rPr>
          <w:rFonts w:ascii="Book Antiqua" w:hAnsi="Book Antiqua" w:cs="Arial"/>
          <w:snapToGrid w:val="0"/>
          <w:sz w:val="24"/>
          <w:szCs w:val="24"/>
        </w:rPr>
      </w:pPr>
      <w:r>
        <w:rPr>
          <w:rFonts w:ascii="Book Antiqua" w:hAnsi="Book Antiqua" w:cs="Arial"/>
          <w:sz w:val="24"/>
          <w:szCs w:val="24"/>
        </w:rPr>
        <w:t>Directora</w:t>
      </w:r>
      <w:r w:rsidR="00CF71DD">
        <w:rPr>
          <w:rFonts w:ascii="Book Antiqua" w:hAnsi="Book Antiqua" w:cs="Arial"/>
          <w:sz w:val="24"/>
          <w:szCs w:val="24"/>
        </w:rPr>
        <w:t xml:space="preserve"> a.i. de Planificación</w:t>
      </w:r>
    </w:p>
    <w:p w14:paraId="1AD4E3AD" w14:textId="77777777" w:rsidR="00CF1091" w:rsidRPr="003E0D53" w:rsidRDefault="00CF1091" w:rsidP="00CF71DD">
      <w:pPr>
        <w:spacing w:after="0" w:line="240" w:lineRule="auto"/>
        <w:rPr>
          <w:rFonts w:ascii="Book Antiqua" w:hAnsi="Book Antiqua" w:cs="Arial"/>
          <w:snapToGrid w:val="0"/>
          <w:sz w:val="24"/>
          <w:szCs w:val="24"/>
        </w:rPr>
      </w:pPr>
    </w:p>
    <w:p w14:paraId="1E4939A3" w14:textId="77777777" w:rsidR="00CF71DD" w:rsidRDefault="00CF71DD" w:rsidP="009E73B0">
      <w:pPr>
        <w:spacing w:before="120" w:after="120" w:line="276" w:lineRule="auto"/>
        <w:rPr>
          <w:rFonts w:ascii="Book Antiqua" w:hAnsi="Book Antiqua" w:cs="Arial"/>
          <w:snapToGrid w:val="0"/>
          <w:sz w:val="24"/>
          <w:szCs w:val="24"/>
        </w:rPr>
      </w:pPr>
    </w:p>
    <w:p w14:paraId="1AD4E3AE" w14:textId="6530DADD" w:rsidR="00CF1091" w:rsidRPr="003E0D53" w:rsidRDefault="00CF1091" w:rsidP="009E73B0">
      <w:pPr>
        <w:spacing w:before="120" w:after="120" w:line="276" w:lineRule="auto"/>
        <w:rPr>
          <w:rFonts w:ascii="Book Antiqua" w:hAnsi="Book Antiqua" w:cs="Arial"/>
          <w:snapToGrid w:val="0"/>
          <w:sz w:val="24"/>
          <w:szCs w:val="24"/>
        </w:rPr>
      </w:pPr>
      <w:r w:rsidRPr="003E0D53">
        <w:rPr>
          <w:rFonts w:ascii="Book Antiqua" w:hAnsi="Book Antiqua" w:cs="Arial"/>
          <w:snapToGrid w:val="0"/>
          <w:sz w:val="24"/>
          <w:szCs w:val="24"/>
        </w:rPr>
        <w:t>Estimad</w:t>
      </w:r>
      <w:r w:rsidR="00F15E29">
        <w:rPr>
          <w:rFonts w:ascii="Book Antiqua" w:hAnsi="Book Antiqua" w:cs="Arial"/>
          <w:snapToGrid w:val="0"/>
          <w:sz w:val="24"/>
          <w:szCs w:val="24"/>
        </w:rPr>
        <w:t xml:space="preserve">a </w:t>
      </w:r>
      <w:r w:rsidRPr="003E0D53">
        <w:rPr>
          <w:rFonts w:ascii="Book Antiqua" w:hAnsi="Book Antiqua" w:cs="Arial"/>
          <w:snapToGrid w:val="0"/>
          <w:sz w:val="24"/>
          <w:szCs w:val="24"/>
        </w:rPr>
        <w:t>señor</w:t>
      </w:r>
      <w:r w:rsidR="00F15E29">
        <w:rPr>
          <w:rFonts w:ascii="Book Antiqua" w:hAnsi="Book Antiqua" w:cs="Arial"/>
          <w:snapToGrid w:val="0"/>
          <w:sz w:val="24"/>
          <w:szCs w:val="24"/>
        </w:rPr>
        <w:t>a</w:t>
      </w:r>
      <w:r w:rsidRPr="003E0D53">
        <w:rPr>
          <w:rFonts w:ascii="Book Antiqua" w:hAnsi="Book Antiqua" w:cs="Arial"/>
          <w:snapToGrid w:val="0"/>
          <w:sz w:val="24"/>
          <w:szCs w:val="24"/>
        </w:rPr>
        <w:t>:</w:t>
      </w:r>
    </w:p>
    <w:p w14:paraId="2B1DD1DF" w14:textId="77777777" w:rsidR="008F1514" w:rsidRPr="003E0D53" w:rsidRDefault="008F1514" w:rsidP="009E73B0">
      <w:pPr>
        <w:spacing w:before="120" w:after="120" w:line="276" w:lineRule="auto"/>
        <w:ind w:right="49"/>
        <w:jc w:val="both"/>
        <w:rPr>
          <w:rFonts w:ascii="Book Antiqua" w:hAnsi="Book Antiqua"/>
          <w:sz w:val="24"/>
          <w:szCs w:val="24"/>
        </w:rPr>
      </w:pPr>
    </w:p>
    <w:p w14:paraId="1B5D3A8B" w14:textId="1E3AEDE1" w:rsidR="00E863D3" w:rsidRDefault="00E863D3" w:rsidP="00E863D3">
      <w:pPr>
        <w:shd w:val="clear" w:color="auto" w:fill="FFFFFF"/>
        <w:spacing w:line="276" w:lineRule="auto"/>
        <w:jc w:val="both"/>
        <w:rPr>
          <w:rFonts w:ascii="Book Antiqua" w:hAnsi="Book Antiqua" w:cs="Book Antiqua"/>
          <w:color w:val="FF0000"/>
          <w:sz w:val="24"/>
          <w:szCs w:val="24"/>
          <w:u w:val="single"/>
        </w:rPr>
      </w:pPr>
      <w:r w:rsidRPr="00856FDD">
        <w:rPr>
          <w:rFonts w:ascii="Book Antiqua" w:hAnsi="Book Antiqua" w:cs="Book Antiqua"/>
          <w:sz w:val="24"/>
          <w:szCs w:val="24"/>
        </w:rPr>
        <w:t xml:space="preserve">Le remito el informe suscrito por el Ing. Jorge Fernando Rodríguez Salazar, Jefe a.i. del Subproceso de Modernización Institucional, relacionado </w:t>
      </w:r>
      <w:r>
        <w:rPr>
          <w:rFonts w:ascii="Book Antiqua" w:hAnsi="Book Antiqua" w:cs="Book Antiqua"/>
          <w:sz w:val="24"/>
          <w:szCs w:val="24"/>
        </w:rPr>
        <w:t xml:space="preserve">con el </w:t>
      </w:r>
      <w:r w:rsidR="009F68DB">
        <w:rPr>
          <w:rFonts w:ascii="Book Antiqua" w:hAnsi="Book Antiqua" w:cs="Book Antiqua"/>
          <w:sz w:val="24"/>
          <w:szCs w:val="24"/>
        </w:rPr>
        <w:t>i</w:t>
      </w:r>
      <w:r w:rsidRPr="00AF3D2D">
        <w:rPr>
          <w:rFonts w:ascii="Book Antiqua" w:hAnsi="Book Antiqua" w:cs="Book Antiqua"/>
          <w:sz w:val="24"/>
          <w:szCs w:val="24"/>
        </w:rPr>
        <w:t>mpacto organizacional y presupuestario en el Poder Judicial a partir de la promulgación del Código Procesal de Familia para el 202</w:t>
      </w:r>
      <w:r>
        <w:rPr>
          <w:rFonts w:ascii="Book Antiqua" w:hAnsi="Book Antiqua" w:cs="Book Antiqua"/>
          <w:sz w:val="24"/>
          <w:szCs w:val="24"/>
        </w:rPr>
        <w:t>3.</w:t>
      </w:r>
    </w:p>
    <w:p w14:paraId="7A330904" w14:textId="321D5B24" w:rsidR="00CB0EF2" w:rsidRPr="00732A4F" w:rsidRDefault="00E863D3" w:rsidP="00CB0EF2">
      <w:pPr>
        <w:spacing w:line="276" w:lineRule="auto"/>
        <w:jc w:val="both"/>
        <w:rPr>
          <w:rFonts w:ascii="Book Antiqua" w:hAnsi="Book Antiqua" w:cs="Book Antiqua"/>
          <w:sz w:val="24"/>
          <w:szCs w:val="24"/>
        </w:rPr>
      </w:pPr>
      <w:r>
        <w:rPr>
          <w:rFonts w:ascii="Book Antiqua" w:hAnsi="Book Antiqua" w:cs="Book Antiqua"/>
          <w:sz w:val="24"/>
          <w:szCs w:val="24"/>
        </w:rPr>
        <w:t>E</w:t>
      </w:r>
      <w:r w:rsidR="00CB0EF2">
        <w:rPr>
          <w:rFonts w:ascii="Book Antiqua" w:hAnsi="Book Antiqua" w:cs="Book Antiqua"/>
          <w:sz w:val="24"/>
          <w:szCs w:val="24"/>
        </w:rPr>
        <w:t xml:space="preserve">ste informe además </w:t>
      </w:r>
      <w:r w:rsidR="00CB0EF2" w:rsidRPr="00732A4F">
        <w:rPr>
          <w:rFonts w:ascii="Book Antiqua" w:hAnsi="Book Antiqua" w:cs="Book Antiqua"/>
          <w:sz w:val="24"/>
          <w:szCs w:val="24"/>
        </w:rPr>
        <w:t>brinda respuesta a</w:t>
      </w:r>
      <w:r w:rsidR="00CB0EF2">
        <w:rPr>
          <w:rFonts w:ascii="Book Antiqua" w:hAnsi="Book Antiqua" w:cs="Book Antiqua"/>
          <w:sz w:val="24"/>
          <w:szCs w:val="24"/>
        </w:rPr>
        <w:t xml:space="preserve"> </w:t>
      </w:r>
      <w:r w:rsidR="00DD54E7">
        <w:rPr>
          <w:rFonts w:ascii="Book Antiqua" w:hAnsi="Book Antiqua" w:cs="Book Antiqua"/>
          <w:sz w:val="24"/>
          <w:szCs w:val="24"/>
        </w:rPr>
        <w:t xml:space="preserve">los </w:t>
      </w:r>
      <w:r w:rsidR="00CB0EF2">
        <w:rPr>
          <w:rFonts w:ascii="Book Antiqua" w:hAnsi="Book Antiqua" w:cs="Book Antiqua"/>
          <w:sz w:val="24"/>
          <w:szCs w:val="24"/>
        </w:rPr>
        <w:t xml:space="preserve">oficios </w:t>
      </w:r>
      <w:r w:rsidR="00850BB9">
        <w:rPr>
          <w:rFonts w:ascii="Book Antiqua" w:hAnsi="Book Antiqua" w:cs="Book Antiqua"/>
          <w:sz w:val="24"/>
          <w:szCs w:val="24"/>
        </w:rPr>
        <w:t xml:space="preserve">y referencias </w:t>
      </w:r>
      <w:r w:rsidR="00CB0EF2">
        <w:rPr>
          <w:rFonts w:ascii="Book Antiqua" w:hAnsi="Book Antiqua" w:cs="Book Antiqua"/>
          <w:sz w:val="24"/>
          <w:szCs w:val="24"/>
        </w:rPr>
        <w:t>que se citan</w:t>
      </w:r>
      <w:r w:rsidR="00CB0EF2" w:rsidRPr="00732A4F">
        <w:rPr>
          <w:rFonts w:ascii="Book Antiqua" w:hAnsi="Book Antiqua" w:cs="Book Antiqua"/>
          <w:sz w:val="24"/>
          <w:szCs w:val="24"/>
        </w:rPr>
        <w:t xml:space="preserve"> en el siguiente recuadro:</w:t>
      </w:r>
    </w:p>
    <w:p w14:paraId="12EDC795" w14:textId="77777777" w:rsidR="00CB0EF2" w:rsidRPr="004D1548" w:rsidRDefault="00CB0EF2" w:rsidP="00CB0EF2">
      <w:pPr>
        <w:spacing w:line="276" w:lineRule="auto"/>
        <w:jc w:val="both"/>
        <w:rPr>
          <w:rFonts w:ascii="Book Antiqua" w:hAnsi="Book Antiqua" w:cs="Book Antiqua"/>
        </w:rPr>
      </w:pPr>
    </w:p>
    <w:tbl>
      <w:tblPr>
        <w:tblW w:w="10768" w:type="dxa"/>
        <w:jc w:val="center"/>
        <w:tblLayout w:type="fixed"/>
        <w:tblCellMar>
          <w:left w:w="0" w:type="dxa"/>
          <w:right w:w="0" w:type="dxa"/>
        </w:tblCellMar>
        <w:tblLook w:val="04A0" w:firstRow="1" w:lastRow="0" w:firstColumn="1" w:lastColumn="0" w:noHBand="0" w:noVBand="1"/>
      </w:tblPr>
      <w:tblGrid>
        <w:gridCol w:w="1838"/>
        <w:gridCol w:w="1658"/>
        <w:gridCol w:w="2736"/>
        <w:gridCol w:w="2268"/>
        <w:gridCol w:w="2268"/>
      </w:tblGrid>
      <w:tr w:rsidR="00CB0EF2" w:rsidRPr="00EB63C8" w14:paraId="3761FD2D" w14:textId="77777777" w:rsidTr="001D0C10">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470E4C9C" w14:textId="77777777" w:rsidR="00CB0EF2" w:rsidRPr="001D0C10" w:rsidRDefault="00CB0EF2" w:rsidP="001D0C10">
            <w:pPr>
              <w:spacing w:line="240" w:lineRule="auto"/>
              <w:jc w:val="center"/>
              <w:rPr>
                <w:rFonts w:ascii="Book Antiqua" w:hAnsi="Book Antiqua"/>
                <w:b/>
                <w:i/>
                <w:iCs/>
                <w:sz w:val="20"/>
                <w:szCs w:val="20"/>
                <w:lang w:eastAsia="es-CR"/>
              </w:rPr>
            </w:pPr>
            <w:r w:rsidRPr="001D0C10">
              <w:rPr>
                <w:rFonts w:ascii="Book Antiqua" w:hAnsi="Book Antiqua"/>
                <w:b/>
                <w:bCs/>
                <w:i/>
                <w:iCs/>
                <w:sz w:val="20"/>
                <w:szCs w:val="20"/>
              </w:rPr>
              <w:t>Oficio</w:t>
            </w:r>
          </w:p>
        </w:tc>
        <w:tc>
          <w:tcPr>
            <w:tcW w:w="1658"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0A9DE055" w14:textId="77777777" w:rsidR="00CB0EF2" w:rsidRPr="001D0C10" w:rsidRDefault="00CB0EF2" w:rsidP="001D0C10">
            <w:pPr>
              <w:spacing w:line="240" w:lineRule="auto"/>
              <w:jc w:val="center"/>
              <w:rPr>
                <w:rFonts w:ascii="Book Antiqua" w:hAnsi="Book Antiqua"/>
                <w:b/>
                <w:bCs/>
                <w:i/>
                <w:iCs/>
                <w:sz w:val="20"/>
                <w:szCs w:val="20"/>
              </w:rPr>
            </w:pPr>
            <w:r w:rsidRPr="001D0C10">
              <w:rPr>
                <w:rFonts w:ascii="Book Antiqua" w:hAnsi="Book Antiqua"/>
                <w:b/>
                <w:bCs/>
                <w:i/>
                <w:iCs/>
                <w:sz w:val="20"/>
                <w:szCs w:val="20"/>
              </w:rPr>
              <w:t>Fecha del</w:t>
            </w:r>
          </w:p>
          <w:p w14:paraId="65B3C051" w14:textId="77777777" w:rsidR="00CB0EF2" w:rsidRPr="001D0C10" w:rsidRDefault="00CB0EF2" w:rsidP="001D0C10">
            <w:pPr>
              <w:spacing w:line="240" w:lineRule="auto"/>
              <w:jc w:val="center"/>
              <w:rPr>
                <w:rFonts w:ascii="Book Antiqua" w:hAnsi="Book Antiqua"/>
                <w:b/>
                <w:i/>
                <w:iCs/>
                <w:sz w:val="20"/>
                <w:szCs w:val="20"/>
              </w:rPr>
            </w:pPr>
            <w:r w:rsidRPr="001D0C10">
              <w:rPr>
                <w:rFonts w:ascii="Book Antiqua" w:hAnsi="Book Antiqua"/>
                <w:b/>
                <w:bCs/>
                <w:i/>
                <w:iCs/>
                <w:sz w:val="20"/>
                <w:szCs w:val="20"/>
              </w:rPr>
              <w:t>Oficio</w:t>
            </w:r>
          </w:p>
        </w:tc>
        <w:tc>
          <w:tcPr>
            <w:tcW w:w="2736" w:type="dxa"/>
            <w:tcBorders>
              <w:top w:val="single" w:sz="4" w:space="0" w:color="auto"/>
              <w:left w:val="single" w:sz="4" w:space="0" w:color="auto"/>
              <w:bottom w:val="single" w:sz="4" w:space="0" w:color="auto"/>
              <w:right w:val="single" w:sz="4" w:space="0" w:color="auto"/>
            </w:tcBorders>
            <w:shd w:val="clear" w:color="auto" w:fill="B4C6E7"/>
            <w:vAlign w:val="center"/>
          </w:tcPr>
          <w:p w14:paraId="3BE5E068" w14:textId="77777777" w:rsidR="00CB0EF2" w:rsidRPr="001D0C10" w:rsidRDefault="00CB0EF2" w:rsidP="001D0C10">
            <w:pPr>
              <w:spacing w:line="240" w:lineRule="auto"/>
              <w:jc w:val="center"/>
              <w:rPr>
                <w:rFonts w:ascii="Book Antiqua" w:hAnsi="Book Antiqua"/>
                <w:b/>
                <w:bCs/>
                <w:i/>
                <w:iCs/>
                <w:sz w:val="20"/>
                <w:szCs w:val="20"/>
              </w:rPr>
            </w:pPr>
            <w:r w:rsidRPr="001D0C10">
              <w:rPr>
                <w:rFonts w:ascii="Book Antiqua" w:hAnsi="Book Antiqua"/>
                <w:b/>
                <w:bCs/>
                <w:i/>
                <w:iCs/>
                <w:sz w:val="20"/>
                <w:szCs w:val="20"/>
              </w:rPr>
              <w:t>Remitente</w:t>
            </w:r>
          </w:p>
        </w:tc>
        <w:tc>
          <w:tcPr>
            <w:tcW w:w="2268" w:type="dxa"/>
            <w:tcBorders>
              <w:top w:val="single" w:sz="4" w:space="0" w:color="auto"/>
              <w:left w:val="single" w:sz="4" w:space="0" w:color="auto"/>
              <w:bottom w:val="single" w:sz="4" w:space="0" w:color="auto"/>
              <w:right w:val="single" w:sz="4" w:space="0" w:color="auto"/>
            </w:tcBorders>
            <w:shd w:val="clear" w:color="auto" w:fill="B4C6E7"/>
            <w:vAlign w:val="center"/>
          </w:tcPr>
          <w:p w14:paraId="54ADE2B4" w14:textId="71247986" w:rsidR="00123ACF" w:rsidRPr="001D0C10" w:rsidRDefault="00123ACF" w:rsidP="001D0C10">
            <w:pPr>
              <w:spacing w:line="240" w:lineRule="auto"/>
              <w:jc w:val="center"/>
              <w:rPr>
                <w:rFonts w:ascii="Book Antiqua" w:hAnsi="Book Antiqua"/>
                <w:b/>
                <w:bCs/>
                <w:i/>
                <w:iCs/>
                <w:sz w:val="20"/>
                <w:szCs w:val="20"/>
              </w:rPr>
            </w:pPr>
            <w:r w:rsidRPr="001D0C10">
              <w:rPr>
                <w:rFonts w:ascii="Book Antiqua" w:hAnsi="Book Antiqua"/>
                <w:b/>
                <w:bCs/>
                <w:i/>
                <w:iCs/>
                <w:sz w:val="20"/>
                <w:szCs w:val="20"/>
              </w:rPr>
              <w:t>Tema</w:t>
            </w:r>
          </w:p>
        </w:tc>
        <w:tc>
          <w:tcPr>
            <w:tcW w:w="2268"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7CDECEB8" w14:textId="77777777" w:rsidR="00CB0EF2" w:rsidRPr="001D0C10" w:rsidRDefault="00CB0EF2" w:rsidP="001D0C10">
            <w:pPr>
              <w:spacing w:line="240" w:lineRule="auto"/>
              <w:jc w:val="center"/>
              <w:rPr>
                <w:rFonts w:ascii="Book Antiqua" w:hAnsi="Book Antiqua"/>
                <w:b/>
                <w:bCs/>
                <w:i/>
                <w:iCs/>
                <w:sz w:val="20"/>
                <w:szCs w:val="20"/>
              </w:rPr>
            </w:pPr>
            <w:r w:rsidRPr="001D0C10">
              <w:rPr>
                <w:rFonts w:ascii="Book Antiqua" w:hAnsi="Book Antiqua"/>
                <w:b/>
                <w:bCs/>
                <w:i/>
                <w:iCs/>
                <w:sz w:val="20"/>
                <w:szCs w:val="20"/>
              </w:rPr>
              <w:t>Referencia Interna</w:t>
            </w:r>
          </w:p>
          <w:p w14:paraId="0AAD59FD" w14:textId="77777777" w:rsidR="00CB0EF2" w:rsidRPr="001D0C10" w:rsidRDefault="00CB0EF2" w:rsidP="001D0C10">
            <w:pPr>
              <w:spacing w:line="240" w:lineRule="auto"/>
              <w:jc w:val="center"/>
              <w:rPr>
                <w:rFonts w:ascii="Book Antiqua" w:hAnsi="Book Antiqua"/>
                <w:b/>
                <w:i/>
                <w:iCs/>
                <w:sz w:val="20"/>
                <w:szCs w:val="20"/>
              </w:rPr>
            </w:pPr>
            <w:r w:rsidRPr="001D0C10">
              <w:rPr>
                <w:rFonts w:ascii="Book Antiqua" w:hAnsi="Book Antiqua"/>
                <w:b/>
                <w:i/>
                <w:iCs/>
                <w:sz w:val="20"/>
                <w:szCs w:val="20"/>
              </w:rPr>
              <w:t>Dir. Planificación</w:t>
            </w:r>
          </w:p>
        </w:tc>
      </w:tr>
      <w:tr w:rsidR="00CB0EF2" w:rsidRPr="00EB63C8" w14:paraId="2CD9B130" w14:textId="77777777" w:rsidTr="001D0C10">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53A7F04" w14:textId="71AD6A9B" w:rsidR="00CB0EF2"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19-2022</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02783DB" w14:textId="20D6945E" w:rsidR="00CB0EF2"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7-1-202</w:t>
            </w:r>
            <w:r w:rsidR="00467DFD" w:rsidRPr="001D0C10">
              <w:rPr>
                <w:rFonts w:ascii="Book Antiqua" w:hAnsi="Book Antiqua"/>
                <w:sz w:val="20"/>
                <w:szCs w:val="20"/>
              </w:rPr>
              <w:t>2</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36FA6CBC" w14:textId="73976F88" w:rsidR="00CB0EF2" w:rsidRPr="001D0C10" w:rsidRDefault="00123ACF" w:rsidP="001D0C10">
            <w:pPr>
              <w:spacing w:line="240" w:lineRule="auto"/>
              <w:jc w:val="both"/>
              <w:rPr>
                <w:rFonts w:ascii="Book Antiqua" w:hAnsi="Book Antiqua"/>
                <w:sz w:val="20"/>
                <w:szCs w:val="20"/>
              </w:rPr>
            </w:pPr>
            <w:r w:rsidRPr="001D0C10">
              <w:rPr>
                <w:rFonts w:ascii="Book Antiqua" w:hAnsi="Book Antiqua"/>
                <w:sz w:val="20"/>
                <w:szCs w:val="20"/>
              </w:rPr>
              <w:t xml:space="preserve">Sala Segunda </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8D76A47" w14:textId="373DEF4B" w:rsidR="00123ACF" w:rsidRPr="001D0C10" w:rsidRDefault="00123ACF" w:rsidP="001D0C10">
            <w:pPr>
              <w:spacing w:line="240" w:lineRule="auto"/>
              <w:jc w:val="both"/>
              <w:rPr>
                <w:rFonts w:ascii="Book Antiqua" w:hAnsi="Book Antiqua"/>
                <w:sz w:val="20"/>
                <w:szCs w:val="20"/>
              </w:rPr>
            </w:pPr>
            <w:r w:rsidRPr="001D0C10">
              <w:rPr>
                <w:rFonts w:ascii="Book Antiqua" w:hAnsi="Book Antiqua"/>
                <w:sz w:val="20"/>
                <w:szCs w:val="20"/>
              </w:rPr>
              <w:t>Relacionado con la solicitud de una plaza de Profesional en Derecho para dar apoyo en la fase de admisibilidad de los procesos de la Sala Segunda</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02A2BA8" w14:textId="208CF6CA" w:rsidR="00CB0EF2"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39</w:t>
            </w:r>
            <w:r w:rsidR="00CB0EF2" w:rsidRPr="001D0C10">
              <w:rPr>
                <w:rFonts w:ascii="Book Antiqua" w:hAnsi="Book Antiqua"/>
                <w:sz w:val="20"/>
                <w:szCs w:val="20"/>
              </w:rPr>
              <w:t>-202</w:t>
            </w:r>
            <w:r w:rsidR="00747169" w:rsidRPr="001D0C10">
              <w:rPr>
                <w:rFonts w:ascii="Book Antiqua" w:hAnsi="Book Antiqua"/>
                <w:sz w:val="20"/>
                <w:szCs w:val="20"/>
              </w:rPr>
              <w:t>2</w:t>
            </w:r>
          </w:p>
        </w:tc>
      </w:tr>
      <w:tr w:rsidR="005F1C65" w:rsidRPr="00EB63C8" w14:paraId="63ECBE02" w14:textId="77777777" w:rsidTr="001D0C10">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ACE7921" w14:textId="494216B2" w:rsidR="005F1C65"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E09C625" w14:textId="076D80FC" w:rsidR="005F1C65"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08036D82" w14:textId="48C60A64" w:rsidR="005F1C65" w:rsidRPr="001D0C10" w:rsidRDefault="005F1C65" w:rsidP="001D0C10">
            <w:pPr>
              <w:spacing w:line="240" w:lineRule="auto"/>
              <w:jc w:val="both"/>
              <w:rPr>
                <w:rFonts w:ascii="Book Antiqua" w:hAnsi="Book Antiqua"/>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117B261" w14:textId="27FAE8CD" w:rsidR="00123ACF" w:rsidRPr="001D0C10" w:rsidRDefault="00123ACF" w:rsidP="001D0C10">
            <w:pPr>
              <w:spacing w:line="240" w:lineRule="auto"/>
              <w:jc w:val="both"/>
              <w:rPr>
                <w:rFonts w:ascii="Book Antiqua" w:hAnsi="Book Antiqua"/>
                <w:sz w:val="20"/>
                <w:szCs w:val="20"/>
              </w:rPr>
            </w:pPr>
            <w:r w:rsidRPr="001D0C10">
              <w:rPr>
                <w:rFonts w:ascii="Book Antiqua" w:hAnsi="Book Antiqua"/>
                <w:sz w:val="20"/>
                <w:szCs w:val="20"/>
              </w:rPr>
              <w:t>Relacionado con formulación presupuestaria 2023 Proyecto de Implementación Ley 9747- Código Procesal de Familia</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68CD5A5" w14:textId="27F6624D" w:rsidR="005F1C65" w:rsidRPr="001D0C10" w:rsidRDefault="005F1C65" w:rsidP="001D0C10">
            <w:pPr>
              <w:spacing w:line="240" w:lineRule="auto"/>
              <w:jc w:val="center"/>
              <w:rPr>
                <w:rFonts w:ascii="Book Antiqua" w:hAnsi="Book Antiqua"/>
                <w:sz w:val="20"/>
                <w:szCs w:val="20"/>
              </w:rPr>
            </w:pPr>
            <w:r w:rsidRPr="001D0C10">
              <w:rPr>
                <w:rFonts w:ascii="Book Antiqua" w:hAnsi="Book Antiqua"/>
                <w:sz w:val="20"/>
                <w:szCs w:val="20"/>
              </w:rPr>
              <w:t>71-2022</w:t>
            </w:r>
          </w:p>
        </w:tc>
      </w:tr>
      <w:tr w:rsidR="0024200A" w:rsidRPr="00EB63C8" w14:paraId="4ED61549" w14:textId="77777777" w:rsidTr="001D0C10">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9F40AF5" w14:textId="7E90CE67" w:rsidR="0024200A" w:rsidRPr="001D0C10" w:rsidRDefault="0024200A" w:rsidP="001D0C10">
            <w:pPr>
              <w:spacing w:line="240" w:lineRule="auto"/>
              <w:jc w:val="center"/>
              <w:rPr>
                <w:rFonts w:ascii="Book Antiqua" w:hAnsi="Book Antiqua"/>
                <w:sz w:val="20"/>
                <w:szCs w:val="20"/>
              </w:rPr>
            </w:pPr>
            <w:r w:rsidRPr="001D0C10">
              <w:rPr>
                <w:rFonts w:ascii="Book Antiqua" w:hAnsi="Book Antiqua"/>
                <w:sz w:val="20"/>
                <w:szCs w:val="20"/>
              </w:rPr>
              <w:lastRenderedPageBreak/>
              <w:t>---</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2551984" w14:textId="144B42DA" w:rsidR="0024200A" w:rsidRPr="001D0C10" w:rsidRDefault="0024200A" w:rsidP="001D0C10">
            <w:pPr>
              <w:spacing w:line="240" w:lineRule="auto"/>
              <w:jc w:val="center"/>
              <w:rPr>
                <w:rFonts w:ascii="Book Antiqua" w:hAnsi="Book Antiqua"/>
                <w:sz w:val="20"/>
                <w:szCs w:val="20"/>
              </w:rPr>
            </w:pPr>
            <w:r w:rsidRPr="001D0C10">
              <w:rPr>
                <w:rFonts w:ascii="Book Antiqua" w:hAnsi="Book Antiqua"/>
                <w:sz w:val="20"/>
                <w:szCs w:val="20"/>
              </w:rPr>
              <w:t>---</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45C0C5DA" w14:textId="0C4A894A" w:rsidR="0024200A" w:rsidRPr="001D0C10" w:rsidRDefault="0024200A" w:rsidP="001D0C10">
            <w:pPr>
              <w:spacing w:line="240" w:lineRule="auto"/>
              <w:jc w:val="both"/>
              <w:rPr>
                <w:rFonts w:ascii="Book Antiqua" w:hAnsi="Book Antiqua"/>
                <w:sz w:val="20"/>
                <w:szCs w:val="20"/>
              </w:rPr>
            </w:pPr>
            <w:r w:rsidRPr="001D0C10">
              <w:rPr>
                <w:rFonts w:ascii="Book Antiqua" w:hAnsi="Book Antiqua"/>
                <w:sz w:val="20"/>
                <w:szCs w:val="20"/>
              </w:rPr>
              <w:t>Estudio complementario proyecto de Implementación al Código Procesal de Familia, informe 389-PLA-RH-MI-2021</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40663A6" w14:textId="23637C40" w:rsidR="0024200A" w:rsidRPr="001D0C10" w:rsidRDefault="0024200A" w:rsidP="001D0C10">
            <w:pPr>
              <w:spacing w:line="240" w:lineRule="auto"/>
              <w:jc w:val="both"/>
              <w:rPr>
                <w:rFonts w:ascii="Book Antiqua" w:hAnsi="Book Antiqua"/>
                <w:sz w:val="20"/>
                <w:szCs w:val="20"/>
              </w:rPr>
            </w:pPr>
            <w:r w:rsidRPr="001D0C10">
              <w:rPr>
                <w:rFonts w:ascii="Book Antiqua" w:hAnsi="Book Antiqua"/>
                <w:sz w:val="20"/>
                <w:szCs w:val="20"/>
              </w:rPr>
              <w:t>Relacionado con análisis competencia actual del Juzgado de Niñez y Adolescencia, respecto casos de Pérez Zeledón</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F73216D" w14:textId="3EE308BD" w:rsidR="0024200A" w:rsidRPr="001D0C10" w:rsidRDefault="0024200A" w:rsidP="001D0C10">
            <w:pPr>
              <w:spacing w:line="240" w:lineRule="auto"/>
              <w:jc w:val="center"/>
              <w:rPr>
                <w:rFonts w:ascii="Book Antiqua" w:hAnsi="Book Antiqua"/>
                <w:sz w:val="20"/>
                <w:szCs w:val="20"/>
              </w:rPr>
            </w:pPr>
            <w:r w:rsidRPr="001D0C10">
              <w:rPr>
                <w:rFonts w:ascii="Book Antiqua" w:hAnsi="Book Antiqua"/>
                <w:sz w:val="20"/>
                <w:szCs w:val="20"/>
              </w:rPr>
              <w:t>1689-2021</w:t>
            </w:r>
          </w:p>
        </w:tc>
      </w:tr>
      <w:tr w:rsidR="0096709D" w:rsidRPr="00EB63C8" w14:paraId="4D20BBC1" w14:textId="77777777" w:rsidTr="00EB63C8">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17DF8A9" w14:textId="6D4916BE" w:rsidR="0096709D" w:rsidRPr="0096709D" w:rsidRDefault="0096709D">
            <w:pPr>
              <w:spacing w:line="240" w:lineRule="auto"/>
              <w:jc w:val="center"/>
              <w:rPr>
                <w:rFonts w:ascii="Book Antiqua" w:hAnsi="Book Antiqua"/>
                <w:sz w:val="20"/>
                <w:szCs w:val="20"/>
              </w:rPr>
            </w:pPr>
            <w:r w:rsidRPr="009B71C9">
              <w:rPr>
                <w:rFonts w:ascii="Book Antiqua" w:hAnsi="Book Antiqua"/>
                <w:sz w:val="20"/>
                <w:szCs w:val="20"/>
              </w:rPr>
              <w:t>073-CACMFJ-REF-2022</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58B9173A" w14:textId="1427EC0A" w:rsidR="0096709D" w:rsidRPr="0096709D" w:rsidRDefault="0096709D">
            <w:pPr>
              <w:spacing w:line="240" w:lineRule="auto"/>
              <w:jc w:val="center"/>
              <w:rPr>
                <w:rFonts w:ascii="Book Antiqua" w:hAnsi="Book Antiqua"/>
                <w:sz w:val="20"/>
                <w:szCs w:val="20"/>
              </w:rPr>
            </w:pPr>
            <w:r>
              <w:rPr>
                <w:rFonts w:ascii="Book Antiqua" w:hAnsi="Book Antiqua"/>
                <w:sz w:val="20"/>
                <w:szCs w:val="20"/>
              </w:rPr>
              <w:t>3-3-22</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4FBCFB60" w14:textId="5DF888BC" w:rsidR="0096709D" w:rsidRPr="0096709D" w:rsidDel="0024200A" w:rsidRDefault="0096709D">
            <w:pPr>
              <w:spacing w:line="240" w:lineRule="auto"/>
              <w:jc w:val="both"/>
              <w:rPr>
                <w:rFonts w:ascii="Book Antiqua" w:hAnsi="Book Antiqua"/>
                <w:sz w:val="20"/>
                <w:szCs w:val="20"/>
              </w:rPr>
            </w:pPr>
            <w:r>
              <w:rPr>
                <w:rFonts w:ascii="Book Antiqua" w:hAnsi="Book Antiqua"/>
                <w:sz w:val="20"/>
                <w:szCs w:val="20"/>
              </w:rPr>
              <w:t>Centro de Apoyo, Coordinación y Mejoramiento de la Función Jurisdiccional</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004614D" w14:textId="6AF73839" w:rsidR="0096709D" w:rsidRPr="0096709D" w:rsidRDefault="0096709D">
            <w:pPr>
              <w:spacing w:line="240" w:lineRule="auto"/>
              <w:jc w:val="both"/>
              <w:rPr>
                <w:rFonts w:ascii="Book Antiqua" w:hAnsi="Book Antiqua"/>
                <w:sz w:val="20"/>
                <w:szCs w:val="20"/>
              </w:rPr>
            </w:pPr>
            <w:r>
              <w:rPr>
                <w:rFonts w:ascii="Book Antiqua" w:hAnsi="Book Antiqua"/>
                <w:sz w:val="20"/>
                <w:szCs w:val="20"/>
              </w:rPr>
              <w:t>Detalle asuntos fallados con plan de trabajo FA y PA enero 2022</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3158F20" w14:textId="54DB4261" w:rsidR="0096709D" w:rsidRPr="0096709D" w:rsidRDefault="0096709D">
            <w:pPr>
              <w:spacing w:line="240" w:lineRule="auto"/>
              <w:jc w:val="center"/>
              <w:rPr>
                <w:rFonts w:ascii="Book Antiqua" w:hAnsi="Book Antiqua"/>
                <w:sz w:val="20"/>
                <w:szCs w:val="20"/>
              </w:rPr>
            </w:pPr>
            <w:r>
              <w:rPr>
                <w:rFonts w:ascii="Book Antiqua" w:hAnsi="Book Antiqua"/>
                <w:sz w:val="20"/>
                <w:szCs w:val="20"/>
              </w:rPr>
              <w:t>452-22</w:t>
            </w:r>
          </w:p>
        </w:tc>
      </w:tr>
      <w:tr w:rsidR="0055226F" w:rsidRPr="00EB63C8" w14:paraId="7786898F" w14:textId="77777777" w:rsidTr="00EB63C8">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FF3AD30" w14:textId="46EA444B" w:rsidR="0055226F" w:rsidRPr="009B71C9" w:rsidRDefault="0055226F">
            <w:pPr>
              <w:spacing w:line="240" w:lineRule="auto"/>
              <w:jc w:val="center"/>
              <w:rPr>
                <w:rFonts w:ascii="Book Antiqua" w:hAnsi="Book Antiqua"/>
                <w:sz w:val="20"/>
                <w:szCs w:val="20"/>
              </w:rPr>
            </w:pPr>
            <w:r>
              <w:rPr>
                <w:rFonts w:ascii="Book Antiqua" w:hAnsi="Book Antiqua"/>
                <w:sz w:val="20"/>
                <w:szCs w:val="20"/>
              </w:rPr>
              <w:t>4-CJF-2022</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247C28F" w14:textId="1A6B88E9" w:rsidR="0055226F" w:rsidRDefault="0018131B">
            <w:pPr>
              <w:spacing w:line="240" w:lineRule="auto"/>
              <w:jc w:val="center"/>
              <w:rPr>
                <w:rFonts w:ascii="Book Antiqua" w:hAnsi="Book Antiqua"/>
                <w:sz w:val="20"/>
                <w:szCs w:val="20"/>
              </w:rPr>
            </w:pPr>
            <w:r>
              <w:rPr>
                <w:rFonts w:ascii="Book Antiqua" w:hAnsi="Book Antiqua"/>
                <w:sz w:val="20"/>
                <w:szCs w:val="20"/>
              </w:rPr>
              <w:t>20-1-22</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75FFC3A9" w14:textId="75C69AFE" w:rsidR="0055226F" w:rsidRDefault="0018131B">
            <w:pPr>
              <w:spacing w:line="240" w:lineRule="auto"/>
              <w:jc w:val="both"/>
              <w:rPr>
                <w:rFonts w:ascii="Book Antiqua" w:hAnsi="Book Antiqua"/>
                <w:sz w:val="20"/>
                <w:szCs w:val="20"/>
              </w:rPr>
            </w:pPr>
            <w:r>
              <w:rPr>
                <w:rFonts w:ascii="Book Antiqua" w:hAnsi="Book Antiqua"/>
                <w:sz w:val="20"/>
                <w:szCs w:val="20"/>
              </w:rPr>
              <w:t>Comisión de Familia, Niñez y Adolescencia</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700210D2" w14:textId="0D59E3A2" w:rsidR="0055226F" w:rsidRDefault="0018131B">
            <w:pPr>
              <w:spacing w:line="240" w:lineRule="auto"/>
              <w:jc w:val="both"/>
              <w:rPr>
                <w:rFonts w:ascii="Book Antiqua" w:hAnsi="Book Antiqua"/>
                <w:sz w:val="20"/>
                <w:szCs w:val="20"/>
              </w:rPr>
            </w:pPr>
            <w:r>
              <w:rPr>
                <w:rFonts w:ascii="Book Antiqua" w:hAnsi="Book Antiqua"/>
                <w:sz w:val="20"/>
                <w:szCs w:val="20"/>
              </w:rPr>
              <w:t>Solicitud de estudio de unificación de los despachos de Familia de San José</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A4C2DD2" w14:textId="198226E8" w:rsidR="0055226F" w:rsidRDefault="0018131B">
            <w:pPr>
              <w:spacing w:line="240" w:lineRule="auto"/>
              <w:jc w:val="center"/>
              <w:rPr>
                <w:rFonts w:ascii="Book Antiqua" w:hAnsi="Book Antiqua"/>
                <w:sz w:val="20"/>
                <w:szCs w:val="20"/>
              </w:rPr>
            </w:pPr>
            <w:r>
              <w:rPr>
                <w:rFonts w:ascii="Book Antiqua" w:hAnsi="Book Antiqua"/>
                <w:sz w:val="20"/>
                <w:szCs w:val="20"/>
              </w:rPr>
              <w:t>236-22</w:t>
            </w:r>
          </w:p>
        </w:tc>
      </w:tr>
    </w:tbl>
    <w:p w14:paraId="7DA0207C" w14:textId="77777777" w:rsidR="00CB0EF2" w:rsidRDefault="00CB0EF2" w:rsidP="00CB0EF2">
      <w:pPr>
        <w:spacing w:line="276" w:lineRule="auto"/>
        <w:jc w:val="both"/>
        <w:rPr>
          <w:rFonts w:ascii="Book Antiqua" w:hAnsi="Book Antiqua"/>
          <w:sz w:val="24"/>
          <w:szCs w:val="24"/>
        </w:rPr>
      </w:pPr>
    </w:p>
    <w:p w14:paraId="70CC747A" w14:textId="77777777" w:rsidR="00F15E29" w:rsidRPr="001A3DA6" w:rsidRDefault="00F15E29" w:rsidP="00F15E29">
      <w:pPr>
        <w:spacing w:line="276" w:lineRule="auto"/>
        <w:rPr>
          <w:rFonts w:ascii="Book Antiqua" w:hAnsi="Book Antiqua" w:cs="Book Antiqua"/>
          <w:snapToGrid w:val="0"/>
        </w:rPr>
      </w:pPr>
    </w:p>
    <w:p w14:paraId="0BF0FFD5" w14:textId="6E9D5B70" w:rsidR="00FA559C" w:rsidRDefault="00FA559C">
      <w:pPr>
        <w:rPr>
          <w:rFonts w:ascii="Book Antiqua" w:hAnsi="Book Antiqua"/>
        </w:rPr>
        <w:sectPr w:rsidR="00FA559C">
          <w:headerReference w:type="default" r:id="rId8"/>
          <w:footerReference w:type="default" r:id="rId9"/>
          <w:pgSz w:w="12240" w:h="15840"/>
          <w:pgMar w:top="1417" w:right="1701" w:bottom="1417" w:left="1701" w:header="708" w:footer="708" w:gutter="0"/>
          <w:cols w:space="708"/>
          <w:docGrid w:linePitch="360"/>
        </w:sectPr>
      </w:pPr>
    </w:p>
    <w:p w14:paraId="587E237F" w14:textId="34D975B6" w:rsidR="00CB0EF2" w:rsidRDefault="008A1DF6">
      <w:pPr>
        <w:rPr>
          <w:rFonts w:ascii="Book Antiqua" w:hAnsi="Book Antiqua"/>
        </w:rPr>
      </w:pPr>
      <w:r>
        <w:rPr>
          <w:noProof/>
        </w:rPr>
        <w:lastRenderedPageBreak/>
        <w:drawing>
          <wp:anchor distT="0" distB="0" distL="114300" distR="114300" simplePos="0" relativeHeight="251658240" behindDoc="0" locked="0" layoutInCell="1" allowOverlap="1" wp14:anchorId="1EA13365" wp14:editId="1585A8C0">
            <wp:simplePos x="0" y="0"/>
            <wp:positionH relativeFrom="page">
              <wp:align>left</wp:align>
            </wp:positionH>
            <wp:positionV relativeFrom="paragraph">
              <wp:posOffset>-1384397</wp:posOffset>
            </wp:positionV>
            <wp:extent cx="7753350" cy="1746653"/>
            <wp:effectExtent l="0" t="0" r="0" b="6350"/>
            <wp:wrapNone/>
            <wp:docPr id="6" name="Imagen 6" descr="Imagen que contiene competencia de atletismo, jau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competencia de atletismo, jaula&#10;&#10;Descripción generada automáticamen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53350" cy="17466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FD5FF4" w14:textId="61452641" w:rsidR="00CB0EF2" w:rsidRPr="00447F5D" w:rsidRDefault="00CB0EF2" w:rsidP="00CB0EF2">
      <w:pPr>
        <w:rPr>
          <w:rFonts w:ascii="Book Antiqua" w:hAnsi="Book Antiqua" w:cs="Book Antiqua"/>
          <w:bCs/>
          <w:snapToGrid w:val="0"/>
          <w:sz w:val="24"/>
          <w:szCs w:val="24"/>
        </w:rPr>
      </w:pPr>
    </w:p>
    <w:p w14:paraId="61FE3EAC" w14:textId="77777777" w:rsidR="00CB0EF2" w:rsidRDefault="00CB0EF2" w:rsidP="00CB0EF2">
      <w:pPr>
        <w:autoSpaceDE w:val="0"/>
        <w:autoSpaceDN w:val="0"/>
        <w:adjustRightInd w:val="0"/>
        <w:spacing w:line="276" w:lineRule="auto"/>
        <w:rPr>
          <w:rFonts w:ascii="Arial" w:hAnsi="Arial" w:cs="Arial"/>
          <w:sz w:val="23"/>
          <w:szCs w:val="23"/>
        </w:rPr>
      </w:pPr>
    </w:p>
    <w:p w14:paraId="71B7281E" w14:textId="5D5200C1" w:rsidR="00CB0EF2" w:rsidRDefault="00CB0EF2" w:rsidP="00CB0EF2">
      <w:pPr>
        <w:autoSpaceDE w:val="0"/>
        <w:autoSpaceDN w:val="0"/>
        <w:adjustRightInd w:val="0"/>
        <w:spacing w:line="276" w:lineRule="auto"/>
        <w:rPr>
          <w:rFonts w:ascii="Arial" w:hAnsi="Arial" w:cs="Arial"/>
          <w:sz w:val="23"/>
          <w:szCs w:val="23"/>
        </w:rPr>
      </w:pPr>
      <w:r>
        <w:rPr>
          <w:noProof/>
        </w:rPr>
        <w:drawing>
          <wp:anchor distT="0" distB="0" distL="114300" distR="114300" simplePos="0" relativeHeight="251658242" behindDoc="0" locked="0" layoutInCell="1" allowOverlap="1" wp14:anchorId="293D6F74" wp14:editId="0F9EE208">
            <wp:simplePos x="0" y="0"/>
            <wp:positionH relativeFrom="column">
              <wp:posOffset>4038600</wp:posOffset>
            </wp:positionH>
            <wp:positionV relativeFrom="paragraph">
              <wp:posOffset>188595</wp:posOffset>
            </wp:positionV>
            <wp:extent cx="1847850" cy="809625"/>
            <wp:effectExtent l="0" t="0" r="0" b="9525"/>
            <wp:wrapNone/>
            <wp:docPr id="5" name="Imagen 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poder-judicial-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0" locked="0" layoutInCell="1" allowOverlap="1" wp14:anchorId="34E96CBD" wp14:editId="18D33FB7">
            <wp:simplePos x="0" y="0"/>
            <wp:positionH relativeFrom="column">
              <wp:posOffset>-297180</wp:posOffset>
            </wp:positionH>
            <wp:positionV relativeFrom="paragraph">
              <wp:posOffset>104775</wp:posOffset>
            </wp:positionV>
            <wp:extent cx="1659890" cy="875665"/>
            <wp:effectExtent l="0" t="0" r="0" b="635"/>
            <wp:wrapNone/>
            <wp:docPr id="4" name="Imagen 4"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logo-dirplan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59890" cy="875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B0CB9" w14:textId="77777777" w:rsidR="00CB0EF2" w:rsidRPr="00BD1432" w:rsidRDefault="00CB0EF2" w:rsidP="00CB0EF2">
      <w:pPr>
        <w:autoSpaceDE w:val="0"/>
        <w:autoSpaceDN w:val="0"/>
        <w:adjustRightInd w:val="0"/>
        <w:spacing w:line="276" w:lineRule="auto"/>
        <w:rPr>
          <w:rFonts w:ascii="Book Antiqua" w:hAnsi="Book Antiqua" w:cs="Arial"/>
          <w:sz w:val="23"/>
          <w:szCs w:val="23"/>
        </w:rPr>
      </w:pPr>
    </w:p>
    <w:p w14:paraId="6373D891" w14:textId="77777777" w:rsidR="00CB0EF2" w:rsidRPr="00BD1432" w:rsidRDefault="00CB0EF2" w:rsidP="00CB0EF2">
      <w:pPr>
        <w:autoSpaceDE w:val="0"/>
        <w:autoSpaceDN w:val="0"/>
        <w:adjustRightInd w:val="0"/>
        <w:spacing w:line="276" w:lineRule="auto"/>
        <w:rPr>
          <w:rFonts w:ascii="Book Antiqua" w:hAnsi="Book Antiqua" w:cs="Arial"/>
          <w:sz w:val="23"/>
          <w:szCs w:val="23"/>
        </w:rPr>
      </w:pPr>
    </w:p>
    <w:p w14:paraId="5EC70218" w14:textId="77777777" w:rsidR="00CB0EF2" w:rsidRDefault="00CB0EF2" w:rsidP="00CB0EF2">
      <w:pPr>
        <w:spacing w:line="276" w:lineRule="auto"/>
        <w:jc w:val="center"/>
        <w:rPr>
          <w:rFonts w:ascii="Book Antiqua" w:hAnsi="Book Antiqua"/>
          <w:sz w:val="36"/>
          <w:szCs w:val="36"/>
        </w:rPr>
      </w:pPr>
    </w:p>
    <w:p w14:paraId="3A2EC8AB" w14:textId="77777777" w:rsidR="00CB0EF2" w:rsidRPr="00584D49" w:rsidRDefault="00CB0EF2" w:rsidP="00CB0EF2">
      <w:pPr>
        <w:spacing w:line="276" w:lineRule="auto"/>
        <w:jc w:val="center"/>
        <w:rPr>
          <w:rFonts w:ascii="Book Antiqua" w:hAnsi="Book Antiqua"/>
          <w:b/>
          <w:bCs/>
          <w:i/>
          <w:sz w:val="36"/>
          <w:szCs w:val="36"/>
        </w:rPr>
      </w:pPr>
      <w:r w:rsidRPr="00584D49">
        <w:rPr>
          <w:rFonts w:ascii="Book Antiqua" w:hAnsi="Book Antiqua"/>
          <w:b/>
          <w:bCs/>
          <w:sz w:val="36"/>
          <w:szCs w:val="36"/>
        </w:rPr>
        <w:t xml:space="preserve">Subproceso de Modernización Institucional </w:t>
      </w:r>
    </w:p>
    <w:p w14:paraId="2FD51513" w14:textId="77777777" w:rsidR="00CB0EF2" w:rsidRPr="00584D49" w:rsidRDefault="00CB0EF2" w:rsidP="00CB0EF2">
      <w:pPr>
        <w:spacing w:line="276" w:lineRule="auto"/>
        <w:jc w:val="center"/>
        <w:rPr>
          <w:rFonts w:ascii="Book Antiqua" w:hAnsi="Book Antiqua"/>
          <w:b/>
          <w:bCs/>
          <w:i/>
          <w:sz w:val="36"/>
          <w:szCs w:val="36"/>
        </w:rPr>
      </w:pPr>
      <w:r w:rsidRPr="00584D49">
        <w:rPr>
          <w:rFonts w:ascii="Book Antiqua" w:hAnsi="Book Antiqua"/>
          <w:b/>
          <w:bCs/>
          <w:sz w:val="36"/>
          <w:szCs w:val="36"/>
        </w:rPr>
        <w:t xml:space="preserve">Proceso de Ejecuciones de la Operaciones </w:t>
      </w:r>
    </w:p>
    <w:p w14:paraId="1C964249" w14:textId="77777777" w:rsidR="00CB0EF2" w:rsidRPr="00584D49" w:rsidRDefault="00CB0EF2" w:rsidP="00CB0EF2">
      <w:pPr>
        <w:spacing w:line="276" w:lineRule="auto"/>
        <w:jc w:val="center"/>
        <w:rPr>
          <w:rFonts w:ascii="Book Antiqua" w:hAnsi="Book Antiqua"/>
          <w:b/>
          <w:bCs/>
          <w:i/>
          <w:sz w:val="36"/>
          <w:szCs w:val="36"/>
        </w:rPr>
      </w:pPr>
      <w:r w:rsidRPr="00584D49">
        <w:rPr>
          <w:rFonts w:ascii="Book Antiqua" w:hAnsi="Book Antiqua"/>
          <w:b/>
          <w:bCs/>
          <w:sz w:val="36"/>
          <w:szCs w:val="36"/>
        </w:rPr>
        <w:t>Dirección de Planificación</w:t>
      </w:r>
    </w:p>
    <w:p w14:paraId="4B79AFD4" w14:textId="77777777" w:rsidR="00CB0EF2" w:rsidRPr="00584D49" w:rsidRDefault="00CB0EF2" w:rsidP="00CB0EF2">
      <w:pPr>
        <w:spacing w:line="276" w:lineRule="auto"/>
        <w:rPr>
          <w:rFonts w:ascii="Book Antiqua" w:hAnsi="Book Antiqua"/>
          <w:sz w:val="32"/>
          <w:szCs w:val="32"/>
        </w:rPr>
      </w:pPr>
    </w:p>
    <w:p w14:paraId="5DC7FDCB" w14:textId="5CE9215F" w:rsidR="00101A76" w:rsidRDefault="00101A76" w:rsidP="00101A76">
      <w:pPr>
        <w:spacing w:line="276" w:lineRule="auto"/>
        <w:jc w:val="center"/>
        <w:rPr>
          <w:b/>
          <w:i/>
          <w:sz w:val="36"/>
          <w:szCs w:val="36"/>
        </w:rPr>
      </w:pPr>
      <w:r w:rsidRPr="00982DA9">
        <w:rPr>
          <w:b/>
          <w:i/>
          <w:sz w:val="36"/>
          <w:szCs w:val="36"/>
        </w:rPr>
        <w:t>Impacto organizacional y presupuestario en el Poder Judicial a partir de la promulgación del Código Procesal de Familia para el 202</w:t>
      </w:r>
      <w:r>
        <w:rPr>
          <w:b/>
          <w:i/>
          <w:sz w:val="36"/>
          <w:szCs w:val="36"/>
        </w:rPr>
        <w:t>3</w:t>
      </w:r>
    </w:p>
    <w:p w14:paraId="76B21991" w14:textId="4B775F50" w:rsidR="00AF327B" w:rsidRPr="00982DA9" w:rsidRDefault="00AF327B" w:rsidP="00101A76">
      <w:pPr>
        <w:spacing w:line="276" w:lineRule="auto"/>
        <w:jc w:val="center"/>
        <w:rPr>
          <w:b/>
          <w:i/>
          <w:sz w:val="36"/>
          <w:szCs w:val="36"/>
        </w:rPr>
      </w:pPr>
      <w:r>
        <w:rPr>
          <w:b/>
          <w:i/>
          <w:sz w:val="36"/>
          <w:szCs w:val="36"/>
        </w:rPr>
        <w:t>Aprobado en sesión extraordinaria (presupuesto) del Consejo Superior 36-2022 celebrada el 29 de abril de 2022, artículo XXI</w:t>
      </w:r>
      <w:r w:rsidR="000511A9">
        <w:rPr>
          <w:b/>
          <w:i/>
          <w:sz w:val="36"/>
          <w:szCs w:val="36"/>
        </w:rPr>
        <w:t xml:space="preserve"> y acuerdo</w:t>
      </w:r>
      <w:r w:rsidR="00025639">
        <w:rPr>
          <w:b/>
          <w:i/>
          <w:sz w:val="36"/>
          <w:szCs w:val="36"/>
        </w:rPr>
        <w:t>s</w:t>
      </w:r>
      <w:r w:rsidR="000511A9">
        <w:rPr>
          <w:b/>
          <w:i/>
          <w:sz w:val="36"/>
          <w:szCs w:val="36"/>
        </w:rPr>
        <w:t xml:space="preserve"> de la Corte Plena en sesión extraordinaria 25-2022 celebrada el 30 de mayo de 2022, artículo VIII</w:t>
      </w:r>
      <w:r w:rsidR="00025639">
        <w:rPr>
          <w:b/>
          <w:i/>
          <w:sz w:val="36"/>
          <w:szCs w:val="36"/>
        </w:rPr>
        <w:t>, sesión 27-2022 celebrada el 01 de junio de 2022, artículo II</w:t>
      </w:r>
    </w:p>
    <w:p w14:paraId="43AE4F11" w14:textId="77777777" w:rsidR="00CB0EF2" w:rsidRPr="00584D49" w:rsidRDefault="00CB0EF2" w:rsidP="00CB0EF2">
      <w:pPr>
        <w:spacing w:line="276" w:lineRule="auto"/>
        <w:jc w:val="center"/>
        <w:rPr>
          <w:rFonts w:ascii="Book Antiqua" w:hAnsi="Book Antiqua"/>
          <w:sz w:val="32"/>
          <w:szCs w:val="32"/>
        </w:rPr>
      </w:pPr>
    </w:p>
    <w:p w14:paraId="7E181EB3" w14:textId="4473F91F" w:rsidR="00CB0EF2" w:rsidRDefault="00CF71DD" w:rsidP="00CB0EF2">
      <w:pPr>
        <w:spacing w:line="276" w:lineRule="auto"/>
        <w:jc w:val="center"/>
        <w:rPr>
          <w:rFonts w:ascii="Book Antiqua" w:hAnsi="Book Antiqua"/>
          <w:sz w:val="32"/>
          <w:szCs w:val="32"/>
        </w:rPr>
      </w:pPr>
      <w:r>
        <w:rPr>
          <w:rFonts w:ascii="Book Antiqua" w:hAnsi="Book Antiqua"/>
          <w:sz w:val="32"/>
          <w:szCs w:val="32"/>
        </w:rPr>
        <w:t>Abril, 2022</w:t>
      </w:r>
    </w:p>
    <w:p w14:paraId="1AD4E3B1" w14:textId="77777777" w:rsidR="007E5453" w:rsidRPr="003E0D53" w:rsidRDefault="007E5453" w:rsidP="009E73B0">
      <w:pPr>
        <w:pStyle w:val="Ttulo1"/>
        <w:spacing w:before="120" w:after="120" w:line="276" w:lineRule="auto"/>
        <w:rPr>
          <w:szCs w:val="24"/>
        </w:rPr>
      </w:pPr>
      <w:bookmarkStart w:id="1" w:name="_Toc37670444"/>
      <w:r w:rsidRPr="003E0D53">
        <w:rPr>
          <w:szCs w:val="24"/>
        </w:rPr>
        <w:lastRenderedPageBreak/>
        <w:t>Antecedentes</w:t>
      </w:r>
      <w:bookmarkEnd w:id="1"/>
    </w:p>
    <w:p w14:paraId="2469BA09" w14:textId="77777777" w:rsidR="00101A76" w:rsidRPr="00101A76" w:rsidRDefault="00101A76" w:rsidP="00335C6E">
      <w:pPr>
        <w:pStyle w:val="Prrafodelista"/>
        <w:numPr>
          <w:ilvl w:val="1"/>
          <w:numId w:val="2"/>
        </w:numPr>
        <w:spacing w:line="276" w:lineRule="auto"/>
        <w:jc w:val="both"/>
        <w:rPr>
          <w:rFonts w:ascii="Book Antiqua" w:hAnsi="Book Antiqua"/>
          <w:sz w:val="24"/>
          <w:szCs w:val="24"/>
        </w:rPr>
      </w:pPr>
      <w:r w:rsidRPr="00101A76">
        <w:rPr>
          <w:rFonts w:ascii="Book Antiqua" w:hAnsi="Book Antiqua"/>
          <w:sz w:val="24"/>
          <w:szCs w:val="24"/>
        </w:rPr>
        <w:t>El “</w:t>
      </w:r>
      <w:r w:rsidRPr="001D0C10">
        <w:rPr>
          <w:rFonts w:ascii="Book Antiqua" w:hAnsi="Book Antiqua"/>
          <w:i/>
          <w:iCs/>
          <w:sz w:val="24"/>
          <w:szCs w:val="24"/>
        </w:rPr>
        <w:t>Código Procesal de Familia</w:t>
      </w:r>
      <w:r w:rsidRPr="00101A76">
        <w:rPr>
          <w:rFonts w:ascii="Book Antiqua" w:hAnsi="Book Antiqua"/>
          <w:sz w:val="24"/>
          <w:szCs w:val="24"/>
        </w:rPr>
        <w:t>” fue aprobado bajo Decreto Legislativo 9747 el 12 de febrero del 2020, según alcance 19 del Diario Oficial La Gaceta 28 del 23 de octubre de 2019 y rige a partir del 1 de octubre de 2022 de conformidad con la vacancia de 2 años aprobada por la Asamblea Legislativa, Ley 9904, publicada el 29 de setiembre del 2020 en el Diario Oficial La Gaceta 239,  alcance 257, la cual contiene un único artículo que modifica el Transitorio III de la Ley 9747 Código Procesal de Familia:</w:t>
      </w:r>
    </w:p>
    <w:p w14:paraId="0712B800" w14:textId="77777777" w:rsidR="00101A76" w:rsidRPr="00101A76" w:rsidRDefault="00101A76" w:rsidP="00101A76">
      <w:pPr>
        <w:pStyle w:val="Prrafodelista"/>
        <w:spacing w:line="276" w:lineRule="auto"/>
        <w:jc w:val="both"/>
        <w:rPr>
          <w:rFonts w:ascii="Book Antiqua" w:hAnsi="Book Antiqua"/>
          <w:sz w:val="24"/>
          <w:szCs w:val="24"/>
        </w:rPr>
      </w:pPr>
    </w:p>
    <w:p w14:paraId="74298B79" w14:textId="77777777" w:rsidR="00101A76" w:rsidRPr="001D0C10" w:rsidRDefault="00101A76" w:rsidP="001D0C10">
      <w:pPr>
        <w:pStyle w:val="Default"/>
        <w:tabs>
          <w:tab w:val="left" w:pos="1134"/>
        </w:tabs>
        <w:spacing w:line="276" w:lineRule="auto"/>
        <w:ind w:left="1134" w:right="616"/>
        <w:jc w:val="both"/>
        <w:rPr>
          <w:i/>
          <w:spacing w:val="-3"/>
          <w:sz w:val="22"/>
          <w:szCs w:val="22"/>
        </w:rPr>
      </w:pPr>
      <w:r w:rsidRPr="001D0C10">
        <w:rPr>
          <w:i/>
          <w:spacing w:val="-3"/>
          <w:sz w:val="22"/>
          <w:szCs w:val="22"/>
        </w:rPr>
        <w:t>“ARTÍCULO ÚNICO de la Ley 9904- Para que se modifique la fecha de entrada en vigencia de la Ley N°9747 Código Procesal de Familia, del 23 de octubre de 2019 y se lea de la siguiente manera:</w:t>
      </w:r>
    </w:p>
    <w:p w14:paraId="78D898FD" w14:textId="77777777" w:rsidR="00101A76" w:rsidRPr="00101A76" w:rsidRDefault="00101A76" w:rsidP="00101A76">
      <w:pPr>
        <w:pStyle w:val="Prrafodelista"/>
        <w:spacing w:line="276" w:lineRule="auto"/>
        <w:jc w:val="both"/>
        <w:rPr>
          <w:rFonts w:ascii="Book Antiqua" w:hAnsi="Book Antiqua"/>
          <w:sz w:val="24"/>
          <w:szCs w:val="24"/>
        </w:rPr>
      </w:pPr>
    </w:p>
    <w:p w14:paraId="287221D1" w14:textId="2656BE88" w:rsidR="00101A76" w:rsidRPr="001D0C10" w:rsidRDefault="00101A76" w:rsidP="001D0C10">
      <w:pPr>
        <w:spacing w:line="276" w:lineRule="auto"/>
        <w:jc w:val="both"/>
        <w:rPr>
          <w:rFonts w:ascii="Book Antiqua" w:hAnsi="Book Antiqua"/>
          <w:sz w:val="24"/>
          <w:szCs w:val="24"/>
        </w:rPr>
      </w:pPr>
      <w:r w:rsidRPr="001D0C10">
        <w:rPr>
          <w:rFonts w:ascii="Book Antiqua" w:hAnsi="Book Antiqua"/>
          <w:sz w:val="24"/>
          <w:szCs w:val="24"/>
        </w:rPr>
        <w:t>Este Código regirá en su integridad a partir del 01 de octubre de 2022. Se mantiene en vigencia el Transitorio III, como lo dispone la Ley N°9747 Código Procesal de Familia, del 23 de octubre de 2019”.</w:t>
      </w:r>
    </w:p>
    <w:p w14:paraId="198C11D2" w14:textId="5132ADF9" w:rsidR="00A65874" w:rsidRPr="001D0C10" w:rsidRDefault="00101A76" w:rsidP="001D0C10">
      <w:pPr>
        <w:spacing w:line="276" w:lineRule="auto"/>
        <w:jc w:val="both"/>
        <w:rPr>
          <w:rFonts w:ascii="Book Antiqua" w:hAnsi="Book Antiqua"/>
          <w:sz w:val="24"/>
          <w:szCs w:val="24"/>
        </w:rPr>
      </w:pPr>
      <w:r w:rsidRPr="001D0C10">
        <w:rPr>
          <w:rFonts w:ascii="Book Antiqua" w:hAnsi="Book Antiqua"/>
          <w:sz w:val="24"/>
          <w:szCs w:val="24"/>
        </w:rPr>
        <w:t>A continuación, se mencionan los informes o documentos utilizados como antecedentes en la confección del presente informe:</w:t>
      </w:r>
    </w:p>
    <w:p w14:paraId="2841BF8B" w14:textId="585CA7B9" w:rsidR="00A56B86" w:rsidRPr="00A56B86" w:rsidRDefault="00A56B86" w:rsidP="001D0C10">
      <w:pPr>
        <w:spacing w:line="276" w:lineRule="auto"/>
        <w:jc w:val="both"/>
        <w:rPr>
          <w:shd w:val="clear" w:color="auto" w:fill="FFFFFF"/>
          <w:lang w:eastAsia="ar-SA"/>
        </w:rPr>
      </w:pPr>
      <w:r w:rsidRPr="00A56B86">
        <w:rPr>
          <w:rFonts w:ascii="Book Antiqua" w:hAnsi="Book Antiqua"/>
          <w:sz w:val="24"/>
          <w:szCs w:val="24"/>
        </w:rPr>
        <w:t>Oficio 1554-PLA-2014, que remite el informe 87-PI-2014, aprobado por el Consejo Superior en la sesión 56-14 del 1 de diciembre de 2014, artículo XXXII, en el que se acordó:</w:t>
      </w:r>
    </w:p>
    <w:p w14:paraId="7D5DF48F" w14:textId="759B4204" w:rsidR="00A56B86" w:rsidRPr="00A56B86" w:rsidRDefault="00017967" w:rsidP="001D0C10">
      <w:pPr>
        <w:pStyle w:val="Prrafodelista"/>
        <w:widowControl w:val="0"/>
        <w:tabs>
          <w:tab w:val="left" w:pos="993"/>
        </w:tabs>
        <w:autoSpaceDE w:val="0"/>
        <w:autoSpaceDN w:val="0"/>
        <w:adjustRightInd w:val="0"/>
        <w:spacing w:after="0" w:line="276" w:lineRule="auto"/>
        <w:ind w:left="567" w:right="616"/>
        <w:jc w:val="both"/>
        <w:rPr>
          <w:rFonts w:ascii="Book Antiqua" w:eastAsia="Times New Roman" w:hAnsi="Book Antiqua" w:cs="Times New Roman"/>
          <w:i/>
          <w:iCs/>
          <w:sz w:val="24"/>
          <w:szCs w:val="24"/>
          <w:shd w:val="clear" w:color="auto" w:fill="FFFFFF"/>
          <w:lang w:eastAsia="ar-SA"/>
        </w:rPr>
      </w:pPr>
      <w:r>
        <w:rPr>
          <w:rFonts w:ascii="Book Antiqua" w:eastAsia="Times New Roman" w:hAnsi="Book Antiqua" w:cs="Times New Roman"/>
          <w:i/>
          <w:iCs/>
          <w:sz w:val="24"/>
          <w:szCs w:val="24"/>
          <w:shd w:val="clear" w:color="auto" w:fill="FFFFFF"/>
          <w:lang w:eastAsia="ar-SA"/>
        </w:rPr>
        <w:t>“1)</w:t>
      </w:r>
      <w:r w:rsidR="00A56B86" w:rsidRPr="00A56B86">
        <w:rPr>
          <w:rFonts w:ascii="Book Antiqua" w:eastAsia="Times New Roman" w:hAnsi="Book Antiqua" w:cs="Times New Roman"/>
          <w:i/>
          <w:iCs/>
          <w:sz w:val="24"/>
          <w:szCs w:val="24"/>
          <w:shd w:val="clear" w:color="auto" w:fill="FFFFFF"/>
          <w:lang w:eastAsia="ar-SA"/>
        </w:rPr>
        <w:t>Aprobar el informe 87-PI-2014 elaborado por la Sección de Proyección Institucional de la Dirección de Planificación, relacionado con el “Proyecto de Rediseño de Procesos del Segundo Circuito Judicial de Alajuela a través de Nuevas Tecnologías y Moderna Gestión”, en consecuencia, esa Dirección realizará un seguimiento en abril de 2015 de los indicadores de cada despacho u oficina, y de las acciones emprendidas, con el fin de verificar los resultados que se estén dando desde lo interno del propio circuito, y su impacto en el servicio. 2.) Disponer que se proceda a replicar la experiencia en los circuitos judiciales de Cartago, Segundo de San José y Primero de Alajuela, en ese orden, conforme estudios que anteriormente presentó la Dirección de Planificación”.</w:t>
      </w:r>
    </w:p>
    <w:p w14:paraId="187C1394" w14:textId="77777777" w:rsidR="00A56B86" w:rsidRPr="00982DA9" w:rsidRDefault="00A56B86" w:rsidP="00A56B86">
      <w:pPr>
        <w:spacing w:line="276" w:lineRule="auto"/>
        <w:rPr>
          <w:sz w:val="24"/>
          <w:szCs w:val="24"/>
        </w:rPr>
      </w:pPr>
    </w:p>
    <w:p w14:paraId="6B07D188" w14:textId="3CEBB119" w:rsidR="00A56B86" w:rsidRDefault="00A56B86" w:rsidP="00A56B86">
      <w:pPr>
        <w:spacing w:line="276" w:lineRule="auto"/>
        <w:jc w:val="both"/>
        <w:rPr>
          <w:rFonts w:ascii="Book Antiqua" w:hAnsi="Book Antiqua"/>
          <w:sz w:val="24"/>
          <w:szCs w:val="24"/>
        </w:rPr>
      </w:pPr>
      <w:r w:rsidRPr="00A56B86">
        <w:rPr>
          <w:rFonts w:ascii="Book Antiqua" w:hAnsi="Book Antiqua"/>
          <w:sz w:val="24"/>
          <w:szCs w:val="24"/>
        </w:rPr>
        <w:lastRenderedPageBreak/>
        <w:t xml:space="preserve">Oficio 1259-PLA-2016 que remite el informe 125-PI-2016, relacionado con el “Plan de Trabajo para el Desarrollo del Proyecto de Rediseño de los Despachos Judiciales del Circuito Judicial de Cartago, a través de nuevas tecnologías y moderna gestión”, aprobado por el Consejo Superior en la sesión 80-16 del 24 de agosto de 2016, artículo XXXIV, en el que se acordó: </w:t>
      </w:r>
    </w:p>
    <w:p w14:paraId="41385DE8" w14:textId="77777777" w:rsidR="00D433A5" w:rsidRDefault="00D433A5" w:rsidP="00A56B86">
      <w:pPr>
        <w:spacing w:after="0" w:line="276" w:lineRule="auto"/>
        <w:jc w:val="both"/>
        <w:rPr>
          <w:rFonts w:ascii="Book Antiqua" w:hAnsi="Book Antiqua"/>
          <w:sz w:val="24"/>
          <w:szCs w:val="24"/>
        </w:rPr>
      </w:pPr>
    </w:p>
    <w:p w14:paraId="36279D79" w14:textId="2363A832" w:rsidR="00A56B86" w:rsidRDefault="00A56B86" w:rsidP="00A56B86">
      <w:pPr>
        <w:spacing w:after="0" w:line="276" w:lineRule="auto"/>
        <w:jc w:val="both"/>
        <w:rPr>
          <w:rFonts w:ascii="Book Antiqua" w:hAnsi="Book Antiqua"/>
          <w:sz w:val="24"/>
          <w:szCs w:val="24"/>
        </w:rPr>
      </w:pPr>
      <w:r w:rsidRPr="00A56B86">
        <w:rPr>
          <w:rFonts w:ascii="Book Antiqua" w:hAnsi="Book Antiqua"/>
          <w:sz w:val="24"/>
          <w:szCs w:val="24"/>
        </w:rPr>
        <w:t>Oficio 1981-PLA-2016, que remite el informe 190-PI-2016-B, relacionado con el “</w:t>
      </w:r>
      <w:r w:rsidRPr="001D0C10">
        <w:rPr>
          <w:rFonts w:ascii="Book Antiqua" w:hAnsi="Book Antiqua"/>
          <w:i/>
          <w:iCs/>
          <w:sz w:val="24"/>
          <w:szCs w:val="24"/>
        </w:rPr>
        <w:t>Modelo de sostenibilidad de los proyectos de rediseños de oficinas, así como el resultado del seguimiento que se realizó al Circuito Judicial de San Carlos”</w:t>
      </w:r>
      <w:r w:rsidRPr="00A56B86">
        <w:rPr>
          <w:rFonts w:ascii="Book Antiqua" w:hAnsi="Book Antiqua"/>
          <w:sz w:val="24"/>
          <w:szCs w:val="24"/>
        </w:rPr>
        <w:t xml:space="preserve"> aprobado por el Consejo Superior en la sesión 107-16 del 29 de noviembre de 2016, artículo XLIX, en el que se acordó: </w:t>
      </w:r>
    </w:p>
    <w:p w14:paraId="42BCB3A9" w14:textId="77777777" w:rsidR="0038397A" w:rsidRPr="00A56B86" w:rsidRDefault="0038397A" w:rsidP="00A56B86">
      <w:pPr>
        <w:spacing w:after="0" w:line="276" w:lineRule="auto"/>
        <w:jc w:val="both"/>
        <w:rPr>
          <w:rFonts w:ascii="Book Antiqua" w:hAnsi="Book Antiqua"/>
          <w:sz w:val="24"/>
          <w:szCs w:val="24"/>
        </w:rPr>
      </w:pPr>
    </w:p>
    <w:p w14:paraId="28D0F224" w14:textId="08A270E9" w:rsidR="00A56B86" w:rsidRDefault="00A56B86" w:rsidP="00A56B86">
      <w:pPr>
        <w:pStyle w:val="Prrafodelista"/>
        <w:spacing w:line="276" w:lineRule="auto"/>
        <w:ind w:left="0"/>
        <w:jc w:val="center"/>
        <w:rPr>
          <w:rFonts w:ascii="Book Antiqua" w:eastAsia="Times New Roman" w:hAnsi="Book Antiqua" w:cs="Times New Roman"/>
          <w:b/>
          <w:bCs/>
          <w:i/>
          <w:iCs/>
          <w:sz w:val="24"/>
          <w:szCs w:val="24"/>
          <w:shd w:val="clear" w:color="auto" w:fill="FFFFFF"/>
          <w:lang w:eastAsia="ar-SA"/>
        </w:rPr>
      </w:pPr>
      <w:r w:rsidRPr="00A56B86">
        <w:rPr>
          <w:rFonts w:ascii="Book Antiqua" w:eastAsia="Times New Roman" w:hAnsi="Book Antiqua" w:cs="Times New Roman"/>
          <w:b/>
          <w:bCs/>
          <w:i/>
          <w:iCs/>
          <w:sz w:val="24"/>
          <w:szCs w:val="24"/>
          <w:shd w:val="clear" w:color="auto" w:fill="FFFFFF"/>
          <w:lang w:eastAsia="ar-SA"/>
        </w:rPr>
        <w:t>“Tener por rendido el informe”.</w:t>
      </w:r>
    </w:p>
    <w:p w14:paraId="0A095723" w14:textId="77777777" w:rsidR="00D433A5" w:rsidRDefault="00D433A5" w:rsidP="00A56B86">
      <w:pPr>
        <w:widowControl w:val="0"/>
        <w:suppressAutoHyphens/>
        <w:autoSpaceDE w:val="0"/>
        <w:autoSpaceDN w:val="0"/>
        <w:adjustRightInd w:val="0"/>
        <w:spacing w:line="276" w:lineRule="auto"/>
        <w:jc w:val="both"/>
        <w:rPr>
          <w:rFonts w:ascii="Book Antiqua" w:hAnsi="Book Antiqua"/>
          <w:sz w:val="24"/>
          <w:szCs w:val="24"/>
        </w:rPr>
      </w:pPr>
    </w:p>
    <w:p w14:paraId="002D544D" w14:textId="55A3DAAF" w:rsidR="00A56B86" w:rsidRPr="00A56B86" w:rsidRDefault="00A56B86" w:rsidP="00A56B86">
      <w:pPr>
        <w:widowControl w:val="0"/>
        <w:suppressAutoHyphens/>
        <w:autoSpaceDE w:val="0"/>
        <w:autoSpaceDN w:val="0"/>
        <w:adjustRightInd w:val="0"/>
        <w:spacing w:line="276" w:lineRule="auto"/>
        <w:jc w:val="both"/>
        <w:rPr>
          <w:rFonts w:ascii="Book Antiqua" w:hAnsi="Book Antiqua"/>
          <w:sz w:val="24"/>
          <w:szCs w:val="24"/>
        </w:rPr>
      </w:pPr>
      <w:r w:rsidRPr="00A56B86">
        <w:rPr>
          <w:rFonts w:ascii="Book Antiqua" w:hAnsi="Book Antiqua"/>
          <w:sz w:val="24"/>
          <w:szCs w:val="24"/>
        </w:rPr>
        <w:t xml:space="preserve">Oficio 34-PLA-EV-2017, relacionado con el Impacto organizacional y presupuestario para el Poder Judicial con el Código Procesal de Familia, específicamente sobre las prioridades presupuestarias para el ejercicio económico del 2018 y el impacto del CPF. Conocido por el Consejo Superior en sesión extraordinaria de presupuesto 43-17, del 5 de mayo del 2017, artículo </w:t>
      </w:r>
      <w:r w:rsidRPr="0038397A">
        <w:rPr>
          <w:rFonts w:ascii="Book Antiqua" w:hAnsi="Book Antiqua"/>
          <w:sz w:val="24"/>
          <w:szCs w:val="24"/>
        </w:rPr>
        <w:t>XX</w:t>
      </w:r>
      <w:r w:rsidRPr="00A56B86">
        <w:rPr>
          <w:rFonts w:ascii="Book Antiqua" w:hAnsi="Book Antiqua"/>
          <w:sz w:val="24"/>
          <w:szCs w:val="24"/>
        </w:rPr>
        <w:t>IV y por Corte Plena en sesión 16-2017, del 1 de junio del 2017, artículo II</w:t>
      </w:r>
      <w:r w:rsidR="00E31D45">
        <w:rPr>
          <w:rFonts w:ascii="Book Antiqua" w:hAnsi="Book Antiqua"/>
          <w:sz w:val="24"/>
          <w:szCs w:val="24"/>
        </w:rPr>
        <w:t>.</w:t>
      </w:r>
    </w:p>
    <w:p w14:paraId="512AFABF" w14:textId="77777777" w:rsidR="00A56B86" w:rsidRPr="00E31D45" w:rsidRDefault="00A56B86" w:rsidP="00A56B86">
      <w:pPr>
        <w:widowControl w:val="0"/>
        <w:suppressAutoHyphens/>
        <w:autoSpaceDE w:val="0"/>
        <w:autoSpaceDN w:val="0"/>
        <w:adjustRightInd w:val="0"/>
        <w:spacing w:line="276" w:lineRule="auto"/>
        <w:jc w:val="both"/>
        <w:rPr>
          <w:rFonts w:ascii="Book Antiqua" w:hAnsi="Book Antiqua"/>
          <w:sz w:val="24"/>
          <w:szCs w:val="24"/>
        </w:rPr>
      </w:pPr>
      <w:r w:rsidRPr="00A56B86">
        <w:rPr>
          <w:rFonts w:ascii="Book Antiqua" w:hAnsi="Book Antiqua"/>
          <w:sz w:val="24"/>
          <w:szCs w:val="24"/>
        </w:rPr>
        <w:t>En el 2018, se elaboró un estudio preliminar y actualización del informe 34-PLA-EV-2017 para presupuesto 2019 (33-PLA-EV-2018), relacionado con “el Impacto Organizacional y</w:t>
      </w:r>
      <w:r w:rsidRPr="00E31D45">
        <w:rPr>
          <w:rFonts w:ascii="Book Antiqua" w:hAnsi="Book Antiqua"/>
          <w:sz w:val="24"/>
          <w:szCs w:val="24"/>
        </w:rPr>
        <w:t xml:space="preserve"> Presupuestario en el Poder Judicial en caso de aprobarse el proyecto de Ley denominado Código Procesal de Familia”, aprobado por Consejo Superior en sesión 34-18 de 25 de abril de 2018, artículo IV y modificado en sesión 42-18 del 15 de mayo 2018, artículos VII, XII, XIII, XIV. Sin embargo, en ese momento al no considerarse como Ley aprobada, la Corte Plena dispuso no incluir recursos como parte del anteproyecto de presupuesto del Poder Judicial para el 2018.</w:t>
      </w:r>
    </w:p>
    <w:p w14:paraId="395F8641" w14:textId="55FC673C" w:rsidR="00A56B86" w:rsidRDefault="00A56B86" w:rsidP="00E31D45">
      <w:pPr>
        <w:pStyle w:val="Prrafodelista"/>
        <w:spacing w:line="276" w:lineRule="auto"/>
        <w:ind w:left="0"/>
        <w:jc w:val="both"/>
        <w:rPr>
          <w:rFonts w:ascii="Book Antiqua" w:hAnsi="Book Antiqua"/>
          <w:sz w:val="24"/>
          <w:szCs w:val="24"/>
        </w:rPr>
      </w:pPr>
      <w:r w:rsidRPr="00E31D45">
        <w:rPr>
          <w:rFonts w:ascii="Book Antiqua" w:hAnsi="Book Antiqua"/>
          <w:sz w:val="24"/>
          <w:szCs w:val="24"/>
        </w:rPr>
        <w:t>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w:t>
      </w:r>
      <w:r w:rsidR="00E31D45">
        <w:rPr>
          <w:rFonts w:ascii="Book Antiqua" w:hAnsi="Book Antiqua"/>
          <w:sz w:val="24"/>
          <w:szCs w:val="24"/>
        </w:rPr>
        <w:t>:</w:t>
      </w:r>
    </w:p>
    <w:p w14:paraId="589FDA66" w14:textId="23A4B26C" w:rsidR="00E31D45" w:rsidRDefault="00E31D45" w:rsidP="00E31D45">
      <w:pPr>
        <w:spacing w:after="0" w:line="276" w:lineRule="auto"/>
        <w:ind w:left="567" w:right="616"/>
        <w:jc w:val="both"/>
        <w:rPr>
          <w:rFonts w:ascii="Book Antiqua" w:hAnsi="Book Antiqua"/>
          <w:i/>
          <w:iCs/>
          <w:sz w:val="24"/>
          <w:szCs w:val="24"/>
        </w:rPr>
      </w:pPr>
      <w:r w:rsidRPr="001D0C10">
        <w:rPr>
          <w:rFonts w:ascii="Book Antiqua" w:hAnsi="Book Antiqua"/>
          <w:i/>
          <w:iCs/>
        </w:rPr>
        <w:lastRenderedPageBreak/>
        <w:t xml:space="preserve">“(…) Es importante señalar que estos datos no incorporan los requerimientos asociados a las nuevas obligaciones impuestas por la Asamblea Legislativa por aprobación de leyes, los cuales será necesario solicitar ante el </w:t>
      </w:r>
      <w:r w:rsidRPr="00E31D45">
        <w:rPr>
          <w:rFonts w:ascii="Book Antiqua" w:hAnsi="Book Antiqua"/>
          <w:i/>
          <w:iCs/>
          <w:sz w:val="24"/>
          <w:szCs w:val="24"/>
        </w:rPr>
        <w:t>Ministerio de Hacienda de forma complementaria al presupuesto ordinario.”.</w:t>
      </w:r>
    </w:p>
    <w:p w14:paraId="005DA42B" w14:textId="77777777" w:rsidR="00A46DDD" w:rsidRPr="00E31D45" w:rsidRDefault="00A46DDD" w:rsidP="00E31D45">
      <w:pPr>
        <w:spacing w:after="0" w:line="276" w:lineRule="auto"/>
        <w:ind w:left="567" w:right="616"/>
        <w:jc w:val="both"/>
        <w:rPr>
          <w:rFonts w:ascii="Book Antiqua" w:hAnsi="Book Antiqua"/>
          <w:i/>
          <w:iCs/>
          <w:sz w:val="24"/>
          <w:szCs w:val="24"/>
        </w:rPr>
      </w:pPr>
    </w:p>
    <w:p w14:paraId="25DCB92F" w14:textId="77777777" w:rsidR="00E31D45" w:rsidRPr="00E31D45" w:rsidRDefault="00E31D45" w:rsidP="00E31D45">
      <w:pPr>
        <w:spacing w:line="276" w:lineRule="auto"/>
        <w:jc w:val="both"/>
        <w:rPr>
          <w:rFonts w:ascii="Book Antiqua" w:hAnsi="Book Antiqua"/>
          <w:sz w:val="24"/>
          <w:szCs w:val="24"/>
        </w:rPr>
      </w:pPr>
      <w:r w:rsidRPr="00E31D45">
        <w:rPr>
          <w:rFonts w:ascii="Book Antiqua" w:hAnsi="Book Antiqua"/>
          <w:sz w:val="24"/>
          <w:szCs w:val="24"/>
        </w:rPr>
        <w:t xml:space="preserve">En el oficio DM-0945-2019, de fecha 11 de junio del 2019, la señora Ministra de Hacienda y en alusión a lo indicado en el oficio 101-P-2019, comunica al presidente de la Corte Suprema de Justicia: </w:t>
      </w:r>
    </w:p>
    <w:p w14:paraId="173BA4B0" w14:textId="77777777" w:rsidR="00E31D45" w:rsidRPr="001D0C10" w:rsidRDefault="00E31D45" w:rsidP="00E31D45">
      <w:pPr>
        <w:spacing w:after="0" w:line="276" w:lineRule="auto"/>
        <w:ind w:left="567" w:right="616"/>
        <w:jc w:val="both"/>
        <w:rPr>
          <w:rFonts w:ascii="Book Antiqua" w:hAnsi="Book Antiqua"/>
          <w:i/>
          <w:iCs/>
        </w:rPr>
      </w:pPr>
      <w:r w:rsidRPr="001D0C10">
        <w:rPr>
          <w:rFonts w:ascii="Book Antiqua" w:hAnsi="Book Antiqua"/>
          <w:i/>
          <w:iCs/>
        </w:rPr>
        <w:t>“(…) Finalmente, en relación con las solicitudes complementarias al Anteproyecto de presupuesto de la institución a que se hace alusión en su oficio, le informo que el cumplimiento de la regla fiscal no da espacio para el financiamiento de nuevos gastos.”.</w:t>
      </w:r>
    </w:p>
    <w:p w14:paraId="76934FAB" w14:textId="77777777" w:rsidR="00E32D1D" w:rsidRDefault="00E32D1D" w:rsidP="00E31D45">
      <w:pPr>
        <w:spacing w:line="276" w:lineRule="auto"/>
        <w:jc w:val="both"/>
        <w:rPr>
          <w:rFonts w:ascii="Book Antiqua" w:hAnsi="Book Antiqua"/>
          <w:sz w:val="24"/>
          <w:szCs w:val="24"/>
        </w:rPr>
      </w:pPr>
    </w:p>
    <w:p w14:paraId="692A869B" w14:textId="250F0C94" w:rsidR="00E31D45" w:rsidRPr="00E31D45" w:rsidRDefault="00E31D45" w:rsidP="00E31D45">
      <w:pPr>
        <w:spacing w:line="276" w:lineRule="auto"/>
        <w:jc w:val="both"/>
        <w:rPr>
          <w:rFonts w:ascii="Book Antiqua" w:hAnsi="Book Antiqua"/>
          <w:sz w:val="24"/>
          <w:szCs w:val="24"/>
        </w:rPr>
      </w:pPr>
      <w:r w:rsidRPr="00E31D45">
        <w:rPr>
          <w:rFonts w:ascii="Book Antiqua" w:hAnsi="Book Antiqua"/>
          <w:sz w:val="24"/>
          <w:szCs w:val="24"/>
        </w:rPr>
        <w:t>En el oficio 118-P-2019 del 14 de junio de 2019, el presidente de la Corte solicitó a la Ministra de Hacienda valorar la posibilidad de contar con financiamiento adicional al gasto ordinario para atender esta y cinco nuevas obligaciones más encomendadas por la Asamblea Legislativa.</w:t>
      </w:r>
    </w:p>
    <w:p w14:paraId="0ABE19DA" w14:textId="516BE217" w:rsidR="00E31D45" w:rsidRDefault="00E31D45" w:rsidP="001E4D82">
      <w:pPr>
        <w:spacing w:line="276" w:lineRule="auto"/>
        <w:jc w:val="both"/>
        <w:rPr>
          <w:rFonts w:ascii="Book Antiqua" w:hAnsi="Book Antiqua"/>
          <w:sz w:val="24"/>
          <w:szCs w:val="24"/>
        </w:rPr>
      </w:pPr>
      <w:r w:rsidRPr="00E31D45">
        <w:rPr>
          <w:rFonts w:ascii="Book Antiqua" w:hAnsi="Book Antiqua"/>
          <w:sz w:val="24"/>
          <w:szCs w:val="24"/>
        </w:rPr>
        <w:t xml:space="preserve">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 </w:t>
      </w:r>
    </w:p>
    <w:p w14:paraId="0BCDBE2B" w14:textId="77777777" w:rsidR="001E4D82" w:rsidRPr="001D0C10" w:rsidRDefault="001E4D82" w:rsidP="001E4D82">
      <w:pPr>
        <w:spacing w:after="0" w:line="276" w:lineRule="auto"/>
        <w:ind w:left="567" w:right="616"/>
        <w:jc w:val="both"/>
        <w:rPr>
          <w:rFonts w:ascii="Book Antiqua" w:hAnsi="Book Antiqua"/>
          <w:i/>
          <w:iCs/>
        </w:rPr>
      </w:pPr>
      <w:r w:rsidRPr="001D0C10">
        <w:rPr>
          <w:rFonts w:ascii="Book Antiqua" w:hAnsi="Book Antiqua"/>
          <w:i/>
          <w:iCs/>
        </w:rPr>
        <w:t>“(…) No fueron incorporados por el Ministerio de Hacienda al presupuesto ordinario, ni tampoco se remitieron como requerimiento adicional a la Asamblea Legislativa.”.</w:t>
      </w:r>
    </w:p>
    <w:p w14:paraId="34ABB239" w14:textId="77777777" w:rsidR="00792D9B" w:rsidRDefault="00792D9B" w:rsidP="001E4D82">
      <w:pPr>
        <w:spacing w:line="276" w:lineRule="auto"/>
        <w:jc w:val="both"/>
        <w:rPr>
          <w:rFonts w:ascii="Book Antiqua" w:hAnsi="Book Antiqua"/>
          <w:sz w:val="24"/>
          <w:szCs w:val="24"/>
        </w:rPr>
      </w:pPr>
    </w:p>
    <w:p w14:paraId="371C0FAF" w14:textId="00757239" w:rsidR="001E4D82" w:rsidRPr="001E4D82" w:rsidRDefault="001E4D82" w:rsidP="001E4D82">
      <w:pPr>
        <w:spacing w:line="276" w:lineRule="auto"/>
        <w:jc w:val="both"/>
        <w:rPr>
          <w:rFonts w:ascii="Book Antiqua" w:hAnsi="Book Antiqua"/>
          <w:sz w:val="24"/>
          <w:szCs w:val="24"/>
        </w:rPr>
      </w:pPr>
      <w:r w:rsidRPr="001E4D82">
        <w:rPr>
          <w:rFonts w:ascii="Book Antiqua" w:hAnsi="Book Antiqua"/>
          <w:sz w:val="24"/>
          <w:szCs w:val="24"/>
        </w:rPr>
        <w:t>El oficio mencionado anteriormente fue conocido por Corte Plena en sesión 41-2019, de fecha 30 de setiembre de 2019, artículo XV.</w:t>
      </w:r>
    </w:p>
    <w:p w14:paraId="383673CC" w14:textId="684BD48E" w:rsidR="001E4D82" w:rsidRPr="001E4D82" w:rsidRDefault="001E4D82" w:rsidP="001E4D82">
      <w:pPr>
        <w:spacing w:line="276" w:lineRule="auto"/>
        <w:jc w:val="both"/>
        <w:rPr>
          <w:rFonts w:ascii="Book Antiqua" w:hAnsi="Book Antiqua"/>
          <w:sz w:val="24"/>
          <w:szCs w:val="24"/>
        </w:rPr>
      </w:pPr>
      <w:r w:rsidRPr="001E4D82">
        <w:rPr>
          <w:rFonts w:ascii="Book Antiqua" w:hAnsi="Book Antiqua"/>
          <w:sz w:val="24"/>
          <w:szCs w:val="24"/>
        </w:rPr>
        <w:t xml:space="preserve">De acuerdo con la Ley 9791 Presupuesto Ordinario y Extraordinario de la República para el ejercicio económico del 2020, aprobada por la Asamblea Legislativa, se comprobó que los recursos para la Ley 9593 de Acceso a la Justicia a Pueblos Indígenas no fueron incorporados durante la etapa de análisis y discusión por parte de la Asamblea Legislativa, esto según informe 1932-PLA-PP-2019 relacionado con el seguimiento realizado al Expediente 21.568 “Ley de Presupuesto Ordinario y </w:t>
      </w:r>
      <w:r w:rsidRPr="001E4D82">
        <w:rPr>
          <w:rFonts w:ascii="Book Antiqua" w:hAnsi="Book Antiqua"/>
          <w:sz w:val="24"/>
          <w:szCs w:val="24"/>
        </w:rPr>
        <w:lastRenderedPageBreak/>
        <w:t>Extraordinario de la República para el Ejercicio Económic</w:t>
      </w:r>
      <w:r>
        <w:rPr>
          <w:rFonts w:ascii="Book Antiqua" w:hAnsi="Book Antiqua"/>
          <w:sz w:val="24"/>
          <w:szCs w:val="24"/>
        </w:rPr>
        <w:t>o</w:t>
      </w:r>
      <w:r w:rsidRPr="001E4D82">
        <w:rPr>
          <w:rFonts w:ascii="Book Antiqua" w:hAnsi="Book Antiqua"/>
          <w:sz w:val="24"/>
          <w:szCs w:val="24"/>
        </w:rPr>
        <w:t xml:space="preserve"> del 2020” en la Comisión de Asuntos Hacendarios.</w:t>
      </w:r>
    </w:p>
    <w:p w14:paraId="4A926D89" w14:textId="0D41544F" w:rsidR="001E4D82" w:rsidRPr="001E4D82" w:rsidRDefault="001E4D82" w:rsidP="001E4D82">
      <w:pPr>
        <w:spacing w:line="276" w:lineRule="auto"/>
        <w:jc w:val="both"/>
        <w:rPr>
          <w:rFonts w:ascii="Book Antiqua" w:hAnsi="Book Antiqua"/>
          <w:sz w:val="24"/>
          <w:szCs w:val="24"/>
        </w:rPr>
      </w:pPr>
      <w:r w:rsidRPr="001E4D82">
        <w:rPr>
          <w:rFonts w:ascii="Book Antiqua" w:hAnsi="Book Antiqua"/>
          <w:sz w:val="24"/>
          <w:szCs w:val="24"/>
        </w:rPr>
        <w:t xml:space="preserve">Mediante el informe 1285-PLA-2019, del 16 de agosto de 2019, la Dirección de Planificación modifica las estimaciones del impacto presupuestario que tendría la implementación del proyecto de Ley del Código Procesal de Familia, que se tramita en el expediente 19.455 de la Asamblea Legislativa. Este nuevo planteamiento difiere del presentado en su momento ante la Comisión de Asuntos Jurídicos en el 2017, propiamente en cuanto a la exclusión de 33 plazas de Defensora y Defensor Público (con un costo asociado de </w:t>
      </w:r>
      <w:r w:rsidRPr="001E4D82">
        <w:rPr>
          <w:rFonts w:ascii="Times New Roman" w:hAnsi="Times New Roman" w:cs="Times New Roman"/>
          <w:sz w:val="24"/>
          <w:szCs w:val="24"/>
        </w:rPr>
        <w:t>₡</w:t>
      </w:r>
      <w:r w:rsidRPr="001E4D82">
        <w:rPr>
          <w:rFonts w:ascii="Book Antiqua" w:hAnsi="Book Antiqua"/>
          <w:sz w:val="24"/>
          <w:szCs w:val="24"/>
        </w:rPr>
        <w:t>1.784.673.000), que se requer</w:t>
      </w:r>
      <w:r w:rsidRPr="001E4D82">
        <w:rPr>
          <w:rFonts w:ascii="Book Antiqua" w:hAnsi="Book Antiqua" w:cs="Book Antiqua"/>
          <w:sz w:val="24"/>
          <w:szCs w:val="24"/>
        </w:rPr>
        <w:t>í</w:t>
      </w:r>
      <w:r w:rsidRPr="001E4D82">
        <w:rPr>
          <w:rFonts w:ascii="Book Antiqua" w:hAnsi="Book Antiqua"/>
          <w:sz w:val="24"/>
          <w:szCs w:val="24"/>
        </w:rPr>
        <w:t>an para dar cobertura nacional a la atenci</w:t>
      </w:r>
      <w:r w:rsidRPr="001E4D82">
        <w:rPr>
          <w:rFonts w:ascii="Book Antiqua" w:hAnsi="Book Antiqua" w:cs="Book Antiqua"/>
          <w:sz w:val="24"/>
          <w:szCs w:val="24"/>
        </w:rPr>
        <w:t>ó</w:t>
      </w:r>
      <w:r w:rsidRPr="001E4D82">
        <w:rPr>
          <w:rFonts w:ascii="Book Antiqua" w:hAnsi="Book Antiqua"/>
          <w:sz w:val="24"/>
          <w:szCs w:val="24"/>
        </w:rPr>
        <w:t>n en pensi</w:t>
      </w:r>
      <w:r w:rsidRPr="001E4D82">
        <w:rPr>
          <w:rFonts w:ascii="Book Antiqua" w:hAnsi="Book Antiqua" w:cs="Book Antiqua"/>
          <w:sz w:val="24"/>
          <w:szCs w:val="24"/>
        </w:rPr>
        <w:t>ó</w:t>
      </w:r>
      <w:r w:rsidRPr="001E4D82">
        <w:rPr>
          <w:rFonts w:ascii="Book Antiqua" w:hAnsi="Book Antiqua"/>
          <w:sz w:val="24"/>
          <w:szCs w:val="24"/>
        </w:rPr>
        <w:t xml:space="preserve">n alimentaria a la parte beneficiaria que no cuente con recursos económicos para contratar patrocinio letrado conforme lo establece el artículo 56 de este proyecto de Ley, ya que según lo indicado en correo recibido, se indica textualmente:  </w:t>
      </w:r>
    </w:p>
    <w:p w14:paraId="59F0CAC0" w14:textId="77777777" w:rsidR="00455FE9" w:rsidRPr="001D0C10" w:rsidRDefault="00455FE9" w:rsidP="00455FE9">
      <w:pPr>
        <w:widowControl w:val="0"/>
        <w:tabs>
          <w:tab w:val="left" w:pos="8222"/>
        </w:tabs>
        <w:suppressAutoHyphens/>
        <w:autoSpaceDE w:val="0"/>
        <w:autoSpaceDN w:val="0"/>
        <w:adjustRightInd w:val="0"/>
        <w:spacing w:after="0" w:line="276" w:lineRule="auto"/>
        <w:ind w:left="567" w:right="616"/>
        <w:jc w:val="both"/>
        <w:rPr>
          <w:rFonts w:ascii="Book Antiqua" w:hAnsi="Book Antiqua" w:cs="Arial"/>
          <w:i/>
          <w:iCs/>
          <w:lang w:eastAsia="zh-CN"/>
        </w:rPr>
      </w:pPr>
      <w:r w:rsidRPr="001D0C10">
        <w:rPr>
          <w:rFonts w:ascii="Book Antiqua" w:hAnsi="Book Antiqua" w:cs="Arial"/>
          <w:i/>
          <w:iCs/>
          <w:lang w:eastAsia="zh-CN"/>
        </w:rPr>
        <w:t>“…el contenido del artículo 56, del proyecto de Ley consultado a Corte, cuyo informe se rindió el pasado lunes 12 de agosto, solo refleja lo que actualmente está dentro la Ley de Pensiones Alimentarias vigente; por lo que no debe de interpretarse que se están creando obligaciones nuevas de plazas para Defensa Pública, para atender casos de pensiones alimentarias…“.</w:t>
      </w:r>
    </w:p>
    <w:p w14:paraId="159B7BFF" w14:textId="08F09F2F" w:rsidR="00A56B86" w:rsidRDefault="00A56B86" w:rsidP="001E4D82">
      <w:pPr>
        <w:pStyle w:val="Prrafodelista"/>
        <w:spacing w:line="276" w:lineRule="auto"/>
        <w:jc w:val="both"/>
        <w:rPr>
          <w:rFonts w:ascii="Book Antiqua" w:hAnsi="Book Antiqua"/>
          <w:sz w:val="24"/>
          <w:szCs w:val="24"/>
        </w:rPr>
      </w:pPr>
    </w:p>
    <w:p w14:paraId="309FD3E9" w14:textId="77777777" w:rsidR="00455FE9" w:rsidRPr="00455FE9" w:rsidRDefault="00455FE9" w:rsidP="00455FE9">
      <w:pPr>
        <w:spacing w:line="276" w:lineRule="auto"/>
        <w:jc w:val="both"/>
        <w:rPr>
          <w:rFonts w:ascii="Book Antiqua" w:hAnsi="Book Antiqua"/>
          <w:sz w:val="24"/>
          <w:szCs w:val="24"/>
        </w:rPr>
      </w:pPr>
      <w:r w:rsidRPr="00455FE9">
        <w:rPr>
          <w:rFonts w:ascii="Book Antiqua" w:hAnsi="Book Antiqua"/>
          <w:sz w:val="24"/>
          <w:szCs w:val="24"/>
        </w:rPr>
        <w:t xml:space="preserve">Oficio 2043-PLA-ES-2019, relacionado con la “Fórmula estadística e instructivo en materia de familia en primera instancia”, aprobado por el Consejo Superior en la sesión 107-19 del 10 de diciembre de 2019, artículo XLVIII, en el que se acordó: </w:t>
      </w:r>
    </w:p>
    <w:p w14:paraId="299EFF33" w14:textId="77777777" w:rsidR="00455FE9" w:rsidRPr="00455FE9" w:rsidRDefault="00455FE9" w:rsidP="00455FE9">
      <w:pPr>
        <w:pStyle w:val="Prrafodelista"/>
        <w:spacing w:after="0" w:line="276" w:lineRule="auto"/>
        <w:ind w:left="0"/>
        <w:jc w:val="center"/>
        <w:rPr>
          <w:rFonts w:ascii="Book Antiqua" w:eastAsia="Times New Roman" w:hAnsi="Book Antiqua" w:cs="Times New Roman"/>
          <w:b/>
          <w:bCs/>
          <w:i/>
          <w:iCs/>
          <w:sz w:val="24"/>
          <w:szCs w:val="24"/>
          <w:shd w:val="clear" w:color="auto" w:fill="FFFFFF"/>
          <w:lang w:eastAsia="ar-SA"/>
        </w:rPr>
      </w:pPr>
      <w:r w:rsidRPr="00455FE9">
        <w:rPr>
          <w:rFonts w:ascii="Book Antiqua" w:eastAsia="Times New Roman" w:hAnsi="Book Antiqua" w:cs="Times New Roman"/>
          <w:b/>
          <w:bCs/>
          <w:i/>
          <w:iCs/>
          <w:sz w:val="24"/>
          <w:szCs w:val="24"/>
          <w:shd w:val="clear" w:color="auto" w:fill="FFFFFF"/>
          <w:lang w:eastAsia="ar-SA"/>
        </w:rPr>
        <w:t>“Tener por rendido el informe.”.</w:t>
      </w:r>
    </w:p>
    <w:p w14:paraId="0AB2C5A1" w14:textId="77777777" w:rsidR="00792D9B" w:rsidRDefault="00792D9B" w:rsidP="00455FE9">
      <w:pPr>
        <w:spacing w:line="276" w:lineRule="auto"/>
        <w:jc w:val="both"/>
        <w:rPr>
          <w:rFonts w:ascii="Book Antiqua" w:hAnsi="Book Antiqua"/>
          <w:sz w:val="24"/>
          <w:szCs w:val="24"/>
        </w:rPr>
      </w:pPr>
    </w:p>
    <w:p w14:paraId="53B100D9" w14:textId="39E1136B" w:rsidR="00455FE9" w:rsidRPr="00455FE9" w:rsidRDefault="00455FE9" w:rsidP="00455FE9">
      <w:pPr>
        <w:spacing w:line="276" w:lineRule="auto"/>
        <w:jc w:val="both"/>
        <w:rPr>
          <w:rFonts w:ascii="Book Antiqua" w:hAnsi="Book Antiqua"/>
          <w:sz w:val="24"/>
          <w:szCs w:val="24"/>
        </w:rPr>
      </w:pPr>
      <w:r w:rsidRPr="00455FE9">
        <w:rPr>
          <w:rFonts w:ascii="Book Antiqua" w:hAnsi="Book Antiqua"/>
          <w:sz w:val="24"/>
          <w:szCs w:val="24"/>
        </w:rPr>
        <w:t xml:space="preserve">El informe 656-PLA-RH-MI-2020 </w:t>
      </w:r>
      <w:r w:rsidRPr="001D0C10">
        <w:rPr>
          <w:rFonts w:ascii="Book Antiqua" w:hAnsi="Book Antiqua"/>
          <w:i/>
          <w:iCs/>
          <w:sz w:val="24"/>
          <w:szCs w:val="24"/>
        </w:rPr>
        <w:t>“Impacto Organizacional y Presupuestario en el Poder Judicial en caso de aprobarse el proyecto de Ley denominado Código Procesal de Familia</w:t>
      </w:r>
      <w:r w:rsidRPr="00455FE9">
        <w:rPr>
          <w:rFonts w:ascii="Book Antiqua" w:hAnsi="Book Antiqua"/>
          <w:sz w:val="24"/>
          <w:szCs w:val="24"/>
        </w:rPr>
        <w:t xml:space="preserve">” para el 2021 fue aprobado por el Consejo Superior en sesión 45-2020 celebrada el 8 de mayo de 2020, artículo XIX, en la que se acordó: </w:t>
      </w:r>
    </w:p>
    <w:p w14:paraId="196FD702" w14:textId="6E37B3C6" w:rsidR="00A46DDD" w:rsidRPr="00A46DDD" w:rsidRDefault="00A46DDD" w:rsidP="00A46DDD">
      <w:pPr>
        <w:spacing w:after="0" w:line="276" w:lineRule="auto"/>
        <w:ind w:left="567" w:right="616"/>
        <w:jc w:val="both"/>
        <w:rPr>
          <w:rFonts w:ascii="Book Antiqua" w:eastAsia="Calibri" w:hAnsi="Book Antiqua" w:cs="Arial"/>
          <w:i/>
          <w:iCs/>
          <w:sz w:val="24"/>
          <w:szCs w:val="24"/>
        </w:rPr>
      </w:pPr>
      <w:r w:rsidRPr="00A46DDD">
        <w:rPr>
          <w:rFonts w:ascii="Book Antiqua" w:eastAsia="Calibri" w:hAnsi="Book Antiqua" w:cs="Arial"/>
          <w:i/>
          <w:iCs/>
          <w:sz w:val="24"/>
          <w:szCs w:val="24"/>
        </w:rPr>
        <w:t xml:space="preserve">“1.) Aprobar técnicamente el informe 656-PLA-RH-MI-2020 de la Dirección de Planificación, y sus recomendaciones en los plazos establecidos para ello. 2.) Para efectos del seguimiento respectivo se informa al Despacho de la Presidencia, al Centro de Seguimiento y Apoyo a la Función Jurisdiccional y a la Comisión de la Jurisdicción de Familia, a la Dirección de Tecnología de la Información y a la </w:t>
      </w:r>
      <w:r w:rsidRPr="00A46DDD">
        <w:rPr>
          <w:rFonts w:ascii="Book Antiqua" w:eastAsia="Calibri" w:hAnsi="Book Antiqua" w:cs="Arial"/>
          <w:i/>
          <w:iCs/>
          <w:sz w:val="24"/>
          <w:szCs w:val="24"/>
        </w:rPr>
        <w:lastRenderedPageBreak/>
        <w:t xml:space="preserve">Dirección de Planificación, que deberán tomar nota de las recomendaciones aquí señaladas y sus plazos respectivos para dar cumplimiento a las recomendaciones emanadas del informe de la Contraloría General de la República 2.) Aprobar la propuesta de la Dirección Ejecutiva por </w:t>
      </w:r>
      <w:r w:rsidRPr="00A46DDD">
        <w:rPr>
          <w:rFonts w:ascii="Times New Roman" w:eastAsia="Calibri" w:hAnsi="Times New Roman" w:cs="Times New Roman"/>
          <w:i/>
          <w:iCs/>
          <w:sz w:val="24"/>
          <w:szCs w:val="24"/>
        </w:rPr>
        <w:t>₡</w:t>
      </w:r>
      <w:r w:rsidRPr="00A46DDD">
        <w:rPr>
          <w:rFonts w:ascii="Book Antiqua" w:eastAsia="Calibri" w:hAnsi="Book Antiqua" w:cs="Arial"/>
          <w:i/>
          <w:iCs/>
          <w:sz w:val="24"/>
          <w:szCs w:val="24"/>
        </w:rPr>
        <w:t xml:space="preserve">60.000.000 para el pago de peritajes solicitados por </w:t>
      </w:r>
      <w:r w:rsidRPr="00A46DDD">
        <w:rPr>
          <w:rFonts w:ascii="Book Antiqua" w:eastAsia="Calibri" w:hAnsi="Book Antiqua" w:cs="Book Antiqua"/>
          <w:i/>
          <w:iCs/>
          <w:sz w:val="24"/>
          <w:szCs w:val="24"/>
        </w:rPr>
        <w:t>ó</w:t>
      </w:r>
      <w:r w:rsidRPr="00A46DDD">
        <w:rPr>
          <w:rFonts w:ascii="Book Antiqua" w:eastAsia="Calibri" w:hAnsi="Book Antiqua" w:cs="Arial"/>
          <w:i/>
          <w:iCs/>
          <w:sz w:val="24"/>
          <w:szCs w:val="24"/>
        </w:rPr>
        <w:t xml:space="preserve">rdenes judiciales, de los cuales se deben incluir dentro del presupuesto ordinario </w:t>
      </w:r>
      <w:r w:rsidRPr="00A46DDD">
        <w:rPr>
          <w:rFonts w:ascii="Times New Roman" w:eastAsia="Calibri" w:hAnsi="Times New Roman" w:cs="Times New Roman"/>
          <w:i/>
          <w:iCs/>
          <w:sz w:val="24"/>
          <w:szCs w:val="24"/>
        </w:rPr>
        <w:t>₡</w:t>
      </w:r>
      <w:r w:rsidRPr="00A46DDD">
        <w:rPr>
          <w:rFonts w:ascii="Book Antiqua" w:eastAsia="Calibri" w:hAnsi="Book Antiqua" w:cs="Arial"/>
          <w:i/>
          <w:iCs/>
          <w:sz w:val="24"/>
          <w:szCs w:val="24"/>
        </w:rPr>
        <w:t>30.000.000 y el restante como parte del requerimiento que se solicita por aparte al Ministerio de Hacienda en virtud de tratarse de una Ley Especial. 3.) Aprobar la propuesta de circular que indica la Direcci</w:t>
      </w:r>
      <w:r w:rsidRPr="00A46DDD">
        <w:rPr>
          <w:rFonts w:ascii="Book Antiqua" w:eastAsia="Calibri" w:hAnsi="Book Antiqua" w:cs="Book Antiqua"/>
          <w:i/>
          <w:iCs/>
          <w:sz w:val="24"/>
          <w:szCs w:val="24"/>
        </w:rPr>
        <w:t>ó</w:t>
      </w:r>
      <w:r w:rsidRPr="00A46DDD">
        <w:rPr>
          <w:rFonts w:ascii="Book Antiqua" w:eastAsia="Calibri" w:hAnsi="Book Antiqua" w:cs="Arial"/>
          <w:i/>
          <w:iCs/>
          <w:sz w:val="24"/>
          <w:szCs w:val="24"/>
        </w:rPr>
        <w:t xml:space="preserve">n de Planificación, para lo que la Secretaría General de la Corte tomará nota para lo de su cargo. 4.) Se deberán cumplir con las cuotas de trabajo establecidas por la Dirección de Planificación por parte del personal técnico y juzgador presentadas en este informe. Se declara este acuerdo firme.” </w:t>
      </w:r>
    </w:p>
    <w:p w14:paraId="148B4198" w14:textId="3D601F43" w:rsidR="00A56B86" w:rsidRDefault="00A56B86" w:rsidP="00101A76">
      <w:pPr>
        <w:pStyle w:val="Prrafodelista"/>
        <w:spacing w:line="276" w:lineRule="auto"/>
        <w:jc w:val="both"/>
        <w:rPr>
          <w:rFonts w:ascii="Book Antiqua" w:hAnsi="Book Antiqua"/>
          <w:sz w:val="24"/>
          <w:szCs w:val="24"/>
        </w:rPr>
      </w:pPr>
    </w:p>
    <w:p w14:paraId="565F5317" w14:textId="77777777" w:rsidR="00A95C87" w:rsidRPr="00A95C87" w:rsidRDefault="00A95C87" w:rsidP="00A95C87">
      <w:pPr>
        <w:spacing w:after="0" w:line="276" w:lineRule="auto"/>
        <w:jc w:val="both"/>
        <w:rPr>
          <w:rFonts w:ascii="Book Antiqua" w:eastAsia="Calibri" w:hAnsi="Book Antiqua" w:cs="Arial"/>
          <w:sz w:val="24"/>
          <w:szCs w:val="24"/>
        </w:rPr>
      </w:pPr>
      <w:r w:rsidRPr="00A95C87">
        <w:rPr>
          <w:rFonts w:ascii="Book Antiqua" w:eastAsia="Calibri" w:hAnsi="Book Antiqua" w:cs="Arial"/>
          <w:sz w:val="24"/>
          <w:szCs w:val="24"/>
        </w:rPr>
        <w:t>Finalmente, en sesión del Consejo Superior 48-2020 celebrada el 14 de mayo de 2020, artículo XIII, se aprueba el oficio 706-PLA-MI-2020 para excluir de este informe una plaza de Técnico Judicial del Juzgado Civil, Laboral y Familia de Buenos Aires ya que la misma se contempló en el presupuesto de Agrario.</w:t>
      </w:r>
    </w:p>
    <w:p w14:paraId="22038747" w14:textId="77777777" w:rsidR="00A95C87" w:rsidRPr="00A95C87" w:rsidRDefault="00A95C87" w:rsidP="00A95C87">
      <w:pPr>
        <w:spacing w:after="0" w:line="276" w:lineRule="auto"/>
        <w:jc w:val="both"/>
        <w:rPr>
          <w:rFonts w:ascii="Book Antiqua" w:eastAsia="Calibri" w:hAnsi="Book Antiqua" w:cs="Arial"/>
          <w:sz w:val="24"/>
          <w:szCs w:val="24"/>
        </w:rPr>
      </w:pPr>
    </w:p>
    <w:p w14:paraId="7C69742C" w14:textId="77777777" w:rsidR="00A95C87" w:rsidRPr="00A95C87" w:rsidRDefault="00A95C87" w:rsidP="00A95C87">
      <w:pPr>
        <w:spacing w:after="0" w:line="276" w:lineRule="auto"/>
        <w:jc w:val="both"/>
        <w:rPr>
          <w:rFonts w:ascii="Book Antiqua" w:eastAsia="Calibri" w:hAnsi="Book Antiqua" w:cs="Arial"/>
          <w:sz w:val="24"/>
          <w:szCs w:val="24"/>
        </w:rPr>
      </w:pPr>
      <w:r w:rsidRPr="00A95C87">
        <w:rPr>
          <w:rFonts w:ascii="Book Antiqua" w:eastAsia="Calibri" w:hAnsi="Book Antiqua" w:cs="Arial"/>
          <w:sz w:val="24"/>
          <w:szCs w:val="24"/>
        </w:rPr>
        <w:t xml:space="preserve">El informe 656-PLA-RH-MI-2020 relacionado con el </w:t>
      </w:r>
      <w:r w:rsidRPr="00A95C87">
        <w:rPr>
          <w:rFonts w:ascii="Book Antiqua" w:eastAsia="Calibri" w:hAnsi="Book Antiqua" w:cs="Arial"/>
          <w:i/>
          <w:iCs/>
          <w:sz w:val="24"/>
          <w:szCs w:val="24"/>
        </w:rPr>
        <w:t xml:space="preserve">“Impacto organizacional y presupuestario en el Poder Judicial a partir de la promulgación del Código Procesal de Familia” </w:t>
      </w:r>
      <w:r w:rsidRPr="00A95C87">
        <w:rPr>
          <w:rFonts w:ascii="Book Antiqua" w:eastAsia="Calibri" w:hAnsi="Book Antiqua" w:cs="Arial"/>
          <w:sz w:val="24"/>
          <w:szCs w:val="24"/>
        </w:rPr>
        <w:t>para 2021</w:t>
      </w:r>
      <w:r w:rsidRPr="00A95C87">
        <w:rPr>
          <w:rFonts w:ascii="Book Antiqua" w:eastAsia="Calibri" w:hAnsi="Book Antiqua" w:cs="Arial"/>
          <w:i/>
          <w:iCs/>
          <w:sz w:val="24"/>
          <w:szCs w:val="24"/>
        </w:rPr>
        <w:t xml:space="preserve">, </w:t>
      </w:r>
      <w:r w:rsidRPr="00A95C87">
        <w:rPr>
          <w:rFonts w:ascii="Book Antiqua" w:eastAsia="Calibri" w:hAnsi="Book Antiqua" w:cs="Arial"/>
          <w:sz w:val="24"/>
          <w:szCs w:val="24"/>
        </w:rPr>
        <w:t>que consideraba las acciones a seguir para la implementación de la Ley 9747 también fue aprobado por Corte Plena en sesión 31-2020 del dos de junio del 2020, artículo I.</w:t>
      </w:r>
    </w:p>
    <w:p w14:paraId="749AC3D4" w14:textId="77777777" w:rsidR="00A95C87" w:rsidRPr="00A95C87" w:rsidRDefault="00A95C87" w:rsidP="00A95C87">
      <w:pPr>
        <w:spacing w:after="0" w:line="276" w:lineRule="auto"/>
        <w:jc w:val="both"/>
        <w:rPr>
          <w:rFonts w:ascii="Book Antiqua" w:eastAsia="Calibri" w:hAnsi="Book Antiqua" w:cs="Arial"/>
          <w:sz w:val="24"/>
          <w:szCs w:val="24"/>
        </w:rPr>
      </w:pPr>
    </w:p>
    <w:p w14:paraId="705781FE" w14:textId="4891E68A" w:rsidR="00A95C87" w:rsidRPr="00A95C87" w:rsidRDefault="00A95C87" w:rsidP="00A95C87">
      <w:pPr>
        <w:spacing w:after="0" w:line="276" w:lineRule="auto"/>
        <w:jc w:val="both"/>
        <w:rPr>
          <w:rFonts w:ascii="Book Antiqua" w:eastAsia="Calibri" w:hAnsi="Book Antiqua" w:cs="Arial"/>
          <w:sz w:val="24"/>
          <w:szCs w:val="24"/>
        </w:rPr>
      </w:pPr>
      <w:r w:rsidRPr="00A95C87">
        <w:rPr>
          <w:rFonts w:ascii="Book Antiqua" w:eastAsia="Calibri" w:hAnsi="Book Antiqua" w:cs="Arial"/>
          <w:sz w:val="24"/>
          <w:szCs w:val="24"/>
        </w:rPr>
        <w:t>Sin embargo, de acuerdo con la Ley 9926 Presupuesto Ordinario y Extraordinario de la República para el ejercicio económico del 2021, aprobada por la Asamblea Legislativa, se comprobó que los recursos solicitados para la Ley 9593 de Acceso a la Justicia a Pueblos Indígenas ni para la Ley 9747 Código Procesal de Familia</w:t>
      </w:r>
      <w:r w:rsidR="00155D5C">
        <w:rPr>
          <w:rFonts w:ascii="Book Antiqua" w:eastAsia="Calibri" w:hAnsi="Book Antiqua" w:cs="Arial"/>
          <w:sz w:val="24"/>
          <w:szCs w:val="24"/>
        </w:rPr>
        <w:t>,</w:t>
      </w:r>
      <w:r w:rsidRPr="00A95C87">
        <w:rPr>
          <w:rFonts w:ascii="Book Antiqua" w:eastAsia="Calibri" w:hAnsi="Book Antiqua" w:cs="Arial"/>
          <w:sz w:val="24"/>
          <w:szCs w:val="24"/>
        </w:rPr>
        <w:t xml:space="preserve"> </w:t>
      </w:r>
      <w:r w:rsidR="00155D5C">
        <w:rPr>
          <w:rFonts w:ascii="Book Antiqua" w:eastAsia="Calibri" w:hAnsi="Book Antiqua" w:cs="Arial"/>
          <w:sz w:val="24"/>
          <w:szCs w:val="24"/>
        </w:rPr>
        <w:t>no</w:t>
      </w:r>
      <w:r w:rsidRPr="00A95C87">
        <w:rPr>
          <w:rFonts w:ascii="Book Antiqua" w:eastAsia="Calibri" w:hAnsi="Book Antiqua" w:cs="Arial"/>
          <w:sz w:val="24"/>
          <w:szCs w:val="24"/>
        </w:rPr>
        <w:t xml:space="preserve"> fueron trasladados por el Ministerio de Hacienda a la Asamblea como parte del Proyecto de Presupuesto 2021.</w:t>
      </w:r>
    </w:p>
    <w:p w14:paraId="2B9C2C47" w14:textId="215B5897" w:rsidR="00A56B86" w:rsidRDefault="00A56B86" w:rsidP="00101A76">
      <w:pPr>
        <w:pStyle w:val="Prrafodelista"/>
        <w:spacing w:line="276" w:lineRule="auto"/>
        <w:jc w:val="both"/>
        <w:rPr>
          <w:rFonts w:ascii="Book Antiqua" w:hAnsi="Book Antiqua"/>
          <w:sz w:val="24"/>
          <w:szCs w:val="24"/>
        </w:rPr>
      </w:pPr>
    </w:p>
    <w:p w14:paraId="1DE79AC1" w14:textId="4F1BCAF1" w:rsidR="00155D5C" w:rsidRDefault="00155D5C" w:rsidP="00155D5C">
      <w:pPr>
        <w:spacing w:line="276" w:lineRule="auto"/>
        <w:jc w:val="both"/>
        <w:rPr>
          <w:rFonts w:ascii="Book Antiqua" w:hAnsi="Book Antiqua"/>
          <w:sz w:val="24"/>
          <w:szCs w:val="24"/>
        </w:rPr>
      </w:pPr>
      <w:r w:rsidRPr="00455FE9">
        <w:rPr>
          <w:rFonts w:ascii="Book Antiqua" w:hAnsi="Book Antiqua"/>
          <w:sz w:val="24"/>
          <w:szCs w:val="24"/>
        </w:rPr>
        <w:t xml:space="preserve">El informe </w:t>
      </w:r>
      <w:r>
        <w:rPr>
          <w:rFonts w:ascii="Book Antiqua" w:hAnsi="Book Antiqua"/>
          <w:sz w:val="24"/>
          <w:szCs w:val="24"/>
        </w:rPr>
        <w:t>389</w:t>
      </w:r>
      <w:r w:rsidRPr="00455FE9">
        <w:rPr>
          <w:rFonts w:ascii="Book Antiqua" w:hAnsi="Book Antiqua"/>
          <w:sz w:val="24"/>
          <w:szCs w:val="24"/>
        </w:rPr>
        <w:t>-PLA-RH-MI-202</w:t>
      </w:r>
      <w:r>
        <w:rPr>
          <w:rFonts w:ascii="Book Antiqua" w:hAnsi="Book Antiqua"/>
          <w:sz w:val="24"/>
          <w:szCs w:val="24"/>
        </w:rPr>
        <w:t>1</w:t>
      </w:r>
      <w:r w:rsidRPr="00455FE9">
        <w:rPr>
          <w:rFonts w:ascii="Book Antiqua" w:hAnsi="Book Antiqua"/>
          <w:sz w:val="24"/>
          <w:szCs w:val="24"/>
        </w:rPr>
        <w:t xml:space="preserve"> </w:t>
      </w:r>
      <w:r w:rsidRPr="001D0C10">
        <w:rPr>
          <w:rFonts w:ascii="Book Antiqua" w:hAnsi="Book Antiqua"/>
          <w:i/>
          <w:iCs/>
          <w:sz w:val="24"/>
          <w:szCs w:val="24"/>
        </w:rPr>
        <w:t>“Impacto organizacional y presupuestario en el Poder Judicial a partir de la promulgación del Código Procesal de Familia para el 2022”</w:t>
      </w:r>
      <w:r w:rsidRPr="00455FE9">
        <w:rPr>
          <w:rFonts w:ascii="Book Antiqua" w:hAnsi="Book Antiqua"/>
          <w:sz w:val="24"/>
          <w:szCs w:val="24"/>
        </w:rPr>
        <w:t xml:space="preserve"> aprobado por el Consejo Superior en sesión </w:t>
      </w:r>
      <w:r>
        <w:rPr>
          <w:rFonts w:ascii="Book Antiqua" w:hAnsi="Book Antiqua"/>
          <w:sz w:val="24"/>
          <w:szCs w:val="24"/>
        </w:rPr>
        <w:t>extraordinaria (presupuesto) 30</w:t>
      </w:r>
      <w:r w:rsidRPr="00455FE9">
        <w:rPr>
          <w:rFonts w:ascii="Book Antiqua" w:hAnsi="Book Antiqua"/>
          <w:sz w:val="24"/>
          <w:szCs w:val="24"/>
        </w:rPr>
        <w:t>-202</w:t>
      </w:r>
      <w:r>
        <w:rPr>
          <w:rFonts w:ascii="Book Antiqua" w:hAnsi="Book Antiqua"/>
          <w:sz w:val="24"/>
          <w:szCs w:val="24"/>
        </w:rPr>
        <w:t>1</w:t>
      </w:r>
      <w:r w:rsidRPr="00455FE9">
        <w:rPr>
          <w:rFonts w:ascii="Book Antiqua" w:hAnsi="Book Antiqua"/>
          <w:sz w:val="24"/>
          <w:szCs w:val="24"/>
        </w:rPr>
        <w:t xml:space="preserve"> celebrada el </w:t>
      </w:r>
      <w:r>
        <w:rPr>
          <w:rFonts w:ascii="Book Antiqua" w:hAnsi="Book Antiqua"/>
          <w:sz w:val="24"/>
          <w:szCs w:val="24"/>
        </w:rPr>
        <w:lastRenderedPageBreak/>
        <w:t xml:space="preserve">16 de abril </w:t>
      </w:r>
      <w:r w:rsidRPr="00455FE9">
        <w:rPr>
          <w:rFonts w:ascii="Book Antiqua" w:hAnsi="Book Antiqua"/>
          <w:sz w:val="24"/>
          <w:szCs w:val="24"/>
        </w:rPr>
        <w:t>de 202</w:t>
      </w:r>
      <w:r>
        <w:rPr>
          <w:rFonts w:ascii="Book Antiqua" w:hAnsi="Book Antiqua"/>
          <w:sz w:val="24"/>
          <w:szCs w:val="24"/>
        </w:rPr>
        <w:t>1</w:t>
      </w:r>
      <w:r w:rsidRPr="00455FE9">
        <w:rPr>
          <w:rFonts w:ascii="Book Antiqua" w:hAnsi="Book Antiqua"/>
          <w:sz w:val="24"/>
          <w:szCs w:val="24"/>
        </w:rPr>
        <w:t xml:space="preserve">, artículo XX </w:t>
      </w:r>
      <w:r>
        <w:rPr>
          <w:rFonts w:ascii="Book Antiqua" w:hAnsi="Book Antiqua"/>
          <w:sz w:val="24"/>
          <w:szCs w:val="24"/>
        </w:rPr>
        <w:t xml:space="preserve">y </w:t>
      </w:r>
      <w:r w:rsidRPr="00155D5C">
        <w:rPr>
          <w:rFonts w:ascii="Book Antiqua" w:hAnsi="Book Antiqua"/>
          <w:sz w:val="24"/>
          <w:szCs w:val="24"/>
        </w:rPr>
        <w:t>el acuerdo del Consejo Superior en sesión extraordinaria de presupuesto</w:t>
      </w:r>
      <w:r w:rsidR="00066E59">
        <w:rPr>
          <w:rFonts w:ascii="Book Antiqua" w:hAnsi="Book Antiqua"/>
          <w:sz w:val="24"/>
          <w:szCs w:val="24"/>
        </w:rPr>
        <w:t xml:space="preserve"> 35-21</w:t>
      </w:r>
      <w:r w:rsidRPr="00155D5C">
        <w:rPr>
          <w:rFonts w:ascii="Book Antiqua" w:hAnsi="Book Antiqua"/>
          <w:sz w:val="24"/>
          <w:szCs w:val="24"/>
        </w:rPr>
        <w:t xml:space="preserve"> del 30 de abril 2021</w:t>
      </w:r>
      <w:r w:rsidR="00066E59">
        <w:rPr>
          <w:rFonts w:ascii="Book Antiqua" w:hAnsi="Book Antiqua"/>
          <w:sz w:val="24"/>
          <w:szCs w:val="24"/>
        </w:rPr>
        <w:t xml:space="preserve">, artículo XII. Aprobado por Corte Plena en sesión 21-2021 del 1 de junio de 2021, artículo 2. </w:t>
      </w:r>
    </w:p>
    <w:p w14:paraId="4B0B0330" w14:textId="7EA6C780" w:rsidR="00B93C7C" w:rsidRDefault="00066E59" w:rsidP="00155D5C">
      <w:pPr>
        <w:spacing w:line="276" w:lineRule="auto"/>
        <w:jc w:val="both"/>
        <w:rPr>
          <w:rFonts w:ascii="Book Antiqua" w:hAnsi="Book Antiqua"/>
          <w:sz w:val="24"/>
          <w:szCs w:val="24"/>
        </w:rPr>
      </w:pPr>
      <w:r>
        <w:rPr>
          <w:rFonts w:ascii="Book Antiqua" w:hAnsi="Book Antiqua"/>
          <w:sz w:val="24"/>
          <w:szCs w:val="24"/>
        </w:rPr>
        <w:t>Este informe pese a ser remitido al Ministerio de Hacienda, justificándose incluso la necesidad de los recursos formulados</w:t>
      </w:r>
      <w:r w:rsidR="00702095">
        <w:rPr>
          <w:rFonts w:ascii="Book Antiqua" w:hAnsi="Book Antiqua"/>
          <w:sz w:val="24"/>
          <w:szCs w:val="24"/>
        </w:rPr>
        <w:t xml:space="preserve"> a partir de la </w:t>
      </w:r>
      <w:r>
        <w:rPr>
          <w:rFonts w:ascii="Book Antiqua" w:hAnsi="Book Antiqua"/>
          <w:sz w:val="24"/>
          <w:szCs w:val="24"/>
        </w:rPr>
        <w:t>Ley 9747</w:t>
      </w:r>
      <w:r w:rsidR="00B93C7C">
        <w:rPr>
          <w:rFonts w:ascii="Book Antiqua" w:hAnsi="Book Antiqua"/>
          <w:sz w:val="24"/>
          <w:szCs w:val="24"/>
        </w:rPr>
        <w:t>, que</w:t>
      </w:r>
      <w:r>
        <w:rPr>
          <w:rFonts w:ascii="Book Antiqua" w:hAnsi="Book Antiqua"/>
          <w:sz w:val="24"/>
          <w:szCs w:val="24"/>
        </w:rPr>
        <w:t xml:space="preserve"> entra a regir el 1 de octubre 2022, </w:t>
      </w:r>
      <w:r w:rsidR="00B93C7C">
        <w:rPr>
          <w:rFonts w:ascii="Book Antiqua" w:hAnsi="Book Antiqua"/>
          <w:sz w:val="24"/>
          <w:szCs w:val="24"/>
        </w:rPr>
        <w:t>no fue considerado dentro del proyecto de Ley de Presupuesto 2022, y por ende esta reforma no cuenta con contenido presupuestario este periodo.</w:t>
      </w:r>
    </w:p>
    <w:p w14:paraId="38B6F402" w14:textId="6BB3E66E" w:rsidR="00CC1067" w:rsidRDefault="00B93C7C" w:rsidP="00155D5C">
      <w:pPr>
        <w:spacing w:line="276" w:lineRule="auto"/>
        <w:jc w:val="both"/>
        <w:rPr>
          <w:rFonts w:ascii="Book Antiqua" w:hAnsi="Book Antiqua"/>
          <w:sz w:val="24"/>
          <w:szCs w:val="24"/>
        </w:rPr>
      </w:pPr>
      <w:r>
        <w:rPr>
          <w:rFonts w:ascii="Book Antiqua" w:hAnsi="Book Antiqua"/>
          <w:sz w:val="24"/>
          <w:szCs w:val="24"/>
        </w:rPr>
        <w:t xml:space="preserve">Por fuera del presupuesto de reforma, e incorporado en el presupuesto ordinario institucional se </w:t>
      </w:r>
      <w:r w:rsidR="00CC1067">
        <w:rPr>
          <w:rFonts w:ascii="Book Antiqua" w:hAnsi="Book Antiqua"/>
          <w:sz w:val="24"/>
          <w:szCs w:val="24"/>
        </w:rPr>
        <w:t xml:space="preserve">incluyeron </w:t>
      </w:r>
      <w:r w:rsidR="00CC1067">
        <w:rPr>
          <w:rFonts w:ascii="Times New Roman" w:hAnsi="Times New Roman" w:cs="Times New Roman"/>
          <w:sz w:val="24"/>
          <w:szCs w:val="24"/>
        </w:rPr>
        <w:t>₡</w:t>
      </w:r>
      <w:r w:rsidR="00CC1067" w:rsidRPr="00CC1067">
        <w:rPr>
          <w:rFonts w:ascii="Book Antiqua" w:hAnsi="Book Antiqua"/>
          <w:sz w:val="24"/>
          <w:szCs w:val="24"/>
        </w:rPr>
        <w:t xml:space="preserve">84,250,000.00 </w:t>
      </w:r>
      <w:r>
        <w:rPr>
          <w:rFonts w:ascii="Book Antiqua" w:hAnsi="Book Antiqua"/>
          <w:sz w:val="24"/>
          <w:szCs w:val="24"/>
        </w:rPr>
        <w:t xml:space="preserve">para la capacitación de la Jurisdicción de Familia en 2022, por acuerdo del Consejo Superior en sesión </w:t>
      </w:r>
      <w:r w:rsidR="00CC1067" w:rsidRPr="00CC1067">
        <w:rPr>
          <w:rFonts w:ascii="Book Antiqua" w:hAnsi="Book Antiqua"/>
          <w:sz w:val="24"/>
          <w:szCs w:val="24"/>
        </w:rPr>
        <w:t>extraordinaria de presupuesto del 30 de abril del 2021</w:t>
      </w:r>
      <w:r>
        <w:rPr>
          <w:rFonts w:ascii="Book Antiqua" w:hAnsi="Book Antiqua"/>
          <w:sz w:val="24"/>
          <w:szCs w:val="24"/>
        </w:rPr>
        <w:t xml:space="preserve">. </w:t>
      </w:r>
    </w:p>
    <w:p w14:paraId="0ECE293D" w14:textId="09AB1202" w:rsidR="00B93C7C" w:rsidRDefault="00B93C7C" w:rsidP="00155D5C">
      <w:pPr>
        <w:spacing w:line="276" w:lineRule="auto"/>
        <w:jc w:val="both"/>
        <w:rPr>
          <w:rFonts w:ascii="Book Antiqua" w:hAnsi="Book Antiqua"/>
          <w:sz w:val="24"/>
          <w:szCs w:val="24"/>
        </w:rPr>
      </w:pPr>
      <w:r>
        <w:rPr>
          <w:rFonts w:ascii="Book Antiqua" w:hAnsi="Book Antiqua"/>
          <w:sz w:val="24"/>
          <w:szCs w:val="24"/>
        </w:rPr>
        <w:t>Adicionalmente</w:t>
      </w:r>
      <w:r w:rsidR="004740B6">
        <w:rPr>
          <w:rFonts w:ascii="Book Antiqua" w:hAnsi="Book Antiqua"/>
          <w:sz w:val="24"/>
          <w:szCs w:val="24"/>
        </w:rPr>
        <w:t>,</w:t>
      </w:r>
      <w:r>
        <w:rPr>
          <w:rFonts w:ascii="Book Antiqua" w:hAnsi="Book Antiqua"/>
          <w:sz w:val="24"/>
          <w:szCs w:val="24"/>
        </w:rPr>
        <w:t xml:space="preserve"> </w:t>
      </w:r>
      <w:r w:rsidR="00C53AE5">
        <w:rPr>
          <w:rFonts w:ascii="Book Antiqua" w:hAnsi="Book Antiqua"/>
          <w:sz w:val="24"/>
          <w:szCs w:val="24"/>
        </w:rPr>
        <w:t>por parte del Ministerio de Hacienda se incorporaron 17 plazas de Defensor Público para la materia de P</w:t>
      </w:r>
      <w:r w:rsidR="00CC1067">
        <w:rPr>
          <w:rFonts w:ascii="Book Antiqua" w:hAnsi="Book Antiqua"/>
          <w:sz w:val="24"/>
          <w:szCs w:val="24"/>
        </w:rPr>
        <w:t>ensiones Alimentarias</w:t>
      </w:r>
      <w:r w:rsidR="004740B6">
        <w:rPr>
          <w:rFonts w:ascii="Book Antiqua" w:hAnsi="Book Antiqua"/>
          <w:sz w:val="24"/>
          <w:szCs w:val="24"/>
        </w:rPr>
        <w:t xml:space="preserve"> (</w:t>
      </w:r>
      <w:r w:rsidR="00CC1067">
        <w:rPr>
          <w:rFonts w:ascii="Book Antiqua" w:hAnsi="Book Antiqua"/>
          <w:sz w:val="24"/>
          <w:szCs w:val="24"/>
        </w:rPr>
        <w:t>15 para atención de asuntos ordinarios y 2 específicamente población de pueblos indígenas</w:t>
      </w:r>
      <w:r w:rsidR="004740B6">
        <w:rPr>
          <w:rFonts w:ascii="Book Antiqua" w:hAnsi="Book Antiqua"/>
          <w:sz w:val="24"/>
          <w:szCs w:val="24"/>
        </w:rPr>
        <w:t xml:space="preserve">) a partir del 1 de enero de 2022, dentro del </w:t>
      </w:r>
      <w:r w:rsidR="004740B6" w:rsidRPr="004740B6">
        <w:rPr>
          <w:rFonts w:ascii="Book Antiqua" w:hAnsi="Book Antiqua"/>
          <w:sz w:val="24"/>
          <w:szCs w:val="24"/>
        </w:rPr>
        <w:t>proyecto de Ley de Presupuesto 2022, el cual fue aprobado en segundo debate el 23 de noviembre 2021 por parte la Asamblea Legislativa.</w:t>
      </w:r>
    </w:p>
    <w:p w14:paraId="1E0D0259" w14:textId="77777777" w:rsidR="00A56B86" w:rsidRPr="00A65874" w:rsidRDefault="00A56B86" w:rsidP="00101A76">
      <w:pPr>
        <w:pStyle w:val="Prrafodelista"/>
        <w:spacing w:line="276" w:lineRule="auto"/>
        <w:jc w:val="both"/>
        <w:rPr>
          <w:rFonts w:ascii="Book Antiqua" w:hAnsi="Book Antiqua"/>
          <w:sz w:val="24"/>
          <w:szCs w:val="24"/>
        </w:rPr>
      </w:pPr>
    </w:p>
    <w:p w14:paraId="78F3421A" w14:textId="341DB788" w:rsidR="00A65874" w:rsidRDefault="00F66CC1" w:rsidP="00335C6E">
      <w:pPr>
        <w:pStyle w:val="Prrafodelista"/>
        <w:numPr>
          <w:ilvl w:val="1"/>
          <w:numId w:val="2"/>
        </w:numPr>
        <w:spacing w:line="276" w:lineRule="auto"/>
        <w:jc w:val="both"/>
        <w:rPr>
          <w:rFonts w:ascii="Book Antiqua" w:hAnsi="Book Antiqua"/>
          <w:sz w:val="24"/>
          <w:szCs w:val="24"/>
        </w:rPr>
      </w:pPr>
      <w:r>
        <w:rPr>
          <w:rFonts w:ascii="Book Antiqua" w:hAnsi="Book Antiqua"/>
          <w:sz w:val="24"/>
          <w:szCs w:val="24"/>
        </w:rPr>
        <w:t>Creación de plazas</w:t>
      </w:r>
    </w:p>
    <w:p w14:paraId="004CB591" w14:textId="77777777" w:rsidR="00B842D2" w:rsidRPr="00B842D2" w:rsidRDefault="00B842D2" w:rsidP="00B842D2">
      <w:pPr>
        <w:spacing w:line="276" w:lineRule="auto"/>
        <w:jc w:val="both"/>
        <w:rPr>
          <w:rFonts w:ascii="Book Antiqua" w:hAnsi="Book Antiqua"/>
          <w:sz w:val="24"/>
          <w:szCs w:val="24"/>
        </w:rPr>
      </w:pPr>
      <w:r w:rsidRPr="00B842D2">
        <w:rPr>
          <w:rFonts w:ascii="Book Antiqua" w:hAnsi="Book Antiqua"/>
          <w:sz w:val="24"/>
          <w:szCs w:val="24"/>
        </w:rPr>
        <w:t>La Corte Plena aprobó en sesión 54-2019 del 18 de diciembre de 2019, artículo único, no crear plazas nuevas y valorar únicamente la condición y continuidad de las plazas extraordinarias existentes.</w:t>
      </w:r>
    </w:p>
    <w:p w14:paraId="7C9E3302" w14:textId="758974B0" w:rsidR="00B842D2" w:rsidRDefault="00B842D2" w:rsidP="00B842D2">
      <w:pPr>
        <w:spacing w:line="276" w:lineRule="auto"/>
        <w:jc w:val="both"/>
        <w:rPr>
          <w:rFonts w:ascii="Book Antiqua" w:hAnsi="Book Antiqua"/>
          <w:sz w:val="24"/>
          <w:szCs w:val="24"/>
        </w:rPr>
      </w:pPr>
      <w:r w:rsidRPr="00B842D2">
        <w:rPr>
          <w:rFonts w:ascii="Book Antiqua" w:hAnsi="Book Antiqua"/>
          <w:sz w:val="24"/>
          <w:szCs w:val="24"/>
        </w:rPr>
        <w:t>Adicionalmente, en las sesiones 27-2017 de 21 de agosto de 2017, artículo XVI, 28- 2017 de 28 de agosto de 2017, artículo XV y 29-2017 de 4 setiembre de 2017, artículo XVI, aprobó una serie de medidas de contención del gasto en el Poder Judicial, producto de la grave situación fiscal que enfrenta el país, y con relación a la creación de plazas dispuso que:</w:t>
      </w:r>
    </w:p>
    <w:p w14:paraId="5502C837" w14:textId="20462064" w:rsidR="00B842D2" w:rsidRDefault="00B842D2" w:rsidP="00B842D2">
      <w:pPr>
        <w:spacing w:after="0" w:line="276" w:lineRule="auto"/>
        <w:ind w:left="567" w:right="616"/>
        <w:jc w:val="both"/>
        <w:rPr>
          <w:rFonts w:ascii="Book Antiqua" w:eastAsia="Calibri" w:hAnsi="Book Antiqua" w:cs="Arial"/>
          <w:i/>
          <w:iCs/>
          <w:sz w:val="24"/>
          <w:szCs w:val="24"/>
        </w:rPr>
      </w:pPr>
      <w:r w:rsidRPr="00B842D2">
        <w:rPr>
          <w:rFonts w:ascii="Book Antiqua" w:eastAsia="Calibri" w:hAnsi="Book Antiqua" w:cs="Arial"/>
          <w:i/>
          <w:iCs/>
          <w:sz w:val="24"/>
          <w:szCs w:val="24"/>
        </w:rPr>
        <w:t>“No se crearán plazas nuevas, salvo las correspondientes a la implementación de nuevas leyes, debidamente aprobadas por la Asamblea Legislativa, o bien cuenten con un estudio técnico de la Dirección de Planificación, sujeto a la disponibilidad de contenido presupuestario. Poder Judicial.”.</w:t>
      </w:r>
    </w:p>
    <w:p w14:paraId="4B60BDA6" w14:textId="59585E46" w:rsidR="007B6C82" w:rsidRDefault="007B6C82" w:rsidP="007B6C82">
      <w:pPr>
        <w:spacing w:after="0" w:line="276" w:lineRule="auto"/>
        <w:ind w:right="616"/>
        <w:jc w:val="both"/>
        <w:rPr>
          <w:rFonts w:ascii="Book Antiqua" w:eastAsia="Calibri" w:hAnsi="Book Antiqua" w:cs="Arial"/>
          <w:i/>
          <w:iCs/>
          <w:sz w:val="24"/>
          <w:szCs w:val="24"/>
        </w:rPr>
      </w:pPr>
    </w:p>
    <w:p w14:paraId="01473CDB" w14:textId="4D1E2C8C" w:rsidR="00124002" w:rsidRDefault="004D77D0" w:rsidP="00B842D2">
      <w:pPr>
        <w:spacing w:line="276" w:lineRule="auto"/>
        <w:jc w:val="both"/>
        <w:rPr>
          <w:rFonts w:ascii="Book Antiqua" w:hAnsi="Book Antiqua"/>
          <w:sz w:val="24"/>
          <w:szCs w:val="24"/>
        </w:rPr>
      </w:pPr>
      <w:r>
        <w:rPr>
          <w:rFonts w:ascii="Book Antiqua" w:hAnsi="Book Antiqua"/>
          <w:sz w:val="24"/>
          <w:szCs w:val="24"/>
        </w:rPr>
        <w:lastRenderedPageBreak/>
        <w:t>Por otra parte, e</w:t>
      </w:r>
      <w:r w:rsidR="00124002" w:rsidRPr="00124002">
        <w:rPr>
          <w:rFonts w:ascii="Book Antiqua" w:hAnsi="Book Antiqua"/>
          <w:sz w:val="24"/>
          <w:szCs w:val="24"/>
        </w:rPr>
        <w:t xml:space="preserve">l presupuesto solicitado para el financiamiento de las Leyes 9747 Código Procesal de Familia, 9609 Nuevo Código Procesal Agrario, 9458 Bienestar Animal y 9582 Justicia Restaurativa, </w:t>
      </w:r>
      <w:bookmarkStart w:id="2" w:name="_Hlk98105773"/>
      <w:r w:rsidR="00124002" w:rsidRPr="00124002">
        <w:rPr>
          <w:rFonts w:ascii="Book Antiqua" w:hAnsi="Book Antiqua"/>
          <w:sz w:val="24"/>
          <w:szCs w:val="24"/>
        </w:rPr>
        <w:t>no fueron incorporados por el Ministerio de Hacienda al presupuesto ordinario, ni tampoco se remitieron como requerimiento adicional a la Asamblea Legislativ</w:t>
      </w:r>
      <w:r w:rsidR="008A348D">
        <w:rPr>
          <w:rFonts w:ascii="Book Antiqua" w:hAnsi="Book Antiqua"/>
          <w:sz w:val="24"/>
          <w:szCs w:val="24"/>
        </w:rPr>
        <w:t>a para 2022.</w:t>
      </w:r>
      <w:bookmarkEnd w:id="2"/>
      <w:r w:rsidR="008A348D">
        <w:rPr>
          <w:rFonts w:ascii="Book Antiqua" w:hAnsi="Book Antiqua"/>
          <w:sz w:val="24"/>
          <w:szCs w:val="24"/>
        </w:rPr>
        <w:t xml:space="preserve"> </w:t>
      </w:r>
    </w:p>
    <w:p w14:paraId="11DCE569" w14:textId="77777777" w:rsidR="004D77D0" w:rsidRPr="00B842D2" w:rsidRDefault="004D77D0" w:rsidP="00B842D2">
      <w:pPr>
        <w:spacing w:line="276" w:lineRule="auto"/>
        <w:jc w:val="both"/>
        <w:rPr>
          <w:rFonts w:ascii="Book Antiqua" w:hAnsi="Book Antiqua"/>
          <w:sz w:val="24"/>
          <w:szCs w:val="24"/>
        </w:rPr>
      </w:pPr>
    </w:p>
    <w:p w14:paraId="20E1787A" w14:textId="7204E5A7" w:rsidR="00F66CC1" w:rsidRDefault="00B842D2" w:rsidP="00335C6E">
      <w:pPr>
        <w:pStyle w:val="Prrafodelista"/>
        <w:numPr>
          <w:ilvl w:val="1"/>
          <w:numId w:val="2"/>
        </w:numPr>
        <w:spacing w:line="276" w:lineRule="auto"/>
        <w:jc w:val="both"/>
        <w:rPr>
          <w:rFonts w:ascii="Book Antiqua" w:hAnsi="Book Antiqua"/>
          <w:sz w:val="24"/>
          <w:szCs w:val="24"/>
        </w:rPr>
      </w:pPr>
      <w:r>
        <w:rPr>
          <w:rFonts w:ascii="Book Antiqua" w:hAnsi="Book Antiqua"/>
          <w:sz w:val="24"/>
          <w:szCs w:val="24"/>
        </w:rPr>
        <w:t>Contraloría General de la República</w:t>
      </w:r>
    </w:p>
    <w:p w14:paraId="40EB33AD" w14:textId="361BECD5" w:rsidR="00B842D2" w:rsidRDefault="00B842D2" w:rsidP="00B842D2">
      <w:pPr>
        <w:spacing w:line="276" w:lineRule="auto"/>
        <w:jc w:val="both"/>
        <w:rPr>
          <w:rFonts w:ascii="Book Antiqua" w:hAnsi="Book Antiqua"/>
          <w:sz w:val="24"/>
          <w:szCs w:val="24"/>
        </w:rPr>
      </w:pPr>
      <w:r w:rsidRPr="00B842D2">
        <w:rPr>
          <w:rFonts w:ascii="Book Antiqua" w:hAnsi="Book Antiqua"/>
          <w:sz w:val="24"/>
          <w:szCs w:val="24"/>
        </w:rPr>
        <w:t>Como parte del Proyecto 1374-CF-P01 “</w:t>
      </w:r>
      <w:r w:rsidRPr="001D0C10">
        <w:rPr>
          <w:rFonts w:ascii="Book Antiqua" w:hAnsi="Book Antiqua"/>
          <w:i/>
          <w:iCs/>
          <w:sz w:val="24"/>
          <w:szCs w:val="24"/>
        </w:rPr>
        <w:t>Implementación del Código Procesal de Familia</w:t>
      </w:r>
      <w:r w:rsidRPr="00B842D2">
        <w:rPr>
          <w:rFonts w:ascii="Book Antiqua" w:hAnsi="Book Antiqua"/>
          <w:sz w:val="24"/>
          <w:szCs w:val="24"/>
        </w:rPr>
        <w:t>” se incorporó la atención de las recomendaciones emitidas por la Contraloría General de la República (CGR) número DFOE-PG-0098 (2683)-2020, relacionado con el informe DFOE-PG-IF-00002-2020 “Informe de Auditoría Operativa sobre la gestión del Poder Judicial en cuanto a la oportunidad de la prestación del servicio público de administración de la justicia de los juzgados de Familia y de Pensiones alimentarias”, de conformidad con el acuerdo del Consejo Superior en sesión 19-2020 celebrada el 10 de marzo del 2020, artículo LI:</w:t>
      </w:r>
    </w:p>
    <w:p w14:paraId="4808470D" w14:textId="4113006B" w:rsidR="00A24455" w:rsidRDefault="00A24455" w:rsidP="00A24455">
      <w:pPr>
        <w:spacing w:after="0" w:line="276" w:lineRule="auto"/>
        <w:ind w:left="567" w:right="616"/>
        <w:jc w:val="both"/>
        <w:rPr>
          <w:rFonts w:ascii="Book Antiqua" w:eastAsia="Calibri" w:hAnsi="Book Antiqua" w:cs="Arial"/>
          <w:i/>
          <w:iCs/>
          <w:sz w:val="24"/>
          <w:szCs w:val="24"/>
        </w:rPr>
      </w:pPr>
      <w:r w:rsidRPr="00A24455">
        <w:rPr>
          <w:rFonts w:ascii="Book Antiqua" w:eastAsia="Calibri" w:hAnsi="Book Antiqua" w:cs="Arial"/>
          <w:i/>
          <w:iCs/>
          <w:sz w:val="24"/>
          <w:szCs w:val="24"/>
        </w:rPr>
        <w:t xml:space="preserve">“1.) Tener por recibido el oficio  DP-126-2020 de 5 de marzo de 2020, suscrito por el máster Roger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 2.) En razón de las recomendaciones planteadas por la Contraloría General de la República, se dará el cumplimiento de las mismas de la siguiente manera: a) Respecto a las disposiciones 4.4, 4.5, 4.6 y 4.7 deberán ser atendidas por la Dirección de Planificación, el Centro de Apoyo, Coordinación y Mejoramiento de la Función Jurisdiccional y la Comisión de la Jurisdicción de Familia, Niñez y Adolescencia, con la salvedad de que respecto a la disposición 4.6 la Dirección de Tecnología de la Información brindará el apoyo que se requiera. b.) Conforme a la recomendación 4.8 deberá la Sección de Estadística de la Dirección de Planificación, en coordinación con el Centro de Apoyo, Coordinación y Mejoramiento de la Función Jurisdiccional y los despachos judiciales que involucre, revisar la información que se encuentra almacenada en la base de datos del Sistema Costarricense de Gestión de Despachos Judiciales y depurar las </w:t>
      </w:r>
      <w:r w:rsidRPr="00A24455">
        <w:rPr>
          <w:rFonts w:ascii="Book Antiqua" w:eastAsia="Calibri" w:hAnsi="Book Antiqua" w:cs="Arial"/>
          <w:i/>
          <w:iCs/>
          <w:sz w:val="24"/>
          <w:szCs w:val="24"/>
        </w:rPr>
        <w:lastRenderedPageBreak/>
        <w:t>inconsistencias que sean encontradas, con el propósito de que la información que se encuentra en este sistema esté razonablemente libre de errores y mantiene los criterios de confiabilidad, oportunidad y utilidad.”.</w:t>
      </w:r>
    </w:p>
    <w:p w14:paraId="57444BE5" w14:textId="77777777" w:rsidR="00D433A5" w:rsidRPr="00A24455" w:rsidRDefault="00D433A5" w:rsidP="00A24455">
      <w:pPr>
        <w:spacing w:after="0" w:line="276" w:lineRule="auto"/>
        <w:ind w:left="567" w:right="616"/>
        <w:jc w:val="both"/>
        <w:rPr>
          <w:rFonts w:ascii="Book Antiqua" w:eastAsia="Calibri" w:hAnsi="Book Antiqua" w:cs="Arial"/>
          <w:i/>
          <w:iCs/>
          <w:sz w:val="24"/>
          <w:szCs w:val="24"/>
        </w:rPr>
      </w:pPr>
    </w:p>
    <w:p w14:paraId="51A2277C" w14:textId="77777777" w:rsidR="00A24455" w:rsidRP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Respecto al mismo tema, la Corte Plena en sesión 17-2020 celebrada el 30 de marzo del 2020, artículo XXXIII, conoce el acuerdo del Consejo Superior en sesión 19-2020 celebrada el 10 de marzo del 2020, artículo LI:</w:t>
      </w:r>
    </w:p>
    <w:p w14:paraId="0AE68E43" w14:textId="26E8FD48" w:rsidR="00A24455" w:rsidRDefault="00A24455" w:rsidP="00B842D2">
      <w:pPr>
        <w:spacing w:line="276" w:lineRule="auto"/>
        <w:jc w:val="both"/>
        <w:rPr>
          <w:rFonts w:ascii="Book Antiqua" w:hAnsi="Book Antiqua"/>
          <w:sz w:val="24"/>
          <w:szCs w:val="24"/>
        </w:rPr>
      </w:pPr>
    </w:p>
    <w:p w14:paraId="6F88AACF" w14:textId="463D5376" w:rsidR="00A24455" w:rsidRPr="00A24455" w:rsidRDefault="00A24455" w:rsidP="00A24455">
      <w:pPr>
        <w:spacing w:after="0" w:line="276" w:lineRule="auto"/>
        <w:ind w:left="567" w:right="616"/>
        <w:jc w:val="both"/>
        <w:rPr>
          <w:rFonts w:ascii="Book Antiqua" w:eastAsia="Calibri" w:hAnsi="Book Antiqua" w:cs="Arial"/>
          <w:i/>
          <w:sz w:val="24"/>
          <w:szCs w:val="24"/>
        </w:rPr>
      </w:pPr>
      <w:r w:rsidRPr="00A24455">
        <w:rPr>
          <w:rFonts w:ascii="Book Antiqua" w:eastAsia="Calibri" w:hAnsi="Book Antiqua" w:cs="Arial"/>
          <w:i/>
          <w:sz w:val="24"/>
          <w:szCs w:val="24"/>
        </w:rPr>
        <w:t>“</w:t>
      </w:r>
      <w:r w:rsidRPr="00A24455">
        <w:rPr>
          <w:rFonts w:ascii="Book Antiqua" w:eastAsia="Calibri" w:hAnsi="Book Antiqua" w:cs="Arial"/>
          <w:b/>
          <w:bCs/>
          <w:i/>
          <w:sz w:val="24"/>
          <w:szCs w:val="24"/>
        </w:rPr>
        <w:t>Se dispuso:</w:t>
      </w:r>
      <w:r w:rsidRPr="00A24455">
        <w:rPr>
          <w:rFonts w:ascii="Book Antiqua" w:eastAsia="Calibri" w:hAnsi="Book Antiqua" w:cs="Arial"/>
          <w:i/>
          <w:sz w:val="24"/>
          <w:szCs w:val="24"/>
        </w:rPr>
        <w:t xml:space="preserve"> Tener por conocido el acuerdo adoptado por Consejo Superior, referente al oficio DP-126-2020 de 5 de marzo de 2020, suscrito por el máster Roger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w:t>
      </w:r>
    </w:p>
    <w:p w14:paraId="53497D8F" w14:textId="4562BEF3" w:rsidR="00A24455" w:rsidRDefault="00A24455" w:rsidP="00B842D2">
      <w:pPr>
        <w:spacing w:line="276" w:lineRule="auto"/>
        <w:jc w:val="both"/>
        <w:rPr>
          <w:rFonts w:ascii="Book Antiqua" w:hAnsi="Book Antiqua"/>
          <w:sz w:val="24"/>
          <w:szCs w:val="24"/>
        </w:rPr>
      </w:pPr>
    </w:p>
    <w:p w14:paraId="0A4A5061" w14:textId="77777777" w:rsidR="00A24455" w:rsidRP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El acuerdo del Consejo Superior en sesión 43-2020 celebrada el 05 de mayo del 2020, artículo XXXVI, autorizó a la Dirección de Planificación a colaborar con la Comisión de Familia:</w:t>
      </w:r>
    </w:p>
    <w:p w14:paraId="5FFA5BD9" w14:textId="77777777" w:rsidR="00A24455" w:rsidRPr="00A24455" w:rsidRDefault="00A24455" w:rsidP="00A24455">
      <w:pPr>
        <w:spacing w:after="0" w:line="276" w:lineRule="auto"/>
        <w:jc w:val="both"/>
        <w:rPr>
          <w:rFonts w:ascii="Book Antiqua" w:eastAsia="Calibri" w:hAnsi="Book Antiqua" w:cs="Arial"/>
          <w:sz w:val="24"/>
          <w:szCs w:val="24"/>
        </w:rPr>
      </w:pPr>
    </w:p>
    <w:p w14:paraId="05D481A4" w14:textId="3BD63F6D" w:rsidR="00A24455" w:rsidRDefault="00A24455" w:rsidP="00A24455">
      <w:pPr>
        <w:spacing w:after="0" w:line="276" w:lineRule="auto"/>
        <w:ind w:left="567" w:right="616"/>
        <w:jc w:val="both"/>
        <w:rPr>
          <w:rFonts w:ascii="Book Antiqua" w:eastAsia="Calibri" w:hAnsi="Book Antiqua" w:cs="Arial"/>
          <w:i/>
          <w:iCs/>
          <w:sz w:val="24"/>
          <w:szCs w:val="24"/>
        </w:rPr>
      </w:pPr>
      <w:r w:rsidRPr="00A24455">
        <w:rPr>
          <w:rFonts w:ascii="Book Antiqua" w:eastAsia="Calibri" w:hAnsi="Book Antiqua" w:cs="Arial"/>
          <w:i/>
          <w:iCs/>
          <w:sz w:val="24"/>
          <w:szCs w:val="24"/>
        </w:rPr>
        <w:t>“Acoger la gestión de la máster Julia Varela Araya, en su condición de Coordinadora de la Comisión de la Jurisdicción de Familia, Niñez y Adolescencia, en oficio 22-JVA-2020 de 29 de abril de 2020, en consecuencia, autorizar a las Direcciones de Planificación y Tecnología de la Información, para que colaboren con la Comisión de la Jurisdicción de Familia, en la preparación del plan de trabajo que solicita la Contraloría General de la República. En los términos que se pide por dicho órgano Contralor.”.</w:t>
      </w:r>
    </w:p>
    <w:p w14:paraId="254BFB49" w14:textId="77777777" w:rsidR="000B64CF" w:rsidRPr="00A24455" w:rsidRDefault="000B64CF" w:rsidP="00A24455">
      <w:pPr>
        <w:spacing w:after="0" w:line="276" w:lineRule="auto"/>
        <w:ind w:left="567" w:right="616"/>
        <w:jc w:val="both"/>
        <w:rPr>
          <w:rFonts w:ascii="Book Antiqua" w:eastAsia="Calibri" w:hAnsi="Book Antiqua" w:cs="Arial"/>
          <w:i/>
          <w:iCs/>
          <w:sz w:val="24"/>
          <w:szCs w:val="24"/>
        </w:rPr>
      </w:pPr>
    </w:p>
    <w:p w14:paraId="73E58E37" w14:textId="77777777" w:rsidR="00A24455" w:rsidRP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 xml:space="preserve">El Consejo Superior en sesión 107-16 del 29 de noviembre de 2016, artículo XLIX aprobó el informe 1981-PLA-2016 de la Dirección de Planificación sobre el Modelo de Sostenibilidad y las responsabilidades de cada dependencia para garantizar la sostenibilidad a los modelos de gestión implementados (oficina judicial, Administración Regional, Consejo de Administración, Dirección de Planificación, </w:t>
      </w:r>
      <w:r w:rsidRPr="00A24455">
        <w:rPr>
          <w:rFonts w:ascii="Book Antiqua" w:eastAsia="Calibri" w:hAnsi="Book Antiqua" w:cs="Arial"/>
          <w:sz w:val="24"/>
          <w:szCs w:val="24"/>
        </w:rPr>
        <w:lastRenderedPageBreak/>
        <w:t>Centro de Apoyo, Coordinación y Mejoramiento de la Función Jurisdiccional, Consejo Superior).</w:t>
      </w:r>
    </w:p>
    <w:p w14:paraId="488DC007" w14:textId="77777777" w:rsidR="00A24455" w:rsidRPr="00A24455" w:rsidRDefault="00A24455" w:rsidP="00A24455">
      <w:pPr>
        <w:spacing w:after="0" w:line="276" w:lineRule="auto"/>
        <w:jc w:val="both"/>
        <w:rPr>
          <w:rFonts w:ascii="Book Antiqua" w:eastAsia="Calibri" w:hAnsi="Book Antiqua" w:cs="Arial"/>
          <w:sz w:val="24"/>
          <w:szCs w:val="24"/>
        </w:rPr>
      </w:pPr>
    </w:p>
    <w:p w14:paraId="010CA3B0" w14:textId="77777777" w:rsidR="00A24455" w:rsidRP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Oficio 217-PLA-2020, relacionado con las propuestas de mejora en la aplicación del actual Modelo de Seguimiento y Sostenibilidad de proyectos en las oficinas y despachos judiciales, aprobado por el Consejo Superior en sesión 16-2020 celebrada el 27 de febrero del 2020, artículo LXXIII.</w:t>
      </w:r>
    </w:p>
    <w:p w14:paraId="5CF053ED" w14:textId="77777777" w:rsidR="00A24455" w:rsidRPr="00A24455" w:rsidRDefault="00A24455" w:rsidP="00A24455">
      <w:pPr>
        <w:spacing w:after="0" w:line="276" w:lineRule="auto"/>
        <w:contextualSpacing/>
        <w:jc w:val="both"/>
        <w:rPr>
          <w:rFonts w:ascii="Book Antiqua" w:eastAsia="Calibri" w:hAnsi="Book Antiqua" w:cs="Arial"/>
          <w:i/>
          <w:iCs/>
          <w:sz w:val="24"/>
          <w:szCs w:val="24"/>
          <w:lang w:eastAsia="es-CR"/>
        </w:rPr>
      </w:pPr>
    </w:p>
    <w:p w14:paraId="0AD0A5C3" w14:textId="72E5C811" w:rsidR="00A24455" w:rsidRDefault="00A24455" w:rsidP="00A24455">
      <w:pPr>
        <w:spacing w:after="0" w:line="276" w:lineRule="auto"/>
        <w:jc w:val="both"/>
        <w:rPr>
          <w:rFonts w:ascii="Book Antiqua" w:eastAsia="Calibri" w:hAnsi="Book Antiqua" w:cs="Arial"/>
          <w:sz w:val="24"/>
          <w:szCs w:val="24"/>
        </w:rPr>
      </w:pPr>
      <w:r w:rsidRPr="00A24455">
        <w:rPr>
          <w:rFonts w:ascii="Book Antiqua" w:eastAsia="Calibri" w:hAnsi="Book Antiqua" w:cs="Arial"/>
          <w:sz w:val="24"/>
          <w:szCs w:val="24"/>
        </w:rPr>
        <w:t>Oficio 039-JVA-2020 suscrito por la MSc Julia Varela Araya, Magistrada Coordinadora de la Comisión de la Jurisdicción de Familia, Niñez y Adolescencia, donde comunica el acuerdo de la Comisión de Familia en sesión celebrada el 25 de junio de 2020 donde:</w:t>
      </w:r>
    </w:p>
    <w:p w14:paraId="74391B80" w14:textId="77777777" w:rsidR="00A24455" w:rsidRPr="00A24455" w:rsidRDefault="00A24455" w:rsidP="00A24455">
      <w:pPr>
        <w:spacing w:after="0" w:line="276" w:lineRule="auto"/>
        <w:jc w:val="both"/>
        <w:rPr>
          <w:rFonts w:ascii="Book Antiqua" w:eastAsia="Calibri" w:hAnsi="Book Antiqua" w:cs="Arial"/>
          <w:sz w:val="24"/>
          <w:szCs w:val="24"/>
        </w:rPr>
      </w:pPr>
    </w:p>
    <w:p w14:paraId="3FD9DCBE" w14:textId="1080D929" w:rsidR="00A24455" w:rsidRDefault="00A24455" w:rsidP="00A24455">
      <w:pPr>
        <w:spacing w:after="0" w:line="276" w:lineRule="auto"/>
        <w:ind w:left="567" w:right="616"/>
        <w:jc w:val="both"/>
        <w:rPr>
          <w:rFonts w:ascii="Book Antiqua" w:eastAsia="Calibri" w:hAnsi="Book Antiqua" w:cs="Arial"/>
          <w:i/>
          <w:sz w:val="24"/>
          <w:szCs w:val="24"/>
        </w:rPr>
      </w:pPr>
      <w:r w:rsidRPr="00A24455">
        <w:rPr>
          <w:rFonts w:ascii="Book Antiqua" w:eastAsia="Calibri" w:hAnsi="Book Antiqua" w:cs="Arial"/>
          <w:sz w:val="24"/>
          <w:szCs w:val="24"/>
        </w:rPr>
        <w:t>“</w:t>
      </w:r>
      <w:r w:rsidRPr="00A24455">
        <w:rPr>
          <w:rFonts w:ascii="Book Antiqua" w:eastAsia="Calibri" w:hAnsi="Book Antiqua" w:cs="Arial"/>
          <w:b/>
          <w:bCs/>
          <w:i/>
          <w:sz w:val="24"/>
          <w:szCs w:val="24"/>
        </w:rPr>
        <w:t>Se acuerda:  1</w:t>
      </w:r>
      <w:r w:rsidRPr="00A24455">
        <w:rPr>
          <w:rFonts w:ascii="Book Antiqua" w:eastAsia="Calibri" w:hAnsi="Book Antiqua" w:cs="Arial"/>
          <w:i/>
          <w:sz w:val="24"/>
          <w:szCs w:val="24"/>
        </w:rPr>
        <w:t xml:space="preserve">) Aprobar que la Dirección de Planificación asuma la Dirección de la Reforma Procesal de Familia y sea acompañada por el Juez Gestor de la materia y esta Comisión. </w:t>
      </w:r>
      <w:r w:rsidRPr="00A24455">
        <w:rPr>
          <w:rFonts w:ascii="Book Antiqua" w:eastAsia="Calibri" w:hAnsi="Book Antiqua" w:cs="Arial"/>
          <w:b/>
          <w:bCs/>
          <w:i/>
          <w:sz w:val="24"/>
          <w:szCs w:val="24"/>
        </w:rPr>
        <w:t>2)</w:t>
      </w:r>
      <w:r w:rsidRPr="00A24455">
        <w:rPr>
          <w:rFonts w:ascii="Book Antiqua" w:eastAsia="Calibri" w:hAnsi="Book Antiqua" w:cs="Arial"/>
          <w:i/>
          <w:sz w:val="24"/>
          <w:szCs w:val="24"/>
        </w:rPr>
        <w:t xml:space="preserve"> La Comisión de Familia, asume el compromiso de brindar el apoyo que corresponda en la parte que le compete.</w:t>
      </w:r>
    </w:p>
    <w:p w14:paraId="29DB4EB4" w14:textId="77777777" w:rsidR="002E0577" w:rsidRDefault="002E0577" w:rsidP="00A24455">
      <w:pPr>
        <w:spacing w:after="0" w:line="276" w:lineRule="auto"/>
        <w:ind w:left="567" w:right="616"/>
        <w:jc w:val="both"/>
        <w:rPr>
          <w:rFonts w:ascii="Book Antiqua" w:eastAsia="Calibri" w:hAnsi="Book Antiqua" w:cs="Arial"/>
          <w:i/>
          <w:sz w:val="24"/>
          <w:szCs w:val="24"/>
        </w:rPr>
      </w:pPr>
    </w:p>
    <w:p w14:paraId="2AF33B0A" w14:textId="62B6FA3C" w:rsidR="002E0577" w:rsidRDefault="002E0577" w:rsidP="002E0577">
      <w:pPr>
        <w:spacing w:after="0" w:line="276" w:lineRule="auto"/>
        <w:ind w:left="567" w:right="616"/>
        <w:jc w:val="both"/>
        <w:rPr>
          <w:rFonts w:ascii="Book Antiqua" w:eastAsia="Calibri" w:hAnsi="Book Antiqua" w:cs="Arial"/>
          <w:i/>
          <w:sz w:val="24"/>
          <w:szCs w:val="24"/>
        </w:rPr>
      </w:pPr>
      <w:r w:rsidRPr="002E0577">
        <w:rPr>
          <w:rFonts w:ascii="Book Antiqua" w:eastAsia="Calibri" w:hAnsi="Book Antiqua" w:cs="Arial"/>
          <w:i/>
          <w:sz w:val="24"/>
          <w:szCs w:val="24"/>
        </w:rPr>
        <w:t>Se tiene como acuerdo firme.”.</w:t>
      </w:r>
    </w:p>
    <w:p w14:paraId="20AAB76D" w14:textId="77777777" w:rsidR="00026A8D" w:rsidRPr="002E0577" w:rsidRDefault="00026A8D" w:rsidP="002E0577">
      <w:pPr>
        <w:spacing w:after="0" w:line="276" w:lineRule="auto"/>
        <w:ind w:left="567" w:right="616"/>
        <w:jc w:val="both"/>
        <w:rPr>
          <w:rFonts w:ascii="Book Antiqua" w:eastAsia="Calibri" w:hAnsi="Book Antiqua" w:cs="Arial"/>
          <w:i/>
          <w:sz w:val="24"/>
          <w:szCs w:val="24"/>
        </w:rPr>
      </w:pPr>
    </w:p>
    <w:p w14:paraId="57722774" w14:textId="45DBAC8F" w:rsidR="002E0577" w:rsidRDefault="002E0577" w:rsidP="001D0C10">
      <w:pPr>
        <w:spacing w:after="0" w:line="276" w:lineRule="auto"/>
        <w:ind w:right="49"/>
        <w:jc w:val="both"/>
        <w:rPr>
          <w:rFonts w:ascii="Book Antiqua" w:eastAsia="Calibri" w:hAnsi="Book Antiqua" w:cs="Arial"/>
          <w:sz w:val="24"/>
          <w:szCs w:val="24"/>
        </w:rPr>
      </w:pPr>
      <w:r w:rsidRPr="002E0577">
        <w:rPr>
          <w:rFonts w:ascii="Book Antiqua" w:eastAsia="Calibri" w:hAnsi="Book Antiqua" w:cs="Arial"/>
          <w:sz w:val="24"/>
          <w:szCs w:val="24"/>
        </w:rPr>
        <w:t>Oficios 991-PLA-ES-EV-2020 y 1004-PLA-ES-2020 aprobados por el Consejo Superior en sesión 70-2020 celebrada el 09 de julio del 2020, artículo LVIII donde acordó</w:t>
      </w:r>
      <w:r w:rsidR="008A348D">
        <w:rPr>
          <w:rFonts w:ascii="Book Antiqua" w:eastAsia="Calibri" w:hAnsi="Book Antiqua" w:cs="Arial"/>
          <w:sz w:val="24"/>
          <w:szCs w:val="24"/>
        </w:rPr>
        <w:t xml:space="preserve"> el plan de trabajo para atender esas recomendaciones según responsable</w:t>
      </w:r>
      <w:r w:rsidRPr="002E0577">
        <w:rPr>
          <w:rFonts w:ascii="Book Antiqua" w:eastAsia="Calibri" w:hAnsi="Book Antiqua" w:cs="Arial"/>
          <w:sz w:val="24"/>
          <w:szCs w:val="24"/>
        </w:rPr>
        <w:t>:</w:t>
      </w:r>
    </w:p>
    <w:p w14:paraId="72F976C5"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b/>
          <w:bCs/>
          <w:i/>
          <w:sz w:val="24"/>
          <w:szCs w:val="24"/>
        </w:rPr>
        <w:t>“Se acordó:</w:t>
      </w:r>
      <w:r w:rsidRPr="00210D0A">
        <w:rPr>
          <w:rFonts w:ascii="Book Antiqua" w:eastAsia="Calibri" w:hAnsi="Book Antiqua" w:cs="Arial"/>
          <w:i/>
          <w:sz w:val="24"/>
          <w:szCs w:val="24"/>
        </w:rPr>
        <w:t xml:space="preserve"> 1.) Tener por rendido el oficio N° 991-PLA-EV-ES-2020 de la Dirección de Planificación, relacionado con la gestión del Poder Judicial en cuanto a la oportunidad de la prestación del servicio público de administración de la justicia de los Juzgados de Familia y de Pensiones Alimentarias, esto con la aprobación de la Ley 9747 “Código Procesal de Familia”, con la entrada en vigencia el 1° de octubre de 2020. 2.)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 3.) Aprobar el plan de trabajo establecido por la Dirección de Planificación en el punto 9 de este informe, para brindar </w:t>
      </w:r>
      <w:r w:rsidRPr="00210D0A">
        <w:rPr>
          <w:rFonts w:ascii="Book Antiqua" w:eastAsia="Calibri" w:hAnsi="Book Antiqua" w:cs="Arial"/>
          <w:i/>
          <w:sz w:val="24"/>
          <w:szCs w:val="24"/>
        </w:rPr>
        <w:lastRenderedPageBreak/>
        <w:t>cumplimiento a lo establecido por la Contraloría General de la República en el estudio DFOE-PG-IF-00002-2020 relacionado con “Informe de la Auditoría Operativa sobre la Gestión del Poder Judicial en cuanto a la Oportunidad de la Prestación del Servicio Público de Administración de la Justicia de los Juzgados de Familia y de Pensiones Alimentarias”. 4.) Aprobar las giras y suministros de protección, solicitados en el punto 9.12 y conforme a la circular 22-PROV-2020 del Departamento de Proveeduría, para la realización de las giras para las personas trabajadoras de la Dirección de Planificación, tomando en consideración las medidas sanitarias en contra de disminuir el contagio del COVID-19. 5.) Aprobar los requerimientos solicitados a la Dirección de Tecnología de la Información, para la implementación de las recomendaciones emitidas por la Contraloría General de la República en el estudio DFOE-PG-IF-00002-2020, según se establece en el punto 11 de este informe. 6) Comunicar a los despachos judiciales en materia de familia y pensiones alimentarias que a partir de la carga generada del mes de agosto 2020 se incluirá dentro de las inconsistencias a revisar y corregir mensualmente las siguientes variables:</w:t>
      </w:r>
    </w:p>
    <w:p w14:paraId="419ED90C"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Expedientes con fecha de entrada mayor a la fecha de término.</w:t>
      </w:r>
    </w:p>
    <w:p w14:paraId="05F969BE"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Expedientes donde la clase de asunto asignada no corresponde a las aprobadas por la Comisión de Familia, Niñez y Adolescencia. </w:t>
      </w:r>
    </w:p>
    <w:p w14:paraId="4C5A6355"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Expedientes donde el procedimiento asignado no corresponde a los aprobados por la Comisión de Familia, Niñez y Adolescencia.</w:t>
      </w:r>
    </w:p>
    <w:p w14:paraId="42A18E64"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Expedientes donde el principal se encuentra cerrado estadísticamente, pero tiene un incidente o legajo de apremio que se está tramitando.</w:t>
      </w:r>
    </w:p>
    <w:p w14:paraId="4AE07C5A"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Expedientes donde la fecha de pase a fallo sea menor a la fecha de dictado de sentencia. </w:t>
      </w:r>
    </w:p>
    <w:p w14:paraId="210F635C"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 xml:space="preserve">7.) Reiterar a los despachos judiciales en materia de familia y pensiones alimentarias las circulares 87-15, 159-15, 27 y 28-16, 160-16, 89-18, 133-18 y 94-2019 con relación a la obligación de mantener todos los registros actualizados en el Sistema de Gestión y Escritorio Virtual. Aclarando que los datos que se visualizan en los reportes de inconsistencias estadístico que se generan hoy día son: </w:t>
      </w:r>
    </w:p>
    <w:p w14:paraId="66639204"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p>
    <w:p w14:paraId="14E59C3E"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Datos generales: variable acorde al tipo de carpeta.</w:t>
      </w:r>
    </w:p>
    <w:p w14:paraId="47A7A282"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Datos de seguimiento: procedimiento, fase y estado</w:t>
      </w:r>
    </w:p>
    <w:p w14:paraId="0512209C"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Responsables: decisor, tramitador y auxiliar. </w:t>
      </w:r>
    </w:p>
    <w:p w14:paraId="2379A9CF"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Ubicaciones y tareas: que coincida con la fase. </w:t>
      </w:r>
    </w:p>
    <w:p w14:paraId="0D743954"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lastRenderedPageBreak/>
        <w:t>•</w:t>
      </w:r>
      <w:r w:rsidRPr="00210D0A">
        <w:rPr>
          <w:rFonts w:ascii="Book Antiqua" w:eastAsia="Calibri" w:hAnsi="Book Antiqua" w:cs="Arial"/>
          <w:i/>
          <w:sz w:val="24"/>
          <w:szCs w:val="24"/>
        </w:rPr>
        <w:tab/>
        <w:t>Sello de inventario: opción inventario 2020.</w:t>
      </w:r>
    </w:p>
    <w:p w14:paraId="3EC7F7CC"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Intervinientes: sexo, edad, nacionalidad, domicilio, ocupación, estado civil, fecha de nacimiento, Grupo étnico.</w:t>
      </w:r>
    </w:p>
    <w:p w14:paraId="187A345D"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w:t>
      </w:r>
      <w:r w:rsidRPr="00210D0A">
        <w:rPr>
          <w:rFonts w:ascii="Book Antiqua" w:eastAsia="Calibri" w:hAnsi="Book Antiqua" w:cs="Arial"/>
          <w:i/>
          <w:sz w:val="24"/>
          <w:szCs w:val="24"/>
        </w:rPr>
        <w:tab/>
        <w:t xml:space="preserve">Datos adicionales: Testimonio de piezas: tenga marca de si es o no un testimonio; Cantón de procedencia, procedencia. </w:t>
      </w:r>
    </w:p>
    <w:p w14:paraId="233792CD"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p>
    <w:p w14:paraId="26079319"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r w:rsidRPr="00210D0A">
        <w:rPr>
          <w:rFonts w:ascii="Book Antiqua" w:eastAsia="Calibri" w:hAnsi="Book Antiqua" w:cs="Arial"/>
          <w:i/>
          <w:sz w:val="24"/>
          <w:szCs w:val="24"/>
        </w:rPr>
        <w:t>Por lo anterior, indicado las personas servidoras deben velar por el debido registro de la información, igualmente los jueces coordinadores y juezas coordinadoras deberán informar que los datos registrados en sus sistemas, es la que se encuentra activa en sus despachos y que corresponde a la realidad actual de los registros, esto al mes de diciembre, ya que es lo que solicita la Contraloría General de la República.</w:t>
      </w:r>
    </w:p>
    <w:p w14:paraId="0BA2EAA5" w14:textId="77777777" w:rsidR="00210D0A" w:rsidRPr="00210D0A" w:rsidRDefault="00210D0A" w:rsidP="00210D0A">
      <w:pPr>
        <w:spacing w:after="0" w:line="276" w:lineRule="auto"/>
        <w:ind w:left="567" w:right="616"/>
        <w:jc w:val="both"/>
        <w:rPr>
          <w:rFonts w:ascii="Book Antiqua" w:eastAsia="Calibri" w:hAnsi="Book Antiqua" w:cs="Arial"/>
          <w:i/>
          <w:sz w:val="24"/>
          <w:szCs w:val="24"/>
        </w:rPr>
      </w:pPr>
    </w:p>
    <w:p w14:paraId="04107724" w14:textId="6259B200" w:rsidR="00210D0A" w:rsidRDefault="00210D0A" w:rsidP="00210D0A">
      <w:pPr>
        <w:spacing w:after="0" w:line="276" w:lineRule="auto"/>
        <w:ind w:left="567" w:right="616"/>
        <w:jc w:val="both"/>
        <w:rPr>
          <w:rFonts w:ascii="Book Antiqua" w:eastAsia="Calibri" w:hAnsi="Book Antiqua" w:cs="Arial"/>
          <w:b/>
          <w:bCs/>
          <w:i/>
          <w:sz w:val="24"/>
          <w:szCs w:val="24"/>
        </w:rPr>
      </w:pPr>
      <w:r w:rsidRPr="00210D0A">
        <w:rPr>
          <w:rFonts w:ascii="Book Antiqua" w:eastAsia="Calibri" w:hAnsi="Book Antiqua" w:cs="Arial"/>
          <w:i/>
          <w:sz w:val="24"/>
          <w:szCs w:val="24"/>
        </w:rPr>
        <w:t xml:space="preserve">8.) La Comisión de Familia, Niñez y Adolescencia deberá: a) Presentar a la Dirección de la Planificación la documentación del Proyecto que mantiene pendiente (el plan de gestión y el segundo avance, conforme al acuerdo del Consejo Superior sesión 108-2019 celebrada el 12 de diciembre de 2019, artículo LXXI), lo anterior para dar continuidad a plan de trabajo. b) Dar cumplimiento a lo indicado en el punto 12 de este oficio e informar su grado de avance según el plan de trabajo. 9.) El Centro de Apoyo, Coordinación y Mejoramiento de la Función Jurisdiccional deberá realizar en conjunto con el Subproceso de Evaluación de la Dirección de Planificación, una propuesta que plantee el apartado sobre la aplicación del Régimen Disciplinario ante el incumplimiento de las acciones establecidas en el procedimiento del Modelo de Sostenibilidad. 10.) El Despacho de la Presidencia dará el seguimiento respectivo con la finalidad de atender los plazos impuestos por la Contraloría General de la República. 11.) La Dirección de Tecnología de la Información deberá incluir el reporte 11.9.4., Reporte que permita visualizar clases de asuntos por tipo de carpeta por ejemplo un expediente principal con clase de asunto incidente cobro de honorario o como legajo de apremio dentro de los requerimientos actuales para el Sistema de Gestión nuevo. 12.) En cuanto al oficio N° 1004-PLA-ES-2020 del 6 de julio de 2020, emitido por la Dirección de Planificación, se acoge las recomendaciones indicadas, en consecuencia: a.) Se toma nota de las inconsistencias detectadas en las oficinas competentes en materia de Familia y Pensiones Alimentarias a nivel nacional en cumplimiento de la recomendación 4.8. del informe DFOE-PG-IF-00002-2020 de la Contraloría General de la República y el acuerdo del Consejo </w:t>
      </w:r>
      <w:r w:rsidRPr="00210D0A">
        <w:rPr>
          <w:rFonts w:ascii="Book Antiqua" w:eastAsia="Calibri" w:hAnsi="Book Antiqua" w:cs="Arial"/>
          <w:i/>
          <w:sz w:val="24"/>
          <w:szCs w:val="24"/>
        </w:rPr>
        <w:lastRenderedPageBreak/>
        <w:t xml:space="preserve">Superior 19-2020 celebrada el 10 de marzo del 2020, artículo LI. b.) Deberán las oficinas competentes en materia de Familia y Pensiones Alimentarias a nivel nacional corregir las inconsistencias detectadas en los presentes informes. c.) Reiterar las instrucciones y circulares a Despachos Judiciales en materia de pensiones alimentarias y de Familia la obligatoriedad de mantener los sistemas informáticos con la información actualiza y registrada de forma correcta. d.) A la Comisión de Familia Niñez y Adolescencia deberá tomar nota de los resultados obtenidos en las revisiones a nivel nacional de inconsistencias en materia de Familia y Pensiones Alimentarias con corte al 31 de mayo 2020, por lo que deberá reiterar a los Despachos Judiciales en materia de Familia y Pensiones Alimentarias el cumplimiento en cuanto a las obligaciones de mantener los sistemas informáticos actualizados. e.) El Centro de Apoyo, Coordinación y Mejoramiento de la Función Jurisdiccional, deberá dar seguimiento al cumplimiento de las recomendaciones aquí emitidas por parte de las oficinas judiciales. 13.) Hacer este acuerdo de conocimiento de la Dirección de Planificación, del Departamento de Tecnología de la Información, del Centro de Apoyo, Coordinación y Mejoramiento de la Función Jurisdiccional, del Despacho de la Presidencia, de la Comisión de Familia, Niñez y Adolescencia, de los despachos en materia de familia y pensiones alimentarias, de la Auditoría Judicial, de la Oficina de Control Interno y de la Contraloría General de la República, para lo que a cada una corresponda. 14.) La Dirección de Planificación realizará el seguimiento correspondiente e informará oportunamente a este Consejo lo pertinente. </w:t>
      </w:r>
      <w:r w:rsidRPr="00210D0A">
        <w:rPr>
          <w:rFonts w:ascii="Book Antiqua" w:eastAsia="Calibri" w:hAnsi="Book Antiqua" w:cs="Arial"/>
          <w:b/>
          <w:bCs/>
          <w:i/>
          <w:sz w:val="24"/>
          <w:szCs w:val="24"/>
        </w:rPr>
        <w:t>Se declara acuerdo firme.”.</w:t>
      </w:r>
    </w:p>
    <w:p w14:paraId="260EA76F" w14:textId="77777777" w:rsidR="004D77D0" w:rsidRPr="00210D0A" w:rsidRDefault="004D77D0" w:rsidP="00210D0A">
      <w:pPr>
        <w:spacing w:after="0" w:line="276" w:lineRule="auto"/>
        <w:ind w:left="567" w:right="616"/>
        <w:jc w:val="both"/>
        <w:rPr>
          <w:rFonts w:ascii="Book Antiqua" w:eastAsia="Calibri" w:hAnsi="Book Antiqua" w:cs="Arial"/>
          <w:b/>
          <w:bCs/>
          <w:sz w:val="24"/>
          <w:szCs w:val="24"/>
        </w:rPr>
      </w:pPr>
    </w:p>
    <w:p w14:paraId="2A06BD0C" w14:textId="76FCD021" w:rsidR="00210D0A" w:rsidRPr="00210D0A" w:rsidRDefault="00210D0A" w:rsidP="008A348D">
      <w:pPr>
        <w:widowControl w:val="0"/>
        <w:autoSpaceDE w:val="0"/>
        <w:autoSpaceDN w:val="0"/>
        <w:adjustRightInd w:val="0"/>
        <w:spacing w:after="0" w:line="276" w:lineRule="auto"/>
        <w:jc w:val="both"/>
        <w:rPr>
          <w:rFonts w:ascii="Book Antiqua" w:eastAsia="Arial Unicode MS" w:hAnsi="Book Antiqua" w:cs="Arial"/>
          <w:color w:val="000000"/>
          <w:sz w:val="24"/>
          <w:szCs w:val="24"/>
          <w:u w:color="000000"/>
          <w:lang w:val="es-ES" w:eastAsia="es-ES"/>
        </w:rPr>
      </w:pPr>
      <w:r w:rsidRPr="008E2A27">
        <w:rPr>
          <w:rFonts w:ascii="Book Antiqua" w:eastAsia="Arial Unicode MS" w:hAnsi="Book Antiqua" w:cs="Arial"/>
          <w:color w:val="000000"/>
          <w:sz w:val="24"/>
          <w:szCs w:val="24"/>
          <w:u w:color="000000"/>
          <w:lang w:val="es-ES" w:eastAsia="es-ES"/>
        </w:rPr>
        <w:t xml:space="preserve">Respecto a las recomendaciones dadas </w:t>
      </w:r>
      <w:r w:rsidR="0084665A">
        <w:rPr>
          <w:rFonts w:ascii="Book Antiqua" w:eastAsia="Arial Unicode MS" w:hAnsi="Book Antiqua" w:cs="Arial"/>
          <w:color w:val="000000"/>
          <w:sz w:val="24"/>
          <w:szCs w:val="24"/>
          <w:u w:color="000000"/>
          <w:lang w:val="es-ES" w:eastAsia="es-ES"/>
        </w:rPr>
        <w:t xml:space="preserve">de parte de </w:t>
      </w:r>
      <w:r w:rsidRPr="008E2A27">
        <w:rPr>
          <w:rFonts w:ascii="Book Antiqua" w:eastAsia="Arial Unicode MS" w:hAnsi="Book Antiqua" w:cs="Arial"/>
          <w:color w:val="000000"/>
          <w:sz w:val="24"/>
          <w:szCs w:val="24"/>
          <w:u w:color="000000"/>
          <w:lang w:val="es-ES" w:eastAsia="es-ES"/>
        </w:rPr>
        <w:t>la Contraloría General de la República</w:t>
      </w:r>
      <w:r w:rsidR="0084665A">
        <w:rPr>
          <w:rFonts w:ascii="Book Antiqua" w:eastAsia="Arial Unicode MS" w:hAnsi="Book Antiqua" w:cs="Arial"/>
          <w:color w:val="000000"/>
          <w:sz w:val="24"/>
          <w:szCs w:val="24"/>
          <w:u w:color="000000"/>
          <w:lang w:val="es-ES" w:eastAsia="es-ES"/>
        </w:rPr>
        <w:t>,</w:t>
      </w:r>
      <w:r w:rsidRPr="008E2A27">
        <w:rPr>
          <w:rFonts w:ascii="Book Antiqua" w:eastAsia="Arial Unicode MS" w:hAnsi="Book Antiqua" w:cs="Arial"/>
          <w:color w:val="000000"/>
          <w:sz w:val="24"/>
          <w:szCs w:val="24"/>
          <w:u w:color="000000"/>
          <w:lang w:val="es-ES" w:eastAsia="es-ES"/>
        </w:rPr>
        <w:t xml:space="preserve"> se</w:t>
      </w:r>
      <w:r w:rsidR="008E2A27" w:rsidRPr="008E2A27">
        <w:rPr>
          <w:rFonts w:ascii="Book Antiqua" w:eastAsia="Arial Unicode MS" w:hAnsi="Book Antiqua" w:cs="Arial"/>
          <w:color w:val="000000"/>
          <w:sz w:val="24"/>
          <w:szCs w:val="24"/>
          <w:u w:color="000000"/>
          <w:lang w:val="es-ES" w:eastAsia="es-ES"/>
        </w:rPr>
        <w:t xml:space="preserve"> emitieron los respectivos oficios en donde </w:t>
      </w:r>
      <w:r w:rsidR="008A348D">
        <w:rPr>
          <w:rFonts w:ascii="Book Antiqua" w:eastAsia="Arial Unicode MS" w:hAnsi="Book Antiqua" w:cs="Arial"/>
          <w:color w:val="000000"/>
          <w:sz w:val="24"/>
          <w:szCs w:val="24"/>
          <w:u w:color="000000"/>
          <w:lang w:val="es-ES" w:eastAsia="es-ES"/>
        </w:rPr>
        <w:t xml:space="preserve">se tiene por acreditado el cumplimiento </w:t>
      </w:r>
      <w:r w:rsidR="008A348D" w:rsidRPr="008A348D">
        <w:rPr>
          <w:rFonts w:ascii="Book Antiqua" w:eastAsia="Arial Unicode MS" w:hAnsi="Book Antiqua" w:cs="Arial"/>
          <w:color w:val="000000"/>
          <w:sz w:val="24"/>
          <w:szCs w:val="24"/>
          <w:u w:color="000000"/>
          <w:lang w:val="es-ES" w:eastAsia="es-ES"/>
        </w:rPr>
        <w:t>al 100% en 2021, ya el órgano contralor dio por finalizado el seguimiento al Poder Judicial y esto fue comunicado al Consejo Superior mediante oficio 1320-PLA-MI-2021 aprobado en sesión 02-2022 celebrada el 06 de enero del 2022, artículo XLI.</w:t>
      </w:r>
      <w:r w:rsidR="008A348D">
        <w:rPr>
          <w:rFonts w:ascii="Book Antiqua" w:eastAsia="Arial Unicode MS" w:hAnsi="Book Antiqua" w:cs="Arial"/>
          <w:color w:val="000000"/>
          <w:sz w:val="24"/>
          <w:szCs w:val="24"/>
          <w:u w:color="000000"/>
          <w:lang w:val="es-ES" w:eastAsia="es-ES"/>
        </w:rPr>
        <w:t xml:space="preserve"> La conclusión d</w:t>
      </w:r>
      <w:r w:rsidR="008E2A27" w:rsidRPr="008E2A27">
        <w:rPr>
          <w:rFonts w:ascii="Book Antiqua" w:eastAsia="Arial Unicode MS" w:hAnsi="Book Antiqua" w:cs="Arial"/>
          <w:color w:val="000000"/>
          <w:sz w:val="24"/>
          <w:szCs w:val="24"/>
          <w:u w:color="000000"/>
          <w:lang w:val="es-ES" w:eastAsia="es-ES"/>
        </w:rPr>
        <w:t>el proceso de seguimiento</w:t>
      </w:r>
      <w:r w:rsidR="008A348D">
        <w:rPr>
          <w:rFonts w:ascii="Book Antiqua" w:eastAsia="Arial Unicode MS" w:hAnsi="Book Antiqua" w:cs="Arial"/>
          <w:color w:val="000000"/>
          <w:sz w:val="24"/>
          <w:szCs w:val="24"/>
          <w:u w:color="000000"/>
          <w:lang w:val="es-ES" w:eastAsia="es-ES"/>
        </w:rPr>
        <w:t xml:space="preserve"> por parte de la Contraloría, </w:t>
      </w:r>
      <w:r w:rsidR="0084665A">
        <w:rPr>
          <w:rFonts w:ascii="Book Antiqua" w:eastAsia="Arial Unicode MS" w:hAnsi="Book Antiqua" w:cs="Arial"/>
          <w:color w:val="000000"/>
          <w:sz w:val="24"/>
          <w:szCs w:val="24"/>
          <w:u w:color="000000"/>
          <w:lang w:val="es-ES" w:eastAsia="es-ES"/>
        </w:rPr>
        <w:t xml:space="preserve"> </w:t>
      </w:r>
      <w:r w:rsidR="008A348D">
        <w:rPr>
          <w:rFonts w:ascii="Book Antiqua" w:eastAsia="Arial Unicode MS" w:hAnsi="Book Antiqua" w:cs="Arial"/>
          <w:color w:val="000000"/>
          <w:sz w:val="24"/>
          <w:szCs w:val="24"/>
          <w:u w:color="000000"/>
          <w:lang w:val="es-ES" w:eastAsia="es-ES"/>
        </w:rPr>
        <w:t>es comunicado</w:t>
      </w:r>
      <w:r w:rsidR="0084665A">
        <w:rPr>
          <w:rFonts w:ascii="Book Antiqua" w:eastAsia="Arial Unicode MS" w:hAnsi="Book Antiqua" w:cs="Arial"/>
          <w:color w:val="000000"/>
          <w:sz w:val="24"/>
          <w:szCs w:val="24"/>
          <w:u w:color="000000"/>
          <w:lang w:val="es-ES" w:eastAsia="es-ES"/>
        </w:rPr>
        <w:t xml:space="preserve"> sin perjuicio de la fiscalización posterior que pueda llevar a cabo y </w:t>
      </w:r>
      <w:r w:rsidR="008E2A27">
        <w:rPr>
          <w:rFonts w:ascii="Book Antiqua" w:eastAsia="Arial Unicode MS" w:hAnsi="Book Antiqua" w:cs="Arial"/>
          <w:color w:val="000000"/>
          <w:sz w:val="24"/>
          <w:szCs w:val="24"/>
          <w:u w:color="000000"/>
          <w:lang w:val="es-ES" w:eastAsia="es-ES"/>
        </w:rPr>
        <w:t>además</w:t>
      </w:r>
      <w:r w:rsidR="0084665A">
        <w:rPr>
          <w:rFonts w:ascii="Book Antiqua" w:eastAsia="Arial Unicode MS" w:hAnsi="Book Antiqua" w:cs="Arial"/>
          <w:color w:val="000000"/>
          <w:sz w:val="24"/>
          <w:szCs w:val="24"/>
          <w:u w:color="000000"/>
          <w:lang w:val="es-ES" w:eastAsia="es-ES"/>
        </w:rPr>
        <w:t xml:space="preserve"> reitera </w:t>
      </w:r>
      <w:r w:rsidR="008E2A27" w:rsidRPr="008E2A27">
        <w:rPr>
          <w:rFonts w:ascii="Book Antiqua" w:eastAsia="Arial Unicode MS" w:hAnsi="Book Antiqua" w:cs="Arial"/>
          <w:color w:val="000000"/>
          <w:sz w:val="24"/>
          <w:szCs w:val="24"/>
          <w:u w:color="000000"/>
          <w:lang w:val="es-ES" w:eastAsia="es-ES"/>
        </w:rPr>
        <w:t>la responsabilidad que compete a</w:t>
      </w:r>
      <w:r w:rsidR="008A348D">
        <w:rPr>
          <w:rFonts w:ascii="Book Antiqua" w:eastAsia="Arial Unicode MS" w:hAnsi="Book Antiqua" w:cs="Arial"/>
          <w:color w:val="000000"/>
          <w:sz w:val="24"/>
          <w:szCs w:val="24"/>
          <w:u w:color="000000"/>
          <w:lang w:val="es-ES" w:eastAsia="es-ES"/>
        </w:rPr>
        <w:t xml:space="preserve">l </w:t>
      </w:r>
      <w:r w:rsidR="008E2A27" w:rsidRPr="008E2A27">
        <w:rPr>
          <w:rFonts w:ascii="Book Antiqua" w:eastAsia="Arial Unicode MS" w:hAnsi="Book Antiqua" w:cs="Arial"/>
          <w:color w:val="000000"/>
          <w:sz w:val="24"/>
          <w:szCs w:val="24"/>
          <w:u w:color="000000"/>
          <w:lang w:val="es-ES" w:eastAsia="es-ES"/>
        </w:rPr>
        <w:t xml:space="preserve">Consejo Superior, de velar por la continuidad de las acciones implementadas en los Despachos Judiciales que atienden materia de Pensión Alimentaria y de Familia, </w:t>
      </w:r>
      <w:r w:rsidR="008E2A27">
        <w:rPr>
          <w:rFonts w:ascii="Book Antiqua" w:eastAsia="Arial Unicode MS" w:hAnsi="Book Antiqua" w:cs="Arial"/>
          <w:color w:val="000000"/>
          <w:sz w:val="24"/>
          <w:szCs w:val="24"/>
          <w:u w:color="000000"/>
          <w:lang w:val="es-ES" w:eastAsia="es-ES"/>
        </w:rPr>
        <w:t>a</w:t>
      </w:r>
      <w:r w:rsidR="008E2A27" w:rsidRPr="008E2A27">
        <w:rPr>
          <w:rFonts w:ascii="Book Antiqua" w:eastAsia="Arial Unicode MS" w:hAnsi="Book Antiqua" w:cs="Arial"/>
          <w:color w:val="000000"/>
          <w:sz w:val="24"/>
          <w:szCs w:val="24"/>
          <w:u w:color="000000"/>
          <w:lang w:val="es-ES" w:eastAsia="es-ES"/>
        </w:rPr>
        <w:t xml:space="preserve">sí como adoptar las acciones adicionales que se requieran en un futuro para que no se repitan las situaciones que motivaron la disposición </w:t>
      </w:r>
      <w:r w:rsidR="008A348D">
        <w:rPr>
          <w:rFonts w:ascii="Book Antiqua" w:eastAsia="Arial Unicode MS" w:hAnsi="Book Antiqua" w:cs="Arial"/>
          <w:color w:val="000000"/>
          <w:sz w:val="24"/>
          <w:szCs w:val="24"/>
          <w:u w:color="000000"/>
          <w:lang w:val="es-ES" w:eastAsia="es-ES"/>
        </w:rPr>
        <w:t>inicial</w:t>
      </w:r>
      <w:r w:rsidR="008E2A27" w:rsidRPr="008E2A27">
        <w:rPr>
          <w:rFonts w:ascii="Book Antiqua" w:eastAsia="Arial Unicode MS" w:hAnsi="Book Antiqua" w:cs="Arial"/>
          <w:color w:val="000000"/>
          <w:sz w:val="24"/>
          <w:szCs w:val="24"/>
          <w:u w:color="000000"/>
          <w:lang w:val="es-ES" w:eastAsia="es-ES"/>
        </w:rPr>
        <w:t>.</w:t>
      </w:r>
      <w:r w:rsidR="008E2A27">
        <w:rPr>
          <w:rFonts w:ascii="Book Antiqua" w:eastAsia="Arial Unicode MS" w:hAnsi="Book Antiqua" w:cs="Arial"/>
          <w:color w:val="000000"/>
          <w:sz w:val="24"/>
          <w:szCs w:val="24"/>
          <w:u w:color="000000"/>
          <w:lang w:val="es-ES" w:eastAsia="es-ES"/>
        </w:rPr>
        <w:t xml:space="preserve"> </w:t>
      </w:r>
      <w:r w:rsidRPr="00210D0A">
        <w:rPr>
          <w:rFonts w:ascii="Book Antiqua" w:eastAsia="Arial Unicode MS" w:hAnsi="Book Antiqua" w:cs="Arial"/>
          <w:color w:val="000000"/>
          <w:sz w:val="24"/>
          <w:szCs w:val="24"/>
          <w:u w:color="000000"/>
          <w:lang w:val="es-ES" w:eastAsia="es-ES"/>
        </w:rPr>
        <w:t xml:space="preserve">  </w:t>
      </w:r>
    </w:p>
    <w:p w14:paraId="5228CC44" w14:textId="77777777" w:rsidR="00D433A5" w:rsidRDefault="00D433A5" w:rsidP="008A348D">
      <w:pPr>
        <w:widowControl w:val="0"/>
        <w:autoSpaceDE w:val="0"/>
        <w:autoSpaceDN w:val="0"/>
        <w:adjustRightInd w:val="0"/>
        <w:spacing w:after="0" w:line="276" w:lineRule="auto"/>
        <w:jc w:val="both"/>
        <w:rPr>
          <w:rFonts w:ascii="Book Antiqua" w:eastAsia="Arial Unicode MS" w:hAnsi="Book Antiqua" w:cs="Arial"/>
          <w:color w:val="000000"/>
          <w:sz w:val="24"/>
          <w:szCs w:val="24"/>
          <w:u w:color="000000"/>
          <w:lang w:val="es-ES" w:eastAsia="es-ES"/>
        </w:rPr>
      </w:pPr>
    </w:p>
    <w:p w14:paraId="1B23D102" w14:textId="344B91E5" w:rsidR="008A348D" w:rsidRDefault="008A348D" w:rsidP="008A348D">
      <w:pPr>
        <w:widowControl w:val="0"/>
        <w:autoSpaceDE w:val="0"/>
        <w:autoSpaceDN w:val="0"/>
        <w:adjustRightInd w:val="0"/>
        <w:spacing w:after="0" w:line="276" w:lineRule="auto"/>
        <w:jc w:val="both"/>
        <w:rPr>
          <w:rFonts w:ascii="Book Antiqua" w:eastAsia="Arial Unicode MS" w:hAnsi="Book Antiqua" w:cs="Arial"/>
          <w:color w:val="000000"/>
          <w:sz w:val="24"/>
          <w:szCs w:val="24"/>
          <w:u w:color="000000"/>
          <w:lang w:val="es-ES" w:eastAsia="es-ES"/>
        </w:rPr>
      </w:pPr>
      <w:r w:rsidRPr="008A348D">
        <w:rPr>
          <w:rFonts w:ascii="Book Antiqua" w:eastAsia="Arial Unicode MS" w:hAnsi="Book Antiqua" w:cs="Arial"/>
          <w:color w:val="000000"/>
          <w:sz w:val="24"/>
          <w:szCs w:val="24"/>
          <w:u w:color="000000"/>
          <w:lang w:val="es-ES" w:eastAsia="es-ES"/>
        </w:rPr>
        <w:t xml:space="preserve">El resumen se presenta en el siguiente cuadro: </w:t>
      </w:r>
      <w:r w:rsidRPr="008E2A27">
        <w:rPr>
          <w:rFonts w:ascii="Book Antiqua" w:eastAsia="Arial Unicode MS" w:hAnsi="Book Antiqua" w:cs="Arial"/>
          <w:color w:val="000000"/>
          <w:sz w:val="24"/>
          <w:szCs w:val="24"/>
          <w:u w:color="000000"/>
          <w:lang w:val="es-ES" w:eastAsia="es-ES"/>
        </w:rPr>
        <w:t xml:space="preserve"> </w:t>
      </w:r>
    </w:p>
    <w:p w14:paraId="0C80C557" w14:textId="7A133399" w:rsidR="009216BC" w:rsidRDefault="009216BC" w:rsidP="008A348D">
      <w:pPr>
        <w:widowControl w:val="0"/>
        <w:autoSpaceDE w:val="0"/>
        <w:autoSpaceDN w:val="0"/>
        <w:adjustRightInd w:val="0"/>
        <w:spacing w:after="0" w:line="276" w:lineRule="auto"/>
        <w:jc w:val="both"/>
        <w:rPr>
          <w:rFonts w:ascii="Book Antiqua" w:eastAsia="Arial Unicode MS" w:hAnsi="Book Antiqua" w:cs="Arial"/>
          <w:color w:val="000000"/>
          <w:sz w:val="24"/>
          <w:szCs w:val="24"/>
          <w:u w:color="000000"/>
          <w:lang w:val="es-ES" w:eastAsia="es-ES"/>
        </w:rPr>
      </w:pPr>
    </w:p>
    <w:p w14:paraId="3E69BF86" w14:textId="32CC3DD7" w:rsidR="009216BC" w:rsidRPr="009216BC" w:rsidRDefault="009216BC" w:rsidP="009216B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9216BC">
        <w:rPr>
          <w:rFonts w:ascii="Book Antiqua" w:eastAsia="Calibri" w:hAnsi="Book Antiqua" w:cs="Arial"/>
          <w:b/>
          <w:bCs/>
          <w:color w:val="1F497D"/>
          <w:szCs w:val="24"/>
          <w:lang w:val="es-ES" w:eastAsia="es-ES"/>
        </w:rPr>
        <w:t xml:space="preserve">Cuadro </w:t>
      </w:r>
      <w:r w:rsidRPr="009216BC">
        <w:rPr>
          <w:rFonts w:ascii="Book Antiqua" w:eastAsia="Calibri" w:hAnsi="Book Antiqua" w:cs="Arial"/>
          <w:b/>
          <w:bCs/>
          <w:color w:val="1F497D"/>
          <w:szCs w:val="24"/>
          <w:lang w:val="es-ES" w:eastAsia="es-ES"/>
        </w:rPr>
        <w:fldChar w:fldCharType="begin"/>
      </w:r>
      <w:r w:rsidRPr="009216BC">
        <w:rPr>
          <w:rFonts w:ascii="Book Antiqua" w:eastAsia="Calibri" w:hAnsi="Book Antiqua" w:cs="Arial"/>
          <w:b/>
          <w:bCs/>
          <w:color w:val="1F497D"/>
          <w:szCs w:val="24"/>
          <w:lang w:val="es-ES" w:eastAsia="es-ES"/>
        </w:rPr>
        <w:instrText xml:space="preserve"> SEQ Cuadro \* ARABIC </w:instrText>
      </w:r>
      <w:r w:rsidRPr="009216BC">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1</w:t>
      </w:r>
      <w:r w:rsidRPr="009216BC">
        <w:rPr>
          <w:rFonts w:ascii="Book Antiqua" w:eastAsia="Calibri" w:hAnsi="Book Antiqua" w:cs="Arial"/>
          <w:b/>
          <w:bCs/>
          <w:color w:val="1F497D"/>
          <w:szCs w:val="24"/>
          <w:lang w:val="es-ES" w:eastAsia="es-ES"/>
        </w:rPr>
        <w:fldChar w:fldCharType="end"/>
      </w:r>
      <w:r w:rsidRPr="009216BC">
        <w:rPr>
          <w:rFonts w:ascii="Book Antiqua" w:eastAsia="Calibri" w:hAnsi="Book Antiqua" w:cs="Arial"/>
          <w:b/>
          <w:bCs/>
          <w:color w:val="1F497D"/>
          <w:szCs w:val="24"/>
          <w:lang w:val="es-ES" w:eastAsia="es-ES"/>
        </w:rPr>
        <w:t xml:space="preserve"> </w:t>
      </w:r>
    </w:p>
    <w:p w14:paraId="79E53E09" w14:textId="46E4E062" w:rsidR="009216BC" w:rsidRPr="009216BC" w:rsidRDefault="00960311" w:rsidP="009216BC">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Resumen de c</w:t>
      </w:r>
      <w:r w:rsidR="006D695A">
        <w:rPr>
          <w:rFonts w:ascii="Book Antiqua" w:eastAsia="Calibri" w:hAnsi="Book Antiqua" w:cs="Arial"/>
          <w:b/>
          <w:bCs/>
          <w:color w:val="1F497D"/>
          <w:szCs w:val="24"/>
          <w:lang w:val="es-ES" w:eastAsia="es-ES"/>
        </w:rPr>
        <w:t xml:space="preserve">umplimiento </w:t>
      </w:r>
      <w:r>
        <w:rPr>
          <w:rFonts w:ascii="Book Antiqua" w:eastAsia="Calibri" w:hAnsi="Book Antiqua" w:cs="Arial"/>
          <w:b/>
          <w:bCs/>
          <w:color w:val="1F497D"/>
          <w:szCs w:val="24"/>
          <w:lang w:val="es-ES" w:eastAsia="es-ES"/>
        </w:rPr>
        <w:t>de las r</w:t>
      </w:r>
      <w:r w:rsidR="006D695A">
        <w:rPr>
          <w:rFonts w:ascii="Book Antiqua" w:eastAsia="Calibri" w:hAnsi="Book Antiqua" w:cs="Arial"/>
          <w:b/>
          <w:bCs/>
          <w:color w:val="1F497D"/>
          <w:szCs w:val="24"/>
          <w:lang w:val="es-ES" w:eastAsia="es-ES"/>
        </w:rPr>
        <w:t>ecomendaciones de la CGR</w:t>
      </w:r>
    </w:p>
    <w:tbl>
      <w:tblPr>
        <w:tblW w:w="11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2"/>
        <w:gridCol w:w="1950"/>
        <w:gridCol w:w="2596"/>
        <w:gridCol w:w="2367"/>
      </w:tblGrid>
      <w:tr w:rsidR="008A348D" w:rsidRPr="00201631" w14:paraId="35BD275F" w14:textId="77777777" w:rsidTr="00035934">
        <w:trPr>
          <w:trHeight w:val="282"/>
          <w:jc w:val="center"/>
        </w:trPr>
        <w:tc>
          <w:tcPr>
            <w:tcW w:w="4532" w:type="dxa"/>
            <w:shd w:val="clear" w:color="auto" w:fill="0070C0"/>
            <w:vAlign w:val="center"/>
          </w:tcPr>
          <w:p w14:paraId="38DC7B10" w14:textId="77777777" w:rsidR="008A348D" w:rsidRPr="00201631" w:rsidRDefault="008A348D" w:rsidP="00035934">
            <w:pPr>
              <w:spacing w:line="276" w:lineRule="auto"/>
              <w:ind w:right="-1"/>
              <w:jc w:val="center"/>
              <w:rPr>
                <w:rFonts w:ascii="Book Antiqua" w:hAnsi="Book Antiqua"/>
                <w:b/>
                <w:bCs/>
                <w:color w:val="FFFFFF"/>
                <w:sz w:val="20"/>
                <w:szCs w:val="20"/>
              </w:rPr>
            </w:pPr>
            <w:r w:rsidRPr="00201631">
              <w:rPr>
                <w:rFonts w:ascii="Book Antiqua" w:hAnsi="Book Antiqua"/>
                <w:b/>
                <w:bCs/>
                <w:color w:val="FFFFFF"/>
                <w:sz w:val="20"/>
                <w:szCs w:val="20"/>
              </w:rPr>
              <w:t>Recomendación</w:t>
            </w:r>
          </w:p>
        </w:tc>
        <w:tc>
          <w:tcPr>
            <w:tcW w:w="1950" w:type="dxa"/>
            <w:shd w:val="clear" w:color="auto" w:fill="0070C0"/>
            <w:vAlign w:val="center"/>
          </w:tcPr>
          <w:p w14:paraId="7D69E6B5" w14:textId="77777777" w:rsidR="008A348D" w:rsidRPr="00201631" w:rsidRDefault="008A348D" w:rsidP="00035934">
            <w:pPr>
              <w:spacing w:line="276" w:lineRule="auto"/>
              <w:ind w:right="-1"/>
              <w:jc w:val="center"/>
              <w:rPr>
                <w:rFonts w:ascii="Book Antiqua" w:hAnsi="Book Antiqua"/>
                <w:b/>
                <w:bCs/>
                <w:color w:val="FFFFFF"/>
                <w:sz w:val="20"/>
                <w:szCs w:val="20"/>
              </w:rPr>
            </w:pPr>
            <w:r w:rsidRPr="00201631">
              <w:rPr>
                <w:rFonts w:ascii="Book Antiqua" w:hAnsi="Book Antiqua"/>
                <w:b/>
                <w:bCs/>
                <w:color w:val="FFFFFF"/>
                <w:sz w:val="20"/>
                <w:szCs w:val="20"/>
              </w:rPr>
              <w:t>Oficio de comunicación cumplimiento</w:t>
            </w:r>
          </w:p>
        </w:tc>
        <w:tc>
          <w:tcPr>
            <w:tcW w:w="2596" w:type="dxa"/>
            <w:shd w:val="clear" w:color="auto" w:fill="0070C0"/>
            <w:vAlign w:val="center"/>
          </w:tcPr>
          <w:p w14:paraId="62C49C0C" w14:textId="77777777" w:rsidR="008A348D" w:rsidRPr="00201631" w:rsidRDefault="008A348D" w:rsidP="00035934">
            <w:pPr>
              <w:spacing w:line="276" w:lineRule="auto"/>
              <w:ind w:right="-1"/>
              <w:jc w:val="center"/>
              <w:rPr>
                <w:rFonts w:ascii="Book Antiqua" w:hAnsi="Book Antiqua"/>
                <w:b/>
                <w:bCs/>
                <w:color w:val="FFFFFF"/>
                <w:sz w:val="20"/>
                <w:szCs w:val="20"/>
              </w:rPr>
            </w:pPr>
            <w:r w:rsidRPr="00201631">
              <w:rPr>
                <w:rFonts w:ascii="Book Antiqua" w:hAnsi="Book Antiqua"/>
                <w:b/>
                <w:bCs/>
                <w:color w:val="FFFFFF"/>
                <w:sz w:val="20"/>
                <w:szCs w:val="20"/>
              </w:rPr>
              <w:t>Acuerdo del Consejo Superior</w:t>
            </w:r>
          </w:p>
        </w:tc>
        <w:tc>
          <w:tcPr>
            <w:tcW w:w="2367" w:type="dxa"/>
            <w:shd w:val="clear" w:color="auto" w:fill="0070C0"/>
            <w:vAlign w:val="center"/>
          </w:tcPr>
          <w:p w14:paraId="2BA36096" w14:textId="77777777" w:rsidR="008A348D" w:rsidRPr="00201631" w:rsidRDefault="008A348D" w:rsidP="00035934">
            <w:pPr>
              <w:spacing w:line="276" w:lineRule="auto"/>
              <w:ind w:right="-1"/>
              <w:jc w:val="center"/>
              <w:rPr>
                <w:rFonts w:ascii="Book Antiqua" w:hAnsi="Book Antiqua"/>
                <w:b/>
                <w:bCs/>
                <w:color w:val="FFFFFF"/>
                <w:sz w:val="20"/>
                <w:szCs w:val="20"/>
              </w:rPr>
            </w:pPr>
            <w:r w:rsidRPr="00201631">
              <w:rPr>
                <w:rFonts w:ascii="Book Antiqua" w:hAnsi="Book Antiqua"/>
                <w:b/>
                <w:bCs/>
                <w:color w:val="FFFFFF"/>
                <w:sz w:val="20"/>
                <w:szCs w:val="20"/>
              </w:rPr>
              <w:t>Oficio de la CGR donde dio por atendida la recomendación</w:t>
            </w:r>
          </w:p>
        </w:tc>
      </w:tr>
      <w:tr w:rsidR="008A348D" w:rsidRPr="00201631" w14:paraId="499E9CE2" w14:textId="77777777" w:rsidTr="00035934">
        <w:trPr>
          <w:trHeight w:val="1830"/>
          <w:jc w:val="center"/>
        </w:trPr>
        <w:tc>
          <w:tcPr>
            <w:tcW w:w="4532" w:type="dxa"/>
            <w:vMerge w:val="restart"/>
            <w:shd w:val="clear" w:color="auto" w:fill="auto"/>
            <w:vAlign w:val="center"/>
          </w:tcPr>
          <w:p w14:paraId="349C28ED"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4.4 Definir e implementar rangos de duración de los procesos judiciales de familia y de pensiones alimentarias basados en datos que consideren como mínimo las particularidades de los juzgados, que le permitan contar con un insumo base para determinar la razonabilidad de la duración de dichos procesos a fin de monitorear la gestión de los juzgados desde una perspectiva que incluya su realidad. Al respecto, se le solicita remitir a esta Contraloría General, a más tardar el 31 de agosto de 2020, una certificación que acredite la definición de los rangos de duración de los procesos judiciales de familia de pensiones alimentarias conforme lo dispuesto, así como una certificación en la cual conste su implementación a más tardar el 30 de noviembre de 2020.</w:t>
            </w:r>
          </w:p>
        </w:tc>
        <w:tc>
          <w:tcPr>
            <w:tcW w:w="1950" w:type="dxa"/>
            <w:shd w:val="clear" w:color="auto" w:fill="auto"/>
            <w:vAlign w:val="center"/>
          </w:tcPr>
          <w:p w14:paraId="65DAD587"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1: 1212-PLA-EV-2020</w:t>
            </w:r>
          </w:p>
        </w:tc>
        <w:tc>
          <w:tcPr>
            <w:tcW w:w="2596" w:type="dxa"/>
            <w:shd w:val="clear" w:color="auto" w:fill="auto"/>
            <w:vAlign w:val="center"/>
          </w:tcPr>
          <w:p w14:paraId="173E762F"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Sesión 82-2020 celebrada el 20 de agosto del 2020, artículo XLI</w:t>
            </w:r>
          </w:p>
        </w:tc>
        <w:tc>
          <w:tcPr>
            <w:tcW w:w="2367" w:type="dxa"/>
            <w:vMerge w:val="restart"/>
            <w:vAlign w:val="center"/>
          </w:tcPr>
          <w:p w14:paraId="5248B041"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cs="Arial"/>
                <w:sz w:val="20"/>
                <w:szCs w:val="20"/>
                <w:lang w:eastAsia="es-CR"/>
              </w:rPr>
              <w:t>DFOE-SD-0618</w:t>
            </w:r>
          </w:p>
        </w:tc>
      </w:tr>
      <w:tr w:rsidR="008A348D" w:rsidRPr="00201631" w14:paraId="7ACF2EBF" w14:textId="77777777" w:rsidTr="00035934">
        <w:trPr>
          <w:trHeight w:val="984"/>
          <w:jc w:val="center"/>
        </w:trPr>
        <w:tc>
          <w:tcPr>
            <w:tcW w:w="4532" w:type="dxa"/>
            <w:vMerge/>
            <w:shd w:val="clear" w:color="auto" w:fill="auto"/>
            <w:vAlign w:val="center"/>
          </w:tcPr>
          <w:p w14:paraId="64F559D3"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3383D7AF"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1801-PLA-ES-EV- 2020</w:t>
            </w:r>
          </w:p>
        </w:tc>
        <w:tc>
          <w:tcPr>
            <w:tcW w:w="2596" w:type="dxa"/>
            <w:shd w:val="clear" w:color="auto" w:fill="auto"/>
            <w:vAlign w:val="center"/>
          </w:tcPr>
          <w:p w14:paraId="73712BEE" w14:textId="428F06A7" w:rsidR="008A348D" w:rsidRPr="001D0C10" w:rsidRDefault="008A348D" w:rsidP="00035934">
            <w:pPr>
              <w:autoSpaceDE w:val="0"/>
              <w:autoSpaceDN w:val="0"/>
              <w:adjustRightInd w:val="0"/>
              <w:jc w:val="both"/>
              <w:rPr>
                <w:rFonts w:ascii="Book Antiqua" w:hAnsi="Book Antiqua" w:cs="TimesNewRomanPS-BoldMT"/>
                <w:sz w:val="20"/>
                <w:szCs w:val="20"/>
                <w:lang w:eastAsia="es-CR"/>
              </w:rPr>
            </w:pPr>
            <w:r w:rsidRPr="00201631">
              <w:rPr>
                <w:rFonts w:ascii="Book Antiqua" w:hAnsi="Book Antiqua" w:cs="TimesNewRomanPS-BoldMT"/>
                <w:sz w:val="20"/>
                <w:szCs w:val="20"/>
                <w:lang w:eastAsia="es-CR"/>
              </w:rPr>
              <w:t xml:space="preserve">Sesión 111-2020 </w:t>
            </w:r>
            <w:r w:rsidRPr="00201631">
              <w:rPr>
                <w:rFonts w:ascii="Book Antiqua" w:hAnsi="Book Antiqua" w:cs="TimesNewRomanPSMT"/>
                <w:sz w:val="20"/>
                <w:szCs w:val="20"/>
                <w:lang w:eastAsia="es-CR"/>
              </w:rPr>
              <w:t xml:space="preserve">celebrada el </w:t>
            </w:r>
            <w:r w:rsidRPr="00201631">
              <w:rPr>
                <w:rFonts w:ascii="Book Antiqua" w:hAnsi="Book Antiqua" w:cs="TimesNewRomanPS-BoldMT"/>
                <w:sz w:val="20"/>
                <w:szCs w:val="20"/>
                <w:lang w:eastAsia="es-CR"/>
              </w:rPr>
              <w:t>17 de noviembre del</w:t>
            </w:r>
            <w:r w:rsidR="00707CDE">
              <w:rPr>
                <w:rFonts w:ascii="Book Antiqua" w:hAnsi="Book Antiqua" w:cs="TimesNewRomanPS-BoldMT"/>
                <w:sz w:val="20"/>
                <w:szCs w:val="20"/>
                <w:lang w:eastAsia="es-CR"/>
              </w:rPr>
              <w:t xml:space="preserve"> </w:t>
            </w:r>
            <w:r w:rsidRPr="00201631">
              <w:rPr>
                <w:rFonts w:ascii="Book Antiqua" w:hAnsi="Book Antiqua" w:cs="TimesNewRomanPS-BoldMT"/>
                <w:sz w:val="20"/>
                <w:szCs w:val="20"/>
                <w:lang w:eastAsia="es-CR"/>
              </w:rPr>
              <w:t xml:space="preserve">2020, </w:t>
            </w:r>
            <w:r w:rsidRPr="00201631">
              <w:rPr>
                <w:rFonts w:ascii="Book Antiqua" w:hAnsi="Book Antiqua" w:cs="TimesNewRomanPSMT"/>
                <w:sz w:val="20"/>
                <w:szCs w:val="20"/>
                <w:lang w:eastAsia="es-CR"/>
              </w:rPr>
              <w:t>artículo</w:t>
            </w:r>
            <w:r w:rsidRPr="00201631">
              <w:rPr>
                <w:rFonts w:ascii="Book Antiqua" w:hAnsi="Book Antiqua" w:cs="TimesNewRomanPS-BoldMT"/>
                <w:sz w:val="20"/>
                <w:szCs w:val="20"/>
                <w:lang w:eastAsia="es-CR"/>
              </w:rPr>
              <w:t xml:space="preserve"> XLVI</w:t>
            </w:r>
          </w:p>
        </w:tc>
        <w:tc>
          <w:tcPr>
            <w:tcW w:w="2367" w:type="dxa"/>
            <w:vMerge/>
            <w:vAlign w:val="center"/>
          </w:tcPr>
          <w:p w14:paraId="57AF4AA3" w14:textId="77777777" w:rsidR="008A348D" w:rsidRPr="00201631" w:rsidRDefault="008A348D" w:rsidP="00035934">
            <w:pPr>
              <w:autoSpaceDE w:val="0"/>
              <w:autoSpaceDN w:val="0"/>
              <w:adjustRightInd w:val="0"/>
              <w:jc w:val="both"/>
              <w:rPr>
                <w:rFonts w:ascii="Book Antiqua" w:hAnsi="Book Antiqua" w:cs="TimesNewRomanPS-BoldMT"/>
                <w:sz w:val="20"/>
                <w:szCs w:val="20"/>
                <w:lang w:eastAsia="es-CR"/>
              </w:rPr>
            </w:pPr>
          </w:p>
        </w:tc>
      </w:tr>
      <w:tr w:rsidR="008A348D" w:rsidRPr="00201631" w14:paraId="1266754C" w14:textId="77777777" w:rsidTr="00035934">
        <w:trPr>
          <w:trHeight w:val="2304"/>
          <w:jc w:val="center"/>
        </w:trPr>
        <w:tc>
          <w:tcPr>
            <w:tcW w:w="4532" w:type="dxa"/>
            <w:vMerge w:val="restart"/>
            <w:shd w:val="clear" w:color="auto" w:fill="auto"/>
            <w:vAlign w:val="center"/>
          </w:tcPr>
          <w:p w14:paraId="794145ED"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4.5. Diseñar y establecer formalmente la herramienta de “libro de pase a fallo”, con el objetivo de que se cuente con un mecanismo estandarizado para todos los juzgados que facilite el control del cumplimiento de los plazos establecidos en el artículo 45 de la Ley de Pensiones Alimentarias N.°7654 para el caso de esta materia y lo establecido en el Código de Familia y Código Procesal Civil según el tipo de proceso de familia que corresponda. Remitir a la Contraloría General a más tardar el 15 de octubre de 2020, una certificación que acredite el establecimiento formal de la herramienta, así como una certificación a más tardar el 15 de marzo de 2021 en la cual conste su implementación. Ver párrafo del 2.29 al 2.32 y del 2.39 al 2.40.</w:t>
            </w:r>
          </w:p>
        </w:tc>
        <w:tc>
          <w:tcPr>
            <w:tcW w:w="1950" w:type="dxa"/>
            <w:shd w:val="clear" w:color="auto" w:fill="auto"/>
            <w:vAlign w:val="center"/>
          </w:tcPr>
          <w:p w14:paraId="58248EB5"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1: 1534-PLA-EV-2020</w:t>
            </w:r>
          </w:p>
        </w:tc>
        <w:tc>
          <w:tcPr>
            <w:tcW w:w="2596" w:type="dxa"/>
            <w:shd w:val="clear" w:color="auto" w:fill="auto"/>
            <w:vAlign w:val="center"/>
          </w:tcPr>
          <w:p w14:paraId="0D83881A" w14:textId="77777777" w:rsidR="008A348D" w:rsidRPr="00201631" w:rsidRDefault="008A348D" w:rsidP="00035934">
            <w:pPr>
              <w:pStyle w:val="xmsonormal"/>
              <w:jc w:val="both"/>
              <w:rPr>
                <w:rFonts w:ascii="Book Antiqua" w:hAnsi="Book Antiqua"/>
                <w:sz w:val="20"/>
                <w:szCs w:val="20"/>
              </w:rPr>
            </w:pPr>
            <w:r w:rsidRPr="00201631">
              <w:rPr>
                <w:rFonts w:ascii="Book Antiqua" w:hAnsi="Book Antiqua"/>
                <w:sz w:val="20"/>
                <w:szCs w:val="20"/>
                <w:lang w:val="es-ES"/>
              </w:rPr>
              <w:t xml:space="preserve">Sesión 97-2020 celebrada el 08 de octubre del 2020, </w:t>
            </w:r>
            <w:bookmarkStart w:id="3" w:name="x__Toc53061176"/>
            <w:r w:rsidRPr="00201631">
              <w:rPr>
                <w:rFonts w:ascii="Book Antiqua" w:hAnsi="Book Antiqua"/>
                <w:sz w:val="20"/>
                <w:szCs w:val="20"/>
                <w:lang w:val="es-ES"/>
              </w:rPr>
              <w:t>artículo</w:t>
            </w:r>
            <w:r w:rsidRPr="00201631">
              <w:rPr>
                <w:rFonts w:ascii="Book Antiqua" w:hAnsi="Book Antiqua"/>
                <w:sz w:val="20"/>
                <w:szCs w:val="20"/>
                <w:lang w:val="es-419"/>
              </w:rPr>
              <w:t xml:space="preserve"> LI </w:t>
            </w:r>
            <w:bookmarkEnd w:id="3"/>
          </w:p>
          <w:p w14:paraId="0A0918D4" w14:textId="77777777" w:rsidR="008A348D" w:rsidRPr="00201631" w:rsidRDefault="008A348D" w:rsidP="00035934">
            <w:pPr>
              <w:spacing w:line="276" w:lineRule="auto"/>
              <w:ind w:right="-1"/>
              <w:jc w:val="both"/>
              <w:rPr>
                <w:rFonts w:ascii="Book Antiqua" w:hAnsi="Book Antiqua"/>
                <w:sz w:val="20"/>
                <w:szCs w:val="20"/>
              </w:rPr>
            </w:pPr>
          </w:p>
        </w:tc>
        <w:tc>
          <w:tcPr>
            <w:tcW w:w="2367" w:type="dxa"/>
            <w:vMerge w:val="restart"/>
            <w:vAlign w:val="center"/>
          </w:tcPr>
          <w:p w14:paraId="1A0A2627" w14:textId="77777777" w:rsidR="008A348D" w:rsidRPr="00201631" w:rsidRDefault="008A348D" w:rsidP="00035934">
            <w:pPr>
              <w:pStyle w:val="xmsonormal"/>
              <w:jc w:val="both"/>
              <w:rPr>
                <w:rFonts w:ascii="Book Antiqua" w:hAnsi="Book Antiqua"/>
                <w:sz w:val="20"/>
                <w:szCs w:val="20"/>
                <w:lang w:val="es-ES"/>
              </w:rPr>
            </w:pPr>
            <w:r w:rsidRPr="00201631">
              <w:rPr>
                <w:rFonts w:ascii="Book Antiqua" w:hAnsi="Book Antiqua" w:cs="Arial-BoldMT"/>
                <w:sz w:val="20"/>
                <w:szCs w:val="20"/>
              </w:rPr>
              <w:t>DFOE-SEM-0325</w:t>
            </w:r>
          </w:p>
        </w:tc>
      </w:tr>
      <w:tr w:rsidR="008A348D" w:rsidRPr="00201631" w14:paraId="7059624D" w14:textId="77777777" w:rsidTr="00035934">
        <w:trPr>
          <w:trHeight w:val="1261"/>
          <w:jc w:val="center"/>
        </w:trPr>
        <w:tc>
          <w:tcPr>
            <w:tcW w:w="4532" w:type="dxa"/>
            <w:vMerge/>
            <w:shd w:val="clear" w:color="auto" w:fill="auto"/>
            <w:vAlign w:val="center"/>
          </w:tcPr>
          <w:p w14:paraId="7FAE90E3"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66F96214" w14:textId="77777777" w:rsidR="008A348D" w:rsidRPr="00201631" w:rsidRDefault="008A348D" w:rsidP="00035934">
            <w:pPr>
              <w:tabs>
                <w:tab w:val="left" w:pos="7728"/>
              </w:tabs>
              <w:spacing w:line="276" w:lineRule="auto"/>
              <w:jc w:val="both"/>
              <w:rPr>
                <w:rFonts w:ascii="Book Antiqua" w:hAnsi="Book Antiqua" w:cs="Book Antiqua"/>
                <w:sz w:val="20"/>
                <w:szCs w:val="20"/>
              </w:rPr>
            </w:pPr>
            <w:r w:rsidRPr="00201631">
              <w:rPr>
                <w:rFonts w:ascii="Book Antiqua" w:hAnsi="Book Antiqua"/>
                <w:sz w:val="20"/>
                <w:szCs w:val="20"/>
              </w:rPr>
              <w:t xml:space="preserve">Meta 2: </w:t>
            </w:r>
            <w:r w:rsidRPr="00201631">
              <w:rPr>
                <w:rFonts w:ascii="Book Antiqua" w:hAnsi="Book Antiqua" w:cs="Book Antiqua"/>
                <w:sz w:val="20"/>
                <w:szCs w:val="20"/>
              </w:rPr>
              <w:t>199-PLA-MI-2021</w:t>
            </w:r>
          </w:p>
          <w:p w14:paraId="08347ECC" w14:textId="77777777" w:rsidR="008A348D" w:rsidRPr="00201631" w:rsidRDefault="008A348D" w:rsidP="00035934">
            <w:pPr>
              <w:spacing w:line="276" w:lineRule="auto"/>
              <w:ind w:right="-1"/>
              <w:jc w:val="both"/>
              <w:rPr>
                <w:rFonts w:ascii="Book Antiqua" w:hAnsi="Book Antiqua"/>
                <w:sz w:val="20"/>
                <w:szCs w:val="20"/>
              </w:rPr>
            </w:pPr>
          </w:p>
        </w:tc>
        <w:tc>
          <w:tcPr>
            <w:tcW w:w="2596" w:type="dxa"/>
            <w:shd w:val="clear" w:color="auto" w:fill="auto"/>
            <w:vAlign w:val="center"/>
          </w:tcPr>
          <w:p w14:paraId="1B0B6305" w14:textId="26F6CFBC" w:rsidR="008A348D" w:rsidRPr="001D0C10" w:rsidRDefault="008A348D" w:rsidP="001D0C10">
            <w:pPr>
              <w:pStyle w:val="wordsection1"/>
              <w:jc w:val="both"/>
              <w:rPr>
                <w:rFonts w:ascii="Book Antiqua" w:hAnsi="Book Antiqua"/>
                <w:sz w:val="20"/>
                <w:szCs w:val="20"/>
                <w:lang w:val="es-ES" w:eastAsia="ar-SA"/>
              </w:rPr>
            </w:pPr>
            <w:r w:rsidRPr="00201631">
              <w:rPr>
                <w:rFonts w:ascii="Book Antiqua" w:hAnsi="Book Antiqua"/>
                <w:sz w:val="20"/>
                <w:szCs w:val="20"/>
                <w:lang w:val="es-ES"/>
              </w:rPr>
              <w:t xml:space="preserve">Sesión 18-2021 celebrada el 04 de marzo de 2021, </w:t>
            </w:r>
            <w:bookmarkStart w:id="4" w:name="_Toc65509645"/>
            <w:r w:rsidRPr="00201631">
              <w:rPr>
                <w:rFonts w:ascii="Book Antiqua" w:hAnsi="Book Antiqua"/>
                <w:sz w:val="20"/>
                <w:szCs w:val="20"/>
                <w:lang w:val="es-ES"/>
              </w:rPr>
              <w:t xml:space="preserve">artículo XXXI </w:t>
            </w:r>
            <w:bookmarkEnd w:id="4"/>
          </w:p>
        </w:tc>
        <w:tc>
          <w:tcPr>
            <w:tcW w:w="2367" w:type="dxa"/>
            <w:vMerge/>
            <w:vAlign w:val="center"/>
          </w:tcPr>
          <w:p w14:paraId="1EE272C3" w14:textId="77777777" w:rsidR="008A348D" w:rsidRPr="00201631" w:rsidRDefault="008A348D" w:rsidP="00035934">
            <w:pPr>
              <w:pStyle w:val="wordsection1"/>
              <w:jc w:val="both"/>
              <w:rPr>
                <w:rFonts w:ascii="Book Antiqua" w:hAnsi="Book Antiqua"/>
                <w:sz w:val="20"/>
                <w:szCs w:val="20"/>
                <w:lang w:val="es-ES"/>
              </w:rPr>
            </w:pPr>
          </w:p>
        </w:tc>
      </w:tr>
      <w:tr w:rsidR="008A348D" w:rsidRPr="00201631" w14:paraId="18FD0D9C" w14:textId="77777777" w:rsidTr="00035934">
        <w:trPr>
          <w:trHeight w:val="1878"/>
          <w:jc w:val="center"/>
        </w:trPr>
        <w:tc>
          <w:tcPr>
            <w:tcW w:w="4532" w:type="dxa"/>
            <w:vMerge w:val="restart"/>
            <w:shd w:val="clear" w:color="auto" w:fill="auto"/>
            <w:vAlign w:val="center"/>
          </w:tcPr>
          <w:p w14:paraId="301D1E68"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lastRenderedPageBreak/>
              <w:t>Recomendación 4.6. Establecer e implementar instrumentos que faciliten la distribución de las cargas de trabajo a partir de parámetros técnicos y estadísticos en los que se considere el personal respecto del circulante que maneja el juzgado con el fin de propiciar una distribución uniforme de las cargas de trabajo en los despachos judiciales de familia y de pensiones. Remitir a la Contraloría General a más tardar el 31 de agosto de 2020, una certificación en la cual conste que se establecieron los instrumentos que faciliten la distribución de las cargas de trabajo a partir de parámetros técnicos y estadísticos; así como una certificación que acredite la implementación de los instrumentos solicitados a más tardar el 15 de enero de 2021. Ver párrafos del 2.41 al 2.45.</w:t>
            </w:r>
          </w:p>
        </w:tc>
        <w:tc>
          <w:tcPr>
            <w:tcW w:w="1950" w:type="dxa"/>
            <w:shd w:val="clear" w:color="auto" w:fill="auto"/>
            <w:vAlign w:val="center"/>
          </w:tcPr>
          <w:p w14:paraId="68244E20"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1: 1211-PLA-EV-2020</w:t>
            </w:r>
          </w:p>
        </w:tc>
        <w:tc>
          <w:tcPr>
            <w:tcW w:w="2596" w:type="dxa"/>
            <w:shd w:val="clear" w:color="auto" w:fill="auto"/>
            <w:vAlign w:val="center"/>
          </w:tcPr>
          <w:p w14:paraId="56B1CCA5" w14:textId="220E4CA0" w:rsidR="008A348D" w:rsidRPr="00201631" w:rsidRDefault="008A348D" w:rsidP="001D0C10">
            <w:pPr>
              <w:pStyle w:val="wordsection1"/>
              <w:jc w:val="both"/>
              <w:rPr>
                <w:rFonts w:ascii="Book Antiqua" w:hAnsi="Book Antiqua"/>
                <w:sz w:val="20"/>
                <w:szCs w:val="20"/>
              </w:rPr>
            </w:pPr>
            <w:r w:rsidRPr="00201631">
              <w:rPr>
                <w:rFonts w:ascii="Book Antiqua" w:hAnsi="Book Antiqua"/>
                <w:sz w:val="20"/>
                <w:szCs w:val="20"/>
                <w:lang w:val="es-ES"/>
              </w:rPr>
              <w:t>Sesión 82-2020 celebrada el 20 de agosto del 2020, artículo</w:t>
            </w:r>
            <w:r w:rsidRPr="00201631">
              <w:rPr>
                <w:rFonts w:ascii="Book Antiqua" w:hAnsi="Book Antiqua"/>
                <w:sz w:val="20"/>
                <w:szCs w:val="20"/>
              </w:rPr>
              <w:t xml:space="preserve"> XL </w:t>
            </w:r>
          </w:p>
        </w:tc>
        <w:tc>
          <w:tcPr>
            <w:tcW w:w="2367" w:type="dxa"/>
            <w:vMerge w:val="restart"/>
            <w:vAlign w:val="center"/>
          </w:tcPr>
          <w:p w14:paraId="7E04CB6D" w14:textId="77777777" w:rsidR="008A348D" w:rsidRPr="00201631" w:rsidRDefault="008A348D" w:rsidP="00035934">
            <w:pPr>
              <w:pStyle w:val="wordsection1"/>
              <w:jc w:val="both"/>
              <w:rPr>
                <w:rFonts w:ascii="Book Antiqua" w:hAnsi="Book Antiqua"/>
                <w:sz w:val="20"/>
                <w:szCs w:val="20"/>
                <w:lang w:val="es-ES"/>
              </w:rPr>
            </w:pPr>
            <w:r w:rsidRPr="00201631">
              <w:rPr>
                <w:rFonts w:ascii="Book Antiqua" w:hAnsi="Book Antiqua" w:cs="Arial-BoldMT"/>
                <w:sz w:val="20"/>
                <w:szCs w:val="20"/>
              </w:rPr>
              <w:t>DFOE-SEM-1239</w:t>
            </w:r>
          </w:p>
        </w:tc>
      </w:tr>
      <w:tr w:rsidR="008A348D" w:rsidRPr="00201631" w14:paraId="0264C6DB" w14:textId="77777777" w:rsidTr="00035934">
        <w:trPr>
          <w:trHeight w:val="1691"/>
          <w:jc w:val="center"/>
        </w:trPr>
        <w:tc>
          <w:tcPr>
            <w:tcW w:w="4532" w:type="dxa"/>
            <w:vMerge/>
            <w:shd w:val="clear" w:color="auto" w:fill="auto"/>
            <w:vAlign w:val="center"/>
          </w:tcPr>
          <w:p w14:paraId="3EFFDAA3" w14:textId="77777777" w:rsidR="008A348D" w:rsidRPr="00201631" w:rsidRDefault="008A348D" w:rsidP="00035934">
            <w:pPr>
              <w:spacing w:line="276" w:lineRule="auto"/>
              <w:ind w:right="-1"/>
              <w:jc w:val="both"/>
              <w:rPr>
                <w:rFonts w:ascii="Book Antiqua" w:hAnsi="Book Antiqua"/>
                <w:i/>
                <w:iCs/>
                <w:sz w:val="20"/>
                <w:szCs w:val="20"/>
              </w:rPr>
            </w:pPr>
          </w:p>
        </w:tc>
        <w:tc>
          <w:tcPr>
            <w:tcW w:w="1950" w:type="dxa"/>
            <w:shd w:val="clear" w:color="auto" w:fill="auto"/>
            <w:vAlign w:val="center"/>
          </w:tcPr>
          <w:p w14:paraId="78736532"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792-PLA-MI-2021</w:t>
            </w:r>
          </w:p>
        </w:tc>
        <w:tc>
          <w:tcPr>
            <w:tcW w:w="2596" w:type="dxa"/>
            <w:shd w:val="clear" w:color="auto" w:fill="auto"/>
            <w:vAlign w:val="center"/>
          </w:tcPr>
          <w:p w14:paraId="6B8F6315" w14:textId="28390E9C" w:rsidR="008A348D" w:rsidRPr="001D0C10" w:rsidRDefault="008A348D" w:rsidP="001D0C10">
            <w:pPr>
              <w:pStyle w:val="wordsection1"/>
              <w:jc w:val="both"/>
              <w:rPr>
                <w:rFonts w:ascii="Book Antiqua" w:hAnsi="Book Antiqua"/>
                <w:b/>
                <w:bCs/>
                <w:sz w:val="20"/>
                <w:szCs w:val="20"/>
                <w:lang w:val="es-ES"/>
              </w:rPr>
            </w:pPr>
            <w:r w:rsidRPr="00201631">
              <w:rPr>
                <w:rFonts w:ascii="Book Antiqua" w:hAnsi="Book Antiqua"/>
                <w:sz w:val="20"/>
                <w:szCs w:val="20"/>
                <w:lang w:val="es-ES"/>
              </w:rPr>
              <w:t>Sesión 61-2021 celebrada el 22 de julio del 2021</w:t>
            </w:r>
            <w:bookmarkStart w:id="5" w:name="_Toc77604234"/>
            <w:r w:rsidRPr="00201631">
              <w:rPr>
                <w:rFonts w:ascii="Book Antiqua" w:hAnsi="Book Antiqua"/>
                <w:sz w:val="20"/>
                <w:szCs w:val="20"/>
                <w:lang w:val="es-ES"/>
              </w:rPr>
              <w:t>, artículo</w:t>
            </w:r>
            <w:r w:rsidRPr="00201631">
              <w:rPr>
                <w:rFonts w:ascii="Book Antiqua" w:hAnsi="Book Antiqua"/>
                <w:b/>
                <w:bCs/>
                <w:iCs/>
                <w:sz w:val="20"/>
                <w:szCs w:val="20"/>
                <w:lang w:val="es-ES"/>
              </w:rPr>
              <w:t xml:space="preserve"> </w:t>
            </w:r>
            <w:r w:rsidRPr="00201631">
              <w:rPr>
                <w:rFonts w:ascii="Book Antiqua" w:hAnsi="Book Antiqua"/>
                <w:iCs/>
                <w:sz w:val="20"/>
                <w:szCs w:val="20"/>
                <w:lang w:val="es-ES"/>
              </w:rPr>
              <w:t>XLVIII</w:t>
            </w:r>
            <w:bookmarkEnd w:id="5"/>
          </w:p>
        </w:tc>
        <w:tc>
          <w:tcPr>
            <w:tcW w:w="2367" w:type="dxa"/>
            <w:vMerge/>
            <w:vAlign w:val="center"/>
          </w:tcPr>
          <w:p w14:paraId="76D91E1A" w14:textId="77777777" w:rsidR="008A348D" w:rsidRPr="00201631" w:rsidRDefault="008A348D" w:rsidP="00035934">
            <w:pPr>
              <w:pStyle w:val="wordsection1"/>
              <w:jc w:val="both"/>
              <w:rPr>
                <w:rFonts w:ascii="Book Antiqua" w:hAnsi="Book Antiqua"/>
                <w:sz w:val="20"/>
                <w:szCs w:val="20"/>
                <w:lang w:val="es-ES"/>
              </w:rPr>
            </w:pPr>
          </w:p>
        </w:tc>
      </w:tr>
      <w:tr w:rsidR="008A348D" w:rsidRPr="00201631" w14:paraId="5D6682EE" w14:textId="77777777" w:rsidTr="00035934">
        <w:trPr>
          <w:trHeight w:val="1878"/>
          <w:jc w:val="center"/>
        </w:trPr>
        <w:tc>
          <w:tcPr>
            <w:tcW w:w="4532" w:type="dxa"/>
            <w:vMerge w:val="restart"/>
            <w:shd w:val="clear" w:color="auto" w:fill="auto"/>
            <w:vAlign w:val="center"/>
          </w:tcPr>
          <w:p w14:paraId="6F2D7953"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 4.7. Diseñar e implementar procedimientos relacionados con los procesos de retroalimentación y seguimiento de la gestión de los juzgados de familia y de pensiones alimentarias, considerando el artículo 15 inciso a) de la Ley General de Control Interno N.º 8292, así como la norma 4.1 de las Normas de Control Interno para Sector Público N-2-2009-CO-DFOE. Al respecto, se le solicita remitir a esta Contraloría General, a más tardar el 31 de agosto de 2020, una certificación que acredite el diseño de los procedimientos de retroalimentación, y otra certificación, a más tardar el 15 de enero de 2021, donde se haga constar que están siendo implementados. Ver párrafos del 2.46 al 2.48.</w:t>
            </w:r>
          </w:p>
        </w:tc>
        <w:tc>
          <w:tcPr>
            <w:tcW w:w="1950" w:type="dxa"/>
            <w:shd w:val="clear" w:color="auto" w:fill="auto"/>
            <w:vAlign w:val="center"/>
          </w:tcPr>
          <w:p w14:paraId="3E946715"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1: 1213-PLA-EV-2020</w:t>
            </w:r>
          </w:p>
        </w:tc>
        <w:tc>
          <w:tcPr>
            <w:tcW w:w="2596" w:type="dxa"/>
            <w:shd w:val="clear" w:color="auto" w:fill="auto"/>
            <w:vAlign w:val="center"/>
          </w:tcPr>
          <w:p w14:paraId="58DA2BFA" w14:textId="3ACA80FE" w:rsidR="008A348D" w:rsidRPr="00201631" w:rsidRDefault="008A348D" w:rsidP="001D0C10">
            <w:pPr>
              <w:jc w:val="both"/>
              <w:rPr>
                <w:rFonts w:ascii="Book Antiqua" w:hAnsi="Book Antiqua"/>
                <w:sz w:val="20"/>
                <w:szCs w:val="20"/>
              </w:rPr>
            </w:pPr>
            <w:r w:rsidRPr="00201631">
              <w:rPr>
                <w:rFonts w:ascii="Book Antiqua" w:hAnsi="Book Antiqua"/>
                <w:sz w:val="20"/>
                <w:szCs w:val="20"/>
              </w:rPr>
              <w:t>Sesión 82-2020 celebrada el 20 de agosto del 2020, artículo XLI</w:t>
            </w:r>
            <w:r w:rsidRPr="00201631">
              <w:rPr>
                <w:rFonts w:ascii="Book Antiqua" w:hAnsi="Book Antiqua"/>
                <w:color w:val="FF0000"/>
                <w:sz w:val="20"/>
                <w:szCs w:val="20"/>
              </w:rPr>
              <w:t xml:space="preserve"> </w:t>
            </w:r>
          </w:p>
        </w:tc>
        <w:tc>
          <w:tcPr>
            <w:tcW w:w="2367" w:type="dxa"/>
            <w:vMerge w:val="restart"/>
            <w:vAlign w:val="center"/>
          </w:tcPr>
          <w:p w14:paraId="44D5E95E" w14:textId="77777777" w:rsidR="008A348D" w:rsidRPr="00201631" w:rsidRDefault="008A348D" w:rsidP="00035934">
            <w:pPr>
              <w:jc w:val="both"/>
              <w:rPr>
                <w:rFonts w:ascii="Book Antiqua" w:hAnsi="Book Antiqua"/>
                <w:sz w:val="20"/>
                <w:szCs w:val="20"/>
              </w:rPr>
            </w:pPr>
            <w:r w:rsidRPr="00201631">
              <w:rPr>
                <w:rFonts w:ascii="Book Antiqua" w:hAnsi="Book Antiqua" w:cs="Arial"/>
                <w:sz w:val="20"/>
                <w:szCs w:val="20"/>
                <w:lang w:eastAsia="es-CR"/>
              </w:rPr>
              <w:t>DFOE-SD-0618</w:t>
            </w:r>
          </w:p>
        </w:tc>
      </w:tr>
      <w:tr w:rsidR="008A348D" w:rsidRPr="00201631" w14:paraId="48CD3FBA" w14:textId="77777777" w:rsidTr="00035934">
        <w:trPr>
          <w:trHeight w:val="1405"/>
          <w:jc w:val="center"/>
        </w:trPr>
        <w:tc>
          <w:tcPr>
            <w:tcW w:w="4532" w:type="dxa"/>
            <w:vMerge/>
            <w:shd w:val="clear" w:color="auto" w:fill="auto"/>
            <w:vAlign w:val="center"/>
          </w:tcPr>
          <w:p w14:paraId="40B9BEC0"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30D7A0DF"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2058-PLA-EV-2020</w:t>
            </w:r>
          </w:p>
        </w:tc>
        <w:tc>
          <w:tcPr>
            <w:tcW w:w="2596" w:type="dxa"/>
            <w:shd w:val="clear" w:color="auto" w:fill="auto"/>
            <w:vAlign w:val="center"/>
          </w:tcPr>
          <w:p w14:paraId="3FBAFC52" w14:textId="2E31249E" w:rsidR="008A348D" w:rsidRPr="00201631" w:rsidRDefault="008A348D" w:rsidP="001D0C10">
            <w:pPr>
              <w:pStyle w:val="xmsonormal"/>
              <w:jc w:val="both"/>
              <w:rPr>
                <w:rFonts w:ascii="Book Antiqua" w:hAnsi="Book Antiqua"/>
                <w:sz w:val="20"/>
                <w:szCs w:val="20"/>
              </w:rPr>
            </w:pPr>
            <w:r w:rsidRPr="00201631">
              <w:rPr>
                <w:rFonts w:ascii="Book Antiqua" w:hAnsi="Book Antiqua"/>
                <w:sz w:val="20"/>
                <w:szCs w:val="20"/>
                <w:lang w:val="es-ES"/>
              </w:rPr>
              <w:t>Sesión 2-2021 celebrada el 07 de enero del 2021, artículo</w:t>
            </w:r>
            <w:r w:rsidRPr="00201631">
              <w:rPr>
                <w:rFonts w:ascii="Book Antiqua" w:hAnsi="Book Antiqua"/>
                <w:sz w:val="20"/>
                <w:szCs w:val="20"/>
              </w:rPr>
              <w:t xml:space="preserve"> XXXIX </w:t>
            </w:r>
          </w:p>
        </w:tc>
        <w:tc>
          <w:tcPr>
            <w:tcW w:w="2367" w:type="dxa"/>
            <w:vMerge/>
            <w:vAlign w:val="center"/>
          </w:tcPr>
          <w:p w14:paraId="036EB2C7" w14:textId="77777777" w:rsidR="008A348D" w:rsidRPr="00201631" w:rsidRDefault="008A348D" w:rsidP="00035934">
            <w:pPr>
              <w:pStyle w:val="xmsonormal"/>
              <w:jc w:val="both"/>
              <w:rPr>
                <w:rFonts w:ascii="Book Antiqua" w:hAnsi="Book Antiqua"/>
                <w:sz w:val="20"/>
                <w:szCs w:val="20"/>
                <w:lang w:val="es-ES"/>
              </w:rPr>
            </w:pPr>
          </w:p>
        </w:tc>
      </w:tr>
      <w:tr w:rsidR="008A348D" w:rsidRPr="00201631" w14:paraId="3449A376" w14:textId="77777777" w:rsidTr="00035934">
        <w:trPr>
          <w:trHeight w:val="1761"/>
          <w:jc w:val="center"/>
        </w:trPr>
        <w:tc>
          <w:tcPr>
            <w:tcW w:w="4532" w:type="dxa"/>
            <w:vMerge w:val="restart"/>
            <w:shd w:val="clear" w:color="auto" w:fill="auto"/>
            <w:vAlign w:val="center"/>
          </w:tcPr>
          <w:p w14:paraId="0512AEB2" w14:textId="77777777" w:rsidR="008A348D" w:rsidRPr="00201631" w:rsidRDefault="008A348D" w:rsidP="00035934">
            <w:pPr>
              <w:spacing w:line="276" w:lineRule="auto"/>
              <w:ind w:right="-1"/>
              <w:jc w:val="both"/>
              <w:rPr>
                <w:rFonts w:ascii="Book Antiqua" w:hAnsi="Book Antiqua"/>
                <w:i/>
                <w:iCs/>
                <w:sz w:val="20"/>
                <w:szCs w:val="20"/>
              </w:rPr>
            </w:pPr>
          </w:p>
          <w:p w14:paraId="38C49A43"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 xml:space="preserve">4.8: Girar las instrucciones a quien corresponda para que se revise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 Remitir a esta Contraloría General, a más tardar el 16 de marzo de 2020, una certificación que </w:t>
            </w:r>
            <w:r w:rsidRPr="00201631">
              <w:rPr>
                <w:rFonts w:ascii="Book Antiqua" w:hAnsi="Book Antiqua"/>
                <w:i/>
                <w:iCs/>
                <w:sz w:val="20"/>
                <w:szCs w:val="20"/>
              </w:rPr>
              <w:lastRenderedPageBreak/>
              <w:t>acredite que se giraron las instrucciones solicitadas, a más tardar el 15 de julio de 2020 una certificación que acredite la identificación de las inconsistencias, así como una certificación a más tardar el 15 de diciembre de 2020 en la cual se haga constar su depuración</w:t>
            </w:r>
          </w:p>
        </w:tc>
        <w:tc>
          <w:tcPr>
            <w:tcW w:w="1950" w:type="dxa"/>
            <w:shd w:val="clear" w:color="auto" w:fill="auto"/>
            <w:vAlign w:val="center"/>
          </w:tcPr>
          <w:p w14:paraId="695ECDA3"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lastRenderedPageBreak/>
              <w:t xml:space="preserve">Meta 1: </w:t>
            </w:r>
            <w:r w:rsidRPr="00201631">
              <w:rPr>
                <w:rFonts w:ascii="Book Antiqua" w:hAnsi="Book Antiqua" w:cs="Arial"/>
                <w:sz w:val="20"/>
                <w:szCs w:val="20"/>
              </w:rPr>
              <w:t>2550-2020 de la Secretaría General de la Corte</w:t>
            </w:r>
          </w:p>
        </w:tc>
        <w:tc>
          <w:tcPr>
            <w:tcW w:w="2596" w:type="dxa"/>
            <w:shd w:val="clear" w:color="auto" w:fill="auto"/>
            <w:vAlign w:val="center"/>
          </w:tcPr>
          <w:p w14:paraId="7503C31F"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cs="Arial"/>
                <w:sz w:val="20"/>
                <w:szCs w:val="20"/>
              </w:rPr>
              <w:t>Sesión 19-2020 celebrada el 10 de marzo del 2020, artículo LI</w:t>
            </w:r>
          </w:p>
        </w:tc>
        <w:tc>
          <w:tcPr>
            <w:tcW w:w="2367" w:type="dxa"/>
            <w:vMerge w:val="restart"/>
            <w:vAlign w:val="center"/>
          </w:tcPr>
          <w:p w14:paraId="2C618575" w14:textId="77777777" w:rsidR="008A348D" w:rsidRPr="00201631" w:rsidRDefault="008A348D" w:rsidP="00035934">
            <w:pPr>
              <w:spacing w:line="276" w:lineRule="auto"/>
              <w:ind w:right="-1"/>
              <w:jc w:val="both"/>
              <w:rPr>
                <w:rFonts w:ascii="Book Antiqua" w:hAnsi="Book Antiqua" w:cs="Arial"/>
                <w:sz w:val="20"/>
                <w:szCs w:val="20"/>
              </w:rPr>
            </w:pPr>
            <w:r w:rsidRPr="00201631">
              <w:rPr>
                <w:rFonts w:ascii="Book Antiqua" w:hAnsi="Book Antiqua" w:cs="Arial-BoldMT"/>
                <w:sz w:val="20"/>
                <w:szCs w:val="20"/>
                <w:lang w:eastAsia="es-CR"/>
              </w:rPr>
              <w:t>DFOE-SEM-1239</w:t>
            </w:r>
          </w:p>
        </w:tc>
      </w:tr>
      <w:tr w:rsidR="008A348D" w:rsidRPr="00201631" w14:paraId="2E6C40D0" w14:textId="77777777" w:rsidTr="00035934">
        <w:trPr>
          <w:trHeight w:val="1545"/>
          <w:jc w:val="center"/>
        </w:trPr>
        <w:tc>
          <w:tcPr>
            <w:tcW w:w="4532" w:type="dxa"/>
            <w:vMerge/>
            <w:shd w:val="clear" w:color="auto" w:fill="auto"/>
            <w:vAlign w:val="center"/>
          </w:tcPr>
          <w:p w14:paraId="0810A410" w14:textId="77777777" w:rsidR="008A348D" w:rsidRPr="00201631" w:rsidRDefault="008A348D" w:rsidP="00035934">
            <w:pPr>
              <w:spacing w:line="276" w:lineRule="auto"/>
              <w:ind w:right="-1"/>
              <w:jc w:val="both"/>
              <w:rPr>
                <w:rFonts w:ascii="Book Antiqua" w:hAnsi="Book Antiqua"/>
                <w:i/>
                <w:iCs/>
                <w:sz w:val="20"/>
                <w:szCs w:val="20"/>
              </w:rPr>
            </w:pPr>
          </w:p>
        </w:tc>
        <w:tc>
          <w:tcPr>
            <w:tcW w:w="1950" w:type="dxa"/>
            <w:shd w:val="clear" w:color="auto" w:fill="auto"/>
            <w:vAlign w:val="center"/>
          </w:tcPr>
          <w:p w14:paraId="0172A427"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991-PLA-EV-ES-2020 y 1004-PLA-ES-2020</w:t>
            </w:r>
          </w:p>
        </w:tc>
        <w:tc>
          <w:tcPr>
            <w:tcW w:w="2596" w:type="dxa"/>
            <w:shd w:val="clear" w:color="auto" w:fill="auto"/>
            <w:vAlign w:val="center"/>
          </w:tcPr>
          <w:p w14:paraId="26101156"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cs="Arial"/>
                <w:sz w:val="20"/>
                <w:szCs w:val="20"/>
              </w:rPr>
              <w:t>Sesión 70-2020 celebrada el 09 de julio del 2020, artículo LVIII</w:t>
            </w:r>
          </w:p>
        </w:tc>
        <w:tc>
          <w:tcPr>
            <w:tcW w:w="2367" w:type="dxa"/>
            <w:vMerge/>
            <w:vAlign w:val="center"/>
          </w:tcPr>
          <w:p w14:paraId="5175C751" w14:textId="77777777" w:rsidR="008A348D" w:rsidRPr="00201631" w:rsidRDefault="008A348D" w:rsidP="00035934">
            <w:pPr>
              <w:spacing w:line="276" w:lineRule="auto"/>
              <w:ind w:right="-1"/>
              <w:jc w:val="both"/>
              <w:rPr>
                <w:rFonts w:ascii="Book Antiqua" w:hAnsi="Book Antiqua" w:cs="Arial"/>
                <w:sz w:val="20"/>
                <w:szCs w:val="20"/>
              </w:rPr>
            </w:pPr>
          </w:p>
        </w:tc>
      </w:tr>
      <w:tr w:rsidR="008A348D" w:rsidRPr="00201631" w14:paraId="6FAD8610" w14:textId="77777777" w:rsidTr="00035934">
        <w:trPr>
          <w:trHeight w:val="1118"/>
          <w:jc w:val="center"/>
        </w:trPr>
        <w:tc>
          <w:tcPr>
            <w:tcW w:w="4532" w:type="dxa"/>
            <w:vMerge/>
            <w:shd w:val="clear" w:color="auto" w:fill="auto"/>
            <w:vAlign w:val="center"/>
          </w:tcPr>
          <w:p w14:paraId="09FF2736" w14:textId="77777777" w:rsidR="008A348D" w:rsidRPr="00201631" w:rsidRDefault="008A348D" w:rsidP="00035934">
            <w:pPr>
              <w:spacing w:line="276" w:lineRule="auto"/>
              <w:ind w:right="-1"/>
              <w:jc w:val="both"/>
              <w:rPr>
                <w:rFonts w:ascii="Book Antiqua" w:hAnsi="Book Antiqua"/>
                <w:i/>
                <w:iCs/>
                <w:sz w:val="20"/>
                <w:szCs w:val="20"/>
              </w:rPr>
            </w:pPr>
          </w:p>
        </w:tc>
        <w:tc>
          <w:tcPr>
            <w:tcW w:w="1950" w:type="dxa"/>
            <w:shd w:val="clear" w:color="auto" w:fill="auto"/>
            <w:vAlign w:val="center"/>
          </w:tcPr>
          <w:p w14:paraId="1C8FE636"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3: 766-PLA-ES-MI-2021</w:t>
            </w:r>
          </w:p>
        </w:tc>
        <w:tc>
          <w:tcPr>
            <w:tcW w:w="2596" w:type="dxa"/>
            <w:shd w:val="clear" w:color="auto" w:fill="auto"/>
            <w:vAlign w:val="center"/>
          </w:tcPr>
          <w:p w14:paraId="4D24CCE6" w14:textId="0174EBEE" w:rsidR="008A348D" w:rsidRPr="00201631" w:rsidRDefault="008A348D" w:rsidP="001D0C10">
            <w:pPr>
              <w:jc w:val="both"/>
              <w:rPr>
                <w:rFonts w:ascii="Book Antiqua" w:hAnsi="Book Antiqua"/>
                <w:sz w:val="20"/>
                <w:szCs w:val="20"/>
              </w:rPr>
            </w:pPr>
            <w:r w:rsidRPr="00201631">
              <w:rPr>
                <w:rFonts w:ascii="Book Antiqua" w:hAnsi="Book Antiqua"/>
                <w:sz w:val="20"/>
                <w:szCs w:val="20"/>
              </w:rPr>
              <w:t>Sesión 61-2021 celebrada el 22 de julio de 2021, artículo XLVI</w:t>
            </w:r>
          </w:p>
        </w:tc>
        <w:tc>
          <w:tcPr>
            <w:tcW w:w="2367" w:type="dxa"/>
            <w:vMerge/>
            <w:vAlign w:val="center"/>
          </w:tcPr>
          <w:p w14:paraId="17D55F16" w14:textId="77777777" w:rsidR="008A348D" w:rsidRPr="00201631" w:rsidRDefault="008A348D" w:rsidP="00035934">
            <w:pPr>
              <w:jc w:val="both"/>
              <w:rPr>
                <w:rFonts w:ascii="Book Antiqua" w:hAnsi="Book Antiqua"/>
                <w:sz w:val="20"/>
                <w:szCs w:val="20"/>
              </w:rPr>
            </w:pPr>
          </w:p>
        </w:tc>
      </w:tr>
      <w:tr w:rsidR="008A348D" w:rsidRPr="00201631" w14:paraId="5A6C53C6" w14:textId="77777777" w:rsidTr="00035934">
        <w:trPr>
          <w:trHeight w:val="1737"/>
          <w:jc w:val="center"/>
        </w:trPr>
        <w:tc>
          <w:tcPr>
            <w:tcW w:w="4532" w:type="dxa"/>
            <w:vMerge w:val="restart"/>
            <w:shd w:val="clear" w:color="auto" w:fill="auto"/>
            <w:vAlign w:val="center"/>
          </w:tcPr>
          <w:p w14:paraId="6EFD010E"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4.9: Girar las instrucciones a quien corresponda para que se incorpore e implemente en el Sistema Costarricense de Gestión de Despachos Judiciales los mecanismos de validación y control que brinden una seguridad razonable sobre la información ingresada a este sistema, relacionada con los expedientes de los procesos de familia y de pensiones alimentarias, a fin de que mantenga los criterios de calidad necesarios. Enviar a la Contraloría General, a más tardar el 16 de marzo de 2020, una certificación que acredite que se giraron las instrucciones solicitadas, a más tardar al 30 de setiembre de 2020, una certificación que acredite que se incorporó al SCGDJ, los mecanismos de validación y control, asimismo, al 26 de febrero de 2021, una certificación que acredite que dichos mecanismos se encuentran en implementación. Ver párrafos del 2.50 al 2.59”.</w:t>
            </w:r>
          </w:p>
        </w:tc>
        <w:tc>
          <w:tcPr>
            <w:tcW w:w="1950" w:type="dxa"/>
            <w:shd w:val="clear" w:color="auto" w:fill="auto"/>
            <w:vAlign w:val="center"/>
          </w:tcPr>
          <w:p w14:paraId="7B1E6FFE"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 xml:space="preserve">Meta 1: </w:t>
            </w:r>
            <w:r w:rsidRPr="00201631">
              <w:rPr>
                <w:rFonts w:ascii="Book Antiqua" w:hAnsi="Book Antiqua" w:cs="Arial"/>
                <w:sz w:val="20"/>
                <w:szCs w:val="20"/>
              </w:rPr>
              <w:t>2550-2020 de la Secretaría General de la Corte</w:t>
            </w:r>
          </w:p>
        </w:tc>
        <w:tc>
          <w:tcPr>
            <w:tcW w:w="2596" w:type="dxa"/>
            <w:shd w:val="clear" w:color="auto" w:fill="auto"/>
            <w:vAlign w:val="center"/>
          </w:tcPr>
          <w:p w14:paraId="59BB517E"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cs="Arial"/>
                <w:sz w:val="20"/>
                <w:szCs w:val="20"/>
              </w:rPr>
              <w:t>Sesión 19-2020 celebrada el 10 de marzo del 2020, artículo LI</w:t>
            </w:r>
          </w:p>
        </w:tc>
        <w:tc>
          <w:tcPr>
            <w:tcW w:w="2367" w:type="dxa"/>
            <w:vMerge w:val="restart"/>
            <w:vAlign w:val="center"/>
          </w:tcPr>
          <w:p w14:paraId="0232301C" w14:textId="77777777" w:rsidR="008A348D" w:rsidRPr="00201631" w:rsidRDefault="008A348D" w:rsidP="00035934">
            <w:pPr>
              <w:spacing w:line="276" w:lineRule="auto"/>
              <w:ind w:right="-1"/>
              <w:jc w:val="both"/>
              <w:rPr>
                <w:rFonts w:ascii="Book Antiqua" w:hAnsi="Book Antiqua" w:cs="Arial"/>
                <w:sz w:val="20"/>
                <w:szCs w:val="20"/>
              </w:rPr>
            </w:pPr>
            <w:r w:rsidRPr="00201631">
              <w:rPr>
                <w:rFonts w:ascii="Book Antiqua" w:hAnsi="Book Antiqua" w:cs="Arial-BoldMT"/>
                <w:sz w:val="20"/>
                <w:szCs w:val="20"/>
                <w:lang w:eastAsia="es-CR"/>
              </w:rPr>
              <w:t>DFOE-SEM-1239</w:t>
            </w:r>
          </w:p>
        </w:tc>
      </w:tr>
      <w:tr w:rsidR="008A348D" w:rsidRPr="00201631" w14:paraId="61E8CD45" w14:textId="77777777" w:rsidTr="00035934">
        <w:trPr>
          <w:trHeight w:val="1832"/>
          <w:jc w:val="center"/>
        </w:trPr>
        <w:tc>
          <w:tcPr>
            <w:tcW w:w="4532" w:type="dxa"/>
            <w:vMerge/>
            <w:shd w:val="clear" w:color="auto" w:fill="auto"/>
            <w:vAlign w:val="center"/>
          </w:tcPr>
          <w:p w14:paraId="08D6B637"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301919F3"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1614-DTI-2020</w:t>
            </w:r>
          </w:p>
        </w:tc>
        <w:tc>
          <w:tcPr>
            <w:tcW w:w="2596" w:type="dxa"/>
            <w:shd w:val="clear" w:color="auto" w:fill="auto"/>
            <w:vAlign w:val="center"/>
          </w:tcPr>
          <w:p w14:paraId="4E053B12"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Sesión 86-3030 del 3 de setiembre 2020, artículo XLVIII</w:t>
            </w:r>
          </w:p>
        </w:tc>
        <w:tc>
          <w:tcPr>
            <w:tcW w:w="2367" w:type="dxa"/>
            <w:vMerge/>
            <w:vAlign w:val="center"/>
          </w:tcPr>
          <w:p w14:paraId="39B7F96E" w14:textId="77777777" w:rsidR="008A348D" w:rsidRPr="00201631" w:rsidRDefault="008A348D" w:rsidP="00035934">
            <w:pPr>
              <w:spacing w:line="276" w:lineRule="auto"/>
              <w:ind w:right="-1"/>
              <w:jc w:val="both"/>
              <w:rPr>
                <w:rFonts w:ascii="Book Antiqua" w:hAnsi="Book Antiqua"/>
                <w:sz w:val="20"/>
                <w:szCs w:val="20"/>
              </w:rPr>
            </w:pPr>
          </w:p>
        </w:tc>
      </w:tr>
      <w:tr w:rsidR="008A348D" w:rsidRPr="00201631" w14:paraId="3052E0B4" w14:textId="77777777" w:rsidTr="00035934">
        <w:trPr>
          <w:trHeight w:val="1121"/>
          <w:jc w:val="center"/>
        </w:trPr>
        <w:tc>
          <w:tcPr>
            <w:tcW w:w="4532" w:type="dxa"/>
            <w:vMerge/>
            <w:shd w:val="clear" w:color="auto" w:fill="auto"/>
            <w:vAlign w:val="center"/>
          </w:tcPr>
          <w:p w14:paraId="3B17C7E1"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1A5BC73A"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3: 1418-DTI-2021</w:t>
            </w:r>
          </w:p>
        </w:tc>
        <w:tc>
          <w:tcPr>
            <w:tcW w:w="2596" w:type="dxa"/>
            <w:shd w:val="clear" w:color="auto" w:fill="auto"/>
            <w:vAlign w:val="center"/>
          </w:tcPr>
          <w:p w14:paraId="4DF6B04B"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Sesión 61-2021 del 22 de julio 2021, artículo LXXXVI</w:t>
            </w:r>
          </w:p>
        </w:tc>
        <w:tc>
          <w:tcPr>
            <w:tcW w:w="2367" w:type="dxa"/>
            <w:vMerge/>
            <w:vAlign w:val="center"/>
          </w:tcPr>
          <w:p w14:paraId="0BD61E3E" w14:textId="77777777" w:rsidR="008A348D" w:rsidRPr="00201631" w:rsidRDefault="008A348D" w:rsidP="00035934">
            <w:pPr>
              <w:spacing w:line="276" w:lineRule="auto"/>
              <w:ind w:right="-1"/>
              <w:jc w:val="both"/>
              <w:rPr>
                <w:rFonts w:ascii="Book Antiqua" w:hAnsi="Book Antiqua"/>
                <w:sz w:val="20"/>
                <w:szCs w:val="20"/>
              </w:rPr>
            </w:pPr>
          </w:p>
        </w:tc>
      </w:tr>
      <w:tr w:rsidR="008A348D" w:rsidRPr="00201631" w14:paraId="0CE695A8" w14:textId="77777777" w:rsidTr="00035934">
        <w:trPr>
          <w:trHeight w:val="2870"/>
          <w:jc w:val="center"/>
        </w:trPr>
        <w:tc>
          <w:tcPr>
            <w:tcW w:w="4532" w:type="dxa"/>
            <w:vMerge w:val="restart"/>
            <w:shd w:val="clear" w:color="auto" w:fill="auto"/>
            <w:vAlign w:val="center"/>
          </w:tcPr>
          <w:p w14:paraId="76832B5C" w14:textId="77777777" w:rsidR="008A348D" w:rsidRPr="00201631" w:rsidRDefault="008A348D" w:rsidP="00035934">
            <w:pPr>
              <w:spacing w:line="276" w:lineRule="auto"/>
              <w:ind w:right="-1"/>
              <w:jc w:val="both"/>
              <w:rPr>
                <w:rFonts w:ascii="Book Antiqua" w:hAnsi="Book Antiqua"/>
                <w:i/>
                <w:iCs/>
                <w:sz w:val="20"/>
                <w:szCs w:val="20"/>
              </w:rPr>
            </w:pPr>
            <w:r w:rsidRPr="00201631">
              <w:rPr>
                <w:rFonts w:ascii="Book Antiqua" w:hAnsi="Book Antiqua"/>
                <w:i/>
                <w:iCs/>
                <w:sz w:val="20"/>
                <w:szCs w:val="20"/>
              </w:rPr>
              <w:t>Recomendación</w:t>
            </w:r>
            <w:r w:rsidRPr="00201631">
              <w:rPr>
                <w:rFonts w:ascii="Book Antiqua" w:hAnsi="Book Antiqua"/>
                <w:i/>
                <w:iCs/>
                <w:sz w:val="20"/>
                <w:szCs w:val="20"/>
                <w:lang w:val="en-US"/>
              </w:rPr>
              <w:t xml:space="preserve"> </w:t>
            </w:r>
            <w:r w:rsidRPr="00201631">
              <w:rPr>
                <w:rFonts w:ascii="Book Antiqua" w:hAnsi="Book Antiqua"/>
                <w:i/>
                <w:iCs/>
                <w:sz w:val="20"/>
                <w:szCs w:val="20"/>
              </w:rPr>
              <w:t>4.10: A LA SEÑORA JULIA VARELA ARAYA EN SU CALIDAD DE COORDINADORA DE LA COMISIÓN DE LA JURISDICCIÓN DE FAMILIA, NIÑEZ Y ADOLESCENCIA DEL PODER JUDICIAL O A QUIEN EN SU LUGAR OCUPE EL CARGO</w:t>
            </w:r>
            <w:r w:rsidRPr="00201631">
              <w:rPr>
                <w:rFonts w:ascii="Book Antiqua" w:hAnsi="Book Antiqua"/>
                <w:i/>
                <w:iCs/>
                <w:sz w:val="20"/>
                <w:szCs w:val="20"/>
              </w:rPr>
              <w:br/>
              <w:t>4.10. Elaborar, oficializar e implementar un plan de trabajo con cronograma de implementación que detalle las acciones para formalizar la coordinación y cooperación entre los actores (instituciones y juzgados) identificados por el Poder Judicial, relacionados con los procesos de familia y de pensiones alimentarias. Remitir a esta Contraloría General, a más tardar el 14 de agosto del 2020, una certificación que acredite la elaboración y formalización del plan de trabajo y cronograma señalados; y otra certificación a más tardar el 15 de enero del 2021 donde conste la implementación de las acciones señaladas. Ver párrafos del 2.20 al 2.21.</w:t>
            </w:r>
          </w:p>
        </w:tc>
        <w:tc>
          <w:tcPr>
            <w:tcW w:w="1950" w:type="dxa"/>
            <w:shd w:val="clear" w:color="auto" w:fill="auto"/>
            <w:vAlign w:val="center"/>
          </w:tcPr>
          <w:p w14:paraId="21235DB0" w14:textId="77777777" w:rsidR="008A348D" w:rsidRPr="00201631" w:rsidRDefault="008A348D" w:rsidP="00035934">
            <w:pPr>
              <w:pStyle w:val="NormalWeb"/>
              <w:jc w:val="both"/>
              <w:rPr>
                <w:rFonts w:ascii="Book Antiqua" w:hAnsi="Book Antiqua"/>
                <w:sz w:val="20"/>
                <w:szCs w:val="20"/>
                <w:lang w:val="es-CR" w:eastAsia="es-CR"/>
              </w:rPr>
            </w:pPr>
            <w:r w:rsidRPr="00201631">
              <w:rPr>
                <w:rFonts w:ascii="Book Antiqua" w:hAnsi="Book Antiqua"/>
                <w:sz w:val="20"/>
                <w:szCs w:val="20"/>
              </w:rPr>
              <w:t xml:space="preserve">Meta 1: </w:t>
            </w:r>
            <w:r w:rsidRPr="00201631">
              <w:rPr>
                <w:rFonts w:ascii="Book Antiqua" w:hAnsi="Book Antiqua"/>
                <w:sz w:val="20"/>
                <w:szCs w:val="20"/>
                <w:lang w:val="es-CR" w:eastAsia="es-CR"/>
              </w:rPr>
              <w:t>085-JVA-2020 y 1204-PLA-2020</w:t>
            </w:r>
          </w:p>
        </w:tc>
        <w:tc>
          <w:tcPr>
            <w:tcW w:w="2596" w:type="dxa"/>
            <w:shd w:val="clear" w:color="auto" w:fill="auto"/>
            <w:vAlign w:val="center"/>
          </w:tcPr>
          <w:p w14:paraId="4A1A4E55" w14:textId="48C0A157" w:rsidR="008A348D" w:rsidRPr="00201631" w:rsidRDefault="008A348D" w:rsidP="001D0C10">
            <w:pPr>
              <w:jc w:val="both"/>
              <w:rPr>
                <w:rFonts w:ascii="Book Antiqua" w:hAnsi="Book Antiqua"/>
                <w:sz w:val="20"/>
                <w:szCs w:val="20"/>
              </w:rPr>
            </w:pPr>
            <w:r w:rsidRPr="00201631">
              <w:rPr>
                <w:rFonts w:ascii="Book Antiqua" w:hAnsi="Book Antiqua"/>
                <w:sz w:val="20"/>
                <w:szCs w:val="20"/>
              </w:rPr>
              <w:t>Sesión 79-2020 celebrada el 11 de agosto del 2020, artículo LXXIII</w:t>
            </w:r>
          </w:p>
        </w:tc>
        <w:tc>
          <w:tcPr>
            <w:tcW w:w="2367" w:type="dxa"/>
            <w:vMerge w:val="restart"/>
            <w:vAlign w:val="center"/>
          </w:tcPr>
          <w:p w14:paraId="6E3BF302" w14:textId="77777777" w:rsidR="008A348D" w:rsidRPr="00201631" w:rsidRDefault="008A348D" w:rsidP="00035934">
            <w:pPr>
              <w:jc w:val="both"/>
              <w:rPr>
                <w:rFonts w:ascii="Book Antiqua" w:hAnsi="Book Antiqua"/>
                <w:sz w:val="20"/>
                <w:szCs w:val="20"/>
              </w:rPr>
            </w:pPr>
            <w:r w:rsidRPr="00201631">
              <w:rPr>
                <w:rFonts w:ascii="Book Antiqua" w:hAnsi="Book Antiqua" w:cs="Arial-BoldMT"/>
                <w:sz w:val="20"/>
                <w:szCs w:val="20"/>
                <w:lang w:eastAsia="es-CR"/>
              </w:rPr>
              <w:t>DFOE-SEM-1239</w:t>
            </w:r>
          </w:p>
        </w:tc>
      </w:tr>
      <w:tr w:rsidR="008A348D" w:rsidRPr="00201631" w14:paraId="68D8A3DA" w14:textId="77777777" w:rsidTr="00035934">
        <w:trPr>
          <w:trHeight w:val="1112"/>
          <w:jc w:val="center"/>
        </w:trPr>
        <w:tc>
          <w:tcPr>
            <w:tcW w:w="4532" w:type="dxa"/>
            <w:vMerge/>
            <w:shd w:val="clear" w:color="auto" w:fill="auto"/>
            <w:vAlign w:val="center"/>
          </w:tcPr>
          <w:p w14:paraId="05080050" w14:textId="77777777" w:rsidR="008A348D" w:rsidRPr="00201631" w:rsidRDefault="008A348D" w:rsidP="00035934">
            <w:pPr>
              <w:spacing w:line="276" w:lineRule="auto"/>
              <w:ind w:right="-1"/>
              <w:jc w:val="center"/>
              <w:rPr>
                <w:rFonts w:ascii="Book Antiqua" w:hAnsi="Book Antiqua"/>
                <w:sz w:val="20"/>
                <w:szCs w:val="20"/>
              </w:rPr>
            </w:pPr>
          </w:p>
        </w:tc>
        <w:tc>
          <w:tcPr>
            <w:tcW w:w="1950" w:type="dxa"/>
            <w:shd w:val="clear" w:color="auto" w:fill="auto"/>
            <w:vAlign w:val="center"/>
          </w:tcPr>
          <w:p w14:paraId="1F00ABF8"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Meta 2: 91-JVA-2021</w:t>
            </w:r>
          </w:p>
          <w:p w14:paraId="77D217B1" w14:textId="77777777" w:rsidR="008A348D" w:rsidRPr="00201631" w:rsidRDefault="008A348D" w:rsidP="00035934">
            <w:pPr>
              <w:spacing w:line="276" w:lineRule="auto"/>
              <w:ind w:right="-1"/>
              <w:jc w:val="both"/>
              <w:rPr>
                <w:rFonts w:ascii="Book Antiqua" w:hAnsi="Book Antiqua"/>
                <w:sz w:val="20"/>
                <w:szCs w:val="20"/>
              </w:rPr>
            </w:pPr>
          </w:p>
        </w:tc>
        <w:tc>
          <w:tcPr>
            <w:tcW w:w="2596" w:type="dxa"/>
            <w:shd w:val="clear" w:color="auto" w:fill="auto"/>
            <w:vAlign w:val="center"/>
          </w:tcPr>
          <w:p w14:paraId="51E3CFE5" w14:textId="77777777" w:rsidR="008A348D" w:rsidRPr="00201631" w:rsidRDefault="008A348D" w:rsidP="00035934">
            <w:pPr>
              <w:spacing w:line="276" w:lineRule="auto"/>
              <w:ind w:right="-1"/>
              <w:jc w:val="both"/>
              <w:rPr>
                <w:rFonts w:ascii="Book Antiqua" w:hAnsi="Book Antiqua"/>
                <w:sz w:val="20"/>
                <w:szCs w:val="20"/>
              </w:rPr>
            </w:pPr>
            <w:r w:rsidRPr="00201631">
              <w:rPr>
                <w:rFonts w:ascii="Book Antiqua" w:hAnsi="Book Antiqua"/>
                <w:sz w:val="20"/>
                <w:szCs w:val="20"/>
              </w:rPr>
              <w:t>Sesión 61-2021 celebrada el 22 de julio de 2021, artículo LXXVIII</w:t>
            </w:r>
          </w:p>
        </w:tc>
        <w:tc>
          <w:tcPr>
            <w:tcW w:w="2367" w:type="dxa"/>
            <w:vMerge/>
            <w:vAlign w:val="center"/>
          </w:tcPr>
          <w:p w14:paraId="2BAB61EE" w14:textId="77777777" w:rsidR="008A348D" w:rsidRPr="00201631" w:rsidRDefault="008A348D" w:rsidP="00035934">
            <w:pPr>
              <w:spacing w:line="276" w:lineRule="auto"/>
              <w:ind w:right="-1"/>
              <w:jc w:val="both"/>
              <w:rPr>
                <w:rFonts w:ascii="Book Antiqua" w:hAnsi="Book Antiqua"/>
                <w:sz w:val="20"/>
                <w:szCs w:val="20"/>
              </w:rPr>
            </w:pPr>
          </w:p>
        </w:tc>
      </w:tr>
    </w:tbl>
    <w:p w14:paraId="139DC6B7" w14:textId="0544EC49" w:rsidR="006D695A" w:rsidRPr="006D695A" w:rsidRDefault="006D695A" w:rsidP="001D0C10">
      <w:pPr>
        <w:tabs>
          <w:tab w:val="left" w:pos="8364"/>
        </w:tabs>
        <w:spacing w:after="0" w:line="276" w:lineRule="auto"/>
        <w:ind w:right="1700" w:hanging="1134"/>
        <w:rPr>
          <w:rFonts w:ascii="Book Antiqua" w:eastAsia="Calibri" w:hAnsi="Book Antiqua" w:cs="Arial"/>
          <w:bCs/>
          <w:i/>
          <w:sz w:val="20"/>
          <w:szCs w:val="20"/>
        </w:rPr>
      </w:pPr>
      <w:r w:rsidRPr="008B7405">
        <w:rPr>
          <w:rFonts w:ascii="Book Antiqua" w:eastAsia="Calibri" w:hAnsi="Book Antiqua" w:cs="Arial"/>
          <w:b/>
          <w:i/>
          <w:sz w:val="20"/>
          <w:szCs w:val="20"/>
        </w:rPr>
        <w:lastRenderedPageBreak/>
        <w:t>Fuente:</w:t>
      </w:r>
      <w:r w:rsidRPr="006D695A">
        <w:rPr>
          <w:rFonts w:ascii="Book Antiqua" w:eastAsia="Calibri" w:hAnsi="Book Antiqua" w:cs="Arial"/>
          <w:bCs/>
          <w:i/>
          <w:sz w:val="20"/>
          <w:szCs w:val="20"/>
        </w:rPr>
        <w:t xml:space="preserve"> </w:t>
      </w:r>
      <w:r w:rsidR="008B7405">
        <w:rPr>
          <w:rFonts w:ascii="Book Antiqua" w:eastAsia="Calibri" w:hAnsi="Book Antiqua" w:cs="Arial"/>
          <w:bCs/>
          <w:i/>
          <w:sz w:val="20"/>
          <w:szCs w:val="20"/>
        </w:rPr>
        <w:t xml:space="preserve">Oficio </w:t>
      </w:r>
      <w:r w:rsidR="008B7405" w:rsidRPr="008B7405">
        <w:rPr>
          <w:rFonts w:ascii="Book Antiqua" w:eastAsia="Calibri" w:hAnsi="Book Antiqua" w:cs="Arial"/>
          <w:bCs/>
          <w:i/>
          <w:sz w:val="20"/>
          <w:szCs w:val="20"/>
        </w:rPr>
        <w:t>192-PLA-PP-MI-OI-2022</w:t>
      </w:r>
      <w:r w:rsidR="008B7405">
        <w:rPr>
          <w:rFonts w:ascii="Book Antiqua" w:eastAsia="Calibri" w:hAnsi="Book Antiqua" w:cs="Arial"/>
          <w:bCs/>
          <w:i/>
          <w:sz w:val="20"/>
          <w:szCs w:val="20"/>
        </w:rPr>
        <w:t xml:space="preserve"> de la Dirección de Planificación. </w:t>
      </w:r>
    </w:p>
    <w:p w14:paraId="3C04F3B7" w14:textId="77777777" w:rsidR="00A041ED" w:rsidRPr="003141DF" w:rsidRDefault="00A041ED" w:rsidP="00A041ED">
      <w:pPr>
        <w:pStyle w:val="Ttulo1"/>
      </w:pPr>
      <w:r>
        <w:t>Justificación</w:t>
      </w:r>
    </w:p>
    <w:p w14:paraId="38CC9231" w14:textId="3520ECE3" w:rsidR="00F97E61" w:rsidRDefault="00A041ED" w:rsidP="00A041ED">
      <w:pPr>
        <w:spacing w:line="276" w:lineRule="auto"/>
        <w:jc w:val="both"/>
        <w:rPr>
          <w:rFonts w:ascii="Book Antiqua" w:hAnsi="Book Antiqua"/>
          <w:sz w:val="24"/>
          <w:szCs w:val="24"/>
        </w:rPr>
      </w:pPr>
      <w:r w:rsidRPr="00A041ED">
        <w:rPr>
          <w:rFonts w:ascii="Book Antiqua" w:hAnsi="Book Antiqua"/>
          <w:sz w:val="24"/>
          <w:szCs w:val="24"/>
        </w:rPr>
        <w:t>En virtud de la entrada en vigencia d</w:t>
      </w:r>
      <w:r w:rsidR="00BF06B7">
        <w:rPr>
          <w:rFonts w:ascii="Book Antiqua" w:hAnsi="Book Antiqua"/>
          <w:sz w:val="24"/>
          <w:szCs w:val="24"/>
        </w:rPr>
        <w:t>e</w:t>
      </w:r>
      <w:r w:rsidRPr="00A041ED">
        <w:rPr>
          <w:rFonts w:ascii="Book Antiqua" w:hAnsi="Book Antiqua"/>
          <w:sz w:val="24"/>
          <w:szCs w:val="24"/>
        </w:rPr>
        <w:t xml:space="preserve">l Código Procesal de Familia, </w:t>
      </w:r>
      <w:r w:rsidR="00F97E61" w:rsidRPr="00A041ED">
        <w:rPr>
          <w:rFonts w:ascii="Book Antiqua" w:hAnsi="Book Antiqua"/>
          <w:sz w:val="24"/>
          <w:szCs w:val="24"/>
        </w:rPr>
        <w:t>surge la necesidad de analizar los requerimientos para la operativización de la norma, así como para implementar los cambios en la estructura organizativa necesarios en los despachos de Familia, Pensiones Alimentarias y Violencia Doméstica a partir de la entrada en vigencia de la Ley 9747</w:t>
      </w:r>
      <w:r w:rsidR="00F97E61">
        <w:rPr>
          <w:rFonts w:ascii="Book Antiqua" w:hAnsi="Book Antiqua"/>
          <w:sz w:val="24"/>
          <w:szCs w:val="24"/>
        </w:rPr>
        <w:t xml:space="preserve">, </w:t>
      </w:r>
      <w:r w:rsidRPr="00A041ED">
        <w:rPr>
          <w:rFonts w:ascii="Book Antiqua" w:hAnsi="Book Antiqua"/>
          <w:sz w:val="24"/>
          <w:szCs w:val="24"/>
        </w:rPr>
        <w:t>prevista para el 1 de octubre de 2022, esta Dirección se da a la tarea de definir las prioridades presupuestarias para el ejercicio económico</w:t>
      </w:r>
      <w:r w:rsidR="00F97E61">
        <w:rPr>
          <w:rFonts w:ascii="Book Antiqua" w:hAnsi="Book Antiqua"/>
          <w:sz w:val="24"/>
          <w:szCs w:val="24"/>
        </w:rPr>
        <w:t xml:space="preserve">.  </w:t>
      </w:r>
    </w:p>
    <w:p w14:paraId="13084980" w14:textId="2E48C57A" w:rsidR="008E752F" w:rsidRDefault="00F97E61" w:rsidP="00A041ED">
      <w:pPr>
        <w:spacing w:line="276" w:lineRule="auto"/>
        <w:jc w:val="both"/>
        <w:rPr>
          <w:rFonts w:ascii="Book Antiqua" w:hAnsi="Book Antiqua"/>
          <w:sz w:val="24"/>
          <w:szCs w:val="24"/>
        </w:rPr>
      </w:pPr>
      <w:r>
        <w:rPr>
          <w:rFonts w:ascii="Book Antiqua" w:hAnsi="Book Antiqua"/>
          <w:sz w:val="24"/>
          <w:szCs w:val="24"/>
        </w:rPr>
        <w:t>Para</w:t>
      </w:r>
      <w:r w:rsidR="008E752F">
        <w:rPr>
          <w:rFonts w:ascii="Book Antiqua" w:hAnsi="Book Antiqua"/>
          <w:sz w:val="24"/>
          <w:szCs w:val="24"/>
        </w:rPr>
        <w:t xml:space="preserve"> 2021, el cual fue comunicado mediante oficio </w:t>
      </w:r>
      <w:r w:rsidR="008E752F" w:rsidRPr="001D0C10">
        <w:rPr>
          <w:rFonts w:ascii="Book Antiqua" w:hAnsi="Book Antiqua"/>
          <w:b/>
          <w:bCs/>
          <w:sz w:val="24"/>
          <w:szCs w:val="24"/>
        </w:rPr>
        <w:t>656-PLA-RH-MI-2020,</w:t>
      </w:r>
      <w:r w:rsidR="008E752F">
        <w:rPr>
          <w:rFonts w:ascii="Book Antiqua" w:hAnsi="Book Antiqua"/>
          <w:sz w:val="24"/>
          <w:szCs w:val="24"/>
        </w:rPr>
        <w:t xml:space="preserve"> </w:t>
      </w:r>
      <w:r w:rsidR="008E752F" w:rsidRPr="008E752F">
        <w:rPr>
          <w:rFonts w:ascii="Book Antiqua" w:hAnsi="Book Antiqua"/>
          <w:sz w:val="24"/>
          <w:szCs w:val="24"/>
        </w:rPr>
        <w:t>aprobado por el Consejo Superior en sesión 45-2020 celebrada el 8 de mayo de 2020, artículo XIX</w:t>
      </w:r>
      <w:r w:rsidR="008E752F">
        <w:rPr>
          <w:rFonts w:ascii="Book Antiqua" w:hAnsi="Book Antiqua"/>
          <w:sz w:val="24"/>
          <w:szCs w:val="24"/>
        </w:rPr>
        <w:t xml:space="preserve"> y la sesión 48-20 del 14 de mayo de 2020, artículo XIII, y por Corte Plena en sesión</w:t>
      </w:r>
      <w:r w:rsidR="00BD257A">
        <w:rPr>
          <w:rFonts w:ascii="Book Antiqua" w:hAnsi="Book Antiqua"/>
          <w:sz w:val="24"/>
          <w:szCs w:val="24"/>
        </w:rPr>
        <w:t xml:space="preserve"> </w:t>
      </w:r>
      <w:r w:rsidR="00BD257A" w:rsidRPr="00BD257A">
        <w:rPr>
          <w:rFonts w:ascii="Book Antiqua" w:hAnsi="Book Antiqua"/>
          <w:sz w:val="24"/>
          <w:szCs w:val="24"/>
        </w:rPr>
        <w:t>31-2020 del dos de junio del 2020, artículo I</w:t>
      </w:r>
      <w:r w:rsidR="008E752F">
        <w:rPr>
          <w:rFonts w:ascii="Book Antiqua" w:hAnsi="Book Antiqua"/>
          <w:sz w:val="24"/>
          <w:szCs w:val="24"/>
        </w:rPr>
        <w:t xml:space="preserve">, sin embargo el presupuesto formulado no fue incorporado en el anteproyecto de la Ley de Presupuesto para 2021. </w:t>
      </w:r>
    </w:p>
    <w:p w14:paraId="73663E8F" w14:textId="4B820B54" w:rsidR="008E752F" w:rsidRDefault="008E752F" w:rsidP="00A041ED">
      <w:pPr>
        <w:spacing w:line="276" w:lineRule="auto"/>
        <w:jc w:val="both"/>
        <w:rPr>
          <w:rFonts w:ascii="Book Antiqua" w:hAnsi="Book Antiqua"/>
          <w:sz w:val="24"/>
          <w:szCs w:val="24"/>
        </w:rPr>
      </w:pPr>
      <w:r>
        <w:rPr>
          <w:rFonts w:ascii="Book Antiqua" w:hAnsi="Book Antiqua"/>
          <w:sz w:val="24"/>
          <w:szCs w:val="24"/>
        </w:rPr>
        <w:t>Misma situación en 2022</w:t>
      </w:r>
      <w:r w:rsidR="00F97E61">
        <w:rPr>
          <w:rFonts w:ascii="Book Antiqua" w:hAnsi="Book Antiqua"/>
          <w:sz w:val="24"/>
          <w:szCs w:val="24"/>
        </w:rPr>
        <w:t xml:space="preserve"> donde no hay contenido presupuestario</w:t>
      </w:r>
      <w:r>
        <w:rPr>
          <w:rFonts w:ascii="Book Antiqua" w:hAnsi="Book Antiqua"/>
          <w:sz w:val="24"/>
          <w:szCs w:val="24"/>
        </w:rPr>
        <w:t>, pese a que la Ley 9747 entra en vigencia el próximo primero de o</w:t>
      </w:r>
      <w:r w:rsidR="00D2452B">
        <w:rPr>
          <w:rFonts w:ascii="Book Antiqua" w:hAnsi="Book Antiqua"/>
          <w:sz w:val="24"/>
          <w:szCs w:val="24"/>
        </w:rPr>
        <w:t>c</w:t>
      </w:r>
      <w:r>
        <w:rPr>
          <w:rFonts w:ascii="Book Antiqua" w:hAnsi="Book Antiqua"/>
          <w:sz w:val="24"/>
          <w:szCs w:val="24"/>
        </w:rPr>
        <w:t xml:space="preserve">tubre de 2022, </w:t>
      </w:r>
      <w:r w:rsidR="00F97E61">
        <w:rPr>
          <w:rFonts w:ascii="Book Antiqua" w:hAnsi="Book Antiqua"/>
          <w:sz w:val="24"/>
          <w:szCs w:val="24"/>
        </w:rPr>
        <w:t xml:space="preserve">formulación </w:t>
      </w:r>
      <w:r w:rsidR="00D2452B">
        <w:rPr>
          <w:rFonts w:ascii="Book Antiqua" w:hAnsi="Book Antiqua"/>
          <w:sz w:val="24"/>
          <w:szCs w:val="24"/>
        </w:rPr>
        <w:t>incorporad</w:t>
      </w:r>
      <w:r w:rsidR="00F97E61">
        <w:rPr>
          <w:rFonts w:ascii="Book Antiqua" w:hAnsi="Book Antiqua"/>
          <w:sz w:val="24"/>
          <w:szCs w:val="24"/>
        </w:rPr>
        <w:t>a</w:t>
      </w:r>
      <w:r w:rsidR="00D2452B">
        <w:rPr>
          <w:rFonts w:ascii="Book Antiqua" w:hAnsi="Book Antiqua"/>
          <w:sz w:val="24"/>
          <w:szCs w:val="24"/>
        </w:rPr>
        <w:t xml:space="preserve"> en el informe </w:t>
      </w:r>
      <w:r w:rsidR="00D2452B" w:rsidRPr="00D2452B">
        <w:rPr>
          <w:rFonts w:ascii="Book Antiqua" w:hAnsi="Book Antiqua"/>
          <w:sz w:val="24"/>
          <w:szCs w:val="24"/>
        </w:rPr>
        <w:t>389-PLA-RH-MI-202</w:t>
      </w:r>
      <w:r w:rsidR="00D2452B">
        <w:rPr>
          <w:rFonts w:ascii="Book Antiqua" w:hAnsi="Book Antiqua"/>
          <w:sz w:val="24"/>
          <w:szCs w:val="24"/>
        </w:rPr>
        <w:t>1, aprobado por Consejo Superior</w:t>
      </w:r>
      <w:r w:rsidR="00D2452B" w:rsidRPr="00D2452B">
        <w:rPr>
          <w:rFonts w:ascii="Book Antiqua" w:hAnsi="Book Antiqua"/>
          <w:sz w:val="24"/>
          <w:szCs w:val="24"/>
        </w:rPr>
        <w:t xml:space="preserve"> en sesión extraordinaria (presupuesto) 30-2021 celebrada el 16 de abril del 2021, artículo XX.</w:t>
      </w:r>
      <w:r w:rsidR="00D2452B">
        <w:rPr>
          <w:rFonts w:ascii="Book Antiqua" w:hAnsi="Book Antiqua"/>
          <w:sz w:val="24"/>
          <w:szCs w:val="24"/>
        </w:rPr>
        <w:t xml:space="preserve"> </w:t>
      </w:r>
      <w:r w:rsidR="00D2452B" w:rsidRPr="00D2452B">
        <w:rPr>
          <w:rFonts w:ascii="Book Antiqua" w:hAnsi="Book Antiqua"/>
          <w:sz w:val="24"/>
          <w:szCs w:val="24"/>
        </w:rPr>
        <w:t>Incorpora el acuerdo del Consejo Superior en sesión 35-21 extraordinaria de presupuesto del 30 de abril 2021, artículo XII</w:t>
      </w:r>
      <w:r w:rsidR="00D2452B">
        <w:rPr>
          <w:rFonts w:ascii="Book Antiqua" w:hAnsi="Book Antiqua"/>
          <w:sz w:val="24"/>
          <w:szCs w:val="24"/>
        </w:rPr>
        <w:t>; y</w:t>
      </w:r>
      <w:r w:rsidR="00D2452B" w:rsidRPr="00D2452B">
        <w:rPr>
          <w:rFonts w:ascii="Book Antiqua" w:hAnsi="Book Antiqua"/>
          <w:sz w:val="24"/>
          <w:szCs w:val="24"/>
        </w:rPr>
        <w:t xml:space="preserve"> aprobado por Corte Plena en sesión 21-21, del 1 de junio de 2021, artículo II.</w:t>
      </w:r>
      <w:r w:rsidR="00863341">
        <w:rPr>
          <w:rFonts w:ascii="Book Antiqua" w:hAnsi="Book Antiqua"/>
          <w:sz w:val="24"/>
          <w:szCs w:val="24"/>
        </w:rPr>
        <w:t xml:space="preserve">   </w:t>
      </w:r>
      <w:r w:rsidR="00D2452B">
        <w:rPr>
          <w:rFonts w:ascii="Book Antiqua" w:hAnsi="Book Antiqua"/>
          <w:sz w:val="24"/>
          <w:szCs w:val="24"/>
        </w:rPr>
        <w:t xml:space="preserve"> </w:t>
      </w:r>
    </w:p>
    <w:p w14:paraId="17A98E2A" w14:textId="03556582" w:rsidR="00A041ED" w:rsidRDefault="00A041ED" w:rsidP="00A041ED">
      <w:pPr>
        <w:spacing w:line="276" w:lineRule="auto"/>
        <w:jc w:val="both"/>
        <w:rPr>
          <w:rFonts w:ascii="Book Antiqua" w:hAnsi="Book Antiqua"/>
          <w:sz w:val="24"/>
          <w:szCs w:val="24"/>
        </w:rPr>
      </w:pPr>
      <w:r w:rsidRPr="00F97E61">
        <w:rPr>
          <w:rFonts w:ascii="Book Antiqua" w:hAnsi="Book Antiqua"/>
          <w:sz w:val="24"/>
          <w:szCs w:val="24"/>
        </w:rPr>
        <w:t>Para la formulación del presupuesto 202</w:t>
      </w:r>
      <w:r w:rsidR="00F97E61" w:rsidRPr="001D0C10">
        <w:rPr>
          <w:rFonts w:ascii="Book Antiqua" w:hAnsi="Book Antiqua"/>
          <w:sz w:val="24"/>
          <w:szCs w:val="24"/>
        </w:rPr>
        <w:t xml:space="preserve">2, igualmente se realiza la estimación del costo a nivel presupuestario para la institución de implementar la Ley 9747. Ley que para el 2023 ya tendrá incluso 3 meses de vigencia. Por lo que en el presente informe se procede a la actualización del </w:t>
      </w:r>
      <w:r w:rsidRPr="00F97E61">
        <w:rPr>
          <w:rFonts w:ascii="Book Antiqua" w:hAnsi="Book Antiqua"/>
          <w:sz w:val="24"/>
          <w:szCs w:val="24"/>
        </w:rPr>
        <w:t>informe 389-PLA-RH-MI-202</w:t>
      </w:r>
      <w:r w:rsidR="00F97E61" w:rsidRPr="001D0C10">
        <w:rPr>
          <w:rFonts w:ascii="Book Antiqua" w:hAnsi="Book Antiqua"/>
          <w:sz w:val="24"/>
          <w:szCs w:val="24"/>
        </w:rPr>
        <w:t>1</w:t>
      </w:r>
      <w:r w:rsidR="00F97E61" w:rsidRPr="00F97E61">
        <w:rPr>
          <w:rFonts w:ascii="Book Antiqua" w:hAnsi="Book Antiqua"/>
          <w:sz w:val="24"/>
          <w:szCs w:val="24"/>
        </w:rPr>
        <w:t>.</w:t>
      </w:r>
    </w:p>
    <w:p w14:paraId="79070774" w14:textId="77777777" w:rsidR="00A041ED" w:rsidRPr="00A041ED" w:rsidRDefault="00A041ED" w:rsidP="00A041ED">
      <w:pPr>
        <w:spacing w:line="276" w:lineRule="auto"/>
        <w:jc w:val="both"/>
        <w:rPr>
          <w:rFonts w:ascii="Book Antiqua" w:hAnsi="Book Antiqua"/>
          <w:sz w:val="24"/>
          <w:szCs w:val="24"/>
        </w:rPr>
      </w:pPr>
    </w:p>
    <w:p w14:paraId="79D7A261" w14:textId="0136EDD4" w:rsidR="009C01E1" w:rsidRPr="003141DF" w:rsidRDefault="00A041ED" w:rsidP="009C01E1">
      <w:pPr>
        <w:pStyle w:val="Ttulo1"/>
      </w:pPr>
      <w:r>
        <w:t>Metodología</w:t>
      </w:r>
    </w:p>
    <w:p w14:paraId="5486D563" w14:textId="25B9C0C5" w:rsidR="009C01E1" w:rsidRPr="009C01E1" w:rsidRDefault="009C01E1" w:rsidP="009C01E1">
      <w:pPr>
        <w:jc w:val="both"/>
        <w:rPr>
          <w:rFonts w:ascii="Book Antiqua" w:hAnsi="Book Antiqua"/>
          <w:sz w:val="24"/>
          <w:szCs w:val="24"/>
        </w:rPr>
      </w:pPr>
      <w:r w:rsidRPr="009C01E1">
        <w:rPr>
          <w:rFonts w:ascii="Book Antiqua" w:hAnsi="Book Antiqua"/>
          <w:sz w:val="24"/>
          <w:szCs w:val="24"/>
        </w:rPr>
        <w:t>El análisis del impacto de cambios con la entrada en vigencia del Código Procesal de Familia en el Poder</w:t>
      </w:r>
      <w:r w:rsidR="00797957">
        <w:rPr>
          <w:rFonts w:ascii="Book Antiqua" w:hAnsi="Book Antiqua"/>
          <w:sz w:val="24"/>
          <w:szCs w:val="24"/>
        </w:rPr>
        <w:t xml:space="preserve"> </w:t>
      </w:r>
      <w:r w:rsidR="00797957" w:rsidRPr="009C01E1">
        <w:rPr>
          <w:rFonts w:ascii="Book Antiqua" w:hAnsi="Book Antiqua"/>
          <w:sz w:val="24"/>
          <w:szCs w:val="24"/>
        </w:rPr>
        <w:t>Judicial</w:t>
      </w:r>
      <w:r w:rsidRPr="009C01E1">
        <w:rPr>
          <w:rFonts w:ascii="Book Antiqua" w:hAnsi="Book Antiqua"/>
          <w:sz w:val="24"/>
          <w:szCs w:val="24"/>
        </w:rPr>
        <w:t xml:space="preserve"> se trabajó de manera interdisciplinaria y con </w:t>
      </w:r>
      <w:r w:rsidRPr="009C01E1">
        <w:rPr>
          <w:rFonts w:ascii="Book Antiqua" w:hAnsi="Book Antiqua"/>
          <w:sz w:val="24"/>
          <w:szCs w:val="24"/>
        </w:rPr>
        <w:lastRenderedPageBreak/>
        <w:t xml:space="preserve">representantes de la de la Comisión de la Jurisdicción Familia, Niñez y Adolescencia </w:t>
      </w:r>
      <w:r w:rsidR="00454FC1">
        <w:rPr>
          <w:rFonts w:ascii="Book Antiqua" w:hAnsi="Book Antiqua"/>
          <w:sz w:val="24"/>
          <w:szCs w:val="24"/>
        </w:rPr>
        <w:t xml:space="preserve">en el 2020, </w:t>
      </w:r>
      <w:r w:rsidRPr="009C01E1">
        <w:rPr>
          <w:rFonts w:ascii="Book Antiqua" w:hAnsi="Book Antiqua"/>
          <w:sz w:val="24"/>
          <w:szCs w:val="24"/>
        </w:rPr>
        <w:t xml:space="preserve">los cuales se incluyeron en el informe 656-PLA-RH-MI-2020 </w:t>
      </w:r>
      <w:r w:rsidR="00454FC1">
        <w:rPr>
          <w:rFonts w:ascii="Book Antiqua" w:hAnsi="Book Antiqua"/>
          <w:sz w:val="24"/>
          <w:szCs w:val="24"/>
        </w:rPr>
        <w:t xml:space="preserve">de esta Dirección </w:t>
      </w:r>
      <w:r w:rsidRPr="009C01E1">
        <w:rPr>
          <w:rFonts w:ascii="Book Antiqua" w:hAnsi="Book Antiqua"/>
          <w:sz w:val="24"/>
          <w:szCs w:val="24"/>
        </w:rPr>
        <w:t>relacionado con el “</w:t>
      </w:r>
      <w:r w:rsidRPr="001D0C10">
        <w:rPr>
          <w:rFonts w:ascii="Book Antiqua" w:hAnsi="Book Antiqua"/>
          <w:i/>
          <w:iCs/>
          <w:sz w:val="24"/>
          <w:szCs w:val="24"/>
        </w:rPr>
        <w:t>Impacto organizacional y presupuestario en el Poder Judicial a partir de la promulgación del Código Procesal de Familia</w:t>
      </w:r>
      <w:r w:rsidR="006A358F" w:rsidRPr="001D0C10">
        <w:rPr>
          <w:rFonts w:ascii="Book Antiqua" w:hAnsi="Book Antiqua"/>
          <w:i/>
          <w:iCs/>
          <w:sz w:val="24"/>
          <w:szCs w:val="24"/>
        </w:rPr>
        <w:t xml:space="preserve"> </w:t>
      </w:r>
      <w:r w:rsidR="006D695A" w:rsidRPr="001D0C10">
        <w:rPr>
          <w:rFonts w:ascii="Book Antiqua" w:hAnsi="Book Antiqua"/>
          <w:i/>
          <w:iCs/>
          <w:sz w:val="24"/>
          <w:szCs w:val="24"/>
        </w:rPr>
        <w:t>p</w:t>
      </w:r>
      <w:r w:rsidR="006A358F" w:rsidRPr="001D0C10">
        <w:rPr>
          <w:rFonts w:ascii="Book Antiqua" w:hAnsi="Book Antiqua"/>
          <w:i/>
          <w:iCs/>
          <w:sz w:val="24"/>
          <w:szCs w:val="24"/>
        </w:rPr>
        <w:t>ara 2021</w:t>
      </w:r>
      <w:r w:rsidRPr="009C01E1">
        <w:rPr>
          <w:rFonts w:ascii="Book Antiqua" w:hAnsi="Book Antiqua"/>
          <w:sz w:val="24"/>
          <w:szCs w:val="24"/>
        </w:rPr>
        <w:t>”</w:t>
      </w:r>
      <w:r w:rsidR="00454FC1">
        <w:rPr>
          <w:rFonts w:ascii="Book Antiqua" w:hAnsi="Book Antiqua"/>
          <w:sz w:val="24"/>
          <w:szCs w:val="24"/>
        </w:rPr>
        <w:t>. E</w:t>
      </w:r>
      <w:r w:rsidRPr="009C01E1">
        <w:rPr>
          <w:rFonts w:ascii="Book Antiqua" w:hAnsi="Book Antiqua"/>
          <w:sz w:val="24"/>
          <w:szCs w:val="24"/>
        </w:rPr>
        <w:t>ntre los colaboradores se contó con los siguientes funcionarios:</w:t>
      </w:r>
    </w:p>
    <w:p w14:paraId="2354D121" w14:textId="76297F67" w:rsidR="009C01E1" w:rsidRDefault="009C01E1" w:rsidP="0090609F">
      <w:pPr>
        <w:numPr>
          <w:ilvl w:val="0"/>
          <w:numId w:val="3"/>
        </w:numPr>
        <w:spacing w:after="0" w:line="276" w:lineRule="auto"/>
        <w:ind w:left="0" w:firstLine="0"/>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Lic. Alberto Jiménez Mata, Juez de Familia de Puntarenas</w:t>
      </w:r>
      <w:r>
        <w:rPr>
          <w:rFonts w:ascii="Book Antiqua" w:eastAsia="Calibri" w:hAnsi="Book Antiqua" w:cs="Arial"/>
          <w:sz w:val="24"/>
          <w:szCs w:val="24"/>
          <w:lang w:eastAsia="es-CR"/>
        </w:rPr>
        <w:t>,</w:t>
      </w:r>
      <w:r w:rsidRPr="009C01E1">
        <w:rPr>
          <w:rFonts w:ascii="Book Antiqua" w:eastAsia="Calibri" w:hAnsi="Book Antiqua" w:cs="Arial"/>
          <w:sz w:val="24"/>
          <w:szCs w:val="24"/>
          <w:lang w:eastAsia="es-CR"/>
        </w:rPr>
        <w:t xml:space="preserve"> quien participó en la redacción de la normativa procesal propuesta para la materia de Familia, Integrante de la Comisión de la Jurisdicción </w:t>
      </w:r>
      <w:r>
        <w:rPr>
          <w:rFonts w:ascii="Book Antiqua" w:eastAsia="Calibri" w:hAnsi="Book Antiqua" w:cs="Arial"/>
          <w:sz w:val="24"/>
          <w:szCs w:val="24"/>
          <w:lang w:eastAsia="es-CR"/>
        </w:rPr>
        <w:t xml:space="preserve">de </w:t>
      </w:r>
      <w:r w:rsidRPr="009C01E1">
        <w:rPr>
          <w:rFonts w:ascii="Book Antiqua" w:eastAsia="Calibri" w:hAnsi="Book Antiqua" w:cs="Arial"/>
          <w:sz w:val="24"/>
          <w:szCs w:val="24"/>
          <w:lang w:eastAsia="es-CR"/>
        </w:rPr>
        <w:t xml:space="preserve">Familia, Niñez y Adolescencia, y designado como Coordinador del proyecto de CPF. </w:t>
      </w:r>
    </w:p>
    <w:p w14:paraId="31097793" w14:textId="77777777" w:rsidR="007E10FD" w:rsidRPr="009C01E1" w:rsidRDefault="007E10FD" w:rsidP="007E10FD">
      <w:pPr>
        <w:spacing w:after="0" w:line="276" w:lineRule="auto"/>
        <w:contextualSpacing/>
        <w:jc w:val="both"/>
        <w:rPr>
          <w:rFonts w:ascii="Book Antiqua" w:eastAsia="Calibri" w:hAnsi="Book Antiqua" w:cs="Arial"/>
          <w:sz w:val="24"/>
          <w:szCs w:val="24"/>
          <w:lang w:eastAsia="es-CR"/>
        </w:rPr>
      </w:pPr>
    </w:p>
    <w:p w14:paraId="5EE9D75A" w14:textId="533CFE45" w:rsidR="009C01E1" w:rsidRDefault="009C01E1" w:rsidP="0090609F">
      <w:pPr>
        <w:numPr>
          <w:ilvl w:val="0"/>
          <w:numId w:val="3"/>
        </w:numPr>
        <w:spacing w:after="0" w:line="276" w:lineRule="auto"/>
        <w:ind w:left="0" w:firstLine="0"/>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 xml:space="preserve">Lic. Cristian Alberto Martínez Hernández, Juez Gestor de la Jurisdicción de Familia, Niñez y Adolescencia. </w:t>
      </w:r>
    </w:p>
    <w:p w14:paraId="65F37BEC" w14:textId="77777777" w:rsidR="007E10FD" w:rsidRDefault="007E10FD" w:rsidP="007E10FD">
      <w:pPr>
        <w:spacing w:after="0" w:line="276" w:lineRule="auto"/>
        <w:contextualSpacing/>
        <w:jc w:val="both"/>
        <w:rPr>
          <w:rFonts w:ascii="Book Antiqua" w:eastAsia="Calibri" w:hAnsi="Book Antiqua" w:cs="Arial"/>
          <w:sz w:val="24"/>
          <w:szCs w:val="24"/>
          <w:lang w:eastAsia="es-CR"/>
        </w:rPr>
      </w:pPr>
    </w:p>
    <w:p w14:paraId="4BF778A7" w14:textId="533166AA" w:rsidR="009C01E1" w:rsidRPr="009C01E1" w:rsidRDefault="009C01E1" w:rsidP="0090609F">
      <w:pPr>
        <w:numPr>
          <w:ilvl w:val="0"/>
          <w:numId w:val="3"/>
        </w:numPr>
        <w:spacing w:after="0" w:line="276" w:lineRule="auto"/>
        <w:ind w:left="0" w:firstLine="0"/>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 xml:space="preserve">Profesionales de la Defensa Pública, específicamente las Licenciadas Melania Soto Delgado y Sandra Mora Venegas, por su orden </w:t>
      </w:r>
      <w:r w:rsidR="00306313">
        <w:rPr>
          <w:rFonts w:ascii="Book Antiqua" w:eastAsia="Calibri" w:hAnsi="Book Antiqua" w:cs="Arial"/>
          <w:sz w:val="24"/>
          <w:szCs w:val="24"/>
          <w:lang w:eastAsia="es-CR"/>
        </w:rPr>
        <w:t xml:space="preserve">entonces </w:t>
      </w:r>
      <w:r w:rsidRPr="009C01E1">
        <w:rPr>
          <w:rFonts w:ascii="Book Antiqua" w:eastAsia="Calibri" w:hAnsi="Book Antiqua" w:cs="Arial"/>
          <w:sz w:val="24"/>
          <w:szCs w:val="24"/>
          <w:lang w:eastAsia="es-CR"/>
        </w:rPr>
        <w:t>Administradora Regional de la Defensa Pública y Supervisora a.i. de la Unidad de Pensiones Alimentarias y Familia.</w:t>
      </w:r>
    </w:p>
    <w:p w14:paraId="6FDC7A27" w14:textId="77777777" w:rsidR="009C01E1" w:rsidRPr="009C01E1" w:rsidRDefault="009C01E1" w:rsidP="009C01E1">
      <w:pPr>
        <w:spacing w:after="0" w:line="276" w:lineRule="auto"/>
        <w:contextualSpacing/>
        <w:jc w:val="both"/>
        <w:rPr>
          <w:rFonts w:ascii="Book Antiqua" w:eastAsia="Calibri" w:hAnsi="Book Antiqua" w:cs="Arial"/>
          <w:sz w:val="24"/>
          <w:szCs w:val="24"/>
          <w:lang w:eastAsia="es-CR"/>
        </w:rPr>
      </w:pPr>
    </w:p>
    <w:p w14:paraId="7847220D" w14:textId="3C4BE7B4" w:rsidR="009C01E1" w:rsidRDefault="00111B07" w:rsidP="0090609F">
      <w:pPr>
        <w:numPr>
          <w:ilvl w:val="0"/>
          <w:numId w:val="3"/>
        </w:numPr>
        <w:spacing w:after="0" w:line="276" w:lineRule="auto"/>
        <w:ind w:left="0" w:firstLine="0"/>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Lic. </w:t>
      </w:r>
      <w:r w:rsidR="009C01E1" w:rsidRPr="009C01E1">
        <w:rPr>
          <w:rFonts w:ascii="Book Antiqua" w:eastAsia="Calibri" w:hAnsi="Book Antiqua" w:cs="Arial"/>
          <w:sz w:val="24"/>
          <w:szCs w:val="24"/>
          <w:lang w:eastAsia="es-CR"/>
        </w:rPr>
        <w:t>Melvin Obando Villalobos de la Dirección Ejecutiva, Jefe a.i. del Subproceso de Análisis y Ejecución.</w:t>
      </w:r>
    </w:p>
    <w:p w14:paraId="4704CBB7" w14:textId="77777777" w:rsidR="007E10FD" w:rsidRPr="009C01E1" w:rsidRDefault="007E10FD" w:rsidP="007E10FD">
      <w:pPr>
        <w:spacing w:after="0" w:line="276" w:lineRule="auto"/>
        <w:contextualSpacing/>
        <w:jc w:val="both"/>
        <w:rPr>
          <w:rFonts w:ascii="Book Antiqua" w:eastAsia="Calibri" w:hAnsi="Book Antiqua" w:cs="Arial"/>
          <w:sz w:val="24"/>
          <w:szCs w:val="24"/>
          <w:lang w:eastAsia="es-CR"/>
        </w:rPr>
      </w:pPr>
    </w:p>
    <w:p w14:paraId="77560AAC" w14:textId="293C60A0" w:rsidR="009C01E1" w:rsidRDefault="009C01E1" w:rsidP="0090609F">
      <w:pPr>
        <w:numPr>
          <w:ilvl w:val="0"/>
          <w:numId w:val="4"/>
        </w:numPr>
        <w:spacing w:after="0" w:line="276" w:lineRule="auto"/>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Escuela Judicial, con l</w:t>
      </w:r>
      <w:r w:rsidR="00111B07">
        <w:rPr>
          <w:rFonts w:ascii="Book Antiqua" w:eastAsia="Calibri" w:hAnsi="Book Antiqua" w:cs="Arial"/>
          <w:sz w:val="24"/>
          <w:szCs w:val="24"/>
          <w:lang w:eastAsia="es-CR"/>
        </w:rPr>
        <w:t>a</w:t>
      </w:r>
      <w:r w:rsidRPr="009C01E1">
        <w:rPr>
          <w:rFonts w:ascii="Book Antiqua" w:eastAsia="Calibri" w:hAnsi="Book Antiqua" w:cs="Arial"/>
          <w:sz w:val="24"/>
          <w:szCs w:val="24"/>
          <w:lang w:eastAsia="es-CR"/>
        </w:rPr>
        <w:t xml:space="preserve"> Licda. Rebeca Guardia Morales, Directora a.i. de la Escuela Judicial, Lic</w:t>
      </w:r>
      <w:r w:rsidR="00111B07">
        <w:rPr>
          <w:rFonts w:ascii="Book Antiqua" w:eastAsia="Calibri" w:hAnsi="Book Antiqua" w:cs="Arial"/>
          <w:sz w:val="24"/>
          <w:szCs w:val="24"/>
          <w:lang w:eastAsia="es-CR"/>
        </w:rPr>
        <w:t>da</w:t>
      </w:r>
      <w:r w:rsidRPr="009C01E1">
        <w:rPr>
          <w:rFonts w:ascii="Book Antiqua" w:eastAsia="Calibri" w:hAnsi="Book Antiqua" w:cs="Arial"/>
          <w:sz w:val="24"/>
          <w:szCs w:val="24"/>
          <w:lang w:eastAsia="es-CR"/>
        </w:rPr>
        <w:t>. Francia León González de la Escuela Judicial.</w:t>
      </w:r>
    </w:p>
    <w:p w14:paraId="0C539DF0" w14:textId="77777777" w:rsidR="00306313" w:rsidRPr="009C01E1" w:rsidRDefault="00306313" w:rsidP="001D0C10">
      <w:pPr>
        <w:spacing w:after="0" w:line="276" w:lineRule="auto"/>
        <w:contextualSpacing/>
        <w:jc w:val="both"/>
        <w:rPr>
          <w:rFonts w:ascii="Book Antiqua" w:eastAsia="Calibri" w:hAnsi="Book Antiqua" w:cs="Arial"/>
          <w:sz w:val="24"/>
          <w:szCs w:val="24"/>
          <w:lang w:eastAsia="es-CR"/>
        </w:rPr>
      </w:pPr>
    </w:p>
    <w:p w14:paraId="3DE0D025" w14:textId="3786EC85" w:rsidR="00111B07" w:rsidRDefault="009C01E1" w:rsidP="0090609F">
      <w:pPr>
        <w:numPr>
          <w:ilvl w:val="0"/>
          <w:numId w:val="4"/>
        </w:numPr>
        <w:spacing w:after="0" w:line="276" w:lineRule="auto"/>
        <w:contextualSpacing/>
        <w:jc w:val="both"/>
        <w:rPr>
          <w:rFonts w:ascii="Book Antiqua" w:eastAsia="Calibri" w:hAnsi="Book Antiqua" w:cs="Arial"/>
          <w:sz w:val="24"/>
          <w:szCs w:val="24"/>
          <w:lang w:eastAsia="es-CR"/>
        </w:rPr>
      </w:pPr>
      <w:r w:rsidRPr="009C01E1">
        <w:rPr>
          <w:rFonts w:ascii="Book Antiqua" w:eastAsia="Calibri" w:hAnsi="Book Antiqua" w:cs="Arial"/>
          <w:sz w:val="24"/>
          <w:szCs w:val="24"/>
          <w:lang w:eastAsia="es-CR"/>
        </w:rPr>
        <w:t>Profesional del Departamento de Trabajo Social y Psicología, concretamente la MSc. Alba Gutiérrez Villalobos, Jefa del Departamento de Trabajo Social y Psicología.</w:t>
      </w:r>
    </w:p>
    <w:p w14:paraId="4E2C6F40" w14:textId="77777777" w:rsidR="007E10FD" w:rsidRDefault="007E10FD" w:rsidP="007E10FD">
      <w:pPr>
        <w:spacing w:after="0" w:line="276" w:lineRule="auto"/>
        <w:contextualSpacing/>
        <w:jc w:val="both"/>
        <w:rPr>
          <w:rFonts w:ascii="Book Antiqua" w:eastAsia="Calibri" w:hAnsi="Book Antiqua" w:cs="Arial"/>
          <w:sz w:val="24"/>
          <w:szCs w:val="24"/>
          <w:lang w:eastAsia="es-CR"/>
        </w:rPr>
      </w:pPr>
    </w:p>
    <w:p w14:paraId="61DAD48E" w14:textId="19B4C84A" w:rsidR="00111B07" w:rsidRDefault="00111B07" w:rsidP="0090609F">
      <w:pPr>
        <w:numPr>
          <w:ilvl w:val="0"/>
          <w:numId w:val="4"/>
        </w:numPr>
        <w:spacing w:after="0" w:line="276" w:lineRule="auto"/>
        <w:contextualSpacing/>
        <w:jc w:val="both"/>
        <w:rPr>
          <w:rFonts w:ascii="Book Antiqua" w:eastAsia="Calibri" w:hAnsi="Book Antiqua" w:cs="Arial"/>
          <w:sz w:val="24"/>
          <w:szCs w:val="24"/>
          <w:lang w:eastAsia="es-CR"/>
        </w:rPr>
      </w:pPr>
      <w:r w:rsidRPr="00111B07">
        <w:rPr>
          <w:rFonts w:ascii="Book Antiqua" w:eastAsia="Calibri" w:hAnsi="Book Antiqua" w:cs="Arial"/>
          <w:sz w:val="24"/>
          <w:szCs w:val="24"/>
          <w:lang w:eastAsia="es-CR"/>
        </w:rPr>
        <w:t xml:space="preserve">Departamento de Medicina Legal, con el Dr. Franz Vega Zúñiga, </w:t>
      </w:r>
      <w:r>
        <w:rPr>
          <w:rFonts w:ascii="Book Antiqua" w:eastAsia="Calibri" w:hAnsi="Book Antiqua" w:cs="Arial"/>
          <w:sz w:val="24"/>
          <w:szCs w:val="24"/>
          <w:lang w:eastAsia="es-CR"/>
        </w:rPr>
        <w:t>J</w:t>
      </w:r>
      <w:r w:rsidRPr="00111B07">
        <w:rPr>
          <w:rFonts w:ascii="Book Antiqua" w:eastAsia="Calibri" w:hAnsi="Book Antiqua" w:cs="Arial"/>
          <w:sz w:val="24"/>
          <w:szCs w:val="24"/>
          <w:lang w:eastAsia="es-CR"/>
        </w:rPr>
        <w:t>efe del Departamento de Medicina Legal y el señor Jesús Benavides Chacón de la Unidad Tecnológica Informática.</w:t>
      </w:r>
    </w:p>
    <w:p w14:paraId="477470C9" w14:textId="77777777" w:rsidR="007E10FD" w:rsidRDefault="007E10FD" w:rsidP="007E10FD">
      <w:pPr>
        <w:spacing w:after="0" w:line="276" w:lineRule="auto"/>
        <w:contextualSpacing/>
        <w:jc w:val="both"/>
        <w:rPr>
          <w:rFonts w:ascii="Book Antiqua" w:eastAsia="Calibri" w:hAnsi="Book Antiqua" w:cs="Arial"/>
          <w:sz w:val="24"/>
          <w:szCs w:val="24"/>
          <w:lang w:eastAsia="es-CR"/>
        </w:rPr>
      </w:pPr>
    </w:p>
    <w:p w14:paraId="6D1AFABE" w14:textId="3F044DD4" w:rsidR="00111B07" w:rsidRDefault="00111B07" w:rsidP="0090609F">
      <w:pPr>
        <w:numPr>
          <w:ilvl w:val="0"/>
          <w:numId w:val="4"/>
        </w:numPr>
        <w:spacing w:after="0" w:line="276" w:lineRule="auto"/>
        <w:contextualSpacing/>
        <w:jc w:val="both"/>
        <w:rPr>
          <w:rFonts w:ascii="Book Antiqua" w:eastAsia="Calibri" w:hAnsi="Book Antiqua" w:cs="Arial"/>
          <w:sz w:val="24"/>
          <w:szCs w:val="24"/>
          <w:lang w:eastAsia="es-CR"/>
        </w:rPr>
      </w:pPr>
      <w:r w:rsidRPr="00111B07">
        <w:rPr>
          <w:rFonts w:ascii="Book Antiqua" w:eastAsia="Calibri" w:hAnsi="Book Antiqua" w:cs="Arial"/>
          <w:sz w:val="24"/>
          <w:szCs w:val="24"/>
          <w:lang w:eastAsia="es-CR"/>
        </w:rPr>
        <w:t>Sección de Bioquímica, con la Dra. Eugenia Fernández Mora, Jefa de la Sección de Bioquímica.</w:t>
      </w:r>
    </w:p>
    <w:p w14:paraId="3E2E514D" w14:textId="605CF552" w:rsidR="00B94F8B" w:rsidRPr="00B94F8B" w:rsidRDefault="00B94F8B" w:rsidP="00B94F8B">
      <w:pPr>
        <w:spacing w:after="0" w:line="276" w:lineRule="auto"/>
        <w:jc w:val="both"/>
        <w:rPr>
          <w:rFonts w:ascii="Book Antiqua" w:eastAsia="Calibri" w:hAnsi="Book Antiqua" w:cs="Arial"/>
          <w:sz w:val="24"/>
          <w:szCs w:val="24"/>
        </w:rPr>
      </w:pPr>
      <w:r w:rsidRPr="00271750">
        <w:rPr>
          <w:rFonts w:ascii="Book Antiqua" w:eastAsia="Calibri" w:hAnsi="Book Antiqua" w:cs="Arial"/>
          <w:b/>
          <w:bCs/>
          <w:i/>
          <w:iCs/>
          <w:sz w:val="24"/>
          <w:szCs w:val="24"/>
        </w:rPr>
        <w:lastRenderedPageBreak/>
        <w:t>Para el ejercicio de formulación presupuestario para el 202</w:t>
      </w:r>
      <w:r w:rsidR="00E42380">
        <w:rPr>
          <w:rFonts w:ascii="Book Antiqua" w:eastAsia="Calibri" w:hAnsi="Book Antiqua" w:cs="Arial"/>
          <w:b/>
          <w:bCs/>
          <w:i/>
          <w:iCs/>
          <w:sz w:val="24"/>
          <w:szCs w:val="24"/>
        </w:rPr>
        <w:t>2 y 202</w:t>
      </w:r>
      <w:r w:rsidRPr="00271750">
        <w:rPr>
          <w:rFonts w:ascii="Book Antiqua" w:eastAsia="Calibri" w:hAnsi="Book Antiqua" w:cs="Arial"/>
          <w:b/>
          <w:bCs/>
          <w:i/>
          <w:iCs/>
          <w:sz w:val="24"/>
          <w:szCs w:val="24"/>
        </w:rPr>
        <w:t>3</w:t>
      </w:r>
      <w:r w:rsidRPr="00271750">
        <w:rPr>
          <w:rFonts w:ascii="Book Antiqua" w:eastAsia="Calibri" w:hAnsi="Book Antiqua" w:cs="Arial"/>
          <w:sz w:val="24"/>
          <w:szCs w:val="24"/>
        </w:rPr>
        <w:t xml:space="preserve"> </w:t>
      </w:r>
      <w:r w:rsidR="00E42380">
        <w:rPr>
          <w:rFonts w:ascii="Book Antiqua" w:eastAsia="Calibri" w:hAnsi="Book Antiqua" w:cs="Arial"/>
          <w:sz w:val="24"/>
          <w:szCs w:val="24"/>
        </w:rPr>
        <w:t xml:space="preserve">se hace referencia a </w:t>
      </w:r>
      <w:r w:rsidR="006D695A">
        <w:rPr>
          <w:rFonts w:ascii="Book Antiqua" w:eastAsia="Calibri" w:hAnsi="Book Antiqua" w:cs="Arial"/>
          <w:sz w:val="24"/>
          <w:szCs w:val="24"/>
        </w:rPr>
        <w:t xml:space="preserve">las </w:t>
      </w:r>
      <w:r w:rsidR="00E42380">
        <w:rPr>
          <w:rFonts w:ascii="Book Antiqua" w:eastAsia="Calibri" w:hAnsi="Book Antiqua" w:cs="Arial"/>
          <w:sz w:val="24"/>
          <w:szCs w:val="24"/>
        </w:rPr>
        <w:t>partes iniciales de las personas citadas en el párrafo anterior, y además se procede a la actualización de los costos citados en el informe</w:t>
      </w:r>
      <w:r w:rsidRPr="00271750">
        <w:rPr>
          <w:rFonts w:ascii="Book Antiqua" w:eastAsia="Calibri" w:hAnsi="Book Antiqua" w:cs="Arial"/>
          <w:sz w:val="24"/>
          <w:szCs w:val="24"/>
        </w:rPr>
        <w:t xml:space="preserve"> </w:t>
      </w:r>
      <w:r w:rsidR="00D53C25" w:rsidRPr="00271750">
        <w:rPr>
          <w:rFonts w:ascii="Book Antiqua" w:eastAsia="Calibri" w:hAnsi="Book Antiqua" w:cs="Arial"/>
          <w:sz w:val="24"/>
          <w:szCs w:val="24"/>
        </w:rPr>
        <w:t>389</w:t>
      </w:r>
      <w:r w:rsidRPr="00271750">
        <w:rPr>
          <w:rFonts w:ascii="Book Antiqua" w:eastAsia="Calibri" w:hAnsi="Book Antiqua" w:cs="Arial"/>
          <w:sz w:val="24"/>
          <w:szCs w:val="24"/>
        </w:rPr>
        <w:t>-PLA-RH-MI-202</w:t>
      </w:r>
      <w:r w:rsidR="00271750" w:rsidRPr="00271750">
        <w:rPr>
          <w:rFonts w:ascii="Book Antiqua" w:eastAsia="Calibri" w:hAnsi="Book Antiqua" w:cs="Arial"/>
          <w:sz w:val="24"/>
          <w:szCs w:val="24"/>
        </w:rPr>
        <w:t>1</w:t>
      </w:r>
      <w:r w:rsidR="00E42380">
        <w:rPr>
          <w:rFonts w:ascii="Book Antiqua" w:eastAsia="Calibri" w:hAnsi="Book Antiqua" w:cs="Arial"/>
          <w:sz w:val="24"/>
          <w:szCs w:val="24"/>
        </w:rPr>
        <w:t xml:space="preserve">; y el avance en las tareas o estudios complementarios citados en ese informe y que representan análisis que conforme al cronograma del </w:t>
      </w:r>
      <w:r w:rsidRPr="00BB2865">
        <w:rPr>
          <w:rFonts w:ascii="Book Antiqua" w:eastAsia="Calibri" w:hAnsi="Book Antiqua" w:cs="Arial"/>
          <w:sz w:val="24"/>
          <w:szCs w:val="24"/>
        </w:rPr>
        <w:t>Proyecto 1374-CF-P01 “</w:t>
      </w:r>
      <w:r w:rsidRPr="00BB2865">
        <w:rPr>
          <w:rFonts w:ascii="Book Antiqua" w:eastAsia="Calibri" w:hAnsi="Book Antiqua" w:cs="Arial"/>
          <w:i/>
          <w:iCs/>
          <w:sz w:val="24"/>
          <w:szCs w:val="24"/>
        </w:rPr>
        <w:t>Implementación del Código Procesal de Familia”</w:t>
      </w:r>
      <w:r w:rsidR="00E42380">
        <w:rPr>
          <w:rFonts w:ascii="Book Antiqua" w:eastAsia="Calibri" w:hAnsi="Book Antiqua" w:cs="Arial"/>
          <w:i/>
          <w:iCs/>
          <w:sz w:val="24"/>
          <w:szCs w:val="24"/>
        </w:rPr>
        <w:t xml:space="preserve">, </w:t>
      </w:r>
      <w:r w:rsidR="00E42380" w:rsidRPr="001D0C10">
        <w:rPr>
          <w:rFonts w:ascii="Book Antiqua" w:eastAsia="Calibri" w:hAnsi="Book Antiqua" w:cs="Arial"/>
          <w:sz w:val="24"/>
          <w:szCs w:val="24"/>
        </w:rPr>
        <w:t xml:space="preserve">se les da seguimiento incluso con las Comisiones Jurisdiccionales y el Centro de Apoyo, Coordinación y Mejoramiento de la Función Jurisdiccional para garantizar su ejecución previo a la entrada en vigencia de la norma.  Para este informe además </w:t>
      </w:r>
      <w:r w:rsidRPr="00E42380">
        <w:rPr>
          <w:rFonts w:ascii="Book Antiqua" w:eastAsia="Calibri" w:hAnsi="Book Antiqua" w:cs="Arial"/>
          <w:sz w:val="24"/>
          <w:szCs w:val="24"/>
        </w:rPr>
        <w:t xml:space="preserve">se actualizó la </w:t>
      </w:r>
      <w:r w:rsidR="00E42380" w:rsidRPr="00E42380">
        <w:rPr>
          <w:rFonts w:ascii="Book Antiqua" w:eastAsia="Calibri" w:hAnsi="Book Antiqua" w:cs="Arial"/>
          <w:sz w:val="24"/>
          <w:szCs w:val="24"/>
        </w:rPr>
        <w:t xml:space="preserve">información </w:t>
      </w:r>
      <w:r w:rsidRPr="00E42380">
        <w:rPr>
          <w:rFonts w:ascii="Book Antiqua" w:eastAsia="Calibri" w:hAnsi="Book Antiqua" w:cs="Arial"/>
          <w:sz w:val="24"/>
          <w:szCs w:val="24"/>
        </w:rPr>
        <w:t xml:space="preserve">estadística </w:t>
      </w:r>
      <w:r w:rsidR="00E42380" w:rsidRPr="00E42380">
        <w:rPr>
          <w:rFonts w:ascii="Book Antiqua" w:eastAsia="Calibri" w:hAnsi="Book Antiqua" w:cs="Arial"/>
          <w:sz w:val="24"/>
          <w:szCs w:val="24"/>
        </w:rPr>
        <w:t>al finalizar</w:t>
      </w:r>
      <w:r w:rsidRPr="00E42380">
        <w:rPr>
          <w:rFonts w:ascii="Book Antiqua" w:eastAsia="Calibri" w:hAnsi="Book Antiqua" w:cs="Arial"/>
          <w:sz w:val="24"/>
          <w:szCs w:val="24"/>
        </w:rPr>
        <w:t xml:space="preserve"> 202</w:t>
      </w:r>
      <w:r w:rsidR="00F56999" w:rsidRPr="00E42380">
        <w:rPr>
          <w:rFonts w:ascii="Book Antiqua" w:eastAsia="Calibri" w:hAnsi="Book Antiqua" w:cs="Arial"/>
          <w:sz w:val="24"/>
          <w:szCs w:val="24"/>
        </w:rPr>
        <w:t>1</w:t>
      </w:r>
      <w:r w:rsidRPr="00E42380">
        <w:rPr>
          <w:rFonts w:ascii="Book Antiqua" w:eastAsia="Calibri" w:hAnsi="Book Antiqua" w:cs="Arial"/>
          <w:sz w:val="24"/>
          <w:szCs w:val="24"/>
        </w:rPr>
        <w:t>.</w:t>
      </w:r>
      <w:r w:rsidRPr="00B94F8B">
        <w:rPr>
          <w:rFonts w:ascii="Book Antiqua" w:eastAsia="Calibri" w:hAnsi="Book Antiqua" w:cs="Arial"/>
          <w:sz w:val="24"/>
          <w:szCs w:val="24"/>
        </w:rPr>
        <w:t xml:space="preserve"> </w:t>
      </w:r>
    </w:p>
    <w:p w14:paraId="11F1BBC3" w14:textId="77777777" w:rsidR="00B94F8B" w:rsidRPr="00B94F8B" w:rsidRDefault="00B94F8B" w:rsidP="00B94F8B">
      <w:pPr>
        <w:spacing w:after="0" w:line="276" w:lineRule="auto"/>
        <w:jc w:val="both"/>
        <w:rPr>
          <w:rFonts w:ascii="Book Antiqua" w:eastAsia="Calibri" w:hAnsi="Book Antiqua" w:cs="Arial"/>
          <w:sz w:val="24"/>
          <w:szCs w:val="24"/>
        </w:rPr>
      </w:pPr>
    </w:p>
    <w:p w14:paraId="2A86DA2F" w14:textId="4468EDA0" w:rsidR="00B94F8B" w:rsidRPr="00B94F8B" w:rsidRDefault="002B1E31" w:rsidP="00B94F8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Para efectos de análisis estadístico debe considerar que el año 2020, es un </w:t>
      </w:r>
      <w:r w:rsidR="00797957">
        <w:rPr>
          <w:rFonts w:ascii="Book Antiqua" w:eastAsia="Calibri" w:hAnsi="Book Antiqua" w:cs="Arial"/>
          <w:sz w:val="24"/>
          <w:szCs w:val="24"/>
        </w:rPr>
        <w:t xml:space="preserve">periodo </w:t>
      </w:r>
      <w:r w:rsidR="00797957" w:rsidRPr="00B94F8B">
        <w:rPr>
          <w:rFonts w:ascii="Book Antiqua" w:eastAsia="Calibri" w:hAnsi="Book Antiqua" w:cs="Arial"/>
          <w:sz w:val="24"/>
          <w:szCs w:val="24"/>
        </w:rPr>
        <w:t>atípico</w:t>
      </w:r>
      <w:r>
        <w:rPr>
          <w:rFonts w:ascii="Book Antiqua" w:eastAsia="Calibri" w:hAnsi="Book Antiqua" w:cs="Arial"/>
          <w:sz w:val="24"/>
          <w:szCs w:val="24"/>
        </w:rPr>
        <w:t xml:space="preserve">, y </w:t>
      </w:r>
      <w:r w:rsidR="00D4767A" w:rsidRPr="00D4767A">
        <w:rPr>
          <w:rFonts w:ascii="Book Antiqua" w:eastAsia="Calibri" w:hAnsi="Book Antiqua" w:cs="Arial"/>
          <w:sz w:val="24"/>
          <w:szCs w:val="24"/>
        </w:rPr>
        <w:t>para efectos de estimaciones</w:t>
      </w:r>
      <w:r>
        <w:rPr>
          <w:rFonts w:ascii="Book Antiqua" w:eastAsia="Calibri" w:hAnsi="Book Antiqua" w:cs="Arial"/>
          <w:sz w:val="24"/>
          <w:szCs w:val="24"/>
        </w:rPr>
        <w:t xml:space="preserve"> ese periodo </w:t>
      </w:r>
      <w:r w:rsidR="00B94F8B" w:rsidRPr="00B94F8B">
        <w:rPr>
          <w:rFonts w:ascii="Book Antiqua" w:eastAsia="Calibri" w:hAnsi="Book Antiqua" w:cs="Arial"/>
          <w:sz w:val="24"/>
          <w:szCs w:val="24"/>
        </w:rPr>
        <w:t>no refleja la normalidad de las oficinas debido a la emergencia nacional por la pandemia por Covid-19.</w:t>
      </w:r>
    </w:p>
    <w:p w14:paraId="126D1352" w14:textId="77777777" w:rsidR="00B94F8B" w:rsidRPr="00B94F8B" w:rsidRDefault="00B94F8B" w:rsidP="00B94F8B">
      <w:pPr>
        <w:spacing w:after="0" w:line="276" w:lineRule="auto"/>
        <w:jc w:val="both"/>
        <w:rPr>
          <w:rFonts w:ascii="Book Antiqua" w:eastAsia="Calibri" w:hAnsi="Book Antiqua" w:cs="Arial"/>
          <w:sz w:val="24"/>
          <w:szCs w:val="24"/>
        </w:rPr>
      </w:pPr>
    </w:p>
    <w:p w14:paraId="557C4863" w14:textId="77777777" w:rsidR="006E0F2D" w:rsidRPr="005C0591" w:rsidRDefault="006E0F2D" w:rsidP="008456A9">
      <w:pPr>
        <w:pStyle w:val="Ttulo2"/>
      </w:pPr>
      <w:r w:rsidRPr="0062180E">
        <w:t xml:space="preserve">Proyecto 1374-CF-P01 </w:t>
      </w:r>
      <w:r w:rsidRPr="00AD7EED">
        <w:t>“</w:t>
      </w:r>
      <w:r w:rsidRPr="005C0591">
        <w:t>Implementación del Código Procesal de Familia”</w:t>
      </w:r>
    </w:p>
    <w:p w14:paraId="336B0F40" w14:textId="4BEC684B" w:rsidR="006E0F2D" w:rsidRDefault="006E0F2D" w:rsidP="009C01E1">
      <w:pPr>
        <w:spacing w:line="276" w:lineRule="auto"/>
        <w:jc w:val="both"/>
        <w:rPr>
          <w:rFonts w:ascii="Book Antiqua" w:hAnsi="Book Antiqua"/>
          <w:sz w:val="24"/>
          <w:szCs w:val="24"/>
        </w:rPr>
      </w:pPr>
      <w:r w:rsidRPr="006E0F2D">
        <w:rPr>
          <w:rFonts w:ascii="Book Antiqua" w:hAnsi="Book Antiqua"/>
          <w:sz w:val="24"/>
          <w:szCs w:val="24"/>
        </w:rPr>
        <w:t xml:space="preserve">A partir de junio 2020 y conforme al acuerdo del Consejo Superior en sesión 70-2020 celebrada el 09 de julio del 2020, artículo LVIII se acordó entre otras cosas, ceder a la Dirección de Planificación el liderazgo del proyecto 1374-CF-P01 </w:t>
      </w:r>
      <w:r w:rsidRPr="001D0C10">
        <w:rPr>
          <w:rFonts w:ascii="Book Antiqua" w:hAnsi="Book Antiqua"/>
          <w:i/>
          <w:iCs/>
          <w:sz w:val="24"/>
          <w:szCs w:val="24"/>
        </w:rPr>
        <w:t>“Implementación del Código Procesal de Familia</w:t>
      </w:r>
      <w:r w:rsidRPr="006E0F2D">
        <w:rPr>
          <w:rFonts w:ascii="Book Antiqua" w:hAnsi="Book Antiqua"/>
          <w:sz w:val="24"/>
          <w:szCs w:val="24"/>
        </w:rPr>
        <w:t>” anteriormente administrado por la Comisión de Familia, Niñez y Adolescencia:</w:t>
      </w:r>
    </w:p>
    <w:p w14:paraId="0FB5EBBB" w14:textId="77777777" w:rsidR="006E0F2D" w:rsidRPr="006E0F2D" w:rsidRDefault="006E0F2D" w:rsidP="006E0F2D">
      <w:pPr>
        <w:spacing w:after="0" w:line="276" w:lineRule="auto"/>
        <w:ind w:left="567" w:right="616"/>
        <w:jc w:val="both"/>
        <w:rPr>
          <w:rFonts w:ascii="Book Antiqua" w:eastAsia="Calibri" w:hAnsi="Book Antiqua" w:cs="Arial"/>
          <w:i/>
          <w:sz w:val="24"/>
          <w:szCs w:val="24"/>
        </w:rPr>
      </w:pPr>
      <w:r w:rsidRPr="006E0F2D">
        <w:rPr>
          <w:rFonts w:ascii="Book Antiqua" w:eastAsia="Calibri" w:hAnsi="Book Antiqua" w:cs="Arial"/>
          <w:i/>
          <w:sz w:val="24"/>
          <w:szCs w:val="24"/>
        </w:rPr>
        <w:t>“</w:t>
      </w:r>
      <w:r w:rsidRPr="006E0F2D">
        <w:rPr>
          <w:rFonts w:ascii="Book Antiqua" w:eastAsia="Calibri" w:hAnsi="Book Antiqua" w:cs="Arial"/>
          <w:b/>
          <w:bCs/>
          <w:i/>
          <w:sz w:val="24"/>
          <w:szCs w:val="24"/>
        </w:rPr>
        <w:t>2</w:t>
      </w:r>
      <w:r w:rsidRPr="006E0F2D">
        <w:rPr>
          <w:rFonts w:ascii="Book Antiqua" w:eastAsia="Calibri" w:hAnsi="Book Antiqua" w:cs="Arial"/>
          <w:i/>
          <w:sz w:val="24"/>
          <w:szCs w:val="24"/>
        </w:rPr>
        <w:t>)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w:t>
      </w:r>
    </w:p>
    <w:p w14:paraId="27EF7688" w14:textId="77777777" w:rsidR="006E0F2D" w:rsidRDefault="006E0F2D" w:rsidP="006E0F2D">
      <w:pPr>
        <w:spacing w:after="0" w:line="276" w:lineRule="auto"/>
        <w:ind w:right="49"/>
        <w:jc w:val="both"/>
        <w:rPr>
          <w:rFonts w:ascii="Book Antiqua" w:eastAsia="Calibri" w:hAnsi="Book Antiqua" w:cs="Arial"/>
          <w:b/>
          <w:bCs/>
          <w:i/>
          <w:sz w:val="24"/>
          <w:szCs w:val="24"/>
        </w:rPr>
      </w:pPr>
    </w:p>
    <w:p w14:paraId="5B3BC9A3" w14:textId="3129B41C" w:rsidR="006E0F2D" w:rsidRPr="006E0F2D" w:rsidRDefault="006E0F2D" w:rsidP="006E0F2D">
      <w:pPr>
        <w:spacing w:after="0" w:line="276" w:lineRule="auto"/>
        <w:ind w:right="49"/>
        <w:jc w:val="both"/>
        <w:rPr>
          <w:rFonts w:ascii="Book Antiqua" w:eastAsia="Calibri" w:hAnsi="Book Antiqua" w:cs="Arial"/>
          <w:b/>
          <w:bCs/>
          <w:i/>
          <w:sz w:val="24"/>
          <w:szCs w:val="24"/>
        </w:rPr>
      </w:pPr>
      <w:r w:rsidRPr="006E0F2D">
        <w:rPr>
          <w:rFonts w:ascii="Book Antiqua" w:eastAsia="Calibri" w:hAnsi="Book Antiqua" w:cs="Arial"/>
          <w:b/>
          <w:bCs/>
          <w:i/>
          <w:sz w:val="24"/>
          <w:szCs w:val="24"/>
        </w:rPr>
        <w:t xml:space="preserve">Equipo Interdisciplinario </w:t>
      </w:r>
    </w:p>
    <w:p w14:paraId="1FB3653B" w14:textId="77777777" w:rsidR="006E0F2D" w:rsidRPr="006E0F2D" w:rsidRDefault="006E0F2D" w:rsidP="006E0F2D">
      <w:pPr>
        <w:spacing w:after="0" w:line="276" w:lineRule="auto"/>
        <w:ind w:right="49"/>
        <w:jc w:val="both"/>
        <w:rPr>
          <w:rFonts w:ascii="Book Antiqua" w:eastAsia="Calibri" w:hAnsi="Book Antiqua" w:cs="Arial"/>
          <w:b/>
          <w:bCs/>
          <w:i/>
          <w:sz w:val="24"/>
          <w:szCs w:val="24"/>
        </w:rPr>
      </w:pPr>
    </w:p>
    <w:p w14:paraId="40391ACA" w14:textId="5A956DBF" w:rsidR="002124D9" w:rsidRDefault="006E0F2D" w:rsidP="006E0F2D">
      <w:pPr>
        <w:spacing w:after="0" w:line="276" w:lineRule="auto"/>
        <w:ind w:right="49"/>
        <w:jc w:val="both"/>
        <w:rPr>
          <w:rFonts w:ascii="Book Antiqua" w:eastAsia="Calibri" w:hAnsi="Book Antiqua" w:cs="Arial"/>
          <w:iCs/>
          <w:sz w:val="24"/>
          <w:szCs w:val="24"/>
        </w:rPr>
      </w:pPr>
      <w:r w:rsidRPr="006E0F2D">
        <w:rPr>
          <w:rFonts w:ascii="Book Antiqua" w:eastAsia="Calibri" w:hAnsi="Book Antiqua" w:cs="Arial"/>
          <w:iCs/>
          <w:sz w:val="24"/>
          <w:szCs w:val="24"/>
        </w:rPr>
        <w:t>A partir de ese momento</w:t>
      </w:r>
      <w:r w:rsidR="009E4F55">
        <w:rPr>
          <w:rFonts w:ascii="Book Antiqua" w:eastAsia="Calibri" w:hAnsi="Book Antiqua" w:cs="Arial"/>
          <w:iCs/>
          <w:sz w:val="24"/>
          <w:szCs w:val="24"/>
        </w:rPr>
        <w:t>,</w:t>
      </w:r>
      <w:r w:rsidRPr="006E0F2D">
        <w:rPr>
          <w:rFonts w:ascii="Book Antiqua" w:eastAsia="Calibri" w:hAnsi="Book Antiqua" w:cs="Arial"/>
          <w:iCs/>
          <w:sz w:val="24"/>
          <w:szCs w:val="24"/>
        </w:rPr>
        <w:t xml:space="preserve"> se </w:t>
      </w:r>
      <w:r w:rsidR="0030761F">
        <w:rPr>
          <w:rFonts w:ascii="Book Antiqua" w:eastAsia="Calibri" w:hAnsi="Book Antiqua" w:cs="Arial"/>
          <w:iCs/>
          <w:sz w:val="24"/>
          <w:szCs w:val="24"/>
        </w:rPr>
        <w:t>realizaron</w:t>
      </w:r>
      <w:r w:rsidRPr="006E0F2D">
        <w:rPr>
          <w:rFonts w:ascii="Book Antiqua" w:eastAsia="Calibri" w:hAnsi="Book Antiqua" w:cs="Arial"/>
          <w:iCs/>
          <w:sz w:val="24"/>
          <w:szCs w:val="24"/>
        </w:rPr>
        <w:t xml:space="preserve"> sesiones de trabajo interdisciplinarias cada 2</w:t>
      </w:r>
      <w:r w:rsidR="009E4F55">
        <w:rPr>
          <w:rFonts w:ascii="Book Antiqua" w:eastAsia="Calibri" w:hAnsi="Book Antiqua" w:cs="Arial"/>
          <w:iCs/>
          <w:sz w:val="24"/>
          <w:szCs w:val="24"/>
        </w:rPr>
        <w:t xml:space="preserve"> a 3</w:t>
      </w:r>
      <w:r w:rsidRPr="006E0F2D">
        <w:rPr>
          <w:rFonts w:ascii="Book Antiqua" w:eastAsia="Calibri" w:hAnsi="Book Antiqua" w:cs="Arial"/>
          <w:iCs/>
          <w:sz w:val="24"/>
          <w:szCs w:val="24"/>
        </w:rPr>
        <w:t xml:space="preserve"> semanas aproximadamente con participación del Centro de Apoyo, Coordinación y Mejoramiento de la Función Jurisdiccional, Dirección de Tecnología de la Información, Dirección Ejecutiva, Dirección de Gestión Humana, Inspección </w:t>
      </w:r>
      <w:r w:rsidRPr="006E0F2D">
        <w:rPr>
          <w:rFonts w:ascii="Book Antiqua" w:eastAsia="Calibri" w:hAnsi="Book Antiqua" w:cs="Arial"/>
          <w:iCs/>
          <w:sz w:val="24"/>
          <w:szCs w:val="24"/>
        </w:rPr>
        <w:lastRenderedPageBreak/>
        <w:t>Judicial</w:t>
      </w:r>
      <w:r w:rsidR="002124D9">
        <w:rPr>
          <w:rFonts w:ascii="Book Antiqua" w:eastAsia="Calibri" w:hAnsi="Book Antiqua" w:cs="Arial"/>
          <w:iCs/>
          <w:sz w:val="24"/>
          <w:szCs w:val="24"/>
        </w:rPr>
        <w:t>, Escuela Judicial, Contraloría de Servicios</w:t>
      </w:r>
      <w:r w:rsidRPr="006E0F2D">
        <w:rPr>
          <w:rFonts w:ascii="Book Antiqua" w:eastAsia="Calibri" w:hAnsi="Book Antiqua" w:cs="Arial"/>
          <w:iCs/>
          <w:sz w:val="24"/>
          <w:szCs w:val="24"/>
        </w:rPr>
        <w:t>.</w:t>
      </w:r>
      <w:r w:rsidR="002124D9">
        <w:rPr>
          <w:rFonts w:ascii="Book Antiqua" w:eastAsia="Calibri" w:hAnsi="Book Antiqua" w:cs="Arial"/>
          <w:iCs/>
          <w:sz w:val="24"/>
          <w:szCs w:val="24"/>
        </w:rPr>
        <w:t xml:space="preserve"> </w:t>
      </w:r>
      <w:r w:rsidRPr="006E0F2D">
        <w:rPr>
          <w:rFonts w:ascii="Book Antiqua" w:eastAsia="Calibri" w:hAnsi="Book Antiqua" w:cs="Arial"/>
          <w:iCs/>
          <w:sz w:val="24"/>
          <w:szCs w:val="24"/>
        </w:rPr>
        <w:t>También se han realizado sesiones de trabajo con la Comisión de Familia, Niñez y Adolescencia</w:t>
      </w:r>
      <w:r w:rsidR="002124D9">
        <w:rPr>
          <w:rFonts w:ascii="Book Antiqua" w:eastAsia="Calibri" w:hAnsi="Book Antiqua" w:cs="Arial"/>
          <w:iCs/>
          <w:sz w:val="24"/>
          <w:szCs w:val="24"/>
        </w:rPr>
        <w:t>,</w:t>
      </w:r>
      <w:r w:rsidRPr="006E0F2D">
        <w:rPr>
          <w:rFonts w:ascii="Book Antiqua" w:eastAsia="Calibri" w:hAnsi="Book Antiqua" w:cs="Arial"/>
          <w:iCs/>
          <w:sz w:val="24"/>
          <w:szCs w:val="24"/>
        </w:rPr>
        <w:t xml:space="preserve"> el Despacho de la Presidencia</w:t>
      </w:r>
      <w:r w:rsidR="002124D9">
        <w:rPr>
          <w:rFonts w:ascii="Book Antiqua" w:eastAsia="Calibri" w:hAnsi="Book Antiqua" w:cs="Arial"/>
          <w:iCs/>
          <w:sz w:val="24"/>
          <w:szCs w:val="24"/>
        </w:rPr>
        <w:t xml:space="preserve"> y la </w:t>
      </w:r>
      <w:r w:rsidR="002124D9" w:rsidRPr="002124D9">
        <w:rPr>
          <w:rFonts w:ascii="Book Antiqua" w:eastAsia="Calibri" w:hAnsi="Book Antiqua" w:cs="Arial"/>
          <w:iCs/>
          <w:sz w:val="24"/>
          <w:szCs w:val="24"/>
        </w:rPr>
        <w:t>Comisión Permanente para el Seguimiento de la Atención y Prevención de la Violencia Intrafamiliar</w:t>
      </w:r>
      <w:r w:rsidRPr="006E0F2D">
        <w:rPr>
          <w:rFonts w:ascii="Book Antiqua" w:eastAsia="Calibri" w:hAnsi="Book Antiqua" w:cs="Arial"/>
          <w:iCs/>
          <w:sz w:val="24"/>
          <w:szCs w:val="24"/>
        </w:rPr>
        <w:t xml:space="preserve">.  </w:t>
      </w:r>
    </w:p>
    <w:p w14:paraId="095D8A0E" w14:textId="77777777" w:rsidR="002124D9" w:rsidRDefault="002124D9" w:rsidP="006E0F2D">
      <w:pPr>
        <w:spacing w:after="0" w:line="276" w:lineRule="auto"/>
        <w:ind w:right="49"/>
        <w:jc w:val="both"/>
        <w:rPr>
          <w:rFonts w:ascii="Book Antiqua" w:eastAsia="Calibri" w:hAnsi="Book Antiqua" w:cs="Arial"/>
          <w:iCs/>
          <w:sz w:val="24"/>
          <w:szCs w:val="24"/>
        </w:rPr>
      </w:pPr>
    </w:p>
    <w:p w14:paraId="403F5B4E" w14:textId="38A41244" w:rsidR="006E0F2D" w:rsidRPr="006E0F2D" w:rsidRDefault="006E0F2D" w:rsidP="006E0F2D">
      <w:pPr>
        <w:spacing w:after="0" w:line="276" w:lineRule="auto"/>
        <w:ind w:right="49"/>
        <w:jc w:val="both"/>
        <w:rPr>
          <w:rFonts w:ascii="Book Antiqua" w:eastAsia="Calibri" w:hAnsi="Book Antiqua" w:cs="Arial"/>
          <w:iCs/>
          <w:sz w:val="24"/>
          <w:szCs w:val="24"/>
        </w:rPr>
      </w:pPr>
      <w:r w:rsidRPr="006E0F2D">
        <w:rPr>
          <w:rFonts w:ascii="Book Antiqua" w:eastAsia="Calibri" w:hAnsi="Book Antiqua" w:cs="Arial"/>
          <w:iCs/>
          <w:sz w:val="24"/>
          <w:szCs w:val="24"/>
        </w:rPr>
        <w:t xml:space="preserve">Los participantes en las sesiones se ajustan a los temas de agenda. </w:t>
      </w:r>
    </w:p>
    <w:p w14:paraId="11B0B2B8" w14:textId="1485213D" w:rsidR="006E0F2D" w:rsidRPr="003141DF" w:rsidRDefault="006E0F2D" w:rsidP="006E0F2D">
      <w:pPr>
        <w:pStyle w:val="Ttulo1"/>
      </w:pPr>
      <w:r>
        <w:t>Principales implicaciones del Código Procesal de Familia</w:t>
      </w:r>
    </w:p>
    <w:p w14:paraId="26E17D87" w14:textId="77777777" w:rsidR="009916D1" w:rsidRPr="009916D1" w:rsidRDefault="009916D1" w:rsidP="009916D1">
      <w:pPr>
        <w:spacing w:after="0" w:line="276" w:lineRule="auto"/>
        <w:jc w:val="both"/>
        <w:rPr>
          <w:rFonts w:ascii="Book Antiqua" w:eastAsia="Calibri" w:hAnsi="Book Antiqua" w:cs="Arial"/>
          <w:sz w:val="24"/>
          <w:szCs w:val="24"/>
        </w:rPr>
      </w:pPr>
      <w:r w:rsidRPr="009916D1">
        <w:rPr>
          <w:rFonts w:ascii="Book Antiqua" w:eastAsia="Calibri" w:hAnsi="Book Antiqua" w:cs="Arial"/>
          <w:sz w:val="24"/>
          <w:szCs w:val="24"/>
        </w:rPr>
        <w:t>A continuación, se comentan las principales implicaciones del CPF sobre la organización y funcionamiento de los despachos y oficinas judiciales:</w:t>
      </w:r>
    </w:p>
    <w:p w14:paraId="7692CF84" w14:textId="792FF5FB" w:rsidR="006E0F2D" w:rsidRDefault="006E0F2D" w:rsidP="009C01E1">
      <w:pPr>
        <w:spacing w:line="276" w:lineRule="auto"/>
        <w:jc w:val="both"/>
        <w:rPr>
          <w:rFonts w:ascii="Book Antiqua" w:hAnsi="Book Antiqua"/>
          <w:sz w:val="24"/>
          <w:szCs w:val="24"/>
        </w:rPr>
      </w:pPr>
    </w:p>
    <w:p w14:paraId="47D44A81" w14:textId="77777777" w:rsidR="009916D1" w:rsidRPr="009916D1" w:rsidRDefault="009916D1" w:rsidP="0090609F">
      <w:pPr>
        <w:numPr>
          <w:ilvl w:val="0"/>
          <w:numId w:val="6"/>
        </w:numPr>
        <w:tabs>
          <w:tab w:val="left" w:pos="426"/>
        </w:tabs>
        <w:spacing w:after="0" w:line="276" w:lineRule="auto"/>
        <w:jc w:val="both"/>
        <w:rPr>
          <w:rFonts w:ascii="Book Antiqua" w:eastAsia="Calibri" w:hAnsi="Book Antiqua" w:cs="Arial"/>
          <w:sz w:val="24"/>
          <w:szCs w:val="24"/>
        </w:rPr>
      </w:pPr>
      <w:r w:rsidRPr="009916D1">
        <w:rPr>
          <w:rFonts w:ascii="Book Antiqua" w:eastAsia="Calibri" w:hAnsi="Book Antiqua" w:cs="Arial"/>
          <w:b/>
          <w:sz w:val="24"/>
          <w:szCs w:val="24"/>
        </w:rPr>
        <w:t>Oralidad.</w:t>
      </w:r>
      <w:r w:rsidRPr="009916D1">
        <w:rPr>
          <w:rFonts w:ascii="Book Antiqua" w:eastAsia="Calibri" w:hAnsi="Book Antiqua" w:cs="Arial"/>
          <w:sz w:val="24"/>
          <w:szCs w:val="24"/>
        </w:rPr>
        <w:t xml:space="preserve"> Se plantea que los procedimientos se regirán por el sistema procesal de oralidad, pero con aplicación del principio de privacidad, tal como se consigna en el artículo:</w:t>
      </w:r>
    </w:p>
    <w:p w14:paraId="363B0371" w14:textId="77777777" w:rsidR="009916D1" w:rsidRPr="009916D1" w:rsidRDefault="009916D1" w:rsidP="009916D1">
      <w:pPr>
        <w:spacing w:after="0" w:line="276" w:lineRule="auto"/>
        <w:contextualSpacing/>
        <w:jc w:val="both"/>
        <w:rPr>
          <w:rFonts w:ascii="Book Antiqua" w:eastAsia="Calibri" w:hAnsi="Book Antiqua" w:cs="Arial"/>
          <w:sz w:val="24"/>
          <w:szCs w:val="24"/>
          <w:lang w:eastAsia="es-CR"/>
        </w:rPr>
      </w:pPr>
    </w:p>
    <w:p w14:paraId="4CBD4AF7" w14:textId="77777777" w:rsidR="009916D1" w:rsidRPr="009916D1" w:rsidRDefault="009916D1" w:rsidP="009916D1">
      <w:pPr>
        <w:spacing w:after="0" w:line="276" w:lineRule="auto"/>
        <w:ind w:left="567" w:right="616"/>
        <w:jc w:val="both"/>
        <w:rPr>
          <w:rFonts w:ascii="Book Antiqua" w:eastAsia="Calibri" w:hAnsi="Book Antiqua" w:cs="Arial"/>
          <w:i/>
          <w:iCs/>
          <w:sz w:val="24"/>
          <w:szCs w:val="24"/>
        </w:rPr>
      </w:pPr>
      <w:r w:rsidRPr="009916D1">
        <w:rPr>
          <w:rFonts w:ascii="Book Antiqua" w:eastAsia="Calibri" w:hAnsi="Book Antiqua" w:cs="Arial"/>
          <w:i/>
          <w:iCs/>
          <w:sz w:val="24"/>
          <w:szCs w:val="24"/>
        </w:rPr>
        <w:t>“Artículo 4.- Preferencia del sistema procesal de oralidad</w:t>
      </w:r>
    </w:p>
    <w:p w14:paraId="14F1B169" w14:textId="14663185" w:rsidR="009916D1" w:rsidRDefault="009916D1" w:rsidP="009916D1">
      <w:pPr>
        <w:spacing w:after="0" w:line="276" w:lineRule="auto"/>
        <w:ind w:left="567" w:right="616"/>
        <w:jc w:val="both"/>
        <w:rPr>
          <w:rFonts w:ascii="Book Antiqua" w:eastAsia="Calibri" w:hAnsi="Book Antiqua" w:cs="Arial"/>
          <w:i/>
          <w:iCs/>
          <w:sz w:val="24"/>
          <w:szCs w:val="24"/>
        </w:rPr>
      </w:pPr>
      <w:r w:rsidRPr="009916D1">
        <w:rPr>
          <w:rFonts w:ascii="Book Antiqua" w:eastAsia="Calibri" w:hAnsi="Book Antiqua" w:cs="Arial"/>
          <w:i/>
          <w:iCs/>
          <w:sz w:val="24"/>
          <w:szCs w:val="24"/>
        </w:rPr>
        <w:t>Salvo disposición en contrario, los procedimientos que regula este Código se regirán por el sistema procesal de oralidad con aplicación del principio de privacidad dentro de él.”</w:t>
      </w:r>
    </w:p>
    <w:p w14:paraId="2F86789C" w14:textId="77777777" w:rsidR="007D608F" w:rsidRDefault="007D608F" w:rsidP="009916D1">
      <w:pPr>
        <w:spacing w:after="0" w:line="276" w:lineRule="auto"/>
        <w:ind w:left="567" w:right="616"/>
        <w:jc w:val="both"/>
        <w:rPr>
          <w:rFonts w:ascii="Book Antiqua" w:eastAsia="Calibri" w:hAnsi="Book Antiqua" w:cs="Arial"/>
          <w:i/>
          <w:iCs/>
          <w:sz w:val="24"/>
          <w:szCs w:val="24"/>
        </w:rPr>
      </w:pPr>
    </w:p>
    <w:p w14:paraId="6C5047EA" w14:textId="27A5E382" w:rsidR="009916D1" w:rsidRPr="009916D1" w:rsidRDefault="009916D1" w:rsidP="009916D1">
      <w:pPr>
        <w:spacing w:after="0" w:line="276" w:lineRule="auto"/>
        <w:jc w:val="both"/>
        <w:rPr>
          <w:rFonts w:ascii="Book Antiqua" w:eastAsia="Calibri" w:hAnsi="Book Antiqua" w:cs="Arial"/>
          <w:sz w:val="24"/>
          <w:szCs w:val="24"/>
        </w:rPr>
      </w:pPr>
      <w:r w:rsidRPr="009916D1">
        <w:rPr>
          <w:rFonts w:ascii="Book Antiqua" w:eastAsia="Calibri" w:hAnsi="Book Antiqua" w:cs="Arial"/>
          <w:sz w:val="24"/>
          <w:szCs w:val="24"/>
        </w:rPr>
        <w:t xml:space="preserve">Sobre este tema el Lic. Jiménez Mata, aclaró </w:t>
      </w:r>
      <w:r w:rsidR="00162B19">
        <w:rPr>
          <w:rFonts w:ascii="Book Antiqua" w:eastAsia="Calibri" w:hAnsi="Book Antiqua" w:cs="Arial"/>
          <w:sz w:val="24"/>
          <w:szCs w:val="24"/>
        </w:rPr>
        <w:t xml:space="preserve">en 2020, </w:t>
      </w:r>
      <w:r w:rsidRPr="009916D1">
        <w:rPr>
          <w:rFonts w:ascii="Book Antiqua" w:eastAsia="Calibri" w:hAnsi="Book Antiqua" w:cs="Arial"/>
          <w:sz w:val="24"/>
          <w:szCs w:val="24"/>
        </w:rPr>
        <w:t>que la oralidad no implica prescindir del uso del papel para adoptar de forma obligatoria sistemas de trabajo que involucren la grabación de audiencias y la utilización del expediente judicial electrónico, ya que en su criterio estos temas son administrativos y no procesales; por ese motivo precisó que no fueron abordados dentro del CPF.</w:t>
      </w:r>
    </w:p>
    <w:p w14:paraId="5EE3C774" w14:textId="20A941B1" w:rsidR="009916D1" w:rsidRPr="009916D1" w:rsidRDefault="009916D1" w:rsidP="009916D1">
      <w:pPr>
        <w:spacing w:after="0" w:line="276" w:lineRule="auto"/>
        <w:jc w:val="both"/>
        <w:rPr>
          <w:rFonts w:ascii="Book Antiqua" w:eastAsia="Calibri" w:hAnsi="Book Antiqua" w:cs="Arial"/>
          <w:sz w:val="24"/>
          <w:szCs w:val="24"/>
        </w:rPr>
      </w:pPr>
      <w:r w:rsidRPr="009916D1">
        <w:rPr>
          <w:rFonts w:ascii="Book Antiqua" w:eastAsia="Calibri" w:hAnsi="Book Antiqua" w:cs="Arial"/>
          <w:sz w:val="24"/>
          <w:szCs w:val="24"/>
        </w:rPr>
        <w:t>En términos generales, lo que se pretende es agilizar el trámite de los procesos para reducir los plazos de tramitación y dictado de sentencias, ya que el CPF establece que la contestación de la demanda, en la medida de lo posible, se realice en la misma audiencia, de igual manera sucede con las apelaciones. Además, se faculta a las personas juzgadoras para que dicten la parte dispositiva de las sentencias una vez finalizada la última audiencia del proceso. Por lo anterior, es posible que un proceso familiar se desarrolle en una sola audiencia, lográndose un mayor aprovechamiento de los recursos institucionales, impactando además en las labores de las personas técnicas judiciales</w:t>
      </w:r>
      <w:r w:rsidR="00036364">
        <w:rPr>
          <w:rFonts w:ascii="Book Antiqua" w:eastAsia="Calibri" w:hAnsi="Book Antiqua" w:cs="Arial"/>
          <w:sz w:val="24"/>
          <w:szCs w:val="24"/>
        </w:rPr>
        <w:t>,</w:t>
      </w:r>
      <w:r w:rsidRPr="009916D1">
        <w:rPr>
          <w:rFonts w:ascii="Book Antiqua" w:eastAsia="Calibri" w:hAnsi="Book Antiqua" w:cs="Arial"/>
          <w:sz w:val="24"/>
          <w:szCs w:val="24"/>
        </w:rPr>
        <w:t xml:space="preserve"> las cuales probablemente verán reducirse en lo que hoy realizan.</w:t>
      </w:r>
    </w:p>
    <w:p w14:paraId="04467228" w14:textId="77777777" w:rsidR="009916D1" w:rsidRPr="009916D1" w:rsidRDefault="009916D1" w:rsidP="009916D1">
      <w:pPr>
        <w:spacing w:after="0" w:line="276" w:lineRule="auto"/>
        <w:ind w:left="567" w:right="616"/>
        <w:jc w:val="both"/>
        <w:rPr>
          <w:rFonts w:ascii="Book Antiqua" w:eastAsia="Calibri" w:hAnsi="Book Antiqua" w:cs="Arial"/>
          <w:i/>
          <w:iCs/>
          <w:sz w:val="24"/>
          <w:szCs w:val="24"/>
        </w:rPr>
      </w:pPr>
    </w:p>
    <w:p w14:paraId="5632BE49" w14:textId="551E8B07" w:rsidR="009916D1" w:rsidRPr="009916D1" w:rsidRDefault="009916D1" w:rsidP="0090609F">
      <w:pPr>
        <w:pStyle w:val="Prrafodelista"/>
        <w:numPr>
          <w:ilvl w:val="0"/>
          <w:numId w:val="6"/>
        </w:numPr>
        <w:tabs>
          <w:tab w:val="left" w:pos="426"/>
        </w:tabs>
        <w:spacing w:after="0" w:line="276" w:lineRule="auto"/>
        <w:jc w:val="both"/>
        <w:rPr>
          <w:rFonts w:ascii="Book Antiqua" w:eastAsia="Calibri" w:hAnsi="Book Antiqua" w:cs="Arial"/>
          <w:b/>
          <w:sz w:val="24"/>
          <w:szCs w:val="24"/>
        </w:rPr>
      </w:pPr>
      <w:r w:rsidRPr="009916D1">
        <w:rPr>
          <w:rFonts w:ascii="Book Antiqua" w:eastAsia="Calibri" w:hAnsi="Book Antiqua" w:cs="Arial"/>
          <w:b/>
          <w:sz w:val="24"/>
          <w:szCs w:val="24"/>
        </w:rPr>
        <w:t>Conciliación.</w:t>
      </w:r>
      <w:r w:rsidRPr="009916D1">
        <w:rPr>
          <w:rFonts w:ascii="Book Antiqua" w:eastAsia="Calibri" w:hAnsi="Book Antiqua" w:cs="Arial"/>
          <w:bCs/>
          <w:sz w:val="24"/>
          <w:szCs w:val="24"/>
        </w:rPr>
        <w:t xml:space="preserve"> Se </w:t>
      </w:r>
      <w:r w:rsidRPr="009916D1">
        <w:rPr>
          <w:rFonts w:ascii="Book Antiqua" w:eastAsia="Calibri" w:hAnsi="Book Antiqua" w:cs="Arial"/>
          <w:sz w:val="24"/>
          <w:szCs w:val="24"/>
        </w:rPr>
        <w:t>propone la conciliación en una audiencia previa, dejando abierta la posibilidad de aplicarla en cualquier etapa del proceso judicial, tal como se consigna en el artículo 9 del CPF:</w:t>
      </w:r>
    </w:p>
    <w:p w14:paraId="73BAC80A" w14:textId="77777777" w:rsidR="009916D1" w:rsidRPr="009916D1" w:rsidRDefault="009916D1" w:rsidP="009916D1">
      <w:pPr>
        <w:tabs>
          <w:tab w:val="left" w:pos="426"/>
        </w:tabs>
        <w:spacing w:after="0" w:line="276" w:lineRule="auto"/>
        <w:jc w:val="both"/>
        <w:rPr>
          <w:rFonts w:ascii="Book Antiqua" w:eastAsia="Calibri" w:hAnsi="Book Antiqua" w:cs="Arial"/>
          <w:b/>
          <w:sz w:val="24"/>
          <w:szCs w:val="24"/>
        </w:rPr>
      </w:pPr>
    </w:p>
    <w:p w14:paraId="2DF59E81" w14:textId="77777777" w:rsidR="001A1177" w:rsidRPr="001A1177" w:rsidRDefault="001A1177" w:rsidP="008B7405">
      <w:pPr>
        <w:spacing w:after="0" w:line="276" w:lineRule="auto"/>
        <w:ind w:left="851" w:right="474"/>
        <w:jc w:val="both"/>
        <w:rPr>
          <w:rFonts w:ascii="Book Antiqua" w:eastAsia="Calibri" w:hAnsi="Book Antiqua" w:cs="Arial"/>
          <w:i/>
          <w:iCs/>
          <w:sz w:val="24"/>
          <w:szCs w:val="24"/>
        </w:rPr>
      </w:pPr>
      <w:r w:rsidRPr="001A1177">
        <w:rPr>
          <w:rFonts w:ascii="Book Antiqua" w:eastAsia="Calibri" w:hAnsi="Book Antiqua" w:cs="Arial"/>
          <w:i/>
          <w:iCs/>
          <w:sz w:val="24"/>
          <w:szCs w:val="24"/>
        </w:rPr>
        <w:t>“Artículo 9.- Audiencia previa de conciliación</w:t>
      </w:r>
    </w:p>
    <w:p w14:paraId="42CE892A" w14:textId="77777777" w:rsidR="001A1177" w:rsidRPr="001A1177" w:rsidRDefault="001A1177" w:rsidP="008B7405">
      <w:pPr>
        <w:spacing w:after="0" w:line="276" w:lineRule="auto"/>
        <w:ind w:left="851" w:right="474"/>
        <w:jc w:val="both"/>
        <w:rPr>
          <w:rFonts w:ascii="Book Antiqua" w:eastAsia="Calibri" w:hAnsi="Book Antiqua" w:cs="Arial"/>
          <w:i/>
          <w:iCs/>
          <w:sz w:val="24"/>
          <w:szCs w:val="24"/>
        </w:rPr>
      </w:pPr>
    </w:p>
    <w:p w14:paraId="1C8E92FA" w14:textId="77777777" w:rsidR="001A1177" w:rsidRPr="001A1177" w:rsidRDefault="001A1177" w:rsidP="008B7405">
      <w:pPr>
        <w:spacing w:after="0" w:line="276" w:lineRule="auto"/>
        <w:ind w:left="851" w:right="474"/>
        <w:jc w:val="both"/>
        <w:rPr>
          <w:rFonts w:ascii="Book Antiqua" w:eastAsia="Calibri" w:hAnsi="Book Antiqua" w:cs="Arial"/>
          <w:i/>
          <w:iCs/>
          <w:sz w:val="24"/>
          <w:szCs w:val="24"/>
        </w:rPr>
      </w:pPr>
      <w:r w:rsidRPr="001A1177">
        <w:rPr>
          <w:rFonts w:ascii="Book Antiqua" w:eastAsia="Calibri" w:hAnsi="Book Antiqua" w:cs="Arial"/>
          <w:i/>
          <w:iCs/>
          <w:sz w:val="24"/>
          <w:szCs w:val="24"/>
        </w:rPr>
        <w:t>En los procesos familiares, cuando proceda, se intentará la conciliación mediante una audiencia de conciliación previa al inicio del proceso o a solicitud de algunas de las partes, en cualquier estado del proceso judicial. Esta etapa la llevará a cabo la autoridad judicial, quien también podrá remitir a las partes a los centros especializados del Poder Judicial, sin perjuicio de que las partes decidan la intervención de entes externos debidamente acreditados para estos fines. Lo acordado tendrá carácter y eficacia de cosa juzgada material o formal, según el contenido del acuerdo. Podrán aplicarse otros mecanismos alternos de solución de conflictos regulados en la Ley N. º 7727, Ley de Resolución Alterna de Conflictos y Promoción de la Paz Social, de 9 de diciembre de 1997, o instrumentos internacionales, siempre que sean compatibles con los objetivos y los fines de la materia familiar.</w:t>
      </w:r>
    </w:p>
    <w:p w14:paraId="69125C6D" w14:textId="77777777" w:rsidR="001A1177" w:rsidRPr="001A1177" w:rsidRDefault="001A1177" w:rsidP="008B7405">
      <w:pPr>
        <w:spacing w:after="0" w:line="276" w:lineRule="auto"/>
        <w:ind w:left="851" w:right="474"/>
        <w:jc w:val="both"/>
        <w:rPr>
          <w:rFonts w:ascii="Book Antiqua" w:eastAsia="Calibri" w:hAnsi="Book Antiqua" w:cs="Arial"/>
          <w:i/>
          <w:iCs/>
          <w:sz w:val="24"/>
          <w:szCs w:val="24"/>
        </w:rPr>
      </w:pPr>
      <w:r w:rsidRPr="001A1177">
        <w:rPr>
          <w:rFonts w:ascii="Book Antiqua" w:eastAsia="Calibri" w:hAnsi="Book Antiqua" w:cs="Arial"/>
          <w:i/>
          <w:iCs/>
          <w:sz w:val="24"/>
          <w:szCs w:val="24"/>
        </w:rPr>
        <w:t>Se prohíbe la conciliación en aquellas situaciones en que se constaten relaciones desiguales de poder, salvo que se determine que lo acordado beneficie a la persona en situación de vulnerabilidad.”</w:t>
      </w:r>
    </w:p>
    <w:p w14:paraId="0070B24B" w14:textId="77777777" w:rsidR="001A1177" w:rsidRPr="001A1177" w:rsidRDefault="001A1177" w:rsidP="001A1177">
      <w:pPr>
        <w:spacing w:after="0" w:line="276" w:lineRule="auto"/>
        <w:jc w:val="both"/>
        <w:rPr>
          <w:rFonts w:ascii="Book Antiqua" w:eastAsia="Calibri" w:hAnsi="Book Antiqua" w:cs="Arial"/>
          <w:sz w:val="24"/>
          <w:szCs w:val="24"/>
        </w:rPr>
      </w:pPr>
    </w:p>
    <w:p w14:paraId="55EE6484" w14:textId="74340DD4" w:rsidR="001A1177" w:rsidRDefault="001A1177" w:rsidP="0090609F">
      <w:pPr>
        <w:numPr>
          <w:ilvl w:val="0"/>
          <w:numId w:val="6"/>
        </w:numPr>
        <w:tabs>
          <w:tab w:val="left" w:pos="426"/>
        </w:tabs>
        <w:spacing w:after="0" w:line="276" w:lineRule="auto"/>
        <w:jc w:val="both"/>
        <w:rPr>
          <w:rFonts w:ascii="Book Antiqua" w:eastAsia="Calibri" w:hAnsi="Book Antiqua" w:cs="Arial"/>
          <w:bCs/>
          <w:sz w:val="24"/>
          <w:szCs w:val="24"/>
        </w:rPr>
      </w:pPr>
      <w:r w:rsidRPr="001A1177">
        <w:rPr>
          <w:rFonts w:ascii="Book Antiqua" w:eastAsia="Calibri" w:hAnsi="Book Antiqua" w:cs="Arial"/>
          <w:b/>
          <w:sz w:val="24"/>
          <w:szCs w:val="24"/>
        </w:rPr>
        <w:t xml:space="preserve">Intervención de la Defensa Pública. </w:t>
      </w:r>
      <w:r w:rsidRPr="001A1177">
        <w:rPr>
          <w:rFonts w:ascii="Book Antiqua" w:eastAsia="Calibri" w:hAnsi="Book Antiqua" w:cs="Arial"/>
          <w:bCs/>
          <w:sz w:val="24"/>
          <w:szCs w:val="24"/>
        </w:rPr>
        <w:t xml:space="preserve">Para la parte beneficiaria cuando no disponga de recursos económicos suficientes, el artículo 56 otorga a la Defensa Pública la posibilidad de brindar asistencia legal en los </w:t>
      </w:r>
      <w:r w:rsidRPr="001A1177">
        <w:rPr>
          <w:rFonts w:ascii="Book Antiqua" w:eastAsia="Calibri" w:hAnsi="Book Antiqua" w:cs="Arial"/>
          <w:b/>
          <w:sz w:val="24"/>
          <w:szCs w:val="24"/>
        </w:rPr>
        <w:t>procesos materia de Pensión Alimentaria</w:t>
      </w:r>
      <w:r w:rsidRPr="001A1177">
        <w:rPr>
          <w:rFonts w:ascii="Book Antiqua" w:eastAsia="Calibri" w:hAnsi="Book Antiqua" w:cs="Arial"/>
          <w:bCs/>
          <w:sz w:val="24"/>
          <w:szCs w:val="24"/>
        </w:rPr>
        <w:t xml:space="preserve">.  </w:t>
      </w:r>
    </w:p>
    <w:p w14:paraId="0C037528" w14:textId="77777777" w:rsidR="00831847" w:rsidRPr="001A1177" w:rsidRDefault="00831847" w:rsidP="00831847">
      <w:pPr>
        <w:tabs>
          <w:tab w:val="left" w:pos="426"/>
        </w:tabs>
        <w:spacing w:after="0" w:line="276" w:lineRule="auto"/>
        <w:ind w:left="720"/>
        <w:jc w:val="both"/>
        <w:rPr>
          <w:rFonts w:ascii="Book Antiqua" w:eastAsia="Calibri" w:hAnsi="Book Antiqua" w:cs="Arial"/>
          <w:bCs/>
          <w:sz w:val="24"/>
          <w:szCs w:val="24"/>
        </w:rPr>
      </w:pPr>
    </w:p>
    <w:p w14:paraId="3F66412D" w14:textId="77777777" w:rsidR="00831847" w:rsidRPr="00831847" w:rsidRDefault="00831847" w:rsidP="008B7405">
      <w:pPr>
        <w:spacing w:line="276" w:lineRule="auto"/>
        <w:ind w:left="851" w:right="616"/>
        <w:rPr>
          <w:rFonts w:ascii="Book Antiqua" w:eastAsia="Calibri" w:hAnsi="Book Antiqua" w:cs="Arial"/>
          <w:i/>
          <w:iCs/>
          <w:sz w:val="24"/>
          <w:szCs w:val="24"/>
        </w:rPr>
      </w:pPr>
      <w:r w:rsidRPr="00831847">
        <w:rPr>
          <w:rFonts w:ascii="Book Antiqua" w:eastAsia="Calibri" w:hAnsi="Book Antiqua" w:cs="Arial"/>
          <w:i/>
          <w:iCs/>
          <w:sz w:val="24"/>
          <w:szCs w:val="24"/>
        </w:rPr>
        <w:t xml:space="preserve">“Artículo 56- Casos en que actúa la Defensa Pública </w:t>
      </w:r>
    </w:p>
    <w:p w14:paraId="4EB9207F" w14:textId="2C8FE585" w:rsidR="00831847" w:rsidRDefault="00831847" w:rsidP="008B7405">
      <w:pPr>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 xml:space="preserve">En los procesos referidos </w:t>
      </w:r>
      <w:r w:rsidRPr="00831847">
        <w:rPr>
          <w:rFonts w:ascii="Book Antiqua" w:eastAsia="Calibri" w:hAnsi="Book Antiqua" w:cs="Arial"/>
          <w:b/>
          <w:bCs/>
          <w:i/>
          <w:iCs/>
          <w:sz w:val="24"/>
          <w:szCs w:val="24"/>
        </w:rPr>
        <w:t>a materia de pensión alimentaria</w:t>
      </w:r>
      <w:r w:rsidRPr="00831847">
        <w:rPr>
          <w:rFonts w:ascii="Book Antiqua" w:eastAsia="Calibri" w:hAnsi="Book Antiqua" w:cs="Arial"/>
          <w:i/>
          <w:iCs/>
          <w:sz w:val="24"/>
          <w:szCs w:val="24"/>
        </w:rPr>
        <w:t xml:space="preserve">, </w:t>
      </w:r>
      <w:r w:rsidRPr="00831847">
        <w:rPr>
          <w:rFonts w:ascii="Book Antiqua" w:eastAsia="Calibri" w:hAnsi="Book Antiqua" w:cs="Arial"/>
          <w:b/>
          <w:bCs/>
          <w:i/>
          <w:iCs/>
          <w:sz w:val="24"/>
          <w:szCs w:val="24"/>
          <w:u w:val="single"/>
        </w:rPr>
        <w:t>la parte beneficiaria</w:t>
      </w:r>
      <w:r w:rsidRPr="00831847">
        <w:rPr>
          <w:rFonts w:ascii="Book Antiqua" w:eastAsia="Calibri" w:hAnsi="Book Antiqua" w:cs="Arial"/>
          <w:i/>
          <w:iCs/>
          <w:sz w:val="24"/>
          <w:szCs w:val="24"/>
        </w:rPr>
        <w:t xml:space="preserve"> que no cuente con los recursos económicos para contratar patrocinio letrado podrá solicitar asistencia letrada a la Defensa Pública del Poder Judicial.</w:t>
      </w:r>
    </w:p>
    <w:p w14:paraId="2764D7BD" w14:textId="77777777" w:rsidR="00831847" w:rsidRPr="00831847" w:rsidRDefault="00831847" w:rsidP="008B7405">
      <w:pPr>
        <w:spacing w:after="0" w:line="276" w:lineRule="auto"/>
        <w:ind w:left="851" w:right="616"/>
        <w:jc w:val="both"/>
        <w:rPr>
          <w:rFonts w:ascii="Book Antiqua" w:eastAsia="Calibri" w:hAnsi="Book Antiqua" w:cs="Arial"/>
          <w:i/>
          <w:iCs/>
          <w:sz w:val="24"/>
          <w:szCs w:val="24"/>
        </w:rPr>
      </w:pPr>
    </w:p>
    <w:p w14:paraId="65C7D903" w14:textId="77777777" w:rsidR="00831847" w:rsidRPr="00831847" w:rsidRDefault="00831847" w:rsidP="008B7405">
      <w:pPr>
        <w:spacing w:after="0" w:line="276" w:lineRule="auto"/>
        <w:ind w:left="851" w:right="616"/>
        <w:jc w:val="both"/>
        <w:rPr>
          <w:rFonts w:ascii="Book Antiqua" w:eastAsia="Calibri" w:hAnsi="Book Antiqua" w:cs="Arial"/>
          <w:sz w:val="24"/>
          <w:szCs w:val="24"/>
        </w:rPr>
      </w:pPr>
      <w:r w:rsidRPr="00831847">
        <w:rPr>
          <w:rFonts w:ascii="Book Antiqua" w:eastAsia="Calibri" w:hAnsi="Book Antiqua" w:cs="Arial"/>
          <w:i/>
          <w:iCs/>
          <w:sz w:val="24"/>
          <w:szCs w:val="24"/>
        </w:rPr>
        <w:lastRenderedPageBreak/>
        <w:t>La defensa o asistencia gratuita de la Defensa Pública asumirá las mismas funciones, deberes y derechos de quienes actúan como personas abogadas directoras</w:t>
      </w:r>
      <w:r w:rsidRPr="00831847">
        <w:rPr>
          <w:rFonts w:ascii="Book Antiqua" w:eastAsia="Calibri" w:hAnsi="Book Antiqua" w:cs="Arial"/>
          <w:sz w:val="24"/>
          <w:szCs w:val="24"/>
        </w:rPr>
        <w:t>.”.  (La negrita no es del original).</w:t>
      </w:r>
    </w:p>
    <w:p w14:paraId="21CDC57E" w14:textId="77777777" w:rsidR="00494ADF" w:rsidRDefault="00494ADF" w:rsidP="00831847">
      <w:pPr>
        <w:spacing w:after="0" w:line="276" w:lineRule="auto"/>
        <w:jc w:val="both"/>
        <w:rPr>
          <w:rFonts w:ascii="Book Antiqua" w:eastAsia="Calibri" w:hAnsi="Book Antiqua" w:cs="Arial"/>
          <w:sz w:val="24"/>
          <w:szCs w:val="24"/>
        </w:rPr>
      </w:pPr>
    </w:p>
    <w:p w14:paraId="5449D0F8" w14:textId="01AE966F" w:rsidR="00831847" w:rsidRPr="00831847" w:rsidRDefault="00831847" w:rsidP="00831847">
      <w:pPr>
        <w:spacing w:after="0" w:line="276" w:lineRule="auto"/>
        <w:jc w:val="both"/>
        <w:rPr>
          <w:rFonts w:ascii="Book Antiqua" w:eastAsia="Calibri" w:hAnsi="Book Antiqua" w:cs="Arial"/>
          <w:i/>
          <w:iCs/>
          <w:sz w:val="24"/>
          <w:szCs w:val="24"/>
        </w:rPr>
      </w:pPr>
      <w:r w:rsidRPr="00831847">
        <w:rPr>
          <w:rFonts w:ascii="Book Antiqua" w:eastAsia="Calibri" w:hAnsi="Book Antiqua" w:cs="Arial"/>
          <w:sz w:val="24"/>
          <w:szCs w:val="24"/>
        </w:rPr>
        <w:t>En relación con las garantías para el debido proceso en poblaciones de vulnerabilidad también cabe destacar lo dispuesto en el artículo 8 del CPF y la circular 67-19</w:t>
      </w:r>
      <w:r w:rsidRPr="00831847">
        <w:rPr>
          <w:rFonts w:ascii="Book Antiqua" w:eastAsia="Calibri" w:hAnsi="Book Antiqua" w:cs="Arial"/>
          <w:i/>
          <w:iCs/>
          <w:sz w:val="24"/>
          <w:szCs w:val="24"/>
        </w:rPr>
        <w:t xml:space="preserve"> “Reglas mínimas para la aplicación del primer párrafo del numeral 7 de la Ley de Acceso a la Justicia de Personas Indígenas de Costa Rica” </w:t>
      </w:r>
      <w:r w:rsidRPr="00831847">
        <w:rPr>
          <w:rFonts w:ascii="Book Antiqua" w:eastAsia="Calibri" w:hAnsi="Book Antiqua" w:cs="Arial"/>
          <w:sz w:val="24"/>
          <w:szCs w:val="24"/>
        </w:rPr>
        <w:t>que comunica el acuerdo del Consejo Superior del Poder Judicial en sesión 27-19 celebrada el 26 de marzo de 2019, artículo LXXI; que literalmente indican:</w:t>
      </w:r>
    </w:p>
    <w:p w14:paraId="2EE2AFF5"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49851921" w14:textId="77777777" w:rsidR="00831847" w:rsidRPr="00831847" w:rsidRDefault="00831847" w:rsidP="00831847">
      <w:pPr>
        <w:tabs>
          <w:tab w:val="left" w:pos="567"/>
        </w:tabs>
        <w:spacing w:after="0" w:line="276" w:lineRule="auto"/>
        <w:ind w:left="567" w:right="616"/>
        <w:jc w:val="both"/>
        <w:rPr>
          <w:rFonts w:ascii="Book Antiqua" w:eastAsia="Calibri" w:hAnsi="Book Antiqua" w:cs="Arial"/>
          <w:i/>
          <w:iCs/>
          <w:sz w:val="24"/>
          <w:szCs w:val="24"/>
        </w:rPr>
      </w:pPr>
      <w:r w:rsidRPr="00831847">
        <w:rPr>
          <w:rFonts w:ascii="Book Antiqua" w:eastAsia="Calibri" w:hAnsi="Book Antiqua" w:cs="Arial"/>
          <w:i/>
          <w:iCs/>
          <w:sz w:val="24"/>
          <w:szCs w:val="24"/>
        </w:rPr>
        <w:t>Artículo 8 CPF- Acceso a la justicia</w:t>
      </w:r>
    </w:p>
    <w:p w14:paraId="1221D9A3" w14:textId="77777777" w:rsidR="00831847" w:rsidRPr="00831847" w:rsidRDefault="00831847" w:rsidP="00831847">
      <w:pPr>
        <w:tabs>
          <w:tab w:val="left" w:pos="567"/>
        </w:tabs>
        <w:spacing w:after="0" w:line="276" w:lineRule="auto"/>
        <w:ind w:left="567" w:right="616"/>
        <w:jc w:val="both"/>
        <w:rPr>
          <w:rFonts w:ascii="Book Antiqua" w:eastAsia="Calibri" w:hAnsi="Book Antiqua" w:cs="Arial"/>
          <w:i/>
          <w:iCs/>
          <w:sz w:val="24"/>
          <w:szCs w:val="24"/>
        </w:rPr>
      </w:pPr>
    </w:p>
    <w:p w14:paraId="37A7031B" w14:textId="77777777" w:rsidR="00831847" w:rsidRPr="00831847" w:rsidRDefault="00831847" w:rsidP="00831847">
      <w:pPr>
        <w:tabs>
          <w:tab w:val="left" w:pos="567"/>
        </w:tabs>
        <w:spacing w:after="0" w:line="276" w:lineRule="auto"/>
        <w:ind w:left="567" w:right="616"/>
        <w:jc w:val="both"/>
        <w:rPr>
          <w:rFonts w:ascii="Book Antiqua" w:eastAsia="Calibri" w:hAnsi="Book Antiqua" w:cs="Arial"/>
          <w:i/>
          <w:iCs/>
          <w:sz w:val="24"/>
          <w:szCs w:val="24"/>
        </w:rPr>
      </w:pPr>
      <w:r w:rsidRPr="00831847">
        <w:rPr>
          <w:rFonts w:ascii="Book Antiqua" w:eastAsia="Calibri" w:hAnsi="Book Antiqua" w:cs="Arial"/>
          <w:b/>
          <w:bCs/>
          <w:i/>
          <w:iCs/>
          <w:sz w:val="24"/>
          <w:szCs w:val="24"/>
        </w:rPr>
        <w:t>En todo procedimiento familiar</w:t>
      </w:r>
      <w:r w:rsidRPr="00831847">
        <w:rPr>
          <w:rFonts w:ascii="Book Antiqua" w:eastAsia="Calibri" w:hAnsi="Book Antiqua" w:cs="Arial"/>
          <w:i/>
          <w:iCs/>
          <w:sz w:val="24"/>
          <w:szCs w:val="24"/>
        </w:rPr>
        <w:t xml:space="preserve"> se deberá garantizar que las personas menores de edad, las personas con discapacidad y otras poblaciones vulneradas tengan acceso a la justicia en igualdad de condiciones con las demás personas, mediante ajustes de procedimiento adecuados a la edad, a las capacidades y las condiciones de vulnerabilidad, formas alternativas de comunicación, incluidas la interpretación en lesco y lenguas indígenas, según se presenten, para facilitar el desempeño de personas sordas y personas indígenas, y otras, como participaciones directas e indirectas, incluida la declaración como testigos en todos los procedimientos judiciales, en todas las etapas del proceso.</w:t>
      </w:r>
    </w:p>
    <w:p w14:paraId="1D2EE1D3"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2A9A2C47" w14:textId="77777777" w:rsidR="00831847" w:rsidRPr="00831847" w:rsidRDefault="00831847" w:rsidP="00831847">
      <w:pPr>
        <w:spacing w:before="60" w:after="0" w:line="276" w:lineRule="auto"/>
        <w:jc w:val="both"/>
        <w:rPr>
          <w:rFonts w:ascii="Book Antiqua" w:eastAsia="Times New Roman" w:hAnsi="Book Antiqua" w:cs="Times New Roman"/>
          <w:color w:val="000000"/>
          <w:sz w:val="24"/>
          <w:szCs w:val="24"/>
          <w:lang w:eastAsia="es-CR"/>
        </w:rPr>
      </w:pPr>
      <w:r w:rsidRPr="00831847">
        <w:rPr>
          <w:rFonts w:ascii="Book Antiqua" w:eastAsia="Times New Roman" w:hAnsi="Book Antiqua" w:cs="Times New Roman"/>
          <w:color w:val="000000"/>
          <w:sz w:val="24"/>
          <w:szCs w:val="24"/>
          <w:lang w:eastAsia="es-CR"/>
        </w:rPr>
        <w:t>El Consejo Superior del Poder Judicial en sesión 27-19 celebrada el 26 de marzo de 2019, artículo LXXI, a solicitud de la Defensa Pública, dispuso comunicar las</w:t>
      </w:r>
      <w:r w:rsidRPr="00831847">
        <w:rPr>
          <w:rFonts w:ascii="Book Antiqua" w:eastAsia="Times New Roman" w:hAnsi="Book Antiqua" w:cs="Times New Roman"/>
          <w:i/>
          <w:iCs/>
          <w:color w:val="000000"/>
          <w:sz w:val="24"/>
          <w:szCs w:val="24"/>
          <w:lang w:eastAsia="es-CR"/>
        </w:rPr>
        <w:t xml:space="preserve"> "Reglas mínimas para la aplicación del primer párrafo del numeral 7 de la Ley de Acceso a la Justicia de Personas Indígenas de Costa Rica", </w:t>
      </w:r>
      <w:r w:rsidRPr="00831847">
        <w:rPr>
          <w:rFonts w:ascii="Book Antiqua" w:eastAsia="Times New Roman" w:hAnsi="Book Antiqua" w:cs="Times New Roman"/>
          <w:b/>
          <w:bCs/>
          <w:i/>
          <w:iCs/>
          <w:color w:val="000000"/>
          <w:sz w:val="24"/>
          <w:szCs w:val="24"/>
          <w:lang w:eastAsia="es-CR"/>
        </w:rPr>
        <w:t>sin hacer distinción de que la persona actúe como parte actora o demandada</w:t>
      </w:r>
      <w:r w:rsidRPr="00831847">
        <w:rPr>
          <w:rFonts w:ascii="Book Antiqua" w:eastAsia="Times New Roman" w:hAnsi="Book Antiqua" w:cs="Times New Roman"/>
          <w:color w:val="000000"/>
          <w:sz w:val="24"/>
          <w:szCs w:val="24"/>
          <w:lang w:eastAsia="es-CR"/>
        </w:rPr>
        <w:t xml:space="preserve"> y</w:t>
      </w:r>
      <w:r w:rsidRPr="00831847">
        <w:rPr>
          <w:rFonts w:ascii="Book Antiqua" w:eastAsia="Times New Roman" w:hAnsi="Book Antiqua" w:cs="Times New Roman"/>
          <w:i/>
          <w:iCs/>
          <w:color w:val="000000"/>
          <w:sz w:val="24"/>
          <w:szCs w:val="24"/>
          <w:lang w:eastAsia="es-CR"/>
        </w:rPr>
        <w:t xml:space="preserve"> </w:t>
      </w:r>
      <w:r w:rsidRPr="00831847">
        <w:rPr>
          <w:rFonts w:ascii="Book Antiqua" w:eastAsia="Times New Roman" w:hAnsi="Book Antiqua" w:cs="Times New Roman"/>
          <w:color w:val="000000"/>
          <w:sz w:val="24"/>
          <w:szCs w:val="24"/>
          <w:lang w:eastAsia="es-CR"/>
        </w:rPr>
        <w:t>que dicen:</w:t>
      </w:r>
    </w:p>
    <w:p w14:paraId="77A16459" w14:textId="77777777" w:rsidR="00831847" w:rsidRPr="00831847" w:rsidRDefault="00831847" w:rsidP="00831847">
      <w:pPr>
        <w:spacing w:after="0" w:line="276" w:lineRule="auto"/>
        <w:rPr>
          <w:rFonts w:ascii="Book Antiqua" w:eastAsia="Times New Roman" w:hAnsi="Book Antiqua" w:cs="Times New Roman"/>
          <w:sz w:val="24"/>
          <w:szCs w:val="24"/>
          <w:lang w:eastAsia="es-CR"/>
        </w:rPr>
      </w:pPr>
    </w:p>
    <w:p w14:paraId="0593B241" w14:textId="77777777" w:rsidR="00831847" w:rsidRPr="00831847" w:rsidRDefault="00831847" w:rsidP="00831847">
      <w:pPr>
        <w:spacing w:before="60"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sz w:val="24"/>
          <w:szCs w:val="24"/>
          <w:lang w:eastAsia="es-CR"/>
        </w:rPr>
        <w:t>"Artículo 7º-Asistencia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w:t>
      </w:r>
    </w:p>
    <w:p w14:paraId="0E2A2E46" w14:textId="6E1E29D8"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lastRenderedPageBreak/>
        <w:t>A continuación, se emiten los siguientes lineamientos mínimos, que deben ser valorados y ampliados según el caso en concreto, para la atención de personas usuarias indígenas en todas las materias y en todos los despachos.</w:t>
      </w:r>
    </w:p>
    <w:p w14:paraId="033DF1ED" w14:textId="77777777" w:rsidR="00831847" w:rsidRPr="00831847" w:rsidRDefault="00831847" w:rsidP="00831847">
      <w:pPr>
        <w:spacing w:after="0" w:line="276" w:lineRule="auto"/>
        <w:ind w:left="567" w:right="616"/>
        <w:rPr>
          <w:rFonts w:ascii="Book Antiqua" w:eastAsia="Times New Roman" w:hAnsi="Book Antiqua" w:cs="Times New Roman"/>
          <w:i/>
          <w:iCs/>
          <w:sz w:val="24"/>
          <w:szCs w:val="24"/>
          <w:lang w:eastAsia="es-CR"/>
        </w:rPr>
      </w:pPr>
    </w:p>
    <w:p w14:paraId="7A76B0F0"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t>1) A los Despachos a los cuales les corresponde atender población indígena se les informa que debe el Despacho Judicial realizar la valoración acerca de la procedencia de la petición de defensa pública, dejando constancia de lo indicado por la persona usuaria en cuanto a no contar con medios económicos para sufragar los gastos de defensa técnica, así como la petición expresa que solicita que la defensa técnica sea asumida por la Defensa Pública. De igual forma, debe establecerse la condición de indígena de la persona usuaria, priorizando para ello su auto identificación como tal, y de ser necesario, en caso de duda, solicitando una certificación de la Asociación de Desarrollo o Autoridad Legitimada en su territorio. Una vez verificado lo anterior, debe enviarse la solicitud de apersonamiento de persona defensora pública, cuando así resulte pertinente, a la Defensa Pública que corresponda según su competencia territorial. Se distinguen dos posibles situaciones en que se debe cumplir con este procedimiento:</w:t>
      </w:r>
    </w:p>
    <w:p w14:paraId="366EEEF6"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p>
    <w:p w14:paraId="58D22304"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t>-</w:t>
      </w:r>
      <w:r w:rsidRPr="00831847">
        <w:rPr>
          <w:rFonts w:ascii="Book Antiqua" w:eastAsia="Times New Roman" w:hAnsi="Book Antiqua" w:cs="Times New Roman"/>
          <w:b/>
          <w:bCs/>
          <w:i/>
          <w:iCs/>
          <w:color w:val="000000"/>
          <w:sz w:val="24"/>
          <w:szCs w:val="24"/>
          <w:lang w:eastAsia="es-CR"/>
        </w:rPr>
        <w:t>Cuando una persona indígena tenga un proceso pendiente en el Despacho Judicial </w:t>
      </w:r>
      <w:r w:rsidRPr="00831847">
        <w:rPr>
          <w:rFonts w:ascii="Book Antiqua" w:eastAsia="Times New Roman" w:hAnsi="Book Antiqua" w:cs="Times New Roman"/>
          <w:i/>
          <w:iCs/>
          <w:color w:val="000000"/>
          <w:sz w:val="24"/>
          <w:szCs w:val="24"/>
          <w:lang w:eastAsia="es-CR"/>
        </w:rPr>
        <w:t>y requiera para este proceso asesoría letrada, indicando que no cuenta con la misma, ni con medios económicos para pagarla, debe señalársele desde el Despacho Judicial que según el artículo 7 de la Ley de Acceso a la Justicia de personas Indígenas de Costa Rica, puede manifestar si desea la asistencia técnica de una persona defensora pública. De ser afirmativa la respuesta, el Despacho Judicial solicitará a la Defensa Pública el apersonamiento correspondiente, reponiendo los plazos según la ley, hasta el momento en que la Defensa Pública remita el apersonamiento.</w:t>
      </w:r>
    </w:p>
    <w:p w14:paraId="10962D84" w14:textId="77777777" w:rsidR="00831847" w:rsidRPr="00831847" w:rsidRDefault="00831847" w:rsidP="00831847">
      <w:pPr>
        <w:spacing w:after="0" w:line="276" w:lineRule="auto"/>
        <w:ind w:left="567" w:right="616"/>
        <w:rPr>
          <w:rFonts w:ascii="Book Antiqua" w:eastAsia="Times New Roman" w:hAnsi="Book Antiqua" w:cs="Times New Roman"/>
          <w:i/>
          <w:iCs/>
          <w:sz w:val="24"/>
          <w:szCs w:val="24"/>
          <w:lang w:eastAsia="es-CR"/>
        </w:rPr>
      </w:pPr>
    </w:p>
    <w:p w14:paraId="6C5CEB5B"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t>-</w:t>
      </w:r>
      <w:r w:rsidRPr="00831847">
        <w:rPr>
          <w:rFonts w:ascii="Book Antiqua" w:eastAsia="Times New Roman" w:hAnsi="Book Antiqua" w:cs="Times New Roman"/>
          <w:b/>
          <w:bCs/>
          <w:i/>
          <w:iCs/>
          <w:color w:val="000000"/>
          <w:sz w:val="24"/>
          <w:szCs w:val="24"/>
          <w:lang w:eastAsia="es-CR"/>
        </w:rPr>
        <w:t>Cuando una persona indígena se presente a un Despacho Judicial </w:t>
      </w:r>
      <w:r w:rsidRPr="00831847">
        <w:rPr>
          <w:rFonts w:ascii="Book Antiqua" w:eastAsia="Times New Roman" w:hAnsi="Book Antiqua" w:cs="Times New Roman"/>
          <w:i/>
          <w:iCs/>
          <w:color w:val="000000"/>
          <w:sz w:val="24"/>
          <w:szCs w:val="24"/>
          <w:lang w:eastAsia="es-CR"/>
        </w:rPr>
        <w:t xml:space="preserve">para establecer un procedimiento nuevo, debe comunicársele la existencia del numeral 7 de la Ley de Acceso a la Justicia de Pueblos Indígenas de Costa Rica, y consultarle si desea asistencia letrada y si puede o no cubrir los costos económicos de ello. En caso de que su respuesta sea negativa, se le debe informar de su derecho de contar con defensa pública y consultarle si ese es su deseo. En caso afirmativo se enviará la solicitud de persona Defensora Pública a la oficina de </w:t>
      </w:r>
      <w:r w:rsidRPr="00831847">
        <w:rPr>
          <w:rFonts w:ascii="Book Antiqua" w:eastAsia="Times New Roman" w:hAnsi="Book Antiqua" w:cs="Times New Roman"/>
          <w:i/>
          <w:iCs/>
          <w:color w:val="000000"/>
          <w:sz w:val="24"/>
          <w:szCs w:val="24"/>
          <w:lang w:eastAsia="es-CR"/>
        </w:rPr>
        <w:lastRenderedPageBreak/>
        <w:t>Defensa Pública del Circuito que corresponda, para que esta proceda con el trámite.</w:t>
      </w:r>
    </w:p>
    <w:p w14:paraId="43BDEA0F" w14:textId="77777777" w:rsidR="00831847" w:rsidRPr="00831847" w:rsidRDefault="00831847" w:rsidP="00831847">
      <w:pPr>
        <w:spacing w:after="0" w:line="276" w:lineRule="auto"/>
        <w:ind w:left="567" w:right="616"/>
        <w:rPr>
          <w:rFonts w:ascii="Book Antiqua" w:eastAsia="Times New Roman" w:hAnsi="Book Antiqua" w:cs="Times New Roman"/>
          <w:i/>
          <w:iCs/>
          <w:sz w:val="24"/>
          <w:szCs w:val="24"/>
          <w:lang w:eastAsia="es-CR"/>
        </w:rPr>
      </w:pPr>
    </w:p>
    <w:p w14:paraId="67C91FC8"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Times New Roman"/>
          <w:i/>
          <w:iCs/>
          <w:color w:val="000000"/>
          <w:sz w:val="24"/>
          <w:szCs w:val="24"/>
          <w:lang w:eastAsia="es-CR"/>
        </w:rPr>
        <w:t>2) En caso de existir duda sobre la condición de indígena de la persona usuaria, o de si cuenta con dinero para el pago de la asistencia letrada, se debe realizar el trámite por parte de los Despachos Judiciales accediendo a la solicitud de patrocinio letrado de la Defensa Pública, y en caso de que durante el proceso, o por sentencia firme, se declare que la persona no tiene la condición de indígena, o tiene dinero para pagar la asistencia letrada, se incluirán como costas en la sentencia, los costos de la representación por parte de la persona defensora pública. Además, a partir de ese momento la defensa pública dejará de representarlo por no encontrarse en los supuestos del artículo 7.</w:t>
      </w:r>
    </w:p>
    <w:p w14:paraId="29D52FCC" w14:textId="77777777" w:rsidR="00831847" w:rsidRPr="00831847" w:rsidRDefault="00831847" w:rsidP="00831847">
      <w:pPr>
        <w:spacing w:after="0" w:line="276" w:lineRule="auto"/>
        <w:ind w:left="567" w:right="616"/>
        <w:jc w:val="both"/>
        <w:rPr>
          <w:rFonts w:ascii="Book Antiqua" w:eastAsia="Times New Roman" w:hAnsi="Book Antiqua" w:cs="Times New Roman"/>
          <w:i/>
          <w:iCs/>
          <w:color w:val="000000"/>
          <w:sz w:val="24"/>
          <w:szCs w:val="24"/>
          <w:lang w:eastAsia="es-CR"/>
        </w:rPr>
      </w:pPr>
      <w:r w:rsidRPr="00831847">
        <w:rPr>
          <w:rFonts w:ascii="Book Antiqua" w:eastAsia="Times New Roman" w:hAnsi="Book Antiqua" w:cs="Arial"/>
          <w:i/>
          <w:iCs/>
          <w:color w:val="000000"/>
          <w:sz w:val="24"/>
          <w:szCs w:val="24"/>
          <w:lang w:eastAsia="es-CR"/>
        </w:rPr>
        <w:br/>
      </w:r>
      <w:r w:rsidRPr="00831847">
        <w:rPr>
          <w:rFonts w:ascii="Book Antiqua" w:eastAsia="Times New Roman" w:hAnsi="Book Antiqua" w:cs="Times New Roman"/>
          <w:i/>
          <w:iCs/>
          <w:color w:val="000000"/>
          <w:sz w:val="24"/>
          <w:szCs w:val="24"/>
          <w:lang w:eastAsia="es-CR"/>
        </w:rPr>
        <w:t>3) El Consejo Superior autoriza para que el Departamento de Informática facilite los permisos y habilite el acceso de contexto de consulta para la Defensa Pública, de los siguientes Despachos Judiciales: Tribunal Contencioso Administrativo, Juzgado Contencioso Administrativo, Tribunal de Apelaciones de lo Contencioso Administrativo y Sala Primera, tanto en cuanto al escritorio virtual, como al sistema de gestión. En ese mismo sentido se autoriza que se habilite también para los Juzgados de Violencia Doméstica y Juzgados de Familia a nivel nacional.”.</w:t>
      </w:r>
    </w:p>
    <w:p w14:paraId="72976D6A"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364D6036" w14:textId="77777777" w:rsidR="00831847" w:rsidRPr="00831847" w:rsidRDefault="00831847" w:rsidP="00831847">
      <w:pPr>
        <w:spacing w:after="0" w:line="276" w:lineRule="auto"/>
        <w:jc w:val="both"/>
        <w:rPr>
          <w:rFonts w:ascii="Book Antiqua" w:eastAsia="Calibri" w:hAnsi="Book Antiqua" w:cs="Arial"/>
          <w:i/>
          <w:iCs/>
          <w:sz w:val="24"/>
          <w:szCs w:val="24"/>
        </w:rPr>
      </w:pPr>
      <w:r w:rsidRPr="00831847">
        <w:rPr>
          <w:rFonts w:ascii="Book Antiqua" w:eastAsia="Calibri" w:hAnsi="Book Antiqua" w:cs="Arial"/>
          <w:sz w:val="24"/>
          <w:szCs w:val="24"/>
        </w:rPr>
        <w:t>También lo dispuesto por la circular 32-2021 respecto</w:t>
      </w:r>
      <w:r w:rsidRPr="00831847">
        <w:rPr>
          <w:rFonts w:ascii="Book Antiqua" w:eastAsia="Calibri" w:hAnsi="Book Antiqua" w:cs="Arial"/>
          <w:i/>
          <w:iCs/>
          <w:sz w:val="24"/>
          <w:szCs w:val="24"/>
        </w:rPr>
        <w:t xml:space="preserve"> “Lineamientos para las personas servidoras judiciales en relación con las Medidas Cautelares 321-12 de la Comisión Interamericana de Derechos Humanos contra el Estado, y la aplicación de la normativa internacional de derechos humanos referida a personas indígenas.”</w:t>
      </w:r>
    </w:p>
    <w:p w14:paraId="5170D640"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70D83EE5" w14:textId="709C3BE4" w:rsidR="00831847" w:rsidRDefault="00831847" w:rsidP="00831847">
      <w:pPr>
        <w:spacing w:after="0" w:line="276" w:lineRule="auto"/>
        <w:jc w:val="both"/>
        <w:rPr>
          <w:rFonts w:ascii="Book Antiqua" w:eastAsia="Calibri" w:hAnsi="Book Antiqua" w:cs="Arial"/>
          <w:sz w:val="24"/>
          <w:szCs w:val="24"/>
        </w:rPr>
      </w:pPr>
      <w:r w:rsidRPr="00831847">
        <w:rPr>
          <w:rFonts w:ascii="Book Antiqua" w:eastAsia="Calibri" w:hAnsi="Book Antiqua" w:cs="Arial"/>
          <w:sz w:val="24"/>
          <w:szCs w:val="24"/>
        </w:rPr>
        <w:t xml:space="preserve">C.1. Respecto a la representación de personas menores de edad (incluida la población indígena) y su rol de participación en los procesos judiciales, debe considerarse lo dispuesto en la Ley 9747 en la Sección III </w:t>
      </w:r>
      <w:r w:rsidRPr="00831847">
        <w:rPr>
          <w:rFonts w:ascii="Book Antiqua" w:eastAsia="Calibri" w:hAnsi="Book Antiqua" w:cs="Arial"/>
          <w:i/>
          <w:iCs/>
          <w:sz w:val="24"/>
          <w:szCs w:val="24"/>
        </w:rPr>
        <w:t>Capacidad y Representación</w:t>
      </w:r>
      <w:r w:rsidRPr="00831847">
        <w:rPr>
          <w:rFonts w:ascii="Book Antiqua" w:eastAsia="Calibri" w:hAnsi="Book Antiqua" w:cs="Arial"/>
          <w:sz w:val="24"/>
          <w:szCs w:val="24"/>
        </w:rPr>
        <w:t xml:space="preserve">, en la subsección II </w:t>
      </w:r>
      <w:r w:rsidRPr="00831847">
        <w:rPr>
          <w:rFonts w:ascii="Book Antiqua" w:eastAsia="Calibri" w:hAnsi="Book Antiqua" w:cs="Arial"/>
          <w:i/>
          <w:iCs/>
          <w:sz w:val="24"/>
          <w:szCs w:val="24"/>
        </w:rPr>
        <w:t>Representación procesal de personas menores de edad y de personas con discapacidad,</w:t>
      </w:r>
      <w:r w:rsidRPr="00831847">
        <w:rPr>
          <w:rFonts w:ascii="Book Antiqua" w:eastAsia="Calibri" w:hAnsi="Book Antiqua" w:cs="Arial"/>
          <w:sz w:val="24"/>
          <w:szCs w:val="24"/>
        </w:rPr>
        <w:t xml:space="preserve"> específicamente en los artículos 41 y 42 y el rol que podrá asumir la Defensa Pública. </w:t>
      </w:r>
    </w:p>
    <w:p w14:paraId="34B29F20" w14:textId="77777777" w:rsidR="00F4322C" w:rsidRPr="00831847" w:rsidRDefault="00F4322C" w:rsidP="00831847">
      <w:pPr>
        <w:spacing w:after="0" w:line="276" w:lineRule="auto"/>
        <w:jc w:val="both"/>
        <w:rPr>
          <w:rFonts w:ascii="Book Antiqua" w:eastAsia="Calibri" w:hAnsi="Book Antiqua" w:cs="Arial"/>
          <w:sz w:val="24"/>
          <w:szCs w:val="24"/>
        </w:rPr>
      </w:pPr>
    </w:p>
    <w:p w14:paraId="32F1DBBE"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w:t>
      </w:r>
      <w:r w:rsidRPr="00831847">
        <w:rPr>
          <w:rFonts w:ascii="Book Antiqua" w:eastAsia="Calibri" w:hAnsi="Book Antiqua" w:cs="Arial"/>
          <w:b/>
          <w:bCs/>
          <w:i/>
          <w:iCs/>
          <w:sz w:val="24"/>
          <w:szCs w:val="24"/>
        </w:rPr>
        <w:t>Artículo 41- Representación de personas menores de edad</w:t>
      </w:r>
    </w:p>
    <w:p w14:paraId="0387C7F1"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 xml:space="preserve">Se reconoce a todas las personas mayores de doce años el ejercicio personal y pleno de la capacidad procesal para el trámite de los procesos establecidos en </w:t>
      </w:r>
      <w:r w:rsidRPr="00831847">
        <w:rPr>
          <w:rFonts w:ascii="Book Antiqua" w:eastAsia="Calibri" w:hAnsi="Book Antiqua" w:cs="Arial"/>
          <w:i/>
          <w:iCs/>
          <w:sz w:val="24"/>
          <w:szCs w:val="24"/>
        </w:rPr>
        <w:lastRenderedPageBreak/>
        <w:t>este Código, sin perjuicio de que prefieran que sus padres u otras personas representantes actúen en su nombre.</w:t>
      </w:r>
    </w:p>
    <w:p w14:paraId="0B0E19B5"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p>
    <w:p w14:paraId="36FCEE3A"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Tratándose de personas menores de doce años, la autoridad judicial llamará a quien ejerza la responsabilidad parental o bien, en su caso, a quien asigne el Patronato Nacional de la Infancia (PANI) y, si esta persona no se encontrara disponible en ese momento, podrá nombrársele representación provisional hasta tanto el ente mencionado apersone a la persona elegida. No obstante, estas personas podrán ejercer el derecho a ser oídas y participar activamente de manera progresiva y conforme a su capacidad volitiva, según la ley y bajo la apreciación del tribunal, teniendo derecho de acudir personalmente ante este y a que se les atienda de forma personalizada y conforme a sus características etarias, debiendo velar, las personas funcionarias judiciales, por la efectivización de los derechos de las personas menores de edad.</w:t>
      </w:r>
    </w:p>
    <w:p w14:paraId="204BE6C3"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p>
    <w:p w14:paraId="2858B25E" w14:textId="6CCDE962"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Excepcionalmente, las personas menores de doce años podrán accionar de forma</w:t>
      </w:r>
      <w:r w:rsidR="00984E3D">
        <w:rPr>
          <w:rFonts w:ascii="Book Antiqua" w:eastAsia="Calibri" w:hAnsi="Book Antiqua" w:cs="Arial"/>
          <w:i/>
          <w:iCs/>
          <w:sz w:val="24"/>
          <w:szCs w:val="24"/>
        </w:rPr>
        <w:t xml:space="preserve"> </w:t>
      </w:r>
      <w:r w:rsidRPr="00831847">
        <w:rPr>
          <w:rFonts w:ascii="Book Antiqua" w:eastAsia="Calibri" w:hAnsi="Book Antiqua" w:cs="Arial"/>
          <w:i/>
          <w:iCs/>
          <w:sz w:val="24"/>
          <w:szCs w:val="24"/>
        </w:rPr>
        <w:t>personal. En este caso, para el inicio del proceso el tribunal deberá contar con un</w:t>
      </w:r>
      <w:r w:rsidR="00984E3D">
        <w:rPr>
          <w:rFonts w:ascii="Book Antiqua" w:eastAsia="Calibri" w:hAnsi="Book Antiqua" w:cs="Arial"/>
          <w:i/>
          <w:iCs/>
          <w:sz w:val="24"/>
          <w:szCs w:val="24"/>
        </w:rPr>
        <w:t xml:space="preserve"> </w:t>
      </w:r>
      <w:r w:rsidRPr="00831847">
        <w:rPr>
          <w:rFonts w:ascii="Book Antiqua" w:eastAsia="Calibri" w:hAnsi="Book Antiqua" w:cs="Arial"/>
          <w:i/>
          <w:iCs/>
          <w:sz w:val="24"/>
          <w:szCs w:val="24"/>
        </w:rPr>
        <w:t>informe psicológico del Departamento de Trabajo Social y Psicología del Poder</w:t>
      </w:r>
      <w:r w:rsidR="00984E3D">
        <w:rPr>
          <w:rFonts w:ascii="Book Antiqua" w:eastAsia="Calibri" w:hAnsi="Book Antiqua" w:cs="Arial"/>
          <w:i/>
          <w:iCs/>
          <w:sz w:val="24"/>
          <w:szCs w:val="24"/>
        </w:rPr>
        <w:t xml:space="preserve"> </w:t>
      </w:r>
      <w:r w:rsidRPr="00831847">
        <w:rPr>
          <w:rFonts w:ascii="Book Antiqua" w:eastAsia="Calibri" w:hAnsi="Book Antiqua" w:cs="Arial"/>
          <w:i/>
          <w:iCs/>
          <w:sz w:val="24"/>
          <w:szCs w:val="24"/>
        </w:rPr>
        <w:t>Judicial, que acredite que la persona menor de edad tiene la capacidad para ejercer</w:t>
      </w:r>
      <w:r w:rsidR="00984E3D">
        <w:rPr>
          <w:rFonts w:ascii="Book Antiqua" w:eastAsia="Calibri" w:hAnsi="Book Antiqua" w:cs="Arial"/>
          <w:i/>
          <w:iCs/>
          <w:sz w:val="24"/>
          <w:szCs w:val="24"/>
        </w:rPr>
        <w:t xml:space="preserve"> </w:t>
      </w:r>
      <w:r w:rsidRPr="00831847">
        <w:rPr>
          <w:rFonts w:ascii="Book Antiqua" w:eastAsia="Calibri" w:hAnsi="Book Antiqua" w:cs="Arial"/>
          <w:i/>
          <w:iCs/>
          <w:sz w:val="24"/>
          <w:szCs w:val="24"/>
        </w:rPr>
        <w:t>dicha acción.”</w:t>
      </w:r>
    </w:p>
    <w:p w14:paraId="6DBF792B"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p>
    <w:p w14:paraId="1E3E1169"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b/>
          <w:bCs/>
          <w:i/>
          <w:iCs/>
          <w:sz w:val="24"/>
          <w:szCs w:val="24"/>
        </w:rPr>
      </w:pPr>
      <w:r w:rsidRPr="00831847">
        <w:rPr>
          <w:rFonts w:ascii="Book Antiqua" w:eastAsia="Calibri" w:hAnsi="Book Antiqua" w:cs="Arial"/>
          <w:b/>
          <w:bCs/>
          <w:i/>
          <w:iCs/>
          <w:sz w:val="24"/>
          <w:szCs w:val="24"/>
        </w:rPr>
        <w:t>“Artículo 42- Asistencia y patrocinio letrado gratuito</w:t>
      </w:r>
    </w:p>
    <w:p w14:paraId="4E2EACBB"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b/>
          <w:bCs/>
          <w:i/>
          <w:iCs/>
          <w:sz w:val="24"/>
          <w:szCs w:val="24"/>
        </w:rPr>
      </w:pPr>
    </w:p>
    <w:p w14:paraId="6FA555A0" w14:textId="77777777" w:rsidR="00831847" w:rsidRPr="00831847" w:rsidRDefault="00831847" w:rsidP="008B7405">
      <w:pPr>
        <w:autoSpaceDE w:val="0"/>
        <w:autoSpaceDN w:val="0"/>
        <w:adjustRightInd w:val="0"/>
        <w:spacing w:after="0" w:line="276" w:lineRule="auto"/>
        <w:ind w:left="851" w:right="616"/>
        <w:jc w:val="both"/>
        <w:rPr>
          <w:rFonts w:ascii="Book Antiqua" w:eastAsia="Calibri" w:hAnsi="Book Antiqua" w:cs="Arial"/>
          <w:i/>
          <w:iCs/>
          <w:sz w:val="24"/>
          <w:szCs w:val="24"/>
        </w:rPr>
      </w:pPr>
      <w:r w:rsidRPr="00831847">
        <w:rPr>
          <w:rFonts w:ascii="Book Antiqua" w:eastAsia="Calibri" w:hAnsi="Book Antiqua" w:cs="Arial"/>
          <w:i/>
          <w:iCs/>
          <w:sz w:val="24"/>
          <w:szCs w:val="24"/>
        </w:rPr>
        <w:t>El Estado garantizará la asistencia y el patrocinio letrado gratuito a las personas menores de edad que carezcan de medios económicos suficientes”.</w:t>
      </w:r>
    </w:p>
    <w:p w14:paraId="34D2D735" w14:textId="77777777" w:rsidR="00831847" w:rsidRPr="00831847" w:rsidRDefault="00831847" w:rsidP="00831847">
      <w:pPr>
        <w:spacing w:after="0" w:line="276" w:lineRule="auto"/>
        <w:jc w:val="both"/>
        <w:rPr>
          <w:rFonts w:ascii="Book Antiqua" w:eastAsia="Calibri" w:hAnsi="Book Antiqua" w:cs="Arial"/>
          <w:i/>
          <w:iCs/>
          <w:sz w:val="24"/>
          <w:szCs w:val="24"/>
        </w:rPr>
      </w:pPr>
    </w:p>
    <w:p w14:paraId="70766597" w14:textId="77777777" w:rsidR="00F4322C" w:rsidRPr="00F4322C" w:rsidRDefault="00F4322C" w:rsidP="0090609F">
      <w:pPr>
        <w:numPr>
          <w:ilvl w:val="0"/>
          <w:numId w:val="6"/>
        </w:numPr>
        <w:tabs>
          <w:tab w:val="left" w:pos="426"/>
        </w:tabs>
        <w:spacing w:after="0" w:line="276" w:lineRule="auto"/>
        <w:jc w:val="both"/>
        <w:rPr>
          <w:rFonts w:ascii="Book Antiqua" w:eastAsia="Calibri" w:hAnsi="Book Antiqua" w:cs="Arial"/>
          <w:bCs/>
          <w:sz w:val="24"/>
          <w:szCs w:val="24"/>
        </w:rPr>
      </w:pPr>
      <w:r w:rsidRPr="00F4322C">
        <w:rPr>
          <w:rFonts w:ascii="Book Antiqua" w:eastAsia="Calibri" w:hAnsi="Book Antiqua" w:cs="Arial"/>
          <w:b/>
          <w:sz w:val="24"/>
          <w:szCs w:val="24"/>
        </w:rPr>
        <w:t xml:space="preserve">Introducción de nuevos tipos procesales. </w:t>
      </w:r>
      <w:r w:rsidRPr="00F4322C">
        <w:rPr>
          <w:rFonts w:ascii="Book Antiqua" w:eastAsia="Calibri" w:hAnsi="Book Antiqua" w:cs="Arial"/>
          <w:bCs/>
          <w:sz w:val="24"/>
          <w:szCs w:val="24"/>
        </w:rPr>
        <w:t>En el artículo 212 y siguientes se establece que toda pretensión de carácter familiar se tramitará según su naturaleza bajo cinco tipos de procesos:</w:t>
      </w:r>
    </w:p>
    <w:p w14:paraId="3566CF6F" w14:textId="4430A1AD" w:rsidR="006E0F2D" w:rsidRDefault="006E0F2D" w:rsidP="009C01E1">
      <w:pPr>
        <w:spacing w:line="276" w:lineRule="auto"/>
        <w:jc w:val="both"/>
        <w:rPr>
          <w:rFonts w:ascii="Book Antiqua" w:hAnsi="Book Antiqua"/>
          <w:sz w:val="24"/>
          <w:szCs w:val="24"/>
        </w:rPr>
      </w:pPr>
    </w:p>
    <w:p w14:paraId="10D72FF4" w14:textId="771177A4" w:rsidR="005F3D33" w:rsidRDefault="005F3D33" w:rsidP="0090609F">
      <w:pPr>
        <w:pStyle w:val="Prrafodelista"/>
        <w:numPr>
          <w:ilvl w:val="0"/>
          <w:numId w:val="7"/>
        </w:numPr>
        <w:spacing w:after="0" w:line="276" w:lineRule="auto"/>
        <w:jc w:val="both"/>
        <w:rPr>
          <w:rFonts w:ascii="Book Antiqua" w:eastAsia="Calibri" w:hAnsi="Book Antiqua" w:cs="Arial"/>
          <w:sz w:val="24"/>
          <w:szCs w:val="24"/>
        </w:rPr>
      </w:pPr>
      <w:r w:rsidRPr="005F3D33">
        <w:rPr>
          <w:rFonts w:ascii="Book Antiqua" w:eastAsia="Calibri" w:hAnsi="Book Antiqua" w:cs="Arial"/>
          <w:b/>
          <w:bCs/>
          <w:i/>
          <w:iCs/>
          <w:sz w:val="24"/>
          <w:szCs w:val="24"/>
        </w:rPr>
        <w:t>Resolutivos familiares.</w:t>
      </w:r>
      <w:r w:rsidRPr="005F3D33">
        <w:rPr>
          <w:rFonts w:ascii="Book Antiqua" w:eastAsia="Calibri" w:hAnsi="Book Antiqua" w:cs="Arial"/>
          <w:sz w:val="24"/>
          <w:szCs w:val="24"/>
        </w:rPr>
        <w:t xml:space="preserve"> Según el artículo 222 abarcan las pretensiones relacionadas al vínculo matrimonial; el reconocimiento de la unión de hecho; la aplicación del régimen patrimonial del matrimonio y de la unión de hecho; la filiación y la oposición de la adopción; la oposición a la declaratoria de adoptabilidad en sede administrativa; los conflictos en el ejercicio de los </w:t>
      </w:r>
      <w:r w:rsidRPr="005F3D33">
        <w:rPr>
          <w:rFonts w:ascii="Book Antiqua" w:eastAsia="Calibri" w:hAnsi="Book Antiqua" w:cs="Arial"/>
          <w:sz w:val="24"/>
          <w:szCs w:val="24"/>
        </w:rPr>
        <w:lastRenderedPageBreak/>
        <w:t>atributos de la responsabilidad parental, incluidos los referidos al cuidado personal de hijas e hijos y modificaciones de sentencias sobre estas pretensiones; la terminación con o sin fines de adopción y la suspensión de los atributos de la responsabilidad parental; la pérdida, con petición o no de adaptabilidad, y la suspensión de los atributos de la responsabilidad parental; la oposición válida y definida por la autoridad judicial a la solicitud de salvaguardia para la igualdad jurídica de personas con discapacidad; y los reclamos de daños y perjuicios.</w:t>
      </w:r>
    </w:p>
    <w:p w14:paraId="7427CA82" w14:textId="77777777" w:rsidR="00562D38" w:rsidRDefault="00562D38" w:rsidP="00562D38">
      <w:pPr>
        <w:pStyle w:val="Prrafodelista"/>
        <w:spacing w:after="0" w:line="276" w:lineRule="auto"/>
        <w:ind w:left="750"/>
        <w:jc w:val="both"/>
        <w:rPr>
          <w:rFonts w:ascii="Book Antiqua" w:eastAsia="Calibri" w:hAnsi="Book Antiqua" w:cs="Arial"/>
          <w:sz w:val="24"/>
          <w:szCs w:val="24"/>
        </w:rPr>
      </w:pPr>
    </w:p>
    <w:p w14:paraId="7CA531A8" w14:textId="77777777" w:rsidR="00562D38" w:rsidRDefault="00E15C45" w:rsidP="0090609F">
      <w:pPr>
        <w:pStyle w:val="Prrafodelista"/>
        <w:numPr>
          <w:ilvl w:val="0"/>
          <w:numId w:val="7"/>
        </w:numPr>
        <w:spacing w:after="0" w:line="276" w:lineRule="auto"/>
        <w:jc w:val="both"/>
        <w:rPr>
          <w:rFonts w:ascii="Book Antiqua" w:eastAsia="Calibri" w:hAnsi="Book Antiqua" w:cs="Arial"/>
          <w:sz w:val="24"/>
          <w:szCs w:val="24"/>
        </w:rPr>
      </w:pPr>
      <w:r w:rsidRPr="00562D38">
        <w:rPr>
          <w:rFonts w:ascii="Book Antiqua" w:eastAsia="Calibri" w:hAnsi="Book Antiqua" w:cs="Arial"/>
          <w:b/>
          <w:bCs/>
          <w:i/>
          <w:iCs/>
          <w:sz w:val="24"/>
          <w:szCs w:val="24"/>
        </w:rPr>
        <w:t>De prote</w:t>
      </w:r>
      <w:r w:rsidR="005F3D33" w:rsidRPr="005F3D33">
        <w:rPr>
          <w:rFonts w:ascii="Book Antiqua" w:eastAsia="Calibri" w:hAnsi="Book Antiqua" w:cs="Arial"/>
          <w:b/>
          <w:bCs/>
          <w:i/>
          <w:iCs/>
          <w:sz w:val="24"/>
          <w:szCs w:val="24"/>
        </w:rPr>
        <w:t xml:space="preserve">cción cautelar. </w:t>
      </w:r>
      <w:r w:rsidR="005F3D33" w:rsidRPr="005F3D33">
        <w:rPr>
          <w:rFonts w:ascii="Book Antiqua" w:eastAsia="Calibri" w:hAnsi="Book Antiqua" w:cs="Arial"/>
          <w:sz w:val="24"/>
          <w:szCs w:val="24"/>
        </w:rPr>
        <w:t>Esta fase se encuentra dentro de los artículos que van del 234 al 241.</w:t>
      </w:r>
    </w:p>
    <w:p w14:paraId="686EFBE1" w14:textId="77777777" w:rsidR="00562D38" w:rsidRPr="00562D38" w:rsidRDefault="00562D38" w:rsidP="00562D38">
      <w:pPr>
        <w:pStyle w:val="Prrafodelista"/>
        <w:rPr>
          <w:rFonts w:ascii="Book Antiqua" w:eastAsia="Calibri" w:hAnsi="Book Antiqua" w:cs="Arial"/>
          <w:b/>
          <w:bCs/>
          <w:i/>
          <w:iCs/>
          <w:sz w:val="24"/>
          <w:szCs w:val="24"/>
        </w:rPr>
      </w:pPr>
    </w:p>
    <w:p w14:paraId="31FF9079" w14:textId="77777777" w:rsidR="00562D38" w:rsidRDefault="005F3D33" w:rsidP="0090609F">
      <w:pPr>
        <w:pStyle w:val="Prrafodelista"/>
        <w:numPr>
          <w:ilvl w:val="0"/>
          <w:numId w:val="7"/>
        </w:numPr>
        <w:spacing w:after="0" w:line="276" w:lineRule="auto"/>
        <w:jc w:val="both"/>
        <w:rPr>
          <w:rFonts w:ascii="Book Antiqua" w:eastAsia="Calibri" w:hAnsi="Book Antiqua" w:cs="Arial"/>
          <w:sz w:val="24"/>
          <w:szCs w:val="24"/>
        </w:rPr>
      </w:pPr>
      <w:r w:rsidRPr="005F3D33">
        <w:rPr>
          <w:rFonts w:ascii="Book Antiqua" w:eastAsia="Calibri" w:hAnsi="Book Antiqua" w:cs="Arial"/>
          <w:b/>
          <w:bCs/>
          <w:i/>
          <w:iCs/>
          <w:sz w:val="24"/>
          <w:szCs w:val="24"/>
        </w:rPr>
        <w:t xml:space="preserve">De petición unilateral. </w:t>
      </w:r>
      <w:r w:rsidRPr="005F3D33">
        <w:rPr>
          <w:rFonts w:ascii="Book Antiqua" w:eastAsia="Calibri" w:hAnsi="Book Antiqua" w:cs="Arial"/>
          <w:sz w:val="24"/>
          <w:szCs w:val="24"/>
        </w:rPr>
        <w:t>Dentro del artículo 242 se mencionan el nombramiento de personas tutoras para personas menores de edad; la salvaguardia para la igualdad jurídica de las personas con discapacidad; el nombramiento de personas depositarias para personas menores de edad; y las autorizaciones para la disposición de derechos en bienes de personas menores de edad o personas con discapacidad.</w:t>
      </w:r>
    </w:p>
    <w:p w14:paraId="34563D7C" w14:textId="77777777" w:rsidR="00562D38" w:rsidRPr="00562D38" w:rsidRDefault="00562D38" w:rsidP="00562D38">
      <w:pPr>
        <w:pStyle w:val="Prrafodelista"/>
        <w:rPr>
          <w:rFonts w:ascii="Book Antiqua" w:eastAsia="Calibri" w:hAnsi="Book Antiqua" w:cs="Arial"/>
          <w:b/>
          <w:bCs/>
          <w:i/>
          <w:iCs/>
          <w:sz w:val="24"/>
          <w:szCs w:val="24"/>
        </w:rPr>
      </w:pPr>
    </w:p>
    <w:p w14:paraId="2D60AB9B" w14:textId="164652BC" w:rsidR="005F3D33" w:rsidRDefault="005F3D33" w:rsidP="0090609F">
      <w:pPr>
        <w:pStyle w:val="Prrafodelista"/>
        <w:numPr>
          <w:ilvl w:val="0"/>
          <w:numId w:val="7"/>
        </w:numPr>
        <w:spacing w:after="0" w:line="276" w:lineRule="auto"/>
        <w:jc w:val="both"/>
        <w:rPr>
          <w:rFonts w:ascii="Book Antiqua" w:eastAsia="Calibri" w:hAnsi="Book Antiqua" w:cs="Arial"/>
          <w:sz w:val="24"/>
          <w:szCs w:val="24"/>
        </w:rPr>
      </w:pPr>
      <w:r w:rsidRPr="005F3D33">
        <w:rPr>
          <w:rFonts w:ascii="Book Antiqua" w:eastAsia="Calibri" w:hAnsi="Book Antiqua" w:cs="Arial"/>
          <w:b/>
          <w:bCs/>
          <w:i/>
          <w:iCs/>
          <w:sz w:val="24"/>
          <w:szCs w:val="24"/>
        </w:rPr>
        <w:t>Resolutivos especiales</w:t>
      </w:r>
      <w:r w:rsidRPr="005F3D33">
        <w:rPr>
          <w:rFonts w:ascii="Book Antiqua" w:eastAsia="Calibri" w:hAnsi="Book Antiqua" w:cs="Arial"/>
          <w:sz w:val="24"/>
          <w:szCs w:val="24"/>
        </w:rPr>
        <w:t>. Comprenden los siguientes procedimientos:</w:t>
      </w:r>
    </w:p>
    <w:p w14:paraId="2389D850" w14:textId="77777777" w:rsidR="00DA1B2F" w:rsidRPr="00DA1B2F" w:rsidRDefault="00DA1B2F" w:rsidP="00DA1B2F">
      <w:pPr>
        <w:pStyle w:val="Prrafodelista"/>
        <w:rPr>
          <w:rFonts w:ascii="Book Antiqua" w:eastAsia="Calibri" w:hAnsi="Book Antiqua" w:cs="Arial"/>
          <w:sz w:val="24"/>
          <w:szCs w:val="24"/>
        </w:rPr>
      </w:pPr>
    </w:p>
    <w:p w14:paraId="46E6B405" w14:textId="0BBFB0B5" w:rsidR="00562D38" w:rsidRPr="00562D38" w:rsidRDefault="00562D38" w:rsidP="0090609F">
      <w:pPr>
        <w:pStyle w:val="Prrafodelista"/>
        <w:numPr>
          <w:ilvl w:val="0"/>
          <w:numId w:val="8"/>
        </w:numPr>
        <w:rPr>
          <w:rFonts w:ascii="Book Antiqua" w:eastAsia="Calibri" w:hAnsi="Book Antiqua" w:cs="Arial"/>
          <w:sz w:val="24"/>
          <w:szCs w:val="24"/>
        </w:rPr>
      </w:pPr>
      <w:r>
        <w:rPr>
          <w:rFonts w:ascii="Book Antiqua" w:eastAsia="Calibri" w:hAnsi="Book Antiqua" w:cs="Arial"/>
          <w:sz w:val="24"/>
          <w:szCs w:val="24"/>
        </w:rPr>
        <w:t>P</w:t>
      </w:r>
      <w:r w:rsidRPr="00562D38">
        <w:rPr>
          <w:rFonts w:ascii="Book Antiqua" w:eastAsia="Calibri" w:hAnsi="Book Antiqua" w:cs="Arial"/>
          <w:sz w:val="24"/>
        </w:rPr>
        <w:t>ensiones alimentarias, en los artículos del 257 al 266</w:t>
      </w:r>
    </w:p>
    <w:p w14:paraId="5DD058A8"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Fijación de cuota alimentaria, en los artículos del 267 al 276;</w:t>
      </w:r>
    </w:p>
    <w:p w14:paraId="4E7597FD"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Extinción o modificación de la cuota fijada de alimentos y cobro de gastos Extraordinarios no pactados, en los artículos del 277 al 279;</w:t>
      </w:r>
    </w:p>
    <w:p w14:paraId="1054B4A2"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Ejecución de la deuda alimentaria, en los artículos del 280 al 288;</w:t>
      </w:r>
    </w:p>
    <w:p w14:paraId="1CA257A9"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Divorcio, separación judicial o cese de la unión de hecho por muto consentimiento, en los artículos del 289 al 293;</w:t>
      </w:r>
    </w:p>
    <w:p w14:paraId="1B09B9B3" w14:textId="77777777" w:rsidR="00562D38" w:rsidRP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Adopción, en los artículos del 294 al 302;</w:t>
      </w:r>
    </w:p>
    <w:p w14:paraId="19DD85EC" w14:textId="54CDC27A" w:rsidR="00562D38" w:rsidRDefault="00562D38" w:rsidP="0090609F">
      <w:pPr>
        <w:pStyle w:val="Prrafodelista"/>
        <w:numPr>
          <w:ilvl w:val="0"/>
          <w:numId w:val="8"/>
        </w:numPr>
        <w:spacing w:after="0" w:line="276" w:lineRule="auto"/>
        <w:jc w:val="both"/>
        <w:rPr>
          <w:rFonts w:ascii="Book Antiqua" w:hAnsi="Book Antiqua"/>
          <w:sz w:val="24"/>
        </w:rPr>
      </w:pPr>
      <w:r w:rsidRPr="00562D38">
        <w:rPr>
          <w:rFonts w:ascii="Book Antiqua" w:hAnsi="Book Antiqua"/>
          <w:sz w:val="24"/>
        </w:rPr>
        <w:t>Restitución internacional de personas menores de edad, en los artículos del 303 al 312.</w:t>
      </w:r>
    </w:p>
    <w:p w14:paraId="74AA98EF" w14:textId="77777777" w:rsidR="007D608F" w:rsidRPr="00562D38" w:rsidRDefault="007D608F" w:rsidP="007D608F">
      <w:pPr>
        <w:pStyle w:val="Prrafodelista"/>
        <w:spacing w:after="0" w:line="276" w:lineRule="auto"/>
        <w:ind w:left="1440"/>
        <w:jc w:val="both"/>
        <w:rPr>
          <w:rFonts w:ascii="Book Antiqua" w:hAnsi="Book Antiqua"/>
          <w:sz w:val="24"/>
        </w:rPr>
      </w:pPr>
    </w:p>
    <w:p w14:paraId="52A60A51" w14:textId="04DCC2F4" w:rsidR="00562D38" w:rsidRPr="00562D38" w:rsidRDefault="00562D38" w:rsidP="0090609F">
      <w:pPr>
        <w:pStyle w:val="Prrafodelista"/>
        <w:numPr>
          <w:ilvl w:val="0"/>
          <w:numId w:val="7"/>
        </w:numPr>
        <w:spacing w:after="0" w:line="276" w:lineRule="auto"/>
        <w:ind w:left="0" w:firstLine="0"/>
        <w:jc w:val="both"/>
        <w:rPr>
          <w:rFonts w:ascii="Book Antiqua" w:eastAsia="Calibri" w:hAnsi="Book Antiqua" w:cs="Arial"/>
          <w:sz w:val="24"/>
          <w:szCs w:val="24"/>
        </w:rPr>
      </w:pPr>
      <w:r w:rsidRPr="00562D38">
        <w:rPr>
          <w:rFonts w:ascii="Book Antiqua" w:hAnsi="Book Antiqua"/>
          <w:b/>
          <w:bCs/>
          <w:i/>
          <w:iCs/>
          <w:sz w:val="24"/>
          <w:szCs w:val="24"/>
        </w:rPr>
        <w:t>De ejecución de resoluciones judiciales.</w:t>
      </w:r>
      <w:r w:rsidRPr="00562D38">
        <w:rPr>
          <w:rFonts w:ascii="Book Antiqua" w:hAnsi="Book Antiqua"/>
          <w:sz w:val="24"/>
          <w:szCs w:val="24"/>
        </w:rPr>
        <w:t xml:space="preserve"> Ejecución de resoluciones judiciales.</w:t>
      </w:r>
      <w:r w:rsidR="00EB0EB1">
        <w:rPr>
          <w:rFonts w:ascii="Book Antiqua" w:hAnsi="Book Antiqua"/>
          <w:sz w:val="24"/>
          <w:szCs w:val="24"/>
        </w:rPr>
        <w:t xml:space="preserve"> </w:t>
      </w:r>
      <w:r w:rsidRPr="00562D38">
        <w:rPr>
          <w:rFonts w:ascii="Book Antiqua" w:hAnsi="Book Antiqua"/>
          <w:sz w:val="24"/>
          <w:szCs w:val="24"/>
        </w:rPr>
        <w:t>Esta fase se encuentra dentro de los artículos que van del 313 al 333</w:t>
      </w:r>
      <w:r>
        <w:rPr>
          <w:rFonts w:ascii="Book Antiqua" w:hAnsi="Book Antiqua"/>
          <w:sz w:val="24"/>
          <w:szCs w:val="24"/>
        </w:rPr>
        <w:t>.</w:t>
      </w:r>
    </w:p>
    <w:p w14:paraId="00CF7937" w14:textId="77777777" w:rsidR="00562D38" w:rsidRPr="00562D38" w:rsidRDefault="00562D38" w:rsidP="00562D38">
      <w:pPr>
        <w:spacing w:line="276" w:lineRule="auto"/>
        <w:jc w:val="both"/>
        <w:rPr>
          <w:rFonts w:ascii="Book Antiqua" w:hAnsi="Book Antiqua"/>
          <w:sz w:val="24"/>
          <w:szCs w:val="24"/>
        </w:rPr>
      </w:pPr>
      <w:r w:rsidRPr="00562D38">
        <w:rPr>
          <w:rFonts w:ascii="Book Antiqua" w:hAnsi="Book Antiqua"/>
          <w:sz w:val="24"/>
          <w:szCs w:val="24"/>
        </w:rPr>
        <w:lastRenderedPageBreak/>
        <w:t>En el caso de los incisos 1, 3, 4 y 5, el CPF plantea una reagrupación de los procesos vigentes en la materia de Familia, por lo que no corresponden a nuevos procesos. Por su parte el proceso denominado “</w:t>
      </w:r>
      <w:r w:rsidRPr="00562D38">
        <w:rPr>
          <w:rFonts w:ascii="Book Antiqua" w:hAnsi="Book Antiqua"/>
          <w:i/>
          <w:sz w:val="24"/>
          <w:szCs w:val="24"/>
        </w:rPr>
        <w:t>protección cautelar</w:t>
      </w:r>
      <w:r w:rsidRPr="00562D38">
        <w:rPr>
          <w:rFonts w:ascii="Book Antiqua" w:hAnsi="Book Antiqua"/>
          <w:sz w:val="24"/>
          <w:szCs w:val="24"/>
        </w:rPr>
        <w:t>” establece los lineamientos que debe seguir el juzgador al momento de dictar medidas de protección cuando se presente una agresión fuera del núcleo familiar, en perjuicio de personas adultas mayores y personas con discapacidad, donde estas últimas constituyen una novedad dentro de la materia.</w:t>
      </w:r>
    </w:p>
    <w:p w14:paraId="766AF943" w14:textId="77777777" w:rsidR="00562D38" w:rsidRPr="00562D38" w:rsidRDefault="00562D38" w:rsidP="00562D38">
      <w:pPr>
        <w:spacing w:after="0" w:line="276" w:lineRule="auto"/>
        <w:jc w:val="both"/>
        <w:rPr>
          <w:rFonts w:ascii="Book Antiqua" w:eastAsia="Calibri" w:hAnsi="Book Antiqua" w:cs="Arial"/>
          <w:sz w:val="24"/>
          <w:szCs w:val="24"/>
        </w:rPr>
      </w:pPr>
      <w:r w:rsidRPr="00562D38">
        <w:rPr>
          <w:rFonts w:ascii="Book Antiqua" w:eastAsia="Calibri" w:hAnsi="Book Antiqua" w:cs="Arial"/>
          <w:sz w:val="24"/>
          <w:szCs w:val="24"/>
        </w:rPr>
        <w:t>La asignación de las medidas cautelares correspondería a los actuales Juzgados de Violencia Doméstica que a su vez se les modifica su nomenclatura y en adelante se denominarían “</w:t>
      </w:r>
      <w:r w:rsidRPr="00562D38">
        <w:rPr>
          <w:rFonts w:ascii="Book Antiqua" w:eastAsia="Calibri" w:hAnsi="Book Antiqua" w:cs="Arial"/>
          <w:i/>
          <w:iCs/>
          <w:sz w:val="24"/>
          <w:szCs w:val="24"/>
        </w:rPr>
        <w:t>Juzgados de Violencia Domestica y Protección Cautelar</w:t>
      </w:r>
      <w:r w:rsidRPr="00562D38">
        <w:rPr>
          <w:rFonts w:ascii="Book Antiqua" w:eastAsia="Calibri" w:hAnsi="Book Antiqua" w:cs="Arial"/>
          <w:sz w:val="24"/>
          <w:szCs w:val="24"/>
        </w:rPr>
        <w:t>”, lo cual se contempla en el artículo 121 bis, que se adiciona a la Ley Orgánica del Poder Judicial:</w:t>
      </w:r>
    </w:p>
    <w:p w14:paraId="00E9726F" w14:textId="77777777" w:rsidR="00562D38" w:rsidRPr="00562D38" w:rsidRDefault="00562D38" w:rsidP="00562D38">
      <w:pPr>
        <w:spacing w:after="0" w:line="276" w:lineRule="auto"/>
        <w:jc w:val="both"/>
        <w:rPr>
          <w:rFonts w:ascii="Book Antiqua" w:eastAsia="Calibri" w:hAnsi="Book Antiqua" w:cs="Arial"/>
          <w:sz w:val="24"/>
          <w:szCs w:val="24"/>
        </w:rPr>
      </w:pPr>
    </w:p>
    <w:p w14:paraId="045845D8"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r w:rsidRPr="00562D38">
        <w:rPr>
          <w:rFonts w:ascii="Book Antiqua" w:eastAsia="Calibri" w:hAnsi="Book Antiqua" w:cs="Arial"/>
          <w:i/>
          <w:iCs/>
          <w:sz w:val="24"/>
          <w:szCs w:val="24"/>
        </w:rPr>
        <w:t>“</w:t>
      </w:r>
      <w:r w:rsidRPr="008B7405">
        <w:rPr>
          <w:rFonts w:ascii="Book Antiqua" w:eastAsia="Calibri" w:hAnsi="Book Antiqua" w:cs="Arial"/>
          <w:b/>
          <w:bCs/>
          <w:i/>
          <w:iCs/>
          <w:sz w:val="24"/>
          <w:szCs w:val="24"/>
        </w:rPr>
        <w:t>Artículo 121 bis</w:t>
      </w:r>
      <w:r w:rsidRPr="00562D38">
        <w:rPr>
          <w:rFonts w:ascii="Book Antiqua" w:eastAsia="Calibri" w:hAnsi="Book Antiqua" w:cs="Arial"/>
          <w:i/>
          <w:iCs/>
          <w:sz w:val="24"/>
          <w:szCs w:val="24"/>
        </w:rPr>
        <w:t>- Juzgados de Violencia Doméstica y de Protección Cautelar</w:t>
      </w:r>
    </w:p>
    <w:p w14:paraId="497C1768"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p>
    <w:p w14:paraId="389AC381"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r w:rsidRPr="00562D38">
        <w:rPr>
          <w:rFonts w:ascii="Book Antiqua" w:eastAsia="Calibri" w:hAnsi="Book Antiqua" w:cs="Arial"/>
          <w:i/>
          <w:iCs/>
          <w:sz w:val="24"/>
          <w:szCs w:val="24"/>
        </w:rPr>
        <w:t>Los juzgados de Violencia Doméstica y de Protección Cautelar conocerán de:</w:t>
      </w:r>
    </w:p>
    <w:p w14:paraId="244AF3B9"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p>
    <w:p w14:paraId="6A74BB19"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r w:rsidRPr="00562D38">
        <w:rPr>
          <w:rFonts w:ascii="Book Antiqua" w:eastAsia="Calibri" w:hAnsi="Book Antiqua" w:cs="Arial"/>
          <w:i/>
          <w:iCs/>
          <w:sz w:val="24"/>
          <w:szCs w:val="24"/>
        </w:rPr>
        <w:t>1) Todo lo relativo a los procesos de protección cautelar de violencia intrafamiliar, personas adultas mayores y personas con discapacidad.</w:t>
      </w:r>
    </w:p>
    <w:p w14:paraId="1B3AA572"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p>
    <w:p w14:paraId="33E9C774"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r w:rsidRPr="00562D38">
        <w:rPr>
          <w:rFonts w:ascii="Book Antiqua" w:eastAsia="Calibri" w:hAnsi="Book Antiqua" w:cs="Arial"/>
          <w:i/>
          <w:iCs/>
          <w:sz w:val="24"/>
          <w:szCs w:val="24"/>
        </w:rPr>
        <w:t>2) Los demás asuntos que estipule la ley.</w:t>
      </w:r>
    </w:p>
    <w:p w14:paraId="2A957A18" w14:textId="77777777" w:rsidR="00562D38" w:rsidRPr="00562D38" w:rsidRDefault="00562D38" w:rsidP="00562D38">
      <w:pPr>
        <w:spacing w:after="0" w:line="276" w:lineRule="auto"/>
        <w:ind w:left="567" w:right="616"/>
        <w:jc w:val="both"/>
        <w:rPr>
          <w:rFonts w:ascii="Book Antiqua" w:eastAsia="Calibri" w:hAnsi="Book Antiqua" w:cs="Arial"/>
          <w:i/>
          <w:iCs/>
          <w:sz w:val="24"/>
          <w:szCs w:val="24"/>
        </w:rPr>
      </w:pPr>
    </w:p>
    <w:p w14:paraId="4379B319" w14:textId="77777777" w:rsidR="00562D38" w:rsidRPr="00562D38" w:rsidRDefault="00562D38" w:rsidP="00562D38">
      <w:pPr>
        <w:spacing w:after="0" w:line="276" w:lineRule="auto"/>
        <w:ind w:left="567" w:right="616"/>
        <w:jc w:val="both"/>
        <w:rPr>
          <w:rFonts w:ascii="Book Antiqua" w:eastAsia="Calibri" w:hAnsi="Book Antiqua" w:cs="Arial"/>
          <w:sz w:val="24"/>
          <w:szCs w:val="24"/>
        </w:rPr>
      </w:pPr>
      <w:r w:rsidRPr="00562D38">
        <w:rPr>
          <w:rFonts w:ascii="Book Antiqua" w:eastAsia="Calibri" w:hAnsi="Book Antiqua" w:cs="Arial"/>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6DA97DFC" w14:textId="77777777" w:rsidR="00562D38" w:rsidRDefault="00562D38" w:rsidP="00562D38">
      <w:pPr>
        <w:spacing w:after="0" w:line="276" w:lineRule="auto"/>
        <w:jc w:val="both"/>
        <w:rPr>
          <w:rFonts w:ascii="Book Antiqua" w:eastAsia="Calibri" w:hAnsi="Book Antiqua" w:cs="Arial"/>
          <w:sz w:val="24"/>
          <w:szCs w:val="24"/>
        </w:rPr>
      </w:pPr>
    </w:p>
    <w:p w14:paraId="2ECFFE79" w14:textId="0654E0B1" w:rsidR="00562D38" w:rsidRPr="00562D38" w:rsidRDefault="00562D38" w:rsidP="00562D38">
      <w:pPr>
        <w:spacing w:after="0" w:line="276" w:lineRule="auto"/>
        <w:jc w:val="both"/>
        <w:rPr>
          <w:rFonts w:ascii="Book Antiqua" w:eastAsia="Calibri" w:hAnsi="Book Antiqua" w:cs="Arial"/>
          <w:sz w:val="24"/>
          <w:szCs w:val="24"/>
        </w:rPr>
      </w:pPr>
      <w:r w:rsidRPr="00562D38">
        <w:rPr>
          <w:rFonts w:ascii="Book Antiqua" w:eastAsia="Calibri" w:hAnsi="Book Antiqua" w:cs="Arial"/>
          <w:sz w:val="24"/>
          <w:szCs w:val="24"/>
        </w:rPr>
        <w:t>Al respecto el Lic. Jiménez Mata</w:t>
      </w:r>
      <w:r w:rsidR="00EC26F2">
        <w:rPr>
          <w:rFonts w:ascii="Book Antiqua" w:eastAsia="Calibri" w:hAnsi="Book Antiqua" w:cs="Arial"/>
          <w:sz w:val="24"/>
          <w:szCs w:val="24"/>
        </w:rPr>
        <w:t xml:space="preserve"> en 2020</w:t>
      </w:r>
      <w:r w:rsidRPr="00562D38">
        <w:rPr>
          <w:rFonts w:ascii="Book Antiqua" w:eastAsia="Calibri" w:hAnsi="Book Antiqua" w:cs="Arial"/>
          <w:sz w:val="24"/>
          <w:szCs w:val="24"/>
        </w:rPr>
        <w:t xml:space="preserve">, comentó que el impacto de estos cambios se reflejaría en el incremento de la entrada de casos para los actuales juzgados competentes en Violencia Doméstica del país, producto del proceso de protección cautelar para personas con discapacidad. </w:t>
      </w:r>
    </w:p>
    <w:p w14:paraId="4CC6FCB3" w14:textId="77777777" w:rsidR="00562D38" w:rsidRPr="00562D38" w:rsidRDefault="00562D38" w:rsidP="00562D38">
      <w:pPr>
        <w:spacing w:after="0" w:line="276" w:lineRule="auto"/>
        <w:jc w:val="both"/>
        <w:rPr>
          <w:rFonts w:ascii="Book Antiqua" w:eastAsia="Calibri" w:hAnsi="Book Antiqua" w:cs="Arial"/>
          <w:sz w:val="24"/>
          <w:szCs w:val="24"/>
        </w:rPr>
      </w:pPr>
    </w:p>
    <w:p w14:paraId="113EABD5" w14:textId="77777777" w:rsidR="000F0B1E" w:rsidRPr="000F0B1E" w:rsidRDefault="000F0B1E" w:rsidP="0090609F">
      <w:pPr>
        <w:numPr>
          <w:ilvl w:val="0"/>
          <w:numId w:val="6"/>
        </w:numPr>
        <w:tabs>
          <w:tab w:val="left" w:pos="426"/>
        </w:tabs>
        <w:spacing w:after="0" w:line="276" w:lineRule="auto"/>
        <w:ind w:left="0" w:firstLine="0"/>
        <w:jc w:val="both"/>
        <w:rPr>
          <w:rFonts w:ascii="Book Antiqua" w:eastAsia="Calibri" w:hAnsi="Book Antiqua" w:cs="Arial"/>
          <w:bCs/>
          <w:sz w:val="24"/>
          <w:szCs w:val="24"/>
        </w:rPr>
      </w:pPr>
      <w:r w:rsidRPr="000F0B1E">
        <w:rPr>
          <w:rFonts w:ascii="Book Antiqua" w:eastAsia="Calibri" w:hAnsi="Book Antiqua" w:cs="Arial"/>
          <w:b/>
          <w:sz w:val="24"/>
          <w:szCs w:val="24"/>
        </w:rPr>
        <w:t xml:space="preserve">Desjudicialización de procesos. </w:t>
      </w:r>
      <w:r w:rsidRPr="000F0B1E">
        <w:rPr>
          <w:rFonts w:ascii="Book Antiqua" w:eastAsia="Calibri" w:hAnsi="Book Antiqua" w:cs="Arial"/>
          <w:bCs/>
          <w:sz w:val="24"/>
          <w:szCs w:val="24"/>
        </w:rPr>
        <w:t xml:space="preserve">El CPF faculta al Registro Civil y a las sedes notariales a realizar procesos que en la actualidad conocen los despachos jurisdiccionales, donde no medie contención entre las partes involucradas, mediante </w:t>
      </w:r>
      <w:r w:rsidRPr="000F0B1E">
        <w:rPr>
          <w:rFonts w:ascii="Book Antiqua" w:eastAsia="Calibri" w:hAnsi="Book Antiqua" w:cs="Arial"/>
          <w:bCs/>
          <w:sz w:val="24"/>
          <w:szCs w:val="24"/>
        </w:rPr>
        <w:lastRenderedPageBreak/>
        <w:t>reformas al Código de Familia, a la Ley Orgánica del Poder Judicial y mención expresa dentro del CPF:</w:t>
      </w:r>
    </w:p>
    <w:p w14:paraId="2C52BD42" w14:textId="77777777" w:rsidR="000F0B1E" w:rsidRPr="000F0B1E" w:rsidRDefault="000F0B1E" w:rsidP="000F0B1E">
      <w:pPr>
        <w:spacing w:after="0" w:line="276" w:lineRule="auto"/>
        <w:jc w:val="both"/>
        <w:rPr>
          <w:rFonts w:ascii="Book Antiqua" w:eastAsia="Calibri" w:hAnsi="Book Antiqua" w:cs="Arial"/>
          <w:sz w:val="24"/>
          <w:szCs w:val="24"/>
        </w:rPr>
      </w:pPr>
    </w:p>
    <w:p w14:paraId="6E4B1590"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w:t>
      </w:r>
      <w:r w:rsidRPr="008B7405">
        <w:rPr>
          <w:rFonts w:ascii="Book Antiqua" w:eastAsia="Calibri" w:hAnsi="Book Antiqua" w:cs="Arial"/>
          <w:b/>
          <w:bCs/>
          <w:i/>
          <w:iCs/>
          <w:sz w:val="24"/>
          <w:szCs w:val="24"/>
        </w:rPr>
        <w:t>Artículo 24-</w:t>
      </w:r>
      <w:r w:rsidRPr="00D00CB4">
        <w:rPr>
          <w:rFonts w:ascii="Book Antiqua" w:eastAsia="Calibri" w:hAnsi="Book Antiqua" w:cs="Arial"/>
          <w:i/>
          <w:iCs/>
          <w:sz w:val="24"/>
          <w:szCs w:val="24"/>
        </w:rPr>
        <w:t xml:space="preserve"> Matrimonio civil. Celebración</w:t>
      </w:r>
    </w:p>
    <w:p w14:paraId="518721E2"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Además del caso del artículo anterior, el matrimonio podrá celebrarse ante las autoridades de jefatura de las oficinas centrales o regionales del Registro Civil o ante los notarios públicos.</w:t>
      </w:r>
      <w:r w:rsidRPr="00D00CB4">
        <w:rPr>
          <w:rFonts w:ascii="Book Antiqua" w:eastAsia="Calibri" w:hAnsi="Book Antiqua" w:cs="Arial"/>
          <w:sz w:val="24"/>
          <w:szCs w:val="24"/>
        </w:rPr>
        <w:t xml:space="preserve"> </w:t>
      </w:r>
      <w:r w:rsidRPr="00D00CB4">
        <w:rPr>
          <w:rFonts w:ascii="Book Antiqua" w:eastAsia="Calibri" w:hAnsi="Book Antiqua" w:cs="Arial"/>
          <w:i/>
          <w:iCs/>
          <w:sz w:val="24"/>
          <w:szCs w:val="24"/>
        </w:rPr>
        <w:t>Los primeros no podrán cobrar honorarios por sus actuaciones. En caso de los segundos, el acta correspondiente se asentará en su protocolo y deberán conservar en el de referencia la copia respectiva, debiendo enviar todos los antecedentes y documentos requeridos a los contrayentes, el testimonio notarial y la copia del acta en los formularios que son suministrados por el Registro Civil a esta institución, dentro de los ocho días siguientes a la celebración del matrimonio para su inscripción. Ambos funcionarios estarán sometidos al régimen disciplinario y penal correspondientes.”</w:t>
      </w:r>
    </w:p>
    <w:p w14:paraId="482BBC95" w14:textId="77777777" w:rsidR="00D00CB4" w:rsidRPr="00D00CB4" w:rsidRDefault="00D00CB4" w:rsidP="00D00CB4">
      <w:pPr>
        <w:spacing w:after="0" w:line="276" w:lineRule="auto"/>
        <w:ind w:left="567" w:right="616"/>
        <w:jc w:val="both"/>
        <w:rPr>
          <w:rFonts w:ascii="Book Antiqua" w:eastAsia="Calibri" w:hAnsi="Book Antiqua" w:cs="Arial"/>
          <w:sz w:val="24"/>
          <w:szCs w:val="24"/>
        </w:rPr>
      </w:pPr>
    </w:p>
    <w:p w14:paraId="50EE8608" w14:textId="77777777" w:rsidR="00D00CB4" w:rsidRPr="00D00CB4" w:rsidRDefault="00D00CB4" w:rsidP="00D00CB4">
      <w:pPr>
        <w:spacing w:after="0" w:line="276" w:lineRule="auto"/>
        <w:ind w:left="567" w:right="616"/>
        <w:jc w:val="both"/>
        <w:rPr>
          <w:rFonts w:ascii="Book Antiqua" w:eastAsia="Calibri" w:hAnsi="Book Antiqua" w:cs="Arial"/>
          <w:i/>
          <w:sz w:val="24"/>
          <w:szCs w:val="24"/>
        </w:rPr>
      </w:pPr>
      <w:r w:rsidRPr="00D00CB4">
        <w:rPr>
          <w:rFonts w:ascii="Book Antiqua" w:eastAsia="Calibri" w:hAnsi="Book Antiqua" w:cs="Arial"/>
          <w:i/>
          <w:sz w:val="24"/>
          <w:szCs w:val="24"/>
        </w:rPr>
        <w:t>“Artículo 84- Reconocimiento administrativo de la paternidad</w:t>
      </w:r>
    </w:p>
    <w:p w14:paraId="6998BBF1" w14:textId="77777777" w:rsidR="00D00CB4" w:rsidRPr="00D00CB4" w:rsidRDefault="00D00CB4" w:rsidP="00D00CB4">
      <w:pPr>
        <w:spacing w:after="0" w:line="276" w:lineRule="auto"/>
        <w:ind w:left="567" w:right="616"/>
        <w:jc w:val="both"/>
        <w:rPr>
          <w:rFonts w:ascii="Book Antiqua" w:eastAsia="Calibri" w:hAnsi="Book Antiqua" w:cs="Arial"/>
          <w:i/>
          <w:sz w:val="24"/>
          <w:szCs w:val="24"/>
        </w:rPr>
      </w:pPr>
      <w:r w:rsidRPr="00D00CB4">
        <w:rPr>
          <w:rFonts w:ascii="Book Antiqua" w:eastAsia="Calibri" w:hAnsi="Book Antiqua" w:cs="Arial"/>
          <w:i/>
          <w:sz w:val="24"/>
          <w:szCs w:val="24"/>
        </w:rPr>
        <w:t>Podrán ser reconocidos por sus padres todos los hijos habidos fuera de matrimonio y cuya paternidad no conste en el Registro Civil; igualmente, los hijos por nacer y los hijos muertos.</w:t>
      </w:r>
    </w:p>
    <w:p w14:paraId="631BDC5D" w14:textId="77777777" w:rsidR="00D00CB4" w:rsidRPr="00D00CB4" w:rsidRDefault="00D00CB4" w:rsidP="00D00CB4">
      <w:pPr>
        <w:spacing w:after="0" w:line="276" w:lineRule="auto"/>
        <w:ind w:left="567" w:right="616"/>
        <w:jc w:val="both"/>
        <w:rPr>
          <w:rFonts w:ascii="Book Antiqua" w:eastAsia="Calibri" w:hAnsi="Book Antiqua" w:cs="Arial"/>
          <w:i/>
          <w:sz w:val="24"/>
          <w:szCs w:val="24"/>
        </w:rPr>
      </w:pPr>
      <w:r w:rsidRPr="00D00CB4">
        <w:rPr>
          <w:rFonts w:ascii="Book Antiqua" w:eastAsia="Calibri" w:hAnsi="Book Antiqua" w:cs="Arial"/>
          <w:i/>
          <w:sz w:val="24"/>
          <w:szCs w:val="24"/>
        </w:rPr>
        <w:t>Si el hijo no tiene paternidad asignada, el reconocimiento se hará ante el Registro Civil o notario público, siempre que ambos padres comparezcan personalmente o haya mediado consentimiento expreso de la madre. El notario público deberá enviar el acta respectiva al Registro Civil, dentro de los ocho días hábiles siguientes.</w:t>
      </w:r>
    </w:p>
    <w:p w14:paraId="3EE1D94A" w14:textId="77777777" w:rsidR="00D00CB4" w:rsidRPr="00D00CB4" w:rsidRDefault="00D00CB4" w:rsidP="00D00CB4">
      <w:pPr>
        <w:spacing w:after="0" w:line="276" w:lineRule="auto"/>
        <w:ind w:left="567" w:right="616"/>
        <w:jc w:val="both"/>
        <w:rPr>
          <w:rFonts w:ascii="Book Antiqua" w:eastAsia="Calibri" w:hAnsi="Book Antiqua" w:cs="Arial"/>
          <w:sz w:val="24"/>
          <w:szCs w:val="24"/>
        </w:rPr>
      </w:pPr>
      <w:r w:rsidRPr="00D00CB4">
        <w:rPr>
          <w:rFonts w:ascii="Book Antiqua" w:eastAsia="Calibri" w:hAnsi="Book Antiqua" w:cs="Arial"/>
          <w:i/>
          <w:sz w:val="24"/>
          <w:szCs w:val="24"/>
        </w:rPr>
        <w:t>Si el hijo tuviera una paternidad asignada registralmente, por motivo de la presunción de paternidad de un padre que no corresponde a la verdad biológica, se podrá pedir su reconocimiento por quien corresponda ante el Registro Civil, según los trámites administrativos contemplados en las normas orgánicas de esta institución. Si sucediera una oposición fundada del padre o la madre registrales, el asunto deberá conocerse jurisdiccionalmente mediante el proceso resolutivo familiar de filiación.”</w:t>
      </w:r>
    </w:p>
    <w:p w14:paraId="7959CF3C" w14:textId="77777777" w:rsidR="00D00CB4" w:rsidRPr="00D00CB4" w:rsidRDefault="00D00CB4" w:rsidP="00D00CB4">
      <w:pPr>
        <w:spacing w:after="0" w:line="276" w:lineRule="auto"/>
        <w:ind w:left="567" w:right="616"/>
        <w:jc w:val="both"/>
        <w:rPr>
          <w:rFonts w:ascii="Book Antiqua" w:eastAsia="Calibri" w:hAnsi="Book Antiqua" w:cs="Arial"/>
          <w:sz w:val="24"/>
          <w:szCs w:val="24"/>
        </w:rPr>
      </w:pPr>
    </w:p>
    <w:p w14:paraId="05702B75"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w:t>
      </w:r>
      <w:r w:rsidRPr="008B7405">
        <w:rPr>
          <w:rFonts w:ascii="Book Antiqua" w:eastAsia="Calibri" w:hAnsi="Book Antiqua" w:cs="Arial"/>
          <w:b/>
          <w:bCs/>
          <w:i/>
          <w:iCs/>
          <w:sz w:val="24"/>
          <w:szCs w:val="24"/>
        </w:rPr>
        <w:t>Artículo 302-</w:t>
      </w:r>
      <w:r w:rsidRPr="00D00CB4">
        <w:rPr>
          <w:rFonts w:ascii="Book Antiqua" w:eastAsia="Calibri" w:hAnsi="Book Antiqua" w:cs="Arial"/>
          <w:i/>
          <w:iCs/>
          <w:sz w:val="24"/>
          <w:szCs w:val="24"/>
        </w:rPr>
        <w:t xml:space="preserve"> Adopción en sede notarial</w:t>
      </w:r>
    </w:p>
    <w:p w14:paraId="3B3FE851"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 xml:space="preserve">Cuando se trate de personas mayores de edad, la adopción se tramitará en sede notarial, mediante los procedimientos establecidos en el título VI de la Ley N.º </w:t>
      </w:r>
      <w:r w:rsidRPr="00D00CB4">
        <w:rPr>
          <w:rFonts w:ascii="Book Antiqua" w:eastAsia="Calibri" w:hAnsi="Book Antiqua" w:cs="Arial"/>
          <w:i/>
          <w:iCs/>
          <w:sz w:val="24"/>
          <w:szCs w:val="24"/>
        </w:rPr>
        <w:lastRenderedPageBreak/>
        <w:t>7764, Código Notarial, de 17 de abril de 1998. Se exceptúan de este trámite las personas con discapacidad cuya condición no les permita dar su consentimiento.</w:t>
      </w:r>
    </w:p>
    <w:p w14:paraId="1DC049D6" w14:textId="77777777" w:rsidR="00D00CB4" w:rsidRPr="00D00CB4" w:rsidRDefault="00D00CB4" w:rsidP="00D00CB4">
      <w:pPr>
        <w:spacing w:after="0" w:line="276" w:lineRule="auto"/>
        <w:ind w:left="567" w:right="616"/>
        <w:jc w:val="both"/>
        <w:rPr>
          <w:rFonts w:ascii="Book Antiqua" w:eastAsia="Calibri" w:hAnsi="Book Antiqua" w:cs="Arial"/>
          <w:i/>
          <w:iCs/>
          <w:sz w:val="24"/>
          <w:szCs w:val="24"/>
        </w:rPr>
      </w:pPr>
      <w:r w:rsidRPr="00D00CB4">
        <w:rPr>
          <w:rFonts w:ascii="Book Antiqua" w:eastAsia="Calibri" w:hAnsi="Book Antiqua" w:cs="Arial"/>
          <w:i/>
          <w:iCs/>
          <w:sz w:val="24"/>
          <w:szCs w:val="24"/>
        </w:rPr>
        <w:t>Una vez aprobada, la persona notaria estará en la obligación de presentar el testimonio de escritura ante el Registro Civil, dentro de los ocho días siguientes, y tramitar su inscripción.”.</w:t>
      </w:r>
    </w:p>
    <w:p w14:paraId="370F8F1A" w14:textId="77777777" w:rsidR="00D00CB4" w:rsidRDefault="00D00CB4" w:rsidP="00D00CB4">
      <w:pPr>
        <w:autoSpaceDE w:val="0"/>
        <w:autoSpaceDN w:val="0"/>
        <w:adjustRightInd w:val="0"/>
        <w:spacing w:after="0" w:line="276" w:lineRule="auto"/>
        <w:jc w:val="both"/>
        <w:rPr>
          <w:rFonts w:ascii="Book Antiqua" w:eastAsia="Calibri" w:hAnsi="Book Antiqua" w:cs="Arial"/>
          <w:sz w:val="24"/>
          <w:szCs w:val="24"/>
        </w:rPr>
      </w:pPr>
    </w:p>
    <w:p w14:paraId="4105DF9B" w14:textId="38FC0318" w:rsidR="00D00CB4" w:rsidRPr="00D00CB4" w:rsidRDefault="00D00CB4" w:rsidP="00D00CB4">
      <w:pPr>
        <w:autoSpaceDE w:val="0"/>
        <w:autoSpaceDN w:val="0"/>
        <w:adjustRightInd w:val="0"/>
        <w:spacing w:after="0" w:line="276" w:lineRule="auto"/>
        <w:jc w:val="both"/>
        <w:rPr>
          <w:rFonts w:ascii="Book Antiqua" w:eastAsia="Calibri" w:hAnsi="Book Antiqua" w:cs="Arial"/>
          <w:sz w:val="24"/>
          <w:szCs w:val="24"/>
        </w:rPr>
      </w:pPr>
      <w:r w:rsidRPr="00D00CB4">
        <w:rPr>
          <w:rFonts w:ascii="Book Antiqua" w:eastAsia="Calibri" w:hAnsi="Book Antiqua" w:cs="Arial"/>
          <w:sz w:val="24"/>
          <w:szCs w:val="24"/>
        </w:rPr>
        <w:t xml:space="preserve">Dado lo anterior, el impacto directo esperado sería sobre los despachos judiciales competentes en la materia de Familia, que experimentarían una disminución en los asuntos entrados. En el caso de los divorcios o separaciones judiciales por mutuo consentimiento, el efecto aplicaría solamente para una proporción de esos tipos de proceso, específicamente para aquellos casos donde no existan hijos o hijas menores de edad y no existiera referencia a bienes, </w:t>
      </w:r>
      <w:r w:rsidRPr="00D00CB4">
        <w:rPr>
          <w:rFonts w:ascii="Book Antiqua" w:eastAsia="Calibri" w:hAnsi="Book Antiqua" w:cs="Arial"/>
          <w:b/>
          <w:bCs/>
          <w:sz w:val="24"/>
          <w:szCs w:val="24"/>
        </w:rPr>
        <w:t>los cuales actualmente el Subproceso de Estadística de la Dirección de Planificación no dispone de datos específicos sobre su comportamiento, pero según estimaciones del Lic. Jiménez Mata corresponderían en alrededor de un 20% de la entrada total de esos asuntos</w:t>
      </w:r>
      <w:r w:rsidRPr="00D00CB4">
        <w:rPr>
          <w:rFonts w:ascii="Book Antiqua" w:eastAsia="Calibri" w:hAnsi="Book Antiqua" w:cs="Arial"/>
          <w:sz w:val="24"/>
          <w:szCs w:val="24"/>
        </w:rPr>
        <w:t>. De igual forma, las adopciones registradas en los datos estadísticos no especifican el tipo de persona involucrada (mayor o menor de edad), lo que limita la posibilidad de utilizar datos específicos de ese segmento de población.</w:t>
      </w:r>
    </w:p>
    <w:p w14:paraId="15DED27A" w14:textId="77777777" w:rsidR="00D00CB4" w:rsidRPr="00D00CB4" w:rsidRDefault="00D00CB4" w:rsidP="00D00CB4">
      <w:pPr>
        <w:autoSpaceDE w:val="0"/>
        <w:autoSpaceDN w:val="0"/>
        <w:adjustRightInd w:val="0"/>
        <w:spacing w:after="0" w:line="276" w:lineRule="auto"/>
        <w:jc w:val="both"/>
        <w:rPr>
          <w:rFonts w:ascii="Book Antiqua" w:eastAsia="Calibri" w:hAnsi="Book Antiqua" w:cs="Arial"/>
          <w:sz w:val="24"/>
          <w:szCs w:val="24"/>
        </w:rPr>
      </w:pPr>
    </w:p>
    <w:p w14:paraId="203D469F" w14:textId="77777777" w:rsidR="00D00CB4" w:rsidRPr="00D00CB4" w:rsidRDefault="00D00CB4" w:rsidP="00D00CB4">
      <w:pPr>
        <w:spacing w:after="0" w:line="276" w:lineRule="auto"/>
        <w:jc w:val="both"/>
        <w:rPr>
          <w:rFonts w:ascii="Book Antiqua" w:eastAsia="Calibri" w:hAnsi="Book Antiqua" w:cs="Arial"/>
          <w:sz w:val="24"/>
          <w:szCs w:val="24"/>
        </w:rPr>
      </w:pPr>
      <w:r w:rsidRPr="00D00CB4">
        <w:rPr>
          <w:rFonts w:ascii="Book Antiqua" w:eastAsia="Calibri" w:hAnsi="Book Antiqua" w:cs="Arial"/>
          <w:sz w:val="24"/>
          <w:szCs w:val="24"/>
        </w:rPr>
        <w:t>A su vez se podría percibir un impacto indirecto sobre la jurisdicción notarial, específicamente en un eventual aumento de la entrada de asuntos al Juzgado Notarial y al Tribunal Disciplinario Notarial, producto de las nuevas atribuciones conferidas a los notarios públicos.</w:t>
      </w:r>
    </w:p>
    <w:p w14:paraId="18B74736" w14:textId="6A651C47" w:rsidR="006E0F2D" w:rsidRDefault="006E0F2D" w:rsidP="009C01E1">
      <w:pPr>
        <w:spacing w:line="276" w:lineRule="auto"/>
        <w:jc w:val="both"/>
        <w:rPr>
          <w:rFonts w:ascii="Book Antiqua" w:hAnsi="Book Antiqua"/>
          <w:sz w:val="24"/>
          <w:szCs w:val="24"/>
        </w:rPr>
      </w:pPr>
    </w:p>
    <w:p w14:paraId="6A31E11F" w14:textId="1482849F" w:rsidR="00FA77C7" w:rsidRPr="001D0C10" w:rsidRDefault="00FA77C7" w:rsidP="00FA77C7">
      <w:pPr>
        <w:spacing w:before="120" w:after="120" w:line="276" w:lineRule="auto"/>
        <w:jc w:val="both"/>
        <w:rPr>
          <w:rFonts w:ascii="Book Antiqua" w:eastAsia="Times New Roman" w:hAnsi="Book Antiqua" w:cs="Arial"/>
          <w:sz w:val="24"/>
          <w:szCs w:val="24"/>
          <w:lang w:eastAsia="es-ES"/>
        </w:rPr>
      </w:pPr>
      <w:r w:rsidRPr="001D0C10">
        <w:rPr>
          <w:rFonts w:ascii="Book Antiqua" w:eastAsia="Times New Roman" w:hAnsi="Book Antiqua" w:cs="Arial"/>
          <w:sz w:val="24"/>
          <w:szCs w:val="24"/>
          <w:lang w:eastAsia="es-ES"/>
        </w:rPr>
        <w:t xml:space="preserve">Actualmente los Juzgados con competencia en materia de Familia, atienden como segunda instancia los recursos de apelación de la materia de Pensiones Alimentarias: apelaciones de la pensión provisionales, de Sentencia, entre otras.  Con la entrada en vigencia del Código Procesal de Familia, los Juzgados de Familia no conocerán las apelaciones de las actualmente denominadas </w:t>
      </w:r>
      <w:r w:rsidRPr="001D0C10">
        <w:rPr>
          <w:rFonts w:ascii="Book Antiqua" w:eastAsia="Times New Roman" w:hAnsi="Book Antiqua" w:cs="Arial"/>
          <w:b/>
          <w:bCs/>
          <w:i/>
          <w:iCs/>
          <w:sz w:val="24"/>
          <w:szCs w:val="24"/>
          <w:lang w:eastAsia="es-ES"/>
        </w:rPr>
        <w:t>“pensiones provisionales</w:t>
      </w:r>
      <w:r w:rsidRPr="001D0C10">
        <w:rPr>
          <w:rFonts w:ascii="Book Antiqua" w:eastAsia="Times New Roman" w:hAnsi="Book Antiqua" w:cs="Arial"/>
          <w:sz w:val="24"/>
          <w:szCs w:val="24"/>
          <w:lang w:eastAsia="es-ES"/>
        </w:rPr>
        <w:t xml:space="preserve">”. Mantienen competencia para conocer las apelaciones de Sentencia y otras que la </w:t>
      </w:r>
      <w:r w:rsidRPr="001D0C10">
        <w:rPr>
          <w:rFonts w:ascii="Book Antiqua" w:eastAsia="Times New Roman" w:hAnsi="Book Antiqua" w:cs="Arial"/>
          <w:sz w:val="24"/>
          <w:szCs w:val="24"/>
          <w:lang w:eastAsia="es-ES"/>
        </w:rPr>
        <w:lastRenderedPageBreak/>
        <w:t>nueva ley dispone y que a criterio experto sería más complejas que las apelaciones de provisionales actuales, entre otras</w:t>
      </w:r>
      <w:r>
        <w:rPr>
          <w:rStyle w:val="Refdenotaalpie"/>
          <w:rFonts w:ascii="Book Antiqua" w:eastAsia="Times New Roman" w:hAnsi="Book Antiqua" w:cs="Arial"/>
          <w:sz w:val="24"/>
          <w:szCs w:val="24"/>
          <w:lang w:eastAsia="es-ES"/>
        </w:rPr>
        <w:footnoteReference w:id="2"/>
      </w:r>
      <w:r w:rsidRPr="001D0C10">
        <w:rPr>
          <w:rFonts w:ascii="Book Antiqua" w:eastAsia="Times New Roman" w:hAnsi="Book Antiqua" w:cs="Arial"/>
          <w:sz w:val="24"/>
          <w:szCs w:val="24"/>
          <w:lang w:eastAsia="es-ES"/>
        </w:rPr>
        <w:t xml:space="preserve">. </w:t>
      </w:r>
      <w:r>
        <w:rPr>
          <w:rFonts w:ascii="Book Antiqua" w:eastAsia="Times New Roman" w:hAnsi="Book Antiqua" w:cs="Arial"/>
          <w:sz w:val="24"/>
          <w:szCs w:val="24"/>
          <w:lang w:eastAsia="es-ES"/>
        </w:rPr>
        <w:t xml:space="preserve"> </w:t>
      </w:r>
    </w:p>
    <w:p w14:paraId="332D494C" w14:textId="77777777" w:rsidR="00D00CB4" w:rsidRPr="00845957" w:rsidRDefault="00D00CB4" w:rsidP="0090609F">
      <w:pPr>
        <w:numPr>
          <w:ilvl w:val="0"/>
          <w:numId w:val="6"/>
        </w:numPr>
        <w:tabs>
          <w:tab w:val="left" w:pos="426"/>
        </w:tabs>
        <w:spacing w:after="0" w:line="276" w:lineRule="auto"/>
        <w:ind w:left="0" w:firstLine="0"/>
        <w:jc w:val="both"/>
        <w:rPr>
          <w:rFonts w:ascii="Book Antiqua" w:eastAsia="Calibri" w:hAnsi="Book Antiqua" w:cs="Arial"/>
          <w:bCs/>
          <w:sz w:val="24"/>
          <w:szCs w:val="24"/>
        </w:rPr>
      </w:pPr>
      <w:bookmarkStart w:id="6" w:name="_Hlk34901399"/>
      <w:r w:rsidRPr="00D00CB4">
        <w:rPr>
          <w:rFonts w:ascii="Book Antiqua" w:eastAsia="Calibri" w:hAnsi="Book Antiqua" w:cs="Arial"/>
          <w:b/>
          <w:sz w:val="24"/>
          <w:szCs w:val="24"/>
        </w:rPr>
        <w:t xml:space="preserve">Competencia de la Sala Segunda. </w:t>
      </w:r>
      <w:r w:rsidRPr="00D00CB4">
        <w:rPr>
          <w:rFonts w:ascii="Book Antiqua" w:eastAsia="Calibri" w:hAnsi="Book Antiqua" w:cs="Arial"/>
          <w:bCs/>
          <w:sz w:val="24"/>
          <w:szCs w:val="24"/>
        </w:rPr>
        <w:t xml:space="preserve">El CPF adiciona el artículo 55 bis a la Ley </w:t>
      </w:r>
      <w:r w:rsidRPr="00845957">
        <w:rPr>
          <w:rFonts w:ascii="Book Antiqua" w:eastAsia="Calibri" w:hAnsi="Book Antiqua" w:cs="Arial"/>
          <w:bCs/>
          <w:sz w:val="24"/>
          <w:szCs w:val="24"/>
        </w:rPr>
        <w:t>Orgánica del Poder Judicial, donde se le conferiría a la Sala Segunda nuevas competencias, según se observa:</w:t>
      </w:r>
    </w:p>
    <w:bookmarkEnd w:id="6"/>
    <w:p w14:paraId="6B61A97F" w14:textId="77777777" w:rsidR="00D00CB4" w:rsidRPr="00845957" w:rsidRDefault="00D00CB4" w:rsidP="00D00CB4">
      <w:pPr>
        <w:spacing w:after="0" w:line="276" w:lineRule="auto"/>
        <w:jc w:val="both"/>
        <w:rPr>
          <w:rFonts w:ascii="Book Antiqua" w:eastAsia="Calibri" w:hAnsi="Book Antiqua" w:cs="Arial"/>
          <w:sz w:val="24"/>
          <w:szCs w:val="24"/>
        </w:rPr>
      </w:pPr>
    </w:p>
    <w:p w14:paraId="1AA64171" w14:textId="77777777"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w:t>
      </w:r>
      <w:r w:rsidRPr="00845957">
        <w:rPr>
          <w:rFonts w:ascii="Book Antiqua" w:eastAsia="Calibri" w:hAnsi="Book Antiqua" w:cs="Arial"/>
          <w:b/>
          <w:bCs/>
          <w:i/>
          <w:iCs/>
          <w:sz w:val="24"/>
          <w:szCs w:val="24"/>
        </w:rPr>
        <w:t>Artículo 55 bis-</w:t>
      </w:r>
      <w:r w:rsidRPr="00845957">
        <w:rPr>
          <w:rFonts w:ascii="Book Antiqua" w:eastAsia="Calibri" w:hAnsi="Book Antiqua" w:cs="Arial"/>
          <w:i/>
          <w:iCs/>
          <w:sz w:val="24"/>
          <w:szCs w:val="24"/>
        </w:rPr>
        <w:t xml:space="preserve"> La Sala Segunda de la Corte Suprema de Justicia</w:t>
      </w:r>
    </w:p>
    <w:p w14:paraId="772953C1" w14:textId="77777777"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En lo familiar, la Sala Segunda de la Corte Suprema de Justicia conocerá de:</w:t>
      </w:r>
    </w:p>
    <w:p w14:paraId="077F0CCD" w14:textId="7B4CE45F"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1) Los recursos de casación y las demandas de revisión</w:t>
      </w:r>
      <w:r w:rsidR="00467F6A" w:rsidRPr="00845957">
        <w:footnoteReference w:id="3"/>
      </w:r>
      <w:r w:rsidRPr="00845957">
        <w:rPr>
          <w:rFonts w:ascii="Book Antiqua" w:eastAsia="Calibri" w:hAnsi="Book Antiqua" w:cs="Arial"/>
          <w:i/>
          <w:iCs/>
          <w:sz w:val="24"/>
          <w:szCs w:val="24"/>
        </w:rPr>
        <w:t xml:space="preserve"> en materia familiar.</w:t>
      </w:r>
    </w:p>
    <w:p w14:paraId="301AC75A" w14:textId="4828DC40"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2) Los recursos de apelación contra la decisión final en los procesos de restitución internacional de personas menores de edad</w:t>
      </w:r>
      <w:r w:rsidR="00502170" w:rsidRPr="00845957">
        <w:footnoteReference w:id="4"/>
      </w:r>
      <w:r w:rsidRPr="00845957">
        <w:rPr>
          <w:rFonts w:ascii="Book Antiqua" w:eastAsia="Calibri" w:hAnsi="Book Antiqua" w:cs="Arial"/>
          <w:i/>
          <w:iCs/>
          <w:sz w:val="24"/>
          <w:szCs w:val="24"/>
        </w:rPr>
        <w:t>.</w:t>
      </w:r>
    </w:p>
    <w:p w14:paraId="37182E9B" w14:textId="06691DDB" w:rsidR="00D00CB4" w:rsidRPr="00797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3) Los conflictos de competencia material entre un despacho de Familia y uno de otra materia, cuando el que ha prevenido el asunto es el de Familia; así como los conflictos de competencia territorial entre dos juzgados de Familia</w:t>
      </w:r>
      <w:r w:rsidR="00502170" w:rsidRPr="00845957">
        <w:footnoteReference w:id="5"/>
      </w:r>
      <w:r w:rsidRPr="00845957">
        <w:rPr>
          <w:rFonts w:ascii="Book Antiqua" w:eastAsia="Calibri" w:hAnsi="Book Antiqua" w:cs="Arial"/>
          <w:i/>
          <w:iCs/>
          <w:sz w:val="24"/>
          <w:szCs w:val="24"/>
        </w:rPr>
        <w:t>.</w:t>
      </w:r>
    </w:p>
    <w:p w14:paraId="35C0C7AD" w14:textId="77777777"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797957">
        <w:rPr>
          <w:rFonts w:ascii="Book Antiqua" w:eastAsia="Calibri" w:hAnsi="Book Antiqua" w:cs="Arial"/>
          <w:i/>
          <w:iCs/>
          <w:sz w:val="24"/>
          <w:szCs w:val="24"/>
        </w:rPr>
        <w:lastRenderedPageBreak/>
        <w:t xml:space="preserve">4) De las demandas de responsabilidad civil contra los jueces integrantes de los </w:t>
      </w:r>
      <w:r w:rsidRPr="00845957">
        <w:rPr>
          <w:rFonts w:ascii="Book Antiqua" w:eastAsia="Calibri" w:hAnsi="Book Antiqua" w:cs="Arial"/>
          <w:i/>
          <w:iCs/>
          <w:sz w:val="24"/>
          <w:szCs w:val="24"/>
        </w:rPr>
        <w:t>tribunales colegiados de Familia.</w:t>
      </w:r>
    </w:p>
    <w:p w14:paraId="3FB909BF" w14:textId="35D07B15" w:rsidR="00D00CB4" w:rsidRPr="00845957" w:rsidRDefault="00D00CB4" w:rsidP="00D00CB4">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5) Del recurso de apelación interpuesto contra la resolución que se pronunció acerca de la competencia internacional alegada</w:t>
      </w:r>
      <w:r w:rsidR="0060750C" w:rsidRPr="00845957">
        <w:footnoteReference w:id="6"/>
      </w:r>
      <w:r w:rsidRPr="00845957">
        <w:rPr>
          <w:rFonts w:ascii="Book Antiqua" w:eastAsia="Calibri" w:hAnsi="Book Antiqua" w:cs="Arial"/>
          <w:i/>
          <w:iCs/>
          <w:sz w:val="24"/>
          <w:szCs w:val="24"/>
        </w:rPr>
        <w:t>.</w:t>
      </w:r>
      <w:r w:rsidR="001E16E7" w:rsidRPr="00845957">
        <w:rPr>
          <w:rFonts w:ascii="Book Antiqua" w:eastAsia="Calibri" w:hAnsi="Book Antiqua" w:cs="Arial"/>
          <w:i/>
          <w:iCs/>
          <w:sz w:val="24"/>
          <w:szCs w:val="24"/>
        </w:rPr>
        <w:t xml:space="preserve"> </w:t>
      </w:r>
    </w:p>
    <w:p w14:paraId="38B7AC52" w14:textId="345D13D8" w:rsidR="00D00CB4" w:rsidRDefault="00D00CB4" w:rsidP="00D00CB4">
      <w:pPr>
        <w:spacing w:after="0" w:line="276" w:lineRule="auto"/>
        <w:ind w:left="567" w:right="616"/>
        <w:jc w:val="both"/>
        <w:rPr>
          <w:rFonts w:ascii="Book Antiqua" w:eastAsia="Calibri" w:hAnsi="Book Antiqua" w:cs="Arial"/>
        </w:rPr>
      </w:pPr>
      <w:r w:rsidRPr="00845957">
        <w:rPr>
          <w:rFonts w:ascii="Book Antiqua" w:eastAsia="Calibri" w:hAnsi="Book Antiqua" w:cs="Arial"/>
          <w:i/>
          <w:iCs/>
          <w:sz w:val="24"/>
          <w:szCs w:val="24"/>
        </w:rPr>
        <w:t>6) Del auxilio judicial internacional y del reconocimiento y eficacia de sentencias y laudos extranjeros en materia de familia, con</w:t>
      </w:r>
      <w:r w:rsidRPr="00D00CB4">
        <w:rPr>
          <w:rFonts w:ascii="Book Antiqua" w:eastAsia="Calibri" w:hAnsi="Book Antiqua" w:cs="Arial"/>
          <w:i/>
          <w:iCs/>
          <w:sz w:val="24"/>
          <w:szCs w:val="24"/>
        </w:rPr>
        <w:t xml:space="preserve"> la salvedad de lo que corresponda conocer a las otras salas de la Corte”.</w:t>
      </w:r>
      <w:r w:rsidR="004435B4">
        <w:rPr>
          <w:rFonts w:ascii="Book Antiqua" w:eastAsia="Calibri" w:hAnsi="Book Antiqua" w:cs="Arial"/>
          <w:i/>
          <w:iCs/>
          <w:sz w:val="24"/>
          <w:szCs w:val="24"/>
        </w:rPr>
        <w:t xml:space="preserve"> </w:t>
      </w:r>
      <w:r w:rsidR="004435B4" w:rsidRPr="001D0C10">
        <w:rPr>
          <w:rFonts w:ascii="Book Antiqua" w:eastAsia="Calibri" w:hAnsi="Book Antiqua" w:cs="Arial"/>
        </w:rPr>
        <w:t>(Lo marcado en verde no es del original).</w:t>
      </w:r>
    </w:p>
    <w:p w14:paraId="71CF1F88" w14:textId="77777777" w:rsidR="00DB6062" w:rsidRPr="00D00CB4" w:rsidRDefault="00DB6062" w:rsidP="00D00CB4">
      <w:pPr>
        <w:spacing w:after="0" w:line="276" w:lineRule="auto"/>
        <w:ind w:left="567" w:right="616"/>
        <w:jc w:val="both"/>
        <w:rPr>
          <w:rFonts w:ascii="Book Antiqua" w:eastAsia="Calibri" w:hAnsi="Book Antiqua" w:cs="Arial"/>
          <w:i/>
          <w:iCs/>
          <w:sz w:val="24"/>
          <w:szCs w:val="24"/>
        </w:rPr>
      </w:pPr>
    </w:p>
    <w:p w14:paraId="4E54CBD7" w14:textId="163847B8" w:rsidR="00E651AE" w:rsidRDefault="00E651AE" w:rsidP="00D00CB4">
      <w:pPr>
        <w:spacing w:after="0" w:line="276" w:lineRule="auto"/>
        <w:jc w:val="both"/>
        <w:rPr>
          <w:rFonts w:ascii="Book Antiqua" w:eastAsia="Calibri" w:hAnsi="Book Antiqua" w:cs="Arial"/>
          <w:b/>
          <w:bCs/>
          <w:sz w:val="24"/>
          <w:szCs w:val="24"/>
        </w:rPr>
      </w:pPr>
      <w:r w:rsidRPr="00EE77E3">
        <w:rPr>
          <w:rFonts w:ascii="Book Antiqua" w:eastAsia="Calibri" w:hAnsi="Book Antiqua" w:cs="Arial"/>
          <w:b/>
          <w:bCs/>
          <w:sz w:val="24"/>
          <w:szCs w:val="24"/>
        </w:rPr>
        <w:t>Como se observa del citado artículo del Tribunal de Familia hacia la Sala Segunda se trasladan las siguientes competencias</w:t>
      </w:r>
      <w:r w:rsidR="00035934">
        <w:rPr>
          <w:rFonts w:ascii="Book Antiqua" w:eastAsia="Calibri" w:hAnsi="Book Antiqua" w:cs="Arial"/>
          <w:b/>
          <w:bCs/>
          <w:sz w:val="24"/>
          <w:szCs w:val="24"/>
        </w:rPr>
        <w:t>:</w:t>
      </w:r>
    </w:p>
    <w:p w14:paraId="08242840" w14:textId="77777777" w:rsidR="00494ADF" w:rsidRPr="00EE77E3" w:rsidRDefault="00494ADF" w:rsidP="00D00CB4">
      <w:pPr>
        <w:spacing w:after="0" w:line="276" w:lineRule="auto"/>
        <w:jc w:val="both"/>
        <w:rPr>
          <w:rFonts w:ascii="Book Antiqua" w:eastAsia="Calibri" w:hAnsi="Book Antiqua" w:cs="Arial"/>
          <w:b/>
          <w:bCs/>
          <w:sz w:val="24"/>
          <w:szCs w:val="24"/>
        </w:rPr>
      </w:pPr>
    </w:p>
    <w:p w14:paraId="69A71DE8" w14:textId="77777777" w:rsidR="00E651AE" w:rsidRPr="00EE77E3" w:rsidRDefault="00E651AE" w:rsidP="0090609F">
      <w:pPr>
        <w:pStyle w:val="Prrafodelista"/>
        <w:numPr>
          <w:ilvl w:val="0"/>
          <w:numId w:val="41"/>
        </w:numPr>
        <w:spacing w:after="0" w:line="276" w:lineRule="auto"/>
        <w:jc w:val="both"/>
        <w:rPr>
          <w:rFonts w:ascii="Book Antiqua" w:eastAsia="Calibri" w:hAnsi="Book Antiqua" w:cs="Arial"/>
          <w:b/>
          <w:bCs/>
          <w:sz w:val="24"/>
          <w:szCs w:val="24"/>
        </w:rPr>
      </w:pPr>
      <w:r w:rsidRPr="00EE77E3">
        <w:rPr>
          <w:rFonts w:ascii="Book Antiqua" w:eastAsia="Calibri" w:hAnsi="Book Antiqua" w:cs="Arial"/>
          <w:b/>
          <w:bCs/>
          <w:sz w:val="24"/>
          <w:szCs w:val="24"/>
        </w:rPr>
        <w:t xml:space="preserve">Conocimiento de los </w:t>
      </w:r>
      <w:r w:rsidR="00D00CB4" w:rsidRPr="00EE77E3">
        <w:rPr>
          <w:rFonts w:ascii="Book Antiqua" w:eastAsia="Calibri" w:hAnsi="Book Antiqua" w:cs="Arial"/>
          <w:b/>
          <w:bCs/>
          <w:sz w:val="24"/>
          <w:szCs w:val="24"/>
        </w:rPr>
        <w:t>recursos de procesos de restitución internacional de personas menores de edad</w:t>
      </w:r>
      <w:r w:rsidRPr="00EE77E3">
        <w:rPr>
          <w:rFonts w:ascii="Book Antiqua" w:eastAsia="Calibri" w:hAnsi="Book Antiqua" w:cs="Arial"/>
          <w:b/>
          <w:bCs/>
          <w:sz w:val="24"/>
          <w:szCs w:val="24"/>
        </w:rPr>
        <w:t>.</w:t>
      </w:r>
    </w:p>
    <w:p w14:paraId="4566BF09" w14:textId="25965B97" w:rsidR="008B7405" w:rsidRPr="00EE77E3" w:rsidRDefault="00E651AE" w:rsidP="0090609F">
      <w:pPr>
        <w:pStyle w:val="Prrafodelista"/>
        <w:numPr>
          <w:ilvl w:val="0"/>
          <w:numId w:val="41"/>
        </w:numPr>
        <w:spacing w:after="0" w:line="276" w:lineRule="auto"/>
        <w:jc w:val="both"/>
        <w:rPr>
          <w:rFonts w:ascii="Book Antiqua" w:eastAsia="Calibri" w:hAnsi="Book Antiqua" w:cs="Arial"/>
          <w:b/>
          <w:bCs/>
          <w:sz w:val="24"/>
          <w:szCs w:val="24"/>
        </w:rPr>
      </w:pPr>
      <w:r w:rsidRPr="00EE77E3">
        <w:rPr>
          <w:rFonts w:ascii="Book Antiqua" w:eastAsia="Calibri" w:hAnsi="Book Antiqua" w:cs="Arial"/>
          <w:b/>
          <w:bCs/>
          <w:sz w:val="24"/>
          <w:szCs w:val="24"/>
        </w:rPr>
        <w:t>Conocimiento de</w:t>
      </w:r>
      <w:r w:rsidR="002F4EFD" w:rsidRPr="00EE77E3">
        <w:rPr>
          <w:rFonts w:ascii="Book Antiqua" w:eastAsia="Calibri" w:hAnsi="Book Antiqua" w:cs="Arial"/>
          <w:b/>
          <w:bCs/>
          <w:sz w:val="24"/>
          <w:szCs w:val="24"/>
        </w:rPr>
        <w:t xml:space="preserve"> los conflictos de competencia territorial</w:t>
      </w:r>
      <w:r w:rsidRPr="00EE77E3">
        <w:rPr>
          <w:rFonts w:ascii="Book Antiqua" w:eastAsia="Calibri" w:hAnsi="Book Antiqua" w:cs="Arial"/>
          <w:b/>
          <w:bCs/>
          <w:sz w:val="24"/>
          <w:szCs w:val="24"/>
        </w:rPr>
        <w:t xml:space="preserve"> entre Juzgados de Familia. </w:t>
      </w:r>
    </w:p>
    <w:p w14:paraId="26E64DF0" w14:textId="77777777" w:rsidR="00035934" w:rsidRDefault="00035934" w:rsidP="00D00CB4">
      <w:pPr>
        <w:spacing w:after="0" w:line="276" w:lineRule="auto"/>
        <w:jc w:val="both"/>
        <w:rPr>
          <w:rFonts w:ascii="Book Antiqua" w:eastAsia="Calibri" w:hAnsi="Book Antiqua" w:cs="Arial"/>
          <w:sz w:val="24"/>
          <w:szCs w:val="24"/>
        </w:rPr>
      </w:pPr>
    </w:p>
    <w:p w14:paraId="62415B73" w14:textId="6C48AA68" w:rsidR="008B7405" w:rsidRDefault="00035934" w:rsidP="00D00CB4">
      <w:pPr>
        <w:spacing w:after="0" w:line="276" w:lineRule="auto"/>
        <w:jc w:val="both"/>
        <w:rPr>
          <w:rFonts w:ascii="Book Antiqua" w:eastAsia="Calibri" w:hAnsi="Book Antiqua" w:cs="Arial"/>
          <w:sz w:val="24"/>
          <w:szCs w:val="24"/>
        </w:rPr>
      </w:pPr>
      <w:r w:rsidRPr="000012B5">
        <w:rPr>
          <w:rFonts w:ascii="Book Antiqua" w:eastAsia="Calibri" w:hAnsi="Book Antiqua" w:cs="Arial"/>
          <w:sz w:val="24"/>
          <w:szCs w:val="24"/>
        </w:rPr>
        <w:t>El impacto de esta decisión Legislativa en el servicio a la persona usuaria se detallará más adelante en este informe.</w:t>
      </w:r>
    </w:p>
    <w:p w14:paraId="3ABE36CA" w14:textId="77777777" w:rsidR="00035934" w:rsidRDefault="00035934" w:rsidP="00D00CB4">
      <w:pPr>
        <w:spacing w:after="0" w:line="276" w:lineRule="auto"/>
        <w:jc w:val="both"/>
        <w:rPr>
          <w:rFonts w:ascii="Book Antiqua" w:eastAsia="Calibri" w:hAnsi="Book Antiqua" w:cs="Arial"/>
          <w:sz w:val="24"/>
          <w:szCs w:val="24"/>
        </w:rPr>
      </w:pPr>
    </w:p>
    <w:p w14:paraId="19AA05FF" w14:textId="2E48C983" w:rsidR="00D00CB4" w:rsidRDefault="008B7405" w:rsidP="00D00CB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w:t>
      </w:r>
      <w:r w:rsidR="00D00CB4" w:rsidRPr="00D00CB4">
        <w:rPr>
          <w:rFonts w:ascii="Book Antiqua" w:eastAsia="Calibri" w:hAnsi="Book Antiqua" w:cs="Arial"/>
          <w:sz w:val="24"/>
          <w:szCs w:val="24"/>
        </w:rPr>
        <w:t xml:space="preserve">or </w:t>
      </w:r>
      <w:r w:rsidR="00802294">
        <w:rPr>
          <w:rFonts w:ascii="Book Antiqua" w:eastAsia="Calibri" w:hAnsi="Book Antiqua" w:cs="Arial"/>
          <w:sz w:val="24"/>
          <w:szCs w:val="24"/>
        </w:rPr>
        <w:t>otra</w:t>
      </w:r>
      <w:r w:rsidR="00D00CB4" w:rsidRPr="00D00CB4">
        <w:rPr>
          <w:rFonts w:ascii="Book Antiqua" w:eastAsia="Calibri" w:hAnsi="Book Antiqua" w:cs="Arial"/>
          <w:sz w:val="24"/>
          <w:szCs w:val="24"/>
        </w:rPr>
        <w:t xml:space="preserve"> parte</w:t>
      </w:r>
      <w:r w:rsidR="00802294">
        <w:rPr>
          <w:rFonts w:ascii="Book Antiqua" w:eastAsia="Calibri" w:hAnsi="Book Antiqua" w:cs="Arial"/>
          <w:sz w:val="24"/>
          <w:szCs w:val="24"/>
        </w:rPr>
        <w:t xml:space="preserve">, la competencia de la Sala Segunda desde 2018 creció, </w:t>
      </w:r>
      <w:r w:rsidR="00EE77E3">
        <w:rPr>
          <w:rFonts w:ascii="Book Antiqua" w:eastAsia="Calibri" w:hAnsi="Book Antiqua" w:cs="Arial"/>
          <w:sz w:val="24"/>
          <w:szCs w:val="24"/>
        </w:rPr>
        <w:t>al conocer los asuntos de</w:t>
      </w:r>
      <w:r w:rsidR="00D00CB4" w:rsidRPr="00D00CB4">
        <w:rPr>
          <w:rFonts w:ascii="Book Antiqua" w:eastAsia="Calibri" w:hAnsi="Book Antiqua" w:cs="Arial"/>
          <w:sz w:val="24"/>
          <w:szCs w:val="24"/>
        </w:rPr>
        <w:t xml:space="preserve"> </w:t>
      </w:r>
      <w:r>
        <w:rPr>
          <w:rFonts w:ascii="Book Antiqua" w:eastAsia="Calibri" w:hAnsi="Book Antiqua" w:cs="Arial"/>
          <w:sz w:val="24"/>
          <w:szCs w:val="24"/>
        </w:rPr>
        <w:t>A</w:t>
      </w:r>
      <w:r w:rsidR="00D00CB4" w:rsidRPr="00D00CB4">
        <w:rPr>
          <w:rFonts w:ascii="Book Antiqua" w:eastAsia="Calibri" w:hAnsi="Book Antiqua" w:cs="Arial"/>
          <w:sz w:val="24"/>
          <w:szCs w:val="24"/>
        </w:rPr>
        <w:t xml:space="preserve">uxilio </w:t>
      </w:r>
      <w:r>
        <w:rPr>
          <w:rFonts w:ascii="Book Antiqua" w:eastAsia="Calibri" w:hAnsi="Book Antiqua" w:cs="Arial"/>
          <w:sz w:val="24"/>
          <w:szCs w:val="24"/>
        </w:rPr>
        <w:t>J</w:t>
      </w:r>
      <w:r w:rsidR="00D00CB4" w:rsidRPr="00D00CB4">
        <w:rPr>
          <w:rFonts w:ascii="Book Antiqua" w:eastAsia="Calibri" w:hAnsi="Book Antiqua" w:cs="Arial"/>
          <w:sz w:val="24"/>
          <w:szCs w:val="24"/>
        </w:rPr>
        <w:t>udicial internacional y el reconocimiento y eficacia de sentencias y laudos extranjeros</w:t>
      </w:r>
      <w:r w:rsidR="00EE77E3">
        <w:rPr>
          <w:rFonts w:ascii="Book Antiqua" w:eastAsia="Calibri" w:hAnsi="Book Antiqua" w:cs="Arial"/>
          <w:sz w:val="24"/>
          <w:szCs w:val="24"/>
        </w:rPr>
        <w:t xml:space="preserve">, en materia de Familia. También de las restantes materias de su competencia, que </w:t>
      </w:r>
      <w:r w:rsidR="00D00CB4" w:rsidRPr="00D00CB4">
        <w:rPr>
          <w:rFonts w:ascii="Book Antiqua" w:eastAsia="Calibri" w:hAnsi="Book Antiqua" w:cs="Arial"/>
          <w:sz w:val="24"/>
          <w:szCs w:val="24"/>
        </w:rPr>
        <w:t xml:space="preserve">son tramitados de forma centralizada por la Sala Segunda desde 8 de octubre de 2018 con la entrada en vigencia de la Ley 9342 </w:t>
      </w:r>
      <w:r w:rsidR="00D00CB4" w:rsidRPr="00D00CB4">
        <w:rPr>
          <w:rFonts w:ascii="Book Antiqua" w:eastAsia="Calibri" w:hAnsi="Book Antiqua" w:cs="Arial"/>
          <w:i/>
          <w:iCs/>
          <w:sz w:val="24"/>
          <w:szCs w:val="24"/>
        </w:rPr>
        <w:t>“Código Procesal Civil”</w:t>
      </w:r>
      <w:r w:rsidR="00D00CB4" w:rsidRPr="00D00CB4">
        <w:rPr>
          <w:rFonts w:ascii="Book Antiqua" w:eastAsia="Calibri" w:hAnsi="Book Antiqua" w:cs="Arial"/>
          <w:sz w:val="24"/>
          <w:szCs w:val="24"/>
        </w:rPr>
        <w:t xml:space="preserve"> y la reforma al artículo 55 de la Ley Orgánica del Poder Judicial.</w:t>
      </w:r>
    </w:p>
    <w:p w14:paraId="3967702C" w14:textId="77777777" w:rsidR="00035934" w:rsidRDefault="00035934" w:rsidP="00D00CB4">
      <w:pPr>
        <w:spacing w:after="0" w:line="276" w:lineRule="auto"/>
        <w:jc w:val="both"/>
        <w:rPr>
          <w:rFonts w:ascii="Book Antiqua" w:eastAsia="Calibri" w:hAnsi="Book Antiqua" w:cs="Arial"/>
          <w:sz w:val="24"/>
          <w:szCs w:val="24"/>
        </w:rPr>
      </w:pPr>
    </w:p>
    <w:p w14:paraId="2E6FD01E" w14:textId="20A7CAA1" w:rsidR="004435B4" w:rsidRPr="001D0C10" w:rsidRDefault="004435B4" w:rsidP="00D00CB4">
      <w:pPr>
        <w:spacing w:after="0" w:line="276" w:lineRule="auto"/>
        <w:jc w:val="both"/>
        <w:rPr>
          <w:rFonts w:ascii="Book Antiqua" w:eastAsia="Calibri" w:hAnsi="Book Antiqua" w:cs="Arial"/>
          <w:sz w:val="24"/>
          <w:szCs w:val="24"/>
          <w:u w:val="single"/>
        </w:rPr>
      </w:pPr>
      <w:r w:rsidRPr="001D0C10">
        <w:rPr>
          <w:rFonts w:ascii="Book Antiqua" w:eastAsia="Calibri" w:hAnsi="Book Antiqua" w:cs="Arial"/>
          <w:sz w:val="24"/>
          <w:szCs w:val="24"/>
          <w:u w:val="single"/>
        </w:rPr>
        <w:t>A partir de</w:t>
      </w:r>
      <w:r w:rsidR="00F06CFB">
        <w:rPr>
          <w:rFonts w:ascii="Book Antiqua" w:eastAsia="Calibri" w:hAnsi="Book Antiqua" w:cs="Arial"/>
          <w:sz w:val="24"/>
          <w:szCs w:val="24"/>
          <w:u w:val="single"/>
        </w:rPr>
        <w:t>l 8 de</w:t>
      </w:r>
      <w:r w:rsidRPr="001D0C10">
        <w:rPr>
          <w:rFonts w:ascii="Book Antiqua" w:eastAsia="Calibri" w:hAnsi="Book Antiqua" w:cs="Arial"/>
          <w:sz w:val="24"/>
          <w:szCs w:val="24"/>
          <w:u w:val="single"/>
        </w:rPr>
        <w:t xml:space="preserve"> octubre</w:t>
      </w:r>
      <w:r w:rsidR="00F06CFB">
        <w:rPr>
          <w:rFonts w:ascii="Book Antiqua" w:eastAsia="Calibri" w:hAnsi="Book Antiqua" w:cs="Arial"/>
          <w:sz w:val="24"/>
          <w:szCs w:val="24"/>
          <w:u w:val="single"/>
        </w:rPr>
        <w:t xml:space="preserve"> de</w:t>
      </w:r>
      <w:r w:rsidRPr="001D0C10">
        <w:rPr>
          <w:rFonts w:ascii="Book Antiqua" w:eastAsia="Calibri" w:hAnsi="Book Antiqua" w:cs="Arial"/>
          <w:sz w:val="24"/>
          <w:szCs w:val="24"/>
          <w:u w:val="single"/>
        </w:rPr>
        <w:t xml:space="preserve"> 20</w:t>
      </w:r>
      <w:r w:rsidR="008B7405">
        <w:rPr>
          <w:rFonts w:ascii="Book Antiqua" w:eastAsia="Calibri" w:hAnsi="Book Antiqua" w:cs="Arial"/>
          <w:sz w:val="24"/>
          <w:szCs w:val="24"/>
          <w:u w:val="single"/>
        </w:rPr>
        <w:t>18</w:t>
      </w:r>
      <w:r w:rsidR="00F06CFB">
        <w:rPr>
          <w:rFonts w:ascii="Book Antiqua" w:eastAsia="Calibri" w:hAnsi="Book Antiqua" w:cs="Arial"/>
          <w:sz w:val="24"/>
          <w:szCs w:val="24"/>
          <w:u w:val="single"/>
        </w:rPr>
        <w:t>,</w:t>
      </w:r>
      <w:r w:rsidR="008B7405">
        <w:rPr>
          <w:rFonts w:ascii="Book Antiqua" w:eastAsia="Calibri" w:hAnsi="Book Antiqua" w:cs="Arial"/>
          <w:sz w:val="24"/>
          <w:szCs w:val="24"/>
          <w:u w:val="single"/>
        </w:rPr>
        <w:t xml:space="preserve"> la Sala Segunda inició </w:t>
      </w:r>
      <w:r w:rsidRPr="001D0C10">
        <w:rPr>
          <w:rFonts w:ascii="Book Antiqua" w:eastAsia="Calibri" w:hAnsi="Book Antiqua" w:cs="Arial"/>
          <w:sz w:val="24"/>
          <w:szCs w:val="24"/>
          <w:u w:val="single"/>
        </w:rPr>
        <w:t>con la recepción de asuntos nuevos</w:t>
      </w:r>
      <w:r w:rsidR="008B7405">
        <w:rPr>
          <w:rFonts w:ascii="Book Antiqua" w:eastAsia="Calibri" w:hAnsi="Book Antiqua" w:cs="Arial"/>
          <w:sz w:val="24"/>
          <w:szCs w:val="24"/>
          <w:u w:val="single"/>
        </w:rPr>
        <w:t xml:space="preserve"> de Auxilio Internacional en las materias de su competencia,</w:t>
      </w:r>
      <w:r w:rsidRPr="001D0C10">
        <w:rPr>
          <w:rFonts w:ascii="Book Antiqua" w:eastAsia="Calibri" w:hAnsi="Book Antiqua" w:cs="Arial"/>
          <w:sz w:val="24"/>
          <w:szCs w:val="24"/>
          <w:u w:val="single"/>
        </w:rPr>
        <w:t xml:space="preserve"> </w:t>
      </w:r>
      <w:r w:rsidR="008B7405">
        <w:rPr>
          <w:rFonts w:ascii="Book Antiqua" w:eastAsia="Calibri" w:hAnsi="Book Antiqua" w:cs="Arial"/>
          <w:sz w:val="24"/>
          <w:szCs w:val="24"/>
          <w:u w:val="single"/>
        </w:rPr>
        <w:t xml:space="preserve">y </w:t>
      </w:r>
      <w:r w:rsidRPr="001D0C10">
        <w:rPr>
          <w:rFonts w:ascii="Book Antiqua" w:eastAsia="Calibri" w:hAnsi="Book Antiqua" w:cs="Arial"/>
          <w:sz w:val="24"/>
          <w:szCs w:val="24"/>
          <w:u w:val="single"/>
        </w:rPr>
        <w:t>la Sala Primera mantuvo el circulante</w:t>
      </w:r>
      <w:r w:rsidR="008B7405">
        <w:rPr>
          <w:rFonts w:ascii="Book Antiqua" w:eastAsia="Calibri" w:hAnsi="Book Antiqua" w:cs="Arial"/>
          <w:sz w:val="24"/>
          <w:szCs w:val="24"/>
          <w:u w:val="single"/>
        </w:rPr>
        <w:t xml:space="preserve"> existente</w:t>
      </w:r>
      <w:r w:rsidRPr="001D0C10">
        <w:rPr>
          <w:rFonts w:ascii="Book Antiqua" w:eastAsia="Calibri" w:hAnsi="Book Antiqua" w:cs="Arial"/>
          <w:sz w:val="24"/>
          <w:szCs w:val="24"/>
          <w:u w:val="single"/>
        </w:rPr>
        <w:t>, sin embargo, a partir del voto 90089-21 de la Sala Constitucional del 5 de mayo 2021, se trasladaron a la Sala Segunda</w:t>
      </w:r>
      <w:r w:rsidR="008B7405">
        <w:rPr>
          <w:rFonts w:ascii="Book Antiqua" w:eastAsia="Calibri" w:hAnsi="Book Antiqua" w:cs="Arial"/>
          <w:sz w:val="24"/>
          <w:szCs w:val="24"/>
          <w:u w:val="single"/>
        </w:rPr>
        <w:t xml:space="preserve">, un total de </w:t>
      </w:r>
      <w:r w:rsidRPr="001D0C10">
        <w:rPr>
          <w:rFonts w:ascii="Book Antiqua" w:eastAsia="Calibri" w:hAnsi="Book Antiqua" w:cs="Arial"/>
          <w:sz w:val="24"/>
          <w:szCs w:val="24"/>
          <w:u w:val="single"/>
        </w:rPr>
        <w:t xml:space="preserve">136 casos de </w:t>
      </w:r>
      <w:r w:rsidR="008B7405">
        <w:rPr>
          <w:rFonts w:ascii="Book Antiqua" w:eastAsia="Calibri" w:hAnsi="Book Antiqua" w:cs="Arial"/>
          <w:sz w:val="24"/>
          <w:szCs w:val="24"/>
          <w:u w:val="single"/>
        </w:rPr>
        <w:t>A</w:t>
      </w:r>
      <w:r w:rsidRPr="001D0C10">
        <w:rPr>
          <w:rFonts w:ascii="Book Antiqua" w:eastAsia="Calibri" w:hAnsi="Book Antiqua" w:cs="Arial"/>
          <w:sz w:val="24"/>
          <w:szCs w:val="24"/>
          <w:u w:val="single"/>
        </w:rPr>
        <w:t xml:space="preserve">uxilio internacional existentes en el circulante de la Sala Primera. </w:t>
      </w:r>
    </w:p>
    <w:p w14:paraId="7C3269BD" w14:textId="6E28E0E2" w:rsidR="00952AB0" w:rsidRPr="00D00CB4" w:rsidRDefault="004435B4" w:rsidP="00D00CB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 xml:space="preserve"> </w:t>
      </w:r>
    </w:p>
    <w:p w14:paraId="1679D27D" w14:textId="6621D175" w:rsidR="00684AE9" w:rsidRPr="00684AE9" w:rsidRDefault="00684AE9" w:rsidP="0090609F">
      <w:pPr>
        <w:numPr>
          <w:ilvl w:val="0"/>
          <w:numId w:val="6"/>
        </w:numPr>
        <w:tabs>
          <w:tab w:val="left" w:pos="426"/>
        </w:tabs>
        <w:spacing w:after="0" w:line="276" w:lineRule="auto"/>
        <w:ind w:left="0" w:firstLine="0"/>
        <w:jc w:val="both"/>
        <w:rPr>
          <w:rFonts w:ascii="Book Antiqua" w:eastAsia="Calibri" w:hAnsi="Book Antiqua" w:cs="Arial"/>
          <w:b/>
          <w:sz w:val="24"/>
          <w:szCs w:val="24"/>
        </w:rPr>
      </w:pPr>
      <w:r w:rsidRPr="00684AE9">
        <w:rPr>
          <w:rFonts w:ascii="Book Antiqua" w:eastAsia="Calibri" w:hAnsi="Book Antiqua" w:cs="Arial"/>
          <w:b/>
          <w:sz w:val="24"/>
          <w:szCs w:val="24"/>
        </w:rPr>
        <w:t>Competencia del Tribunal de Familia</w:t>
      </w:r>
    </w:p>
    <w:p w14:paraId="7FBC6470" w14:textId="77777777" w:rsidR="00684AE9" w:rsidRDefault="00684AE9" w:rsidP="00684AE9">
      <w:pPr>
        <w:spacing w:after="0" w:line="276" w:lineRule="auto"/>
        <w:jc w:val="both"/>
        <w:rPr>
          <w:rFonts w:ascii="Book Antiqua" w:eastAsia="Calibri" w:hAnsi="Book Antiqua" w:cs="Arial"/>
          <w:sz w:val="24"/>
          <w:szCs w:val="24"/>
        </w:rPr>
      </w:pPr>
    </w:p>
    <w:p w14:paraId="7FF44C29" w14:textId="341AB5C7" w:rsidR="00684AE9" w:rsidRPr="00F74947" w:rsidRDefault="00684AE9" w:rsidP="00684AE9">
      <w:pPr>
        <w:spacing w:after="0" w:line="276" w:lineRule="auto"/>
        <w:jc w:val="both"/>
        <w:rPr>
          <w:rFonts w:ascii="Book Antiqua" w:eastAsia="Calibri" w:hAnsi="Book Antiqua" w:cs="Arial"/>
          <w:sz w:val="24"/>
          <w:szCs w:val="24"/>
        </w:rPr>
      </w:pPr>
      <w:r w:rsidRPr="00F74947">
        <w:rPr>
          <w:rFonts w:ascii="Book Antiqua" w:eastAsia="Calibri" w:hAnsi="Book Antiqua" w:cs="Arial"/>
          <w:sz w:val="24"/>
          <w:szCs w:val="24"/>
        </w:rPr>
        <w:t>El CPF incorpora a la Ley Orgánica del Poder Judicial, Ley 7333, específicamente el artículo 99, las competencias del Tribunal de Familia:</w:t>
      </w:r>
    </w:p>
    <w:p w14:paraId="5A1AC18C" w14:textId="77777777" w:rsidR="00684AE9" w:rsidRDefault="00684AE9" w:rsidP="00684AE9">
      <w:pPr>
        <w:spacing w:after="0" w:line="276" w:lineRule="auto"/>
        <w:jc w:val="both"/>
        <w:rPr>
          <w:rFonts w:ascii="Book Antiqua" w:eastAsia="Calibri" w:hAnsi="Book Antiqua" w:cs="Arial"/>
          <w:sz w:val="24"/>
          <w:szCs w:val="24"/>
        </w:rPr>
      </w:pPr>
    </w:p>
    <w:p w14:paraId="4F7FED0D" w14:textId="77777777" w:rsidR="00684AE9" w:rsidRPr="001D0C10" w:rsidRDefault="00684AE9" w:rsidP="00684AE9">
      <w:pPr>
        <w:spacing w:after="0" w:line="276" w:lineRule="auto"/>
        <w:ind w:left="567" w:right="616"/>
        <w:jc w:val="both"/>
        <w:rPr>
          <w:rFonts w:ascii="Book Antiqua" w:eastAsia="Calibri" w:hAnsi="Book Antiqua" w:cs="Arial"/>
          <w:b/>
          <w:bCs/>
          <w:i/>
          <w:iCs/>
          <w:sz w:val="24"/>
          <w:szCs w:val="24"/>
          <w:u w:val="single"/>
        </w:rPr>
      </w:pPr>
      <w:r w:rsidRPr="001D0C10">
        <w:rPr>
          <w:rFonts w:ascii="Book Antiqua" w:eastAsia="Calibri" w:hAnsi="Book Antiqua" w:cs="Arial"/>
          <w:b/>
          <w:bCs/>
          <w:i/>
          <w:iCs/>
          <w:sz w:val="24"/>
          <w:szCs w:val="24"/>
          <w:u w:val="single"/>
        </w:rPr>
        <w:t>“Los Tribunales de Familia conocerán:</w:t>
      </w:r>
    </w:p>
    <w:p w14:paraId="79B5F9B7" w14:textId="77777777" w:rsidR="00684AE9" w:rsidRPr="00F74947" w:rsidRDefault="00684AE9" w:rsidP="00684AE9">
      <w:pPr>
        <w:spacing w:after="0" w:line="276" w:lineRule="auto"/>
        <w:ind w:left="567" w:right="616"/>
        <w:jc w:val="both"/>
        <w:rPr>
          <w:rFonts w:ascii="Book Antiqua" w:eastAsia="Calibri" w:hAnsi="Book Antiqua" w:cs="Arial"/>
          <w:i/>
          <w:iCs/>
          <w:sz w:val="24"/>
          <w:szCs w:val="24"/>
        </w:rPr>
      </w:pPr>
      <w:r w:rsidRPr="00F74947">
        <w:rPr>
          <w:rFonts w:ascii="Book Antiqua" w:eastAsia="Calibri" w:hAnsi="Book Antiqua" w:cs="Arial"/>
          <w:i/>
          <w:iCs/>
          <w:sz w:val="24"/>
          <w:szCs w:val="24"/>
        </w:rPr>
        <w:t>1) De forma colegiada de tres jueces, lo siguiente:</w:t>
      </w:r>
    </w:p>
    <w:p w14:paraId="5539D432" w14:textId="77777777" w:rsidR="00684AE9" w:rsidRPr="00845957" w:rsidRDefault="00684AE9" w:rsidP="00684AE9">
      <w:pPr>
        <w:spacing w:after="0" w:line="276" w:lineRule="auto"/>
        <w:ind w:left="567" w:right="616"/>
        <w:jc w:val="both"/>
        <w:rPr>
          <w:rFonts w:ascii="Book Antiqua" w:eastAsia="Calibri" w:hAnsi="Book Antiqua" w:cs="Arial"/>
          <w:i/>
          <w:iCs/>
          <w:sz w:val="24"/>
          <w:szCs w:val="24"/>
        </w:rPr>
      </w:pPr>
      <w:r w:rsidRPr="00F74947">
        <w:rPr>
          <w:rFonts w:ascii="Book Antiqua" w:eastAsia="Calibri" w:hAnsi="Book Antiqua" w:cs="Arial"/>
          <w:i/>
          <w:iCs/>
          <w:sz w:val="24"/>
          <w:szCs w:val="24"/>
        </w:rPr>
        <w:t xml:space="preserve">a) Los recursos de apelación de sentencias definitivas de los procesos conocidos en los juzgados de Familia, juzgados de Niñez y Adolescencia y juzgados de </w:t>
      </w:r>
      <w:r w:rsidRPr="00845957">
        <w:rPr>
          <w:rFonts w:ascii="Book Antiqua" w:eastAsia="Calibri" w:hAnsi="Book Antiqua" w:cs="Arial"/>
          <w:i/>
          <w:iCs/>
          <w:sz w:val="24"/>
          <w:szCs w:val="24"/>
        </w:rPr>
        <w:t>Violencia Doméstica y Protección Cautelar, salvo las sentencias finales de los procesos de restitución internacional de personas menores de edad.</w:t>
      </w:r>
    </w:p>
    <w:p w14:paraId="268E5F9A" w14:textId="77777777" w:rsidR="00684AE9" w:rsidRPr="00845957" w:rsidRDefault="00684AE9" w:rsidP="00684AE9">
      <w:pPr>
        <w:shd w:val="clear" w:color="auto" w:fill="BDD6EE" w:themeFill="accent5" w:themeFillTint="66"/>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b) Los conflictos de competencia material suscitados entre juzgados de Familia</w:t>
      </w:r>
      <w:r w:rsidRPr="00845957">
        <w:rPr>
          <w:rFonts w:ascii="Book Antiqua" w:eastAsia="Calibri" w:hAnsi="Book Antiqua" w:cs="Arial"/>
          <w:i/>
          <w:iCs/>
          <w:sz w:val="24"/>
          <w:szCs w:val="24"/>
        </w:rPr>
        <w:footnoteReference w:id="7"/>
      </w:r>
      <w:r w:rsidRPr="00845957">
        <w:rPr>
          <w:rFonts w:ascii="Book Antiqua" w:eastAsia="Calibri" w:hAnsi="Book Antiqua" w:cs="Arial"/>
          <w:i/>
          <w:iCs/>
          <w:sz w:val="24"/>
          <w:szCs w:val="24"/>
        </w:rPr>
        <w:t>, juzgados de Niñez y Adolescencia o juzgados de Violencia Doméstica y Protección Cautelar.</w:t>
      </w:r>
    </w:p>
    <w:p w14:paraId="3EF65DD4" w14:textId="77777777" w:rsidR="00684AE9" w:rsidRPr="00845957" w:rsidRDefault="00684AE9" w:rsidP="00684AE9">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2) De forma unipersonal, lo siguiente:</w:t>
      </w:r>
    </w:p>
    <w:p w14:paraId="0C7A616A" w14:textId="77777777" w:rsidR="00684AE9" w:rsidRPr="00845957" w:rsidRDefault="00684AE9" w:rsidP="00684AE9">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a) Los recursos de apelación de resoluciones interlocutorias de los procesos conocidos en los juzgados de Familia, juzgados de Niñez y Adolescencia o juzgados de Violencia Doméstica y Protección Cautelar.</w:t>
      </w:r>
    </w:p>
    <w:p w14:paraId="4DF7D95A" w14:textId="77777777" w:rsidR="00684AE9" w:rsidRPr="00845957" w:rsidRDefault="00684AE9" w:rsidP="00684AE9">
      <w:pPr>
        <w:shd w:val="clear" w:color="auto" w:fill="BDD6EE" w:themeFill="accent5" w:themeFillTint="66"/>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b) Los conflictos de competencia territorial entre juzgados de Familia, entre juzgados de Niñez y Adolescencia o entre juzgados de Violencia Doméstica y Protección Cautelar</w:t>
      </w:r>
      <w:r w:rsidRPr="00845957">
        <w:rPr>
          <w:rFonts w:ascii="Book Antiqua" w:eastAsia="Calibri" w:hAnsi="Book Antiqua" w:cs="Arial"/>
          <w:i/>
          <w:iCs/>
          <w:sz w:val="24"/>
          <w:szCs w:val="24"/>
        </w:rPr>
        <w:footnoteReference w:id="8"/>
      </w:r>
      <w:r w:rsidRPr="00845957">
        <w:rPr>
          <w:rFonts w:ascii="Book Antiqua" w:eastAsia="Calibri" w:hAnsi="Book Antiqua" w:cs="Arial"/>
          <w:i/>
          <w:iCs/>
          <w:sz w:val="24"/>
          <w:szCs w:val="24"/>
        </w:rPr>
        <w:t>.</w:t>
      </w:r>
    </w:p>
    <w:p w14:paraId="385A343A" w14:textId="77777777" w:rsidR="00684AE9" w:rsidRPr="00845957" w:rsidRDefault="00684AE9" w:rsidP="00684AE9">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c) Los impedimentos, las excusas y las recusaciones de uno o varios de sus miembros propietarios o suplentes.</w:t>
      </w:r>
    </w:p>
    <w:p w14:paraId="77926970" w14:textId="77777777" w:rsidR="00684AE9" w:rsidRDefault="00684AE9" w:rsidP="00684AE9">
      <w:pPr>
        <w:spacing w:after="0" w:line="276" w:lineRule="auto"/>
        <w:ind w:left="567" w:right="616"/>
        <w:jc w:val="both"/>
        <w:rPr>
          <w:rFonts w:ascii="Book Antiqua" w:eastAsia="Calibri" w:hAnsi="Book Antiqua" w:cs="Arial"/>
          <w:i/>
          <w:iCs/>
          <w:sz w:val="24"/>
          <w:szCs w:val="24"/>
        </w:rPr>
      </w:pPr>
      <w:r w:rsidRPr="00845957">
        <w:rPr>
          <w:rFonts w:ascii="Book Antiqua" w:eastAsia="Calibri" w:hAnsi="Book Antiqua" w:cs="Arial"/>
          <w:i/>
          <w:iCs/>
          <w:sz w:val="24"/>
          <w:szCs w:val="24"/>
        </w:rPr>
        <w:t xml:space="preserve">d) Los demás asuntos que determine la ley.” </w:t>
      </w:r>
      <w:r w:rsidRPr="00845957">
        <w:rPr>
          <w:rFonts w:ascii="Book Antiqua" w:eastAsia="Calibri" w:hAnsi="Book Antiqua" w:cs="Arial"/>
        </w:rPr>
        <w:t>(Lo resaltado en celeste no es del original).</w:t>
      </w:r>
    </w:p>
    <w:p w14:paraId="46E3DBC2" w14:textId="77777777" w:rsidR="00684AE9" w:rsidRPr="00F74947" w:rsidRDefault="00684AE9" w:rsidP="00684AE9">
      <w:pPr>
        <w:spacing w:after="0" w:line="276" w:lineRule="auto"/>
        <w:ind w:left="567" w:right="616"/>
        <w:jc w:val="both"/>
        <w:rPr>
          <w:rFonts w:ascii="Book Antiqua" w:eastAsia="Calibri" w:hAnsi="Book Antiqua" w:cs="Arial"/>
          <w:i/>
          <w:iCs/>
          <w:sz w:val="24"/>
          <w:szCs w:val="24"/>
        </w:rPr>
      </w:pPr>
    </w:p>
    <w:p w14:paraId="2E7274E0" w14:textId="77777777" w:rsidR="00684AE9" w:rsidRPr="00F74947" w:rsidRDefault="00684AE9" w:rsidP="00684AE9">
      <w:pPr>
        <w:spacing w:after="0" w:line="276" w:lineRule="auto"/>
        <w:jc w:val="both"/>
        <w:rPr>
          <w:rFonts w:ascii="Book Antiqua" w:eastAsia="Calibri" w:hAnsi="Book Antiqua" w:cs="Arial"/>
          <w:sz w:val="24"/>
          <w:szCs w:val="24"/>
        </w:rPr>
      </w:pPr>
      <w:r w:rsidRPr="00F74947">
        <w:rPr>
          <w:rFonts w:ascii="Book Antiqua" w:eastAsia="Calibri" w:hAnsi="Book Antiqua" w:cs="Arial"/>
          <w:sz w:val="24"/>
          <w:szCs w:val="24"/>
        </w:rPr>
        <w:t>En cuanto a las implicaciones del CPF sobre la labor del Tribunal de Familia, se identificaron los siguientes efectos en su carga laboral:</w:t>
      </w:r>
    </w:p>
    <w:p w14:paraId="77FA6F37" w14:textId="77777777" w:rsidR="00684AE9" w:rsidRDefault="00684AE9" w:rsidP="00684AE9">
      <w:pPr>
        <w:spacing w:after="0" w:line="276" w:lineRule="auto"/>
        <w:jc w:val="both"/>
        <w:rPr>
          <w:rFonts w:ascii="Book Antiqua" w:eastAsia="Calibri" w:hAnsi="Book Antiqua" w:cs="Arial"/>
          <w:sz w:val="24"/>
          <w:szCs w:val="24"/>
        </w:rPr>
      </w:pPr>
    </w:p>
    <w:p w14:paraId="5D8999DF" w14:textId="44E41149" w:rsidR="00684AE9" w:rsidRDefault="00684AE9" w:rsidP="0090609F">
      <w:pPr>
        <w:numPr>
          <w:ilvl w:val="0"/>
          <w:numId w:val="45"/>
        </w:numPr>
        <w:spacing w:after="0" w:line="276" w:lineRule="auto"/>
        <w:contextualSpacing/>
        <w:jc w:val="both"/>
        <w:rPr>
          <w:rFonts w:ascii="Book Antiqua" w:eastAsia="Calibri" w:hAnsi="Book Antiqua" w:cs="Arial"/>
          <w:sz w:val="24"/>
          <w:szCs w:val="24"/>
          <w:lang w:eastAsia="es-CR"/>
        </w:rPr>
      </w:pPr>
      <w:r w:rsidRPr="00F74947">
        <w:rPr>
          <w:rFonts w:ascii="Book Antiqua" w:eastAsia="Calibri" w:hAnsi="Book Antiqua" w:cs="Arial"/>
          <w:sz w:val="24"/>
          <w:szCs w:val="24"/>
          <w:lang w:eastAsia="es-CR"/>
        </w:rPr>
        <w:lastRenderedPageBreak/>
        <w:t>Una disminución en los recursos de apelación en los procesos de restitución internacional de personas menores de edad, los cuales en adelante pasarán a conocimiento de la Sala Segunda</w:t>
      </w:r>
      <w:r w:rsidR="000F7924">
        <w:rPr>
          <w:rFonts w:ascii="Book Antiqua" w:eastAsia="Calibri" w:hAnsi="Book Antiqua" w:cs="Arial"/>
          <w:sz w:val="24"/>
          <w:szCs w:val="24"/>
          <w:lang w:eastAsia="es-CR"/>
        </w:rPr>
        <w:t xml:space="preserve"> (artículo 55 bis, inciso 2).</w:t>
      </w:r>
    </w:p>
    <w:p w14:paraId="66527423" w14:textId="5AC39965" w:rsidR="000F7924" w:rsidRPr="00F74947" w:rsidRDefault="000F7924" w:rsidP="0090609F">
      <w:pPr>
        <w:numPr>
          <w:ilvl w:val="0"/>
          <w:numId w:val="45"/>
        </w:numPr>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Una disminución en la entrada, por los conflictos de competencia territorial entre 2 juzgados de Familia, que pasaran a ser competencia de la Sala Segunda (artículo 55 bis, inciso 3).</w:t>
      </w:r>
    </w:p>
    <w:p w14:paraId="38EC5724" w14:textId="77777777" w:rsidR="000F7924" w:rsidRDefault="00684AE9" w:rsidP="0090609F">
      <w:pPr>
        <w:numPr>
          <w:ilvl w:val="0"/>
          <w:numId w:val="45"/>
        </w:numPr>
        <w:spacing w:after="0" w:line="276" w:lineRule="auto"/>
        <w:contextualSpacing/>
        <w:jc w:val="both"/>
        <w:rPr>
          <w:rFonts w:ascii="Book Antiqua" w:eastAsia="Calibri" w:hAnsi="Book Antiqua" w:cs="Arial"/>
          <w:sz w:val="24"/>
          <w:szCs w:val="24"/>
          <w:lang w:eastAsia="es-CR"/>
        </w:rPr>
      </w:pPr>
      <w:r w:rsidRPr="00F74947">
        <w:rPr>
          <w:rFonts w:ascii="Book Antiqua" w:eastAsia="Calibri" w:hAnsi="Book Antiqua" w:cs="Arial"/>
          <w:sz w:val="24"/>
          <w:szCs w:val="24"/>
          <w:lang w:eastAsia="es-CR"/>
        </w:rPr>
        <w:t>Un descenso en las apelaciones</w:t>
      </w:r>
      <w:r w:rsidR="000F7924">
        <w:rPr>
          <w:rFonts w:ascii="Book Antiqua" w:eastAsia="Calibri" w:hAnsi="Book Antiqua" w:cs="Arial"/>
          <w:sz w:val="24"/>
          <w:szCs w:val="24"/>
          <w:lang w:eastAsia="es-CR"/>
        </w:rPr>
        <w:t xml:space="preserve">, por </w:t>
      </w:r>
      <w:r w:rsidRPr="00F74947">
        <w:rPr>
          <w:rFonts w:ascii="Book Antiqua" w:eastAsia="Calibri" w:hAnsi="Book Antiqua" w:cs="Arial"/>
          <w:sz w:val="24"/>
          <w:szCs w:val="24"/>
          <w:lang w:eastAsia="es-CR"/>
        </w:rPr>
        <w:t>los procesos que dejará de conocer el Poder Judicial</w:t>
      </w:r>
      <w:r w:rsidR="000F7924">
        <w:rPr>
          <w:rFonts w:ascii="Book Antiqua" w:eastAsia="Calibri" w:hAnsi="Book Antiqua" w:cs="Arial"/>
          <w:sz w:val="24"/>
          <w:szCs w:val="24"/>
          <w:lang w:eastAsia="es-CR"/>
        </w:rPr>
        <w:t xml:space="preserve">: </w:t>
      </w:r>
      <w:r w:rsidRPr="00F74947">
        <w:rPr>
          <w:rFonts w:ascii="Book Antiqua" w:eastAsia="Calibri" w:hAnsi="Book Antiqua" w:cs="Arial"/>
          <w:sz w:val="24"/>
          <w:szCs w:val="24"/>
          <w:lang w:eastAsia="es-CR"/>
        </w:rPr>
        <w:t>matrimonios civiles, los reconocimientos administrativos de la paternidad, hijo de mujer casada; los divorcios o separaciones judiciales por mutuo consentimiento sin hijos o hijas menores de edad y no existiera referencia a bienes; y las adopciones de personas mayores de edad a excepción de las personas con discapacidad cuya condición no les permita dar su consentimiento</w:t>
      </w:r>
      <w:r w:rsidR="000F7924">
        <w:rPr>
          <w:rFonts w:ascii="Book Antiqua" w:eastAsia="Calibri" w:hAnsi="Book Antiqua" w:cs="Arial"/>
          <w:sz w:val="24"/>
          <w:szCs w:val="24"/>
          <w:lang w:eastAsia="es-CR"/>
        </w:rPr>
        <w:t>.</w:t>
      </w:r>
    </w:p>
    <w:p w14:paraId="0C0318F8" w14:textId="249F3712" w:rsidR="00684AE9" w:rsidRPr="000F7924" w:rsidRDefault="00684AE9" w:rsidP="0090609F">
      <w:pPr>
        <w:numPr>
          <w:ilvl w:val="0"/>
          <w:numId w:val="45"/>
        </w:numPr>
        <w:spacing w:after="0" w:line="276" w:lineRule="auto"/>
        <w:contextualSpacing/>
        <w:jc w:val="both"/>
        <w:rPr>
          <w:rFonts w:ascii="Book Antiqua" w:eastAsia="Calibri" w:hAnsi="Book Antiqua" w:cs="Arial"/>
          <w:sz w:val="24"/>
          <w:szCs w:val="24"/>
          <w:lang w:eastAsia="es-CR"/>
        </w:rPr>
      </w:pPr>
      <w:r w:rsidRPr="000F7924">
        <w:rPr>
          <w:rFonts w:ascii="Book Antiqua" w:eastAsia="Calibri" w:hAnsi="Book Antiqua" w:cs="Arial"/>
          <w:sz w:val="24"/>
          <w:szCs w:val="24"/>
          <w:lang w:eastAsia="es-CR"/>
        </w:rPr>
        <w:t xml:space="preserve"> Un eventual aumento en las apelaciones provenientes de las sentencias dictadas por los </w:t>
      </w:r>
      <w:r w:rsidR="000F7924">
        <w:rPr>
          <w:rFonts w:ascii="Book Antiqua" w:eastAsia="Calibri" w:hAnsi="Book Antiqua" w:cs="Arial"/>
          <w:sz w:val="24"/>
          <w:szCs w:val="24"/>
          <w:lang w:eastAsia="es-CR"/>
        </w:rPr>
        <w:t>J</w:t>
      </w:r>
      <w:r w:rsidRPr="000F7924">
        <w:rPr>
          <w:rFonts w:ascii="Book Antiqua" w:eastAsia="Calibri" w:hAnsi="Book Antiqua" w:cs="Arial"/>
          <w:sz w:val="24"/>
          <w:szCs w:val="24"/>
          <w:lang w:eastAsia="es-CR"/>
        </w:rPr>
        <w:t xml:space="preserve">uzgados </w:t>
      </w:r>
      <w:r w:rsidR="000F7924">
        <w:rPr>
          <w:rFonts w:ascii="Book Antiqua" w:eastAsia="Calibri" w:hAnsi="Book Antiqua" w:cs="Arial"/>
          <w:sz w:val="24"/>
          <w:szCs w:val="24"/>
          <w:lang w:eastAsia="es-CR"/>
        </w:rPr>
        <w:t>Contra la V</w:t>
      </w:r>
      <w:r w:rsidRPr="000F7924">
        <w:rPr>
          <w:rFonts w:ascii="Book Antiqua" w:eastAsia="Calibri" w:hAnsi="Book Antiqua" w:cs="Arial"/>
          <w:sz w:val="24"/>
          <w:szCs w:val="24"/>
          <w:lang w:eastAsia="es-CR"/>
        </w:rPr>
        <w:t xml:space="preserve">iolencia </w:t>
      </w:r>
      <w:r w:rsidR="000F7924">
        <w:rPr>
          <w:rFonts w:ascii="Book Antiqua" w:eastAsia="Calibri" w:hAnsi="Book Antiqua" w:cs="Arial"/>
          <w:sz w:val="24"/>
          <w:szCs w:val="24"/>
          <w:lang w:eastAsia="es-CR"/>
        </w:rPr>
        <w:t>D</w:t>
      </w:r>
      <w:r w:rsidRPr="000F7924">
        <w:rPr>
          <w:rFonts w:ascii="Book Antiqua" w:eastAsia="Calibri" w:hAnsi="Book Antiqua" w:cs="Arial"/>
          <w:sz w:val="24"/>
          <w:szCs w:val="24"/>
          <w:lang w:eastAsia="es-CR"/>
        </w:rPr>
        <w:t xml:space="preserve">oméstica y </w:t>
      </w:r>
      <w:r w:rsidR="000F7924">
        <w:rPr>
          <w:rFonts w:ascii="Book Antiqua" w:eastAsia="Calibri" w:hAnsi="Book Antiqua" w:cs="Arial"/>
          <w:sz w:val="24"/>
          <w:szCs w:val="24"/>
          <w:lang w:eastAsia="es-CR"/>
        </w:rPr>
        <w:t>P</w:t>
      </w:r>
      <w:r w:rsidRPr="000F7924">
        <w:rPr>
          <w:rFonts w:ascii="Book Antiqua" w:eastAsia="Calibri" w:hAnsi="Book Antiqua" w:cs="Arial"/>
          <w:sz w:val="24"/>
          <w:szCs w:val="24"/>
          <w:lang w:eastAsia="es-CR"/>
        </w:rPr>
        <w:t>rotección cautelar, producto de la creación del proceso de protección cautelar para personas con discapacidad donde el presunto agresor no pertenece al núcleo intrafamiliar.</w:t>
      </w:r>
    </w:p>
    <w:p w14:paraId="6DE18AEE" w14:textId="77777777" w:rsidR="00684AE9" w:rsidRDefault="00684AE9" w:rsidP="00684AE9">
      <w:pPr>
        <w:spacing w:after="0" w:line="276" w:lineRule="auto"/>
        <w:jc w:val="both"/>
        <w:rPr>
          <w:rFonts w:ascii="Book Antiqua" w:eastAsia="Calibri" w:hAnsi="Book Antiqua" w:cs="Arial"/>
          <w:sz w:val="24"/>
          <w:szCs w:val="24"/>
        </w:rPr>
      </w:pPr>
    </w:p>
    <w:p w14:paraId="5F9CE15C" w14:textId="169CBFE1" w:rsidR="00D00CB4" w:rsidRPr="00D00CB4" w:rsidRDefault="00D00CB4" w:rsidP="0090609F">
      <w:pPr>
        <w:numPr>
          <w:ilvl w:val="0"/>
          <w:numId w:val="6"/>
        </w:numPr>
        <w:tabs>
          <w:tab w:val="left" w:pos="426"/>
        </w:tabs>
        <w:spacing w:after="0" w:line="276" w:lineRule="auto"/>
        <w:ind w:left="0" w:firstLine="0"/>
        <w:jc w:val="both"/>
        <w:rPr>
          <w:rFonts w:ascii="Book Antiqua" w:eastAsia="Calibri" w:hAnsi="Book Antiqua" w:cs="Arial"/>
          <w:bCs/>
          <w:sz w:val="24"/>
          <w:szCs w:val="24"/>
        </w:rPr>
      </w:pPr>
      <w:r w:rsidRPr="00D00CB4">
        <w:rPr>
          <w:rFonts w:ascii="Book Antiqua" w:eastAsia="Calibri" w:hAnsi="Book Antiqua" w:cs="Arial"/>
          <w:b/>
          <w:sz w:val="24"/>
          <w:szCs w:val="24"/>
        </w:rPr>
        <w:t xml:space="preserve">Competencia de Juzgados de Niñez y Adolescencia. </w:t>
      </w:r>
      <w:r w:rsidRPr="00D00CB4">
        <w:rPr>
          <w:rFonts w:ascii="Book Antiqua" w:eastAsia="Calibri" w:hAnsi="Book Antiqua" w:cs="Arial"/>
          <w:bCs/>
          <w:sz w:val="24"/>
          <w:szCs w:val="24"/>
        </w:rPr>
        <w:t>El CPF incorpora la adición del artículo 106 bis a la Ley Orgánica del Poder Judicial, donde se le conferiría a los Juzgados de Niñez y Adolescencia nuevas competencias, según se observa:</w:t>
      </w:r>
    </w:p>
    <w:p w14:paraId="3764DADE" w14:textId="713D58CF" w:rsidR="00D00CB4" w:rsidRDefault="00D00CB4" w:rsidP="009C01E1">
      <w:pPr>
        <w:spacing w:line="276" w:lineRule="auto"/>
        <w:jc w:val="both"/>
        <w:rPr>
          <w:rFonts w:ascii="Book Antiqua" w:hAnsi="Book Antiqua"/>
          <w:sz w:val="24"/>
          <w:szCs w:val="24"/>
        </w:rPr>
      </w:pPr>
    </w:p>
    <w:p w14:paraId="59DE197F"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 xml:space="preserve">“Artículo 106 bis- Juzgados de Niñez y Adolescencia </w:t>
      </w:r>
    </w:p>
    <w:p w14:paraId="388509A2"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Los juzgados de Niñez y Adolescencia conocerán de:</w:t>
      </w:r>
    </w:p>
    <w:p w14:paraId="62CF664A"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499407F0"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2) Las diligencias de protección cautelar referidas a personas menores de edad.</w:t>
      </w:r>
    </w:p>
    <w:p w14:paraId="4F0160F9"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3) Los procesos relativos a la adopción de personas menores de edad y su oposición.</w:t>
      </w:r>
    </w:p>
    <w:p w14:paraId="02F201AF"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lastRenderedPageBreak/>
        <w:t>4) Los asuntos de petición unilateral de nombramiento de personas depositarias para personas menores de edad y de nombramiento de personas tutoras para personas menores de edad.</w:t>
      </w:r>
    </w:p>
    <w:p w14:paraId="19374628" w14:textId="77777777" w:rsidR="00D00CB4" w:rsidRP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5) La diligencia de comunicación que establece el artículo 32 de la Ley N.º 7739, Código de la Niñez y la Adolescencia, de 6 de enero de 1998.</w:t>
      </w:r>
    </w:p>
    <w:p w14:paraId="788B2D1E" w14:textId="41D7FE99" w:rsidR="00D00CB4" w:rsidRDefault="00D00CB4" w:rsidP="00D00CB4">
      <w:pPr>
        <w:spacing w:after="0" w:line="276" w:lineRule="auto"/>
        <w:ind w:left="567" w:right="616"/>
        <w:jc w:val="both"/>
        <w:rPr>
          <w:rFonts w:ascii="Book Antiqua" w:hAnsi="Book Antiqua"/>
          <w:i/>
          <w:iCs/>
          <w:sz w:val="24"/>
          <w:szCs w:val="24"/>
        </w:rPr>
      </w:pPr>
      <w:r w:rsidRPr="00D00CB4">
        <w:rPr>
          <w:rFonts w:ascii="Book Antiqua" w:hAnsi="Book Antiqua"/>
          <w:i/>
          <w:iCs/>
          <w:sz w:val="24"/>
          <w:szCs w:val="24"/>
        </w:rPr>
        <w:t>6) Los procedimientos de restitución internacional de personas menores de edad, de adopción internacional y los demás de aplicación de convenios internacionales relativos a materia de niñez y adolescencia.</w:t>
      </w:r>
    </w:p>
    <w:p w14:paraId="78ACB2F7" w14:textId="77777777" w:rsidR="00882B69" w:rsidRDefault="00882B69" w:rsidP="00D00CB4">
      <w:pPr>
        <w:spacing w:after="0" w:line="276" w:lineRule="auto"/>
        <w:ind w:left="567" w:right="616"/>
        <w:jc w:val="both"/>
        <w:rPr>
          <w:rFonts w:ascii="Book Antiqua" w:hAnsi="Book Antiqua"/>
          <w:i/>
          <w:iCs/>
          <w:sz w:val="24"/>
          <w:szCs w:val="24"/>
        </w:rPr>
      </w:pPr>
    </w:p>
    <w:p w14:paraId="1E772C31" w14:textId="77777777" w:rsidR="00AB18B7" w:rsidRPr="00391382" w:rsidRDefault="00AB18B7" w:rsidP="00AB18B7">
      <w:pPr>
        <w:spacing w:after="0" w:line="276" w:lineRule="auto"/>
        <w:ind w:left="567" w:right="616"/>
        <w:jc w:val="both"/>
        <w:rPr>
          <w:rFonts w:ascii="Book Antiqua" w:hAnsi="Book Antiqua"/>
          <w:i/>
          <w:iCs/>
          <w:sz w:val="24"/>
          <w:szCs w:val="24"/>
        </w:rPr>
      </w:pPr>
      <w:r w:rsidRPr="00391382">
        <w:rPr>
          <w:rFonts w:ascii="Book Antiqua" w:hAnsi="Book Antiqua"/>
          <w:i/>
          <w:iCs/>
          <w:sz w:val="24"/>
          <w:szCs w:val="24"/>
        </w:rPr>
        <w:t>Los procedimientos establecidos en el inciso 6) deberán ser conocidos, exclusivamente, en los juzgados de Niñez y Adolescencia del Primer Circuito Judicial de San José.</w:t>
      </w:r>
    </w:p>
    <w:p w14:paraId="5CE705A0" w14:textId="77777777" w:rsidR="00AB18B7" w:rsidRPr="00391382" w:rsidRDefault="00AB18B7" w:rsidP="00AB18B7">
      <w:pPr>
        <w:spacing w:after="0" w:line="276" w:lineRule="auto"/>
        <w:ind w:left="567" w:right="616"/>
        <w:jc w:val="both"/>
        <w:rPr>
          <w:rFonts w:ascii="Book Antiqua" w:hAnsi="Book Antiqua"/>
          <w:i/>
          <w:iCs/>
          <w:sz w:val="24"/>
          <w:szCs w:val="24"/>
        </w:rPr>
      </w:pPr>
      <w:r w:rsidRPr="00391382">
        <w:rPr>
          <w:rFonts w:ascii="MS Gothic" w:eastAsia="MS Gothic" w:hAnsi="MS Gothic" w:cs="MS Gothic" w:hint="eastAsia"/>
          <w:i/>
          <w:iCs/>
          <w:sz w:val="24"/>
          <w:szCs w:val="24"/>
        </w:rPr>
        <w:t xml:space="preserve">　</w:t>
      </w:r>
    </w:p>
    <w:p w14:paraId="25CFC350" w14:textId="77777777" w:rsidR="00AB18B7" w:rsidRPr="00AB18B7" w:rsidRDefault="00AB18B7" w:rsidP="00AB18B7">
      <w:pPr>
        <w:spacing w:after="0" w:line="276" w:lineRule="auto"/>
        <w:ind w:left="567" w:right="616"/>
        <w:jc w:val="both"/>
        <w:rPr>
          <w:rFonts w:ascii="Book Antiqua" w:hAnsi="Book Antiqua"/>
          <w:i/>
          <w:iCs/>
          <w:sz w:val="24"/>
          <w:szCs w:val="24"/>
        </w:rPr>
      </w:pPr>
      <w:r w:rsidRPr="00391382">
        <w:rPr>
          <w:rFonts w:ascii="Book Antiqua" w:hAnsi="Book Antiqua"/>
          <w:i/>
          <w:iCs/>
          <w:sz w:val="24"/>
          <w:szCs w:val="24"/>
        </w:rPr>
        <w:t>En los lugares en los cuales no exista este despacho, la competencia de estas materias corresponderá al Juzgado de Familia."</w:t>
      </w:r>
    </w:p>
    <w:p w14:paraId="496B23E7" w14:textId="77777777" w:rsidR="00AB18B7" w:rsidRDefault="00AB18B7" w:rsidP="00D00CB4">
      <w:pPr>
        <w:spacing w:after="0" w:line="276" w:lineRule="auto"/>
        <w:jc w:val="both"/>
        <w:rPr>
          <w:rFonts w:ascii="Book Antiqua" w:eastAsia="Calibri" w:hAnsi="Book Antiqua" w:cs="Arial"/>
          <w:sz w:val="24"/>
          <w:szCs w:val="24"/>
        </w:rPr>
      </w:pPr>
    </w:p>
    <w:p w14:paraId="1FF8A48C" w14:textId="5E93EC24" w:rsidR="00D00CB4" w:rsidRDefault="00D00CB4" w:rsidP="00D00CB4">
      <w:pPr>
        <w:spacing w:after="0" w:line="276" w:lineRule="auto"/>
        <w:jc w:val="both"/>
        <w:rPr>
          <w:rFonts w:ascii="Book Antiqua" w:eastAsia="Calibri" w:hAnsi="Book Antiqua" w:cs="Arial"/>
          <w:sz w:val="24"/>
          <w:szCs w:val="24"/>
        </w:rPr>
      </w:pPr>
      <w:r w:rsidRPr="00F90275">
        <w:rPr>
          <w:rFonts w:ascii="Book Antiqua" w:eastAsia="Calibri" w:hAnsi="Book Antiqua" w:cs="Arial"/>
          <w:sz w:val="24"/>
          <w:szCs w:val="24"/>
        </w:rPr>
        <w:t xml:space="preserve">Por tanto, se establece que </w:t>
      </w:r>
      <w:r w:rsidR="00DA1B2F" w:rsidRPr="00F90275">
        <w:rPr>
          <w:rFonts w:ascii="Book Antiqua" w:eastAsia="Calibri" w:hAnsi="Book Antiqua" w:cs="Arial"/>
          <w:sz w:val="24"/>
          <w:szCs w:val="24"/>
        </w:rPr>
        <w:t>e</w:t>
      </w:r>
      <w:r w:rsidRPr="00F90275">
        <w:rPr>
          <w:rFonts w:ascii="Book Antiqua" w:eastAsia="Calibri" w:hAnsi="Book Antiqua" w:cs="Arial"/>
          <w:sz w:val="24"/>
          <w:szCs w:val="24"/>
        </w:rPr>
        <w:t>l Juzgado</w:t>
      </w:r>
      <w:r w:rsidR="00DA1B2F" w:rsidRPr="00F90275">
        <w:rPr>
          <w:rFonts w:ascii="Book Antiqua" w:eastAsia="Calibri" w:hAnsi="Book Antiqua" w:cs="Arial"/>
          <w:sz w:val="24"/>
          <w:szCs w:val="24"/>
        </w:rPr>
        <w:t xml:space="preserve"> de Familia, </w:t>
      </w:r>
      <w:r w:rsidRPr="00F90275">
        <w:rPr>
          <w:rFonts w:ascii="Book Antiqua" w:eastAsia="Calibri" w:hAnsi="Book Antiqua" w:cs="Arial"/>
          <w:sz w:val="24"/>
          <w:szCs w:val="24"/>
        </w:rPr>
        <w:t xml:space="preserve">de Niñez y Adolescencia del Primer Circuito Judicial de San José, será el responsable </w:t>
      </w:r>
      <w:r w:rsidR="00DA1B2F" w:rsidRPr="00F90275">
        <w:rPr>
          <w:rFonts w:ascii="Book Antiqua" w:eastAsia="Calibri" w:hAnsi="Book Antiqua" w:cs="Arial"/>
          <w:sz w:val="24"/>
          <w:szCs w:val="24"/>
        </w:rPr>
        <w:t xml:space="preserve">de </w:t>
      </w:r>
      <w:r w:rsidRPr="00F90275">
        <w:rPr>
          <w:rFonts w:ascii="Book Antiqua" w:eastAsia="Calibri" w:hAnsi="Book Antiqua" w:cs="Arial"/>
          <w:sz w:val="24"/>
          <w:szCs w:val="24"/>
        </w:rPr>
        <w:t>conocer de manera exclusiva todos los procesos de restitución internacional de personas menores de edad, de adopción internacional y los demás de aplicación de convenios internacionales relativos a materia de niñez y adolescencia.</w:t>
      </w:r>
      <w:r w:rsidRPr="00D00CB4">
        <w:rPr>
          <w:rFonts w:ascii="Book Antiqua" w:eastAsia="Calibri" w:hAnsi="Book Antiqua" w:cs="Arial"/>
          <w:sz w:val="24"/>
          <w:szCs w:val="24"/>
        </w:rPr>
        <w:t xml:space="preserve"> </w:t>
      </w:r>
    </w:p>
    <w:p w14:paraId="6BD71178" w14:textId="77777777" w:rsidR="008218E9" w:rsidRDefault="008218E9" w:rsidP="00D00CB4">
      <w:pPr>
        <w:spacing w:after="0" w:line="276" w:lineRule="auto"/>
        <w:jc w:val="both"/>
        <w:rPr>
          <w:rFonts w:ascii="Book Antiqua" w:eastAsia="Calibri" w:hAnsi="Book Antiqua" w:cs="Arial"/>
          <w:sz w:val="24"/>
          <w:szCs w:val="24"/>
        </w:rPr>
      </w:pPr>
    </w:p>
    <w:p w14:paraId="40439E8B" w14:textId="77777777" w:rsidR="00952AB0" w:rsidRDefault="00FA77C7" w:rsidP="00D00CB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parte del seguimiento, está pendiente la parametrización de los indicadores y el informe de cierre del abordaje de este Juzgado. </w:t>
      </w:r>
      <w:r w:rsidRPr="001D0C10">
        <w:rPr>
          <w:rFonts w:ascii="Book Antiqua" w:eastAsia="Calibri" w:hAnsi="Book Antiqua" w:cs="Arial"/>
          <w:b/>
          <w:bCs/>
          <w:sz w:val="24"/>
          <w:szCs w:val="24"/>
        </w:rPr>
        <w:t xml:space="preserve">Referencia interna: </w:t>
      </w:r>
      <w:r w:rsidR="00B76836">
        <w:rPr>
          <w:rFonts w:ascii="Book Antiqua" w:eastAsia="Calibri" w:hAnsi="Book Antiqua" w:cs="Arial"/>
          <w:b/>
          <w:bCs/>
          <w:sz w:val="24"/>
          <w:szCs w:val="24"/>
        </w:rPr>
        <w:t>1741-20.</w:t>
      </w:r>
      <w:r w:rsidR="00252DA2">
        <w:rPr>
          <w:rFonts w:ascii="Book Antiqua" w:eastAsia="Calibri" w:hAnsi="Book Antiqua" w:cs="Arial"/>
          <w:b/>
          <w:bCs/>
          <w:sz w:val="24"/>
          <w:szCs w:val="24"/>
        </w:rPr>
        <w:t xml:space="preserve"> </w:t>
      </w:r>
      <w:r w:rsidR="00252DA2" w:rsidRPr="001D0C10">
        <w:rPr>
          <w:rFonts w:ascii="Book Antiqua" w:eastAsia="Calibri" w:hAnsi="Book Antiqua" w:cs="Arial"/>
          <w:sz w:val="24"/>
          <w:szCs w:val="24"/>
        </w:rPr>
        <w:t>También está pendiente el análisis de carga de trabajo de esa oficina</w:t>
      </w:r>
      <w:r w:rsidR="00952AB0">
        <w:rPr>
          <w:rFonts w:ascii="Book Antiqua" w:eastAsia="Calibri" w:hAnsi="Book Antiqua" w:cs="Arial"/>
          <w:sz w:val="24"/>
          <w:szCs w:val="24"/>
        </w:rPr>
        <w:t xml:space="preserve"> y la posibilidad de especializar un recurso en adopciones. </w:t>
      </w:r>
      <w:r w:rsidR="00952AB0" w:rsidRPr="001D0C10">
        <w:rPr>
          <w:rFonts w:ascii="Book Antiqua" w:eastAsia="Calibri" w:hAnsi="Book Antiqua" w:cs="Arial"/>
          <w:b/>
          <w:bCs/>
          <w:sz w:val="24"/>
          <w:szCs w:val="24"/>
        </w:rPr>
        <w:t>Referencia interna 1916-2021.</w:t>
      </w:r>
    </w:p>
    <w:p w14:paraId="6B5534B9" w14:textId="2C8256B0" w:rsidR="00FA77C7" w:rsidRPr="001D0C10" w:rsidRDefault="00952AB0" w:rsidP="00D00CB4">
      <w:pPr>
        <w:spacing w:after="0" w:line="276" w:lineRule="auto"/>
        <w:jc w:val="both"/>
        <w:rPr>
          <w:rFonts w:ascii="Book Antiqua" w:eastAsia="Calibri" w:hAnsi="Book Antiqua" w:cs="Arial"/>
          <w:b/>
          <w:bCs/>
          <w:sz w:val="24"/>
          <w:szCs w:val="24"/>
        </w:rPr>
      </w:pPr>
      <w:r>
        <w:rPr>
          <w:rFonts w:ascii="Book Antiqua" w:eastAsia="Calibri" w:hAnsi="Book Antiqua" w:cs="Arial"/>
          <w:sz w:val="24"/>
          <w:szCs w:val="24"/>
        </w:rPr>
        <w:t>También</w:t>
      </w:r>
      <w:r w:rsidR="00252DA2" w:rsidRPr="001D0C10">
        <w:rPr>
          <w:rFonts w:ascii="Book Antiqua" w:eastAsia="Calibri" w:hAnsi="Book Antiqua" w:cs="Arial"/>
          <w:sz w:val="24"/>
          <w:szCs w:val="24"/>
        </w:rPr>
        <w:t xml:space="preserve"> determinar la asignación definitiva de la plaza de Auxiliar de Servicios Generales actualmente compartida entre el Juzgado de Niñez y el Juzgado Contra la Violencia del Primer Circuito Judicial de San Jose.</w:t>
      </w:r>
      <w:r w:rsidR="00252DA2">
        <w:rPr>
          <w:rFonts w:ascii="Book Antiqua" w:eastAsia="Calibri" w:hAnsi="Book Antiqua" w:cs="Arial"/>
          <w:b/>
          <w:bCs/>
          <w:sz w:val="24"/>
          <w:szCs w:val="24"/>
        </w:rPr>
        <w:t xml:space="preserve"> Referencia interna: </w:t>
      </w:r>
      <w:r>
        <w:rPr>
          <w:rFonts w:ascii="Book Antiqua" w:eastAsia="Calibri" w:hAnsi="Book Antiqua" w:cs="Arial"/>
          <w:b/>
          <w:bCs/>
          <w:sz w:val="24"/>
          <w:szCs w:val="24"/>
        </w:rPr>
        <w:t>1687-2021.</w:t>
      </w:r>
    </w:p>
    <w:p w14:paraId="26CDABB4" w14:textId="77777777" w:rsidR="000012B5" w:rsidRDefault="000012B5" w:rsidP="009C01E1">
      <w:pPr>
        <w:spacing w:line="276" w:lineRule="auto"/>
        <w:jc w:val="both"/>
        <w:rPr>
          <w:rFonts w:ascii="Book Antiqua" w:hAnsi="Book Antiqua"/>
          <w:sz w:val="24"/>
          <w:szCs w:val="24"/>
        </w:rPr>
      </w:pPr>
    </w:p>
    <w:p w14:paraId="6AACAB08" w14:textId="77777777" w:rsidR="00D00CB4" w:rsidRPr="00D00CB4" w:rsidRDefault="00D00CB4" w:rsidP="0090609F">
      <w:pPr>
        <w:numPr>
          <w:ilvl w:val="0"/>
          <w:numId w:val="6"/>
        </w:numPr>
        <w:tabs>
          <w:tab w:val="left" w:pos="426"/>
        </w:tabs>
        <w:spacing w:after="0" w:line="276" w:lineRule="auto"/>
        <w:ind w:left="0" w:firstLine="0"/>
        <w:jc w:val="both"/>
        <w:rPr>
          <w:rFonts w:ascii="Book Antiqua" w:eastAsia="Calibri" w:hAnsi="Book Antiqua" w:cs="Arial"/>
          <w:sz w:val="24"/>
        </w:rPr>
      </w:pPr>
      <w:r w:rsidRPr="00D00CB4">
        <w:rPr>
          <w:rFonts w:ascii="Book Antiqua" w:eastAsia="Calibri" w:hAnsi="Book Antiqua" w:cs="Arial"/>
          <w:b/>
          <w:sz w:val="24"/>
          <w:szCs w:val="24"/>
        </w:rPr>
        <w:t>Ampliación competencias de los actuales Juzgados de Violencia Doméstica</w:t>
      </w:r>
      <w:r w:rsidRPr="00D00CB4">
        <w:rPr>
          <w:rFonts w:ascii="Book Antiqua" w:eastAsia="Calibri" w:hAnsi="Book Antiqua" w:cs="Arial"/>
          <w:sz w:val="24"/>
        </w:rPr>
        <w:t xml:space="preserve"> </w:t>
      </w:r>
    </w:p>
    <w:p w14:paraId="2DFE8F8D" w14:textId="77777777" w:rsidR="008218E9" w:rsidRDefault="008218E9" w:rsidP="000A33F2">
      <w:pPr>
        <w:tabs>
          <w:tab w:val="left" w:pos="426"/>
        </w:tabs>
        <w:spacing w:line="276" w:lineRule="auto"/>
        <w:jc w:val="both"/>
        <w:rPr>
          <w:rFonts w:ascii="Book Antiqua" w:eastAsia="Calibri" w:hAnsi="Book Antiqua" w:cs="Arial"/>
          <w:sz w:val="24"/>
          <w:szCs w:val="24"/>
        </w:rPr>
      </w:pPr>
    </w:p>
    <w:p w14:paraId="046B3C3A" w14:textId="34C6141E" w:rsidR="00D00CB4" w:rsidRPr="00D00CB4" w:rsidRDefault="00D00CB4" w:rsidP="000A33F2">
      <w:pPr>
        <w:tabs>
          <w:tab w:val="left" w:pos="426"/>
        </w:tabs>
        <w:spacing w:line="276" w:lineRule="auto"/>
        <w:jc w:val="both"/>
        <w:rPr>
          <w:rFonts w:ascii="Book Antiqua" w:eastAsia="Calibri" w:hAnsi="Book Antiqua" w:cs="Arial"/>
          <w:sz w:val="24"/>
          <w:szCs w:val="24"/>
        </w:rPr>
      </w:pPr>
      <w:r w:rsidRPr="00D00CB4">
        <w:rPr>
          <w:rFonts w:ascii="Book Antiqua" w:eastAsia="Calibri" w:hAnsi="Book Antiqua" w:cs="Arial"/>
          <w:sz w:val="24"/>
          <w:szCs w:val="24"/>
        </w:rPr>
        <w:t>Se prevé un posible incremento en la entrada en los Juzgados que atienden Violencia Doméstica por 2 razones:</w:t>
      </w:r>
    </w:p>
    <w:p w14:paraId="0E771FEF" w14:textId="77777777" w:rsidR="000A33F2" w:rsidRDefault="00D00CB4" w:rsidP="000A33F2">
      <w:pPr>
        <w:tabs>
          <w:tab w:val="left" w:pos="426"/>
        </w:tabs>
        <w:spacing w:line="276" w:lineRule="auto"/>
        <w:jc w:val="both"/>
        <w:rPr>
          <w:rFonts w:ascii="Book Antiqua" w:eastAsia="Calibri" w:hAnsi="Book Antiqua" w:cs="Arial"/>
          <w:sz w:val="24"/>
          <w:szCs w:val="24"/>
        </w:rPr>
      </w:pPr>
      <w:r w:rsidRPr="000A33F2">
        <w:rPr>
          <w:rFonts w:ascii="Book Antiqua" w:eastAsia="Calibri" w:hAnsi="Book Antiqua" w:cs="Arial"/>
          <w:sz w:val="24"/>
          <w:szCs w:val="24"/>
        </w:rPr>
        <w:lastRenderedPageBreak/>
        <w:t xml:space="preserve">Primero, deberán conocer los nuevos procesos de protección cautelar de violencia intrafamiliar, personas adultas mayores y personas con discapacidad, pero se desconoce cuál sería su alcance. </w:t>
      </w:r>
    </w:p>
    <w:p w14:paraId="61EFBDE7" w14:textId="600E9AF7" w:rsidR="00D00CB4" w:rsidRPr="000A33F2" w:rsidRDefault="00D00CB4" w:rsidP="000A33F2">
      <w:pPr>
        <w:tabs>
          <w:tab w:val="left" w:pos="426"/>
        </w:tabs>
        <w:spacing w:line="276" w:lineRule="auto"/>
        <w:jc w:val="both"/>
        <w:rPr>
          <w:rFonts w:ascii="Book Antiqua" w:eastAsia="Calibri" w:hAnsi="Book Antiqua" w:cs="Arial"/>
          <w:sz w:val="24"/>
          <w:szCs w:val="24"/>
        </w:rPr>
      </w:pPr>
      <w:r w:rsidRPr="000A33F2">
        <w:rPr>
          <w:rFonts w:ascii="Book Antiqua" w:eastAsia="Calibri" w:hAnsi="Book Antiqua" w:cs="Arial"/>
          <w:sz w:val="24"/>
          <w:szCs w:val="24"/>
        </w:rPr>
        <w:t>El artículo 121 bis del CPF indica que los Juzgados de Violencia Doméstica y de Protección Cautelar conocerán de:</w:t>
      </w:r>
    </w:p>
    <w:p w14:paraId="43369217" w14:textId="77777777" w:rsidR="000A33F2" w:rsidRPr="000A33F2" w:rsidRDefault="000A33F2" w:rsidP="000A33F2">
      <w:pPr>
        <w:spacing w:after="0" w:line="276" w:lineRule="auto"/>
        <w:ind w:left="567"/>
        <w:jc w:val="both"/>
        <w:rPr>
          <w:rFonts w:ascii="Book Antiqua" w:eastAsia="Calibri" w:hAnsi="Book Antiqua" w:cs="Arial"/>
          <w:i/>
          <w:iCs/>
          <w:sz w:val="24"/>
          <w:szCs w:val="24"/>
        </w:rPr>
      </w:pPr>
      <w:r w:rsidRPr="000A33F2">
        <w:rPr>
          <w:rFonts w:ascii="Book Antiqua" w:eastAsia="Calibri" w:hAnsi="Book Antiqua" w:cs="Arial"/>
          <w:i/>
          <w:iCs/>
          <w:sz w:val="24"/>
          <w:szCs w:val="24"/>
        </w:rPr>
        <w:t>1) Todo lo relativo a los procesos de protección cautelar de violencia intrafamiliar, personas adultas mayores y personas con discapacidad.</w:t>
      </w:r>
    </w:p>
    <w:p w14:paraId="1F8F566C" w14:textId="77777777" w:rsidR="000A33F2" w:rsidRPr="000A33F2" w:rsidRDefault="000A33F2" w:rsidP="000A33F2">
      <w:pPr>
        <w:spacing w:after="0" w:line="276" w:lineRule="auto"/>
        <w:ind w:left="567"/>
        <w:jc w:val="both"/>
        <w:rPr>
          <w:rFonts w:ascii="Book Antiqua" w:eastAsia="Calibri" w:hAnsi="Book Antiqua" w:cs="Arial"/>
          <w:i/>
          <w:iCs/>
          <w:sz w:val="24"/>
          <w:szCs w:val="24"/>
        </w:rPr>
      </w:pPr>
      <w:r w:rsidRPr="000A33F2">
        <w:rPr>
          <w:rFonts w:ascii="Book Antiqua" w:eastAsia="Calibri" w:hAnsi="Book Antiqua" w:cs="Arial"/>
          <w:i/>
          <w:iCs/>
          <w:sz w:val="24"/>
          <w:szCs w:val="24"/>
        </w:rPr>
        <w:t>2) Los demás asuntos que estipule la ley.</w:t>
      </w:r>
    </w:p>
    <w:p w14:paraId="58F32D72" w14:textId="77777777" w:rsidR="000A33F2" w:rsidRPr="000A33F2" w:rsidRDefault="000A33F2" w:rsidP="000A33F2">
      <w:pPr>
        <w:spacing w:after="0" w:line="276" w:lineRule="auto"/>
        <w:ind w:left="567"/>
        <w:jc w:val="both"/>
        <w:rPr>
          <w:rFonts w:ascii="Book Antiqua" w:eastAsia="Calibri" w:hAnsi="Book Antiqua" w:cs="Arial"/>
          <w:i/>
          <w:iCs/>
          <w:sz w:val="24"/>
          <w:szCs w:val="24"/>
        </w:rPr>
      </w:pPr>
      <w:r w:rsidRPr="000A33F2">
        <w:rPr>
          <w:rFonts w:ascii="Book Antiqua" w:eastAsia="Calibri" w:hAnsi="Book Antiqua" w:cs="Arial"/>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2D7D15CC" w14:textId="77777777" w:rsidR="000A33F2" w:rsidRDefault="000A33F2" w:rsidP="000A33F2">
      <w:pPr>
        <w:spacing w:after="0" w:line="276" w:lineRule="auto"/>
        <w:jc w:val="both"/>
        <w:rPr>
          <w:rFonts w:ascii="Book Antiqua" w:eastAsia="Calibri" w:hAnsi="Book Antiqua" w:cs="Arial"/>
          <w:sz w:val="24"/>
          <w:szCs w:val="24"/>
        </w:rPr>
      </w:pPr>
    </w:p>
    <w:p w14:paraId="3E89265D" w14:textId="19820EC3" w:rsidR="000A33F2" w:rsidRPr="000A33F2" w:rsidRDefault="000A33F2" w:rsidP="000A33F2">
      <w:pPr>
        <w:spacing w:after="0" w:line="276" w:lineRule="auto"/>
        <w:jc w:val="both"/>
        <w:rPr>
          <w:rFonts w:ascii="Book Antiqua" w:eastAsia="Calibri" w:hAnsi="Book Antiqua" w:cs="Arial"/>
          <w:sz w:val="24"/>
          <w:szCs w:val="24"/>
        </w:rPr>
      </w:pPr>
      <w:r w:rsidRPr="000A33F2">
        <w:rPr>
          <w:rFonts w:ascii="Book Antiqua" w:eastAsia="Calibri" w:hAnsi="Book Antiqua" w:cs="Arial"/>
          <w:sz w:val="24"/>
          <w:szCs w:val="24"/>
        </w:rPr>
        <w:t>Segundo: Deberán conocer los procesos de Violencia Doméstica contra personas adultas mayores, aunque la persona imputada no sea su familiar.</w:t>
      </w:r>
    </w:p>
    <w:p w14:paraId="2E919288" w14:textId="77777777" w:rsidR="000A33F2" w:rsidRPr="000A33F2" w:rsidRDefault="000A33F2" w:rsidP="000A33F2">
      <w:pPr>
        <w:spacing w:after="0" w:line="276" w:lineRule="auto"/>
        <w:jc w:val="both"/>
        <w:rPr>
          <w:rFonts w:ascii="Book Antiqua" w:eastAsia="Calibri" w:hAnsi="Book Antiqua" w:cs="Arial"/>
          <w:sz w:val="24"/>
          <w:szCs w:val="24"/>
        </w:rPr>
      </w:pPr>
    </w:p>
    <w:p w14:paraId="21AF2F98" w14:textId="77777777" w:rsidR="000A33F2" w:rsidRPr="000A33F2" w:rsidRDefault="000A33F2" w:rsidP="000A33F2">
      <w:pPr>
        <w:spacing w:after="0" w:line="276" w:lineRule="auto"/>
        <w:jc w:val="both"/>
        <w:rPr>
          <w:rFonts w:ascii="Book Antiqua" w:eastAsia="Calibri" w:hAnsi="Book Antiqua" w:cs="Arial"/>
          <w:sz w:val="24"/>
          <w:szCs w:val="24"/>
        </w:rPr>
      </w:pPr>
      <w:r w:rsidRPr="000A33F2">
        <w:rPr>
          <w:rFonts w:ascii="Book Antiqua" w:eastAsia="Calibri" w:hAnsi="Book Antiqua" w:cs="Arial"/>
          <w:sz w:val="24"/>
          <w:szCs w:val="24"/>
        </w:rPr>
        <w:t xml:space="preserve">Según lo indicado por el Lic. Cristian Martínez Hernández, Juez Gestor en la materia, actualmente los procesos de Violencia Doméstica en donde media una relación de familiaridad se tramitan en los Juzgados de Violencia y en los que no existe esa relación o se trate de otro tipo de situaciones en donde se encuentre una persona adulta mayor como denunciante o parte ofendida (problemas vecinales); se tramitan en los Juzgados Contravencionales del país.  </w:t>
      </w:r>
    </w:p>
    <w:p w14:paraId="58C198EF" w14:textId="77777777" w:rsidR="000A33F2" w:rsidRPr="000A33F2" w:rsidRDefault="000A33F2" w:rsidP="000A33F2">
      <w:pPr>
        <w:spacing w:after="0" w:line="276" w:lineRule="auto"/>
        <w:jc w:val="both"/>
        <w:rPr>
          <w:rFonts w:ascii="Book Antiqua" w:eastAsia="Calibri" w:hAnsi="Book Antiqua" w:cs="Arial"/>
          <w:sz w:val="24"/>
          <w:szCs w:val="24"/>
        </w:rPr>
      </w:pPr>
    </w:p>
    <w:p w14:paraId="1614E3F1" w14:textId="6F2B5D95" w:rsidR="000A33F2" w:rsidRDefault="000A33F2" w:rsidP="000A33F2">
      <w:pPr>
        <w:spacing w:after="0" w:line="276" w:lineRule="auto"/>
        <w:jc w:val="both"/>
        <w:rPr>
          <w:rFonts w:ascii="Book Antiqua" w:eastAsia="Calibri" w:hAnsi="Book Antiqua" w:cs="Arial"/>
          <w:sz w:val="24"/>
          <w:szCs w:val="24"/>
        </w:rPr>
      </w:pPr>
      <w:r w:rsidRPr="000A33F2">
        <w:rPr>
          <w:rFonts w:ascii="Book Antiqua" w:eastAsia="Calibri" w:hAnsi="Book Antiqua" w:cs="Arial"/>
          <w:sz w:val="24"/>
          <w:szCs w:val="24"/>
        </w:rPr>
        <w:t xml:space="preserve">Por lo que se prevé una disminución en la entrada de asuntos en materia de Faltas y Contravenciones y un incremento en materia de Violencia Doméstica. </w:t>
      </w:r>
    </w:p>
    <w:p w14:paraId="6DB2220D" w14:textId="77777777" w:rsidR="00B76836" w:rsidRDefault="00B76836" w:rsidP="000A33F2">
      <w:pPr>
        <w:spacing w:after="0" w:line="276" w:lineRule="auto"/>
        <w:jc w:val="both"/>
        <w:rPr>
          <w:rFonts w:ascii="Book Antiqua" w:eastAsia="Calibri" w:hAnsi="Book Antiqua" w:cs="Arial"/>
          <w:sz w:val="24"/>
          <w:szCs w:val="24"/>
        </w:rPr>
      </w:pPr>
    </w:p>
    <w:p w14:paraId="1357CAC2" w14:textId="0D709B6C" w:rsidR="00B76836" w:rsidRDefault="00B76836" w:rsidP="000A33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 oficina modelo de Violencia Doméstica, se está construyendo en este momento con el aporte de las personas juzgadoras. </w:t>
      </w:r>
      <w:r w:rsidRPr="001D0C10">
        <w:rPr>
          <w:rFonts w:ascii="Book Antiqua" w:eastAsia="Calibri" w:hAnsi="Book Antiqua" w:cs="Arial"/>
          <w:b/>
          <w:bCs/>
          <w:sz w:val="24"/>
          <w:szCs w:val="24"/>
        </w:rPr>
        <w:t>Refe</w:t>
      </w:r>
      <w:r w:rsidR="00F96E40">
        <w:rPr>
          <w:rFonts w:ascii="Book Antiqua" w:eastAsia="Calibri" w:hAnsi="Book Antiqua" w:cs="Arial"/>
          <w:b/>
          <w:bCs/>
          <w:sz w:val="24"/>
          <w:szCs w:val="24"/>
        </w:rPr>
        <w:t>ren</w:t>
      </w:r>
      <w:r w:rsidRPr="001D0C10">
        <w:rPr>
          <w:rFonts w:ascii="Book Antiqua" w:eastAsia="Calibri" w:hAnsi="Book Antiqua" w:cs="Arial"/>
          <w:b/>
          <w:bCs/>
          <w:sz w:val="24"/>
          <w:szCs w:val="24"/>
        </w:rPr>
        <w:t xml:space="preserve">cia interna: </w:t>
      </w:r>
      <w:r w:rsidR="00F96E40" w:rsidRPr="001D0C10">
        <w:rPr>
          <w:rFonts w:ascii="Book Antiqua" w:eastAsia="Calibri" w:hAnsi="Book Antiqua" w:cs="Arial"/>
          <w:b/>
          <w:bCs/>
          <w:sz w:val="24"/>
          <w:szCs w:val="24"/>
        </w:rPr>
        <w:t>1690-21.</w:t>
      </w:r>
      <w:r w:rsidR="00F96E40">
        <w:rPr>
          <w:rFonts w:ascii="Book Antiqua" w:eastAsia="Calibri" w:hAnsi="Book Antiqua" w:cs="Arial"/>
          <w:sz w:val="24"/>
          <w:szCs w:val="24"/>
        </w:rPr>
        <w:t xml:space="preserve"> </w:t>
      </w:r>
    </w:p>
    <w:p w14:paraId="34073515" w14:textId="3946BC57" w:rsidR="00F96E40" w:rsidRPr="000A33F2" w:rsidRDefault="00F96E40" w:rsidP="000A33F2">
      <w:pPr>
        <w:spacing w:after="0" w:line="276" w:lineRule="auto"/>
        <w:jc w:val="both"/>
        <w:rPr>
          <w:rFonts w:ascii="Book Antiqua" w:eastAsia="Calibri" w:hAnsi="Book Antiqua" w:cs="Arial"/>
          <w:sz w:val="24"/>
          <w:szCs w:val="24"/>
        </w:rPr>
      </w:pPr>
      <w:r w:rsidRPr="00912F27">
        <w:rPr>
          <w:rFonts w:ascii="Book Antiqua" w:eastAsia="Calibri" w:hAnsi="Book Antiqua" w:cs="Arial"/>
          <w:sz w:val="24"/>
          <w:szCs w:val="24"/>
        </w:rPr>
        <w:t xml:space="preserve">Así como la construcción de parámetros y nuevos indicadores para los PISAV e informe de cierre de abordaje de estas plataformas. </w:t>
      </w:r>
      <w:r w:rsidRPr="001D0C10">
        <w:rPr>
          <w:rFonts w:ascii="Book Antiqua" w:eastAsia="Calibri" w:hAnsi="Book Antiqua" w:cs="Arial"/>
          <w:b/>
          <w:bCs/>
          <w:sz w:val="24"/>
          <w:szCs w:val="24"/>
        </w:rPr>
        <w:t xml:space="preserve">Referencia interna: </w:t>
      </w:r>
      <w:r w:rsidR="00912F27" w:rsidRPr="001D0C10">
        <w:rPr>
          <w:rFonts w:ascii="Book Antiqua" w:eastAsia="Calibri" w:hAnsi="Book Antiqua" w:cs="Arial"/>
          <w:b/>
          <w:bCs/>
          <w:sz w:val="24"/>
          <w:szCs w:val="24"/>
        </w:rPr>
        <w:t>2125-2021.</w:t>
      </w:r>
    </w:p>
    <w:p w14:paraId="3A79433B" w14:textId="77777777" w:rsidR="000A33F2" w:rsidRPr="000A33F2" w:rsidRDefault="000A33F2" w:rsidP="000A33F2">
      <w:pPr>
        <w:spacing w:after="0" w:line="276" w:lineRule="auto"/>
        <w:ind w:right="616"/>
        <w:jc w:val="both"/>
        <w:rPr>
          <w:rFonts w:ascii="Book Antiqua" w:eastAsia="Calibri" w:hAnsi="Book Antiqua" w:cs="Arial"/>
          <w:i/>
          <w:iCs/>
          <w:sz w:val="24"/>
          <w:szCs w:val="24"/>
        </w:rPr>
      </w:pPr>
    </w:p>
    <w:p w14:paraId="6D91C0B0" w14:textId="77777777" w:rsidR="000A33F2" w:rsidRPr="000A33F2" w:rsidRDefault="000A33F2" w:rsidP="0090609F">
      <w:pPr>
        <w:numPr>
          <w:ilvl w:val="0"/>
          <w:numId w:val="6"/>
        </w:numPr>
        <w:tabs>
          <w:tab w:val="left" w:pos="426"/>
        </w:tabs>
        <w:spacing w:after="0" w:line="276" w:lineRule="auto"/>
        <w:ind w:left="0" w:firstLine="0"/>
        <w:jc w:val="both"/>
        <w:rPr>
          <w:rFonts w:ascii="Book Antiqua" w:eastAsia="Calibri" w:hAnsi="Book Antiqua" w:cs="Arial"/>
          <w:bCs/>
          <w:sz w:val="24"/>
          <w:szCs w:val="24"/>
        </w:rPr>
      </w:pPr>
      <w:r w:rsidRPr="000A33F2">
        <w:rPr>
          <w:rFonts w:ascii="Book Antiqua" w:eastAsia="Calibri" w:hAnsi="Book Antiqua" w:cs="Arial"/>
          <w:b/>
          <w:sz w:val="24"/>
          <w:szCs w:val="24"/>
        </w:rPr>
        <w:t xml:space="preserve">Derogación de la Ley de Pensiones Alimentarias. </w:t>
      </w:r>
      <w:r w:rsidRPr="000A33F2">
        <w:rPr>
          <w:rFonts w:ascii="Book Antiqua" w:eastAsia="Calibri" w:hAnsi="Book Antiqua" w:cs="Arial"/>
          <w:bCs/>
          <w:sz w:val="24"/>
          <w:szCs w:val="24"/>
        </w:rPr>
        <w:t>El CPF establece la derogatoria en su totalidad de la Ley 7654 del 19 de diciembre de 1996 (la actual Ley de Pensiones Alimentarias).</w:t>
      </w:r>
    </w:p>
    <w:p w14:paraId="0B9A2371" w14:textId="77777777" w:rsidR="000A33F2" w:rsidRPr="000A33F2" w:rsidRDefault="000A33F2" w:rsidP="000A33F2">
      <w:pPr>
        <w:spacing w:after="0" w:line="276" w:lineRule="auto"/>
        <w:jc w:val="both"/>
        <w:rPr>
          <w:rFonts w:ascii="Book Antiqua" w:eastAsia="Calibri" w:hAnsi="Book Antiqua" w:cs="Arial"/>
          <w:sz w:val="24"/>
          <w:szCs w:val="24"/>
        </w:rPr>
      </w:pPr>
      <w:r w:rsidRPr="000A33F2">
        <w:rPr>
          <w:rFonts w:ascii="Book Antiqua" w:eastAsia="Calibri" w:hAnsi="Book Antiqua" w:cs="Arial"/>
          <w:sz w:val="24"/>
          <w:szCs w:val="24"/>
        </w:rPr>
        <w:lastRenderedPageBreak/>
        <w:t>Esto significa que a partir de la entrada en vigencia del CPF, los procesos de Pensiones Alimentarias dejarán de tramitarse con la ley especial vigente y se regirían por la normativa procesal del CPF.</w:t>
      </w:r>
    </w:p>
    <w:p w14:paraId="334E5123" w14:textId="77777777" w:rsidR="000A33F2" w:rsidRPr="000A33F2" w:rsidRDefault="000A33F2" w:rsidP="000A33F2">
      <w:pPr>
        <w:spacing w:after="0" w:line="276" w:lineRule="auto"/>
        <w:jc w:val="both"/>
        <w:rPr>
          <w:rFonts w:ascii="Book Antiqua" w:eastAsia="Calibri" w:hAnsi="Book Antiqua" w:cs="Arial"/>
          <w:sz w:val="24"/>
          <w:szCs w:val="24"/>
        </w:rPr>
      </w:pPr>
    </w:p>
    <w:p w14:paraId="68610038" w14:textId="5AA70D72" w:rsidR="000A33F2" w:rsidRDefault="000A33F2" w:rsidP="0090609F">
      <w:pPr>
        <w:numPr>
          <w:ilvl w:val="0"/>
          <w:numId w:val="6"/>
        </w:numPr>
        <w:spacing w:after="0" w:line="276" w:lineRule="auto"/>
        <w:ind w:left="426" w:hanging="426"/>
        <w:contextualSpacing/>
        <w:jc w:val="both"/>
        <w:rPr>
          <w:rFonts w:ascii="Book Antiqua" w:eastAsia="Calibri" w:hAnsi="Book Antiqua" w:cs="Arial"/>
          <w:sz w:val="24"/>
          <w:szCs w:val="24"/>
          <w:lang w:eastAsia="es-CR"/>
        </w:rPr>
      </w:pPr>
      <w:r w:rsidRPr="000A33F2">
        <w:rPr>
          <w:rFonts w:ascii="Book Antiqua" w:eastAsia="Calibri" w:hAnsi="Book Antiqua" w:cs="Arial"/>
          <w:b/>
          <w:bCs/>
          <w:sz w:val="24"/>
          <w:szCs w:val="24"/>
          <w:lang w:eastAsia="es-CR"/>
        </w:rPr>
        <w:t>Juzgados de Familia por Ministerio de Ley.</w:t>
      </w:r>
      <w:r w:rsidRPr="000A33F2">
        <w:rPr>
          <w:rFonts w:ascii="Book Antiqua" w:eastAsia="Calibri" w:hAnsi="Book Antiqua" w:cs="Arial"/>
          <w:sz w:val="24"/>
          <w:szCs w:val="24"/>
          <w:lang w:eastAsia="es-CR"/>
        </w:rPr>
        <w:t xml:space="preserve"> El CPF adiciona a la Ley Orgánica del Poder Judicial el artículo 119 bis que dispone la creación de Juzgados de Familia por Ministerio de Ley para conocer los asuntos sumarios de Familia. </w:t>
      </w:r>
    </w:p>
    <w:p w14:paraId="45336D02" w14:textId="77777777" w:rsidR="005241AA" w:rsidRPr="005241AA" w:rsidRDefault="005241AA" w:rsidP="005241AA">
      <w:pPr>
        <w:autoSpaceDE w:val="0"/>
        <w:autoSpaceDN w:val="0"/>
        <w:adjustRightInd w:val="0"/>
        <w:spacing w:line="276" w:lineRule="auto"/>
        <w:ind w:right="616"/>
        <w:rPr>
          <w:rFonts w:ascii="Book Antiqua" w:hAnsi="Book Antiqua" w:cs="*Arial-6183-Identity-H"/>
          <w:i/>
          <w:iCs/>
          <w:color w:val="0D0D0D"/>
          <w:sz w:val="24"/>
          <w:szCs w:val="24"/>
        </w:rPr>
      </w:pPr>
    </w:p>
    <w:p w14:paraId="72614690" w14:textId="62A3E920" w:rsidR="005241AA" w:rsidRPr="005241AA" w:rsidRDefault="005241AA" w:rsidP="002F4EFD">
      <w:pPr>
        <w:autoSpaceDE w:val="0"/>
        <w:autoSpaceDN w:val="0"/>
        <w:adjustRightInd w:val="0"/>
        <w:spacing w:line="276" w:lineRule="auto"/>
        <w:ind w:right="616" w:firstLine="709"/>
        <w:rPr>
          <w:rFonts w:ascii="Book Antiqua" w:hAnsi="Book Antiqua" w:cs="*Arial-6183-Identity-H"/>
          <w:b/>
          <w:bCs/>
          <w:i/>
          <w:iCs/>
          <w:color w:val="0D0D0D"/>
          <w:sz w:val="24"/>
          <w:szCs w:val="24"/>
        </w:rPr>
      </w:pPr>
      <w:r w:rsidRPr="005241AA">
        <w:rPr>
          <w:rFonts w:ascii="Book Antiqua" w:hAnsi="Book Antiqua" w:cs="*Arial-6183-Identity-H"/>
          <w:i/>
          <w:iCs/>
          <w:color w:val="0D0D0D"/>
          <w:sz w:val="24"/>
          <w:szCs w:val="24"/>
        </w:rPr>
        <w:t>“</w:t>
      </w:r>
      <w:r w:rsidRPr="005241AA">
        <w:rPr>
          <w:rFonts w:ascii="Book Antiqua" w:hAnsi="Book Antiqua" w:cs="*Arial-6183-Identity-H"/>
          <w:b/>
          <w:bCs/>
          <w:i/>
          <w:iCs/>
          <w:color w:val="0D0D0D"/>
          <w:sz w:val="24"/>
          <w:szCs w:val="24"/>
        </w:rPr>
        <w:t>Artículo 119 bis- Juzgados de Familia por ministerio de ley</w:t>
      </w:r>
    </w:p>
    <w:p w14:paraId="55BBC3E7" w14:textId="77777777" w:rsidR="005241AA" w:rsidRPr="000A33F2" w:rsidRDefault="005241AA" w:rsidP="005241AA">
      <w:pPr>
        <w:spacing w:after="0" w:line="276" w:lineRule="auto"/>
        <w:contextualSpacing/>
        <w:jc w:val="both"/>
        <w:rPr>
          <w:rFonts w:ascii="Book Antiqua" w:eastAsia="Calibri" w:hAnsi="Book Antiqua" w:cs="Arial"/>
          <w:sz w:val="24"/>
          <w:szCs w:val="24"/>
          <w:lang w:eastAsia="es-CR"/>
        </w:rPr>
      </w:pPr>
    </w:p>
    <w:p w14:paraId="69A69789"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183-Identity-H"/>
          <w:i/>
          <w:iCs/>
          <w:color w:val="0D0D0D"/>
          <w:sz w:val="24"/>
          <w:szCs w:val="24"/>
        </w:rPr>
      </w:pPr>
      <w:r w:rsidRPr="005241AA">
        <w:rPr>
          <w:rFonts w:ascii="Book Antiqua" w:eastAsia="Calibri" w:hAnsi="Book Antiqua" w:cs="*Arial-6183-Identity-H"/>
          <w:i/>
          <w:iCs/>
          <w:color w:val="0D0D0D"/>
          <w:sz w:val="24"/>
          <w:szCs w:val="24"/>
        </w:rPr>
        <w:t>En los lugares que determine la Corte Suprema de Justicia, por no existir Juzgado</w:t>
      </w:r>
    </w:p>
    <w:p w14:paraId="37105C74"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183-Identity-H"/>
          <w:i/>
          <w:iCs/>
          <w:color w:val="0D0D0D"/>
          <w:sz w:val="24"/>
          <w:szCs w:val="24"/>
        </w:rPr>
      </w:pPr>
      <w:r w:rsidRPr="005241AA">
        <w:rPr>
          <w:rFonts w:ascii="Book Antiqua" w:eastAsia="Calibri" w:hAnsi="Book Antiqua" w:cs="*Arial-6183-Identity-H"/>
          <w:i/>
          <w:iCs/>
          <w:color w:val="0D0D0D"/>
          <w:sz w:val="24"/>
          <w:szCs w:val="24"/>
        </w:rPr>
        <w:t>de Familia, la tramitación de los siguientes asuntos podrá ser conocidos en primera instancia por los juzgados contravencionales que se designen:</w:t>
      </w:r>
    </w:p>
    <w:p w14:paraId="09B7A762"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208-Identity-H"/>
          <w:i/>
          <w:iCs/>
          <w:color w:val="0A0A0A"/>
          <w:sz w:val="24"/>
          <w:szCs w:val="24"/>
        </w:rPr>
      </w:pPr>
      <w:r w:rsidRPr="005241AA">
        <w:rPr>
          <w:rFonts w:ascii="Book Antiqua" w:eastAsia="Calibri" w:hAnsi="Book Antiqua" w:cs="*Arial-6208-Identity-H"/>
          <w:i/>
          <w:iCs/>
          <w:color w:val="0A0A0A"/>
          <w:sz w:val="24"/>
          <w:szCs w:val="24"/>
        </w:rPr>
        <w:t>1)Los procesos resolutivos familiares y su ejecución, cuya resolución final no produce cosa juzgada material, salvo la suspensión de los atributos de la responsabilidad parental.</w:t>
      </w:r>
    </w:p>
    <w:p w14:paraId="659D1AE3"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208-Identity-H"/>
          <w:i/>
          <w:iCs/>
          <w:color w:val="0C0C0C"/>
          <w:sz w:val="24"/>
          <w:szCs w:val="24"/>
        </w:rPr>
      </w:pPr>
      <w:r w:rsidRPr="005241AA">
        <w:rPr>
          <w:rFonts w:ascii="Book Antiqua" w:eastAsia="Calibri" w:hAnsi="Book Antiqua" w:cs="*Arial-6208-Identity-H"/>
          <w:i/>
          <w:iCs/>
          <w:color w:val="0C0C0C"/>
          <w:sz w:val="24"/>
          <w:szCs w:val="24"/>
        </w:rPr>
        <w:t>2) Las diligencias de protección cautelar referidas a personas menores de edad.</w:t>
      </w:r>
    </w:p>
    <w:p w14:paraId="571D70D2"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208-Identity-H"/>
          <w:i/>
          <w:iCs/>
          <w:color w:val="0B0B0B"/>
          <w:sz w:val="24"/>
          <w:szCs w:val="24"/>
        </w:rPr>
      </w:pPr>
      <w:r w:rsidRPr="005241AA">
        <w:rPr>
          <w:rFonts w:ascii="Book Antiqua" w:eastAsia="Calibri" w:hAnsi="Book Antiqua" w:cs="*Arial-6208-Identity-H"/>
          <w:i/>
          <w:iCs/>
          <w:color w:val="0B0B0B"/>
          <w:sz w:val="24"/>
          <w:szCs w:val="24"/>
        </w:rPr>
        <w:t>3) Los asuntos de petición unilateral.</w:t>
      </w:r>
    </w:p>
    <w:p w14:paraId="1F7E19E2" w14:textId="77777777" w:rsidR="005241AA" w:rsidRPr="005241AA" w:rsidRDefault="005241AA" w:rsidP="005241AA">
      <w:pPr>
        <w:autoSpaceDE w:val="0"/>
        <w:autoSpaceDN w:val="0"/>
        <w:adjustRightInd w:val="0"/>
        <w:spacing w:after="0" w:line="276" w:lineRule="auto"/>
        <w:ind w:left="567" w:right="616"/>
        <w:jc w:val="both"/>
        <w:rPr>
          <w:rFonts w:ascii="Book Antiqua" w:eastAsia="Calibri" w:hAnsi="Book Antiqua" w:cs="*Arial-6208-Identity-H"/>
          <w:i/>
          <w:iCs/>
          <w:color w:val="0B0B0B"/>
          <w:sz w:val="24"/>
          <w:szCs w:val="24"/>
        </w:rPr>
      </w:pPr>
      <w:r w:rsidRPr="005241AA">
        <w:rPr>
          <w:rFonts w:ascii="Book Antiqua" w:eastAsia="Calibri" w:hAnsi="Book Antiqua" w:cs="*Arial-6208-Identity-H"/>
          <w:i/>
          <w:iCs/>
          <w:color w:val="0B0B0B"/>
          <w:sz w:val="24"/>
          <w:szCs w:val="24"/>
        </w:rPr>
        <w:t xml:space="preserve">4) La diligencia de comunicación que establece el artículo 32 de la Ley N.º 7739, </w:t>
      </w:r>
      <w:r w:rsidRPr="005241AA">
        <w:rPr>
          <w:rFonts w:ascii="Book Antiqua" w:eastAsia="Calibri" w:hAnsi="Book Antiqua" w:cs="*Arial-6208-Identity-H"/>
          <w:i/>
          <w:iCs/>
          <w:color w:val="0C0C0C"/>
          <w:sz w:val="24"/>
          <w:szCs w:val="24"/>
        </w:rPr>
        <w:t>Código de la Niñez y la Adolescencia, de 6 de enero de 1998.</w:t>
      </w:r>
    </w:p>
    <w:p w14:paraId="43B3B4AA" w14:textId="77777777" w:rsidR="005241AA" w:rsidRPr="005241AA" w:rsidRDefault="005241AA" w:rsidP="005241AA">
      <w:pPr>
        <w:spacing w:after="0" w:line="276" w:lineRule="auto"/>
        <w:ind w:left="567" w:right="616"/>
        <w:jc w:val="both"/>
        <w:rPr>
          <w:rFonts w:ascii="Book Antiqua" w:eastAsia="Calibri" w:hAnsi="Book Antiqua" w:cs="*Arial-6208-Identity-H"/>
          <w:i/>
          <w:iCs/>
          <w:color w:val="0B0B0B"/>
          <w:sz w:val="24"/>
          <w:szCs w:val="24"/>
        </w:rPr>
      </w:pPr>
      <w:r w:rsidRPr="005241AA">
        <w:rPr>
          <w:rFonts w:ascii="Book Antiqua" w:eastAsia="Calibri" w:hAnsi="Book Antiqua" w:cs="*Arial-6208-Identity-H"/>
          <w:i/>
          <w:iCs/>
          <w:color w:val="0B0B0B"/>
          <w:sz w:val="24"/>
          <w:szCs w:val="24"/>
        </w:rPr>
        <w:t>5) Los demás asuntos que estipule la ley.”.</w:t>
      </w:r>
    </w:p>
    <w:p w14:paraId="5B699BC3" w14:textId="77777777" w:rsidR="005241AA" w:rsidRDefault="005241AA" w:rsidP="005241AA">
      <w:pPr>
        <w:spacing w:after="0" w:line="276" w:lineRule="auto"/>
        <w:jc w:val="both"/>
        <w:rPr>
          <w:rFonts w:ascii="Book Antiqua" w:eastAsia="Calibri" w:hAnsi="Book Antiqua" w:cs="Arial"/>
          <w:sz w:val="24"/>
        </w:rPr>
      </w:pPr>
    </w:p>
    <w:p w14:paraId="67A531C1" w14:textId="4636FFB8" w:rsidR="005241AA" w:rsidRPr="00F90275" w:rsidRDefault="005241AA" w:rsidP="005241AA">
      <w:pPr>
        <w:spacing w:after="0" w:line="276" w:lineRule="auto"/>
        <w:jc w:val="both"/>
        <w:rPr>
          <w:rFonts w:ascii="Book Antiqua" w:eastAsia="Calibri" w:hAnsi="Book Antiqua" w:cs="Arial"/>
          <w:sz w:val="24"/>
        </w:rPr>
      </w:pPr>
      <w:r w:rsidRPr="00F90275">
        <w:rPr>
          <w:rFonts w:ascii="Book Antiqua" w:eastAsia="Calibri" w:hAnsi="Book Antiqua" w:cs="Arial"/>
          <w:sz w:val="24"/>
        </w:rPr>
        <w:t xml:space="preserve">Sobre este tema, se contempla dentro de los entregables del Proyecto de Implementación del CPF, un estudio adicional con la propuesta de creación de estos Juzgados por Ministerio de </w:t>
      </w:r>
      <w:r w:rsidR="00952AB0">
        <w:rPr>
          <w:rFonts w:ascii="Book Antiqua" w:eastAsia="Calibri" w:hAnsi="Book Antiqua" w:cs="Arial"/>
          <w:sz w:val="24"/>
        </w:rPr>
        <w:t>L</w:t>
      </w:r>
      <w:r w:rsidRPr="00F90275">
        <w:rPr>
          <w:rFonts w:ascii="Book Antiqua" w:eastAsia="Calibri" w:hAnsi="Book Antiqua" w:cs="Arial"/>
          <w:sz w:val="24"/>
        </w:rPr>
        <w:t>ey en los actuales Juzgados Contravencionales.</w:t>
      </w:r>
    </w:p>
    <w:p w14:paraId="4772AEE7" w14:textId="77777777" w:rsidR="005241AA" w:rsidRPr="00F90275" w:rsidRDefault="005241AA" w:rsidP="005241AA">
      <w:pPr>
        <w:spacing w:after="0" w:line="276" w:lineRule="auto"/>
        <w:jc w:val="both"/>
        <w:rPr>
          <w:rFonts w:ascii="Book Antiqua" w:eastAsia="Calibri" w:hAnsi="Book Antiqua" w:cs="Arial"/>
          <w:sz w:val="24"/>
        </w:rPr>
      </w:pPr>
    </w:p>
    <w:p w14:paraId="15AC9C14" w14:textId="0CE68318" w:rsidR="005241AA" w:rsidRPr="005241AA" w:rsidRDefault="005241AA" w:rsidP="005241AA">
      <w:pPr>
        <w:spacing w:after="0" w:line="276" w:lineRule="auto"/>
        <w:jc w:val="both"/>
        <w:rPr>
          <w:rFonts w:ascii="Book Antiqua" w:eastAsia="Calibri" w:hAnsi="Book Antiqua" w:cs="Arial"/>
          <w:sz w:val="24"/>
        </w:rPr>
      </w:pPr>
      <w:r w:rsidRPr="00F90275">
        <w:rPr>
          <w:rFonts w:ascii="Book Antiqua" w:eastAsia="Calibri" w:hAnsi="Book Antiqua" w:cs="Arial"/>
          <w:sz w:val="24"/>
        </w:rPr>
        <w:t>Este estudio se estima será remitido a Corte Plena para aprobación en el primer semestre 2022</w:t>
      </w:r>
      <w:r w:rsidR="002D0A74">
        <w:rPr>
          <w:rFonts w:ascii="Book Antiqua" w:eastAsia="Calibri" w:hAnsi="Book Antiqua" w:cs="Arial"/>
          <w:sz w:val="24"/>
        </w:rPr>
        <w:t xml:space="preserve">. </w:t>
      </w:r>
      <w:r w:rsidR="002D0A74" w:rsidRPr="001D0C10">
        <w:rPr>
          <w:rFonts w:ascii="Book Antiqua" w:eastAsia="Calibri" w:hAnsi="Book Antiqua" w:cs="Arial"/>
          <w:b/>
          <w:bCs/>
          <w:sz w:val="24"/>
        </w:rPr>
        <w:t>Referencia interna: 1681-2021</w:t>
      </w:r>
      <w:r w:rsidRPr="001D0C10">
        <w:rPr>
          <w:rFonts w:ascii="Book Antiqua" w:eastAsia="Calibri" w:hAnsi="Book Antiqua" w:cs="Arial"/>
          <w:b/>
          <w:bCs/>
          <w:sz w:val="24"/>
        </w:rPr>
        <w:t>.</w:t>
      </w:r>
    </w:p>
    <w:p w14:paraId="19EC5BAC" w14:textId="77777777" w:rsidR="005241AA" w:rsidRPr="005241AA" w:rsidRDefault="005241AA" w:rsidP="005241AA">
      <w:pPr>
        <w:spacing w:after="0" w:line="276" w:lineRule="auto"/>
        <w:jc w:val="both"/>
        <w:rPr>
          <w:rFonts w:ascii="Book Antiqua" w:eastAsia="Calibri" w:hAnsi="Book Antiqua" w:cs="Arial"/>
          <w:sz w:val="24"/>
        </w:rPr>
      </w:pPr>
    </w:p>
    <w:p w14:paraId="198F2C3B" w14:textId="77777777" w:rsidR="005241AA" w:rsidRPr="005241AA" w:rsidRDefault="005241AA" w:rsidP="0090609F">
      <w:pPr>
        <w:numPr>
          <w:ilvl w:val="0"/>
          <w:numId w:val="6"/>
        </w:numPr>
        <w:spacing w:after="0" w:line="276" w:lineRule="auto"/>
        <w:ind w:left="426" w:hanging="426"/>
        <w:contextualSpacing/>
        <w:jc w:val="both"/>
        <w:rPr>
          <w:rFonts w:ascii="Book Antiqua" w:eastAsia="Calibri" w:hAnsi="Book Antiqua" w:cs="Arial"/>
          <w:sz w:val="24"/>
          <w:szCs w:val="24"/>
          <w:lang w:eastAsia="es-CR"/>
        </w:rPr>
      </w:pPr>
      <w:r w:rsidRPr="005241AA">
        <w:rPr>
          <w:rFonts w:ascii="Book Antiqua" w:eastAsia="Calibri" w:hAnsi="Book Antiqua" w:cs="Arial"/>
          <w:b/>
          <w:bCs/>
          <w:sz w:val="24"/>
          <w:szCs w:val="24"/>
          <w:lang w:eastAsia="es-CR"/>
        </w:rPr>
        <w:t>Fondo para el pago transitorio de la obligación alimentaria.</w:t>
      </w:r>
      <w:r w:rsidRPr="005241AA">
        <w:rPr>
          <w:rFonts w:ascii="Book Antiqua" w:eastAsia="Calibri" w:hAnsi="Book Antiqua" w:cs="Arial"/>
          <w:sz w:val="24"/>
          <w:szCs w:val="24"/>
          <w:lang w:eastAsia="es-CR"/>
        </w:rPr>
        <w:t xml:space="preserve"> El artículo 286 dispone la creación de un fondo para el pago transitorio de la obligación alimentaria. </w:t>
      </w:r>
    </w:p>
    <w:p w14:paraId="03621DD6" w14:textId="77777777" w:rsidR="005241AA" w:rsidRDefault="005241AA" w:rsidP="005241AA">
      <w:pPr>
        <w:pStyle w:val="Prrafodelista"/>
        <w:spacing w:line="276" w:lineRule="auto"/>
        <w:ind w:right="616"/>
        <w:rPr>
          <w:rFonts w:cs="Arial"/>
          <w:i/>
          <w:iCs/>
          <w:sz w:val="24"/>
          <w:szCs w:val="24"/>
        </w:rPr>
      </w:pPr>
    </w:p>
    <w:p w14:paraId="68EF6213" w14:textId="49F2D1A9" w:rsidR="005241AA" w:rsidRPr="005241AA" w:rsidRDefault="005241AA" w:rsidP="00391C8F">
      <w:pPr>
        <w:pStyle w:val="Prrafodelista"/>
        <w:spacing w:line="276" w:lineRule="auto"/>
        <w:ind w:right="616"/>
        <w:jc w:val="both"/>
        <w:rPr>
          <w:rFonts w:ascii="Book Antiqua" w:hAnsi="Book Antiqua" w:cs="Arial"/>
          <w:i/>
          <w:iCs/>
          <w:sz w:val="24"/>
          <w:szCs w:val="24"/>
        </w:rPr>
      </w:pPr>
      <w:r w:rsidRPr="005241AA">
        <w:rPr>
          <w:rFonts w:ascii="Book Antiqua" w:hAnsi="Book Antiqua" w:cs="Arial"/>
          <w:i/>
          <w:iCs/>
          <w:sz w:val="24"/>
          <w:szCs w:val="24"/>
        </w:rPr>
        <w:lastRenderedPageBreak/>
        <w:t>“</w:t>
      </w:r>
      <w:r w:rsidRPr="005241AA">
        <w:rPr>
          <w:rFonts w:ascii="Book Antiqua" w:hAnsi="Book Antiqua" w:cs="Arial"/>
          <w:b/>
          <w:bCs/>
          <w:i/>
          <w:iCs/>
          <w:sz w:val="24"/>
          <w:szCs w:val="24"/>
        </w:rPr>
        <w:t xml:space="preserve">Artículo 286- </w:t>
      </w:r>
      <w:bookmarkStart w:id="7" w:name="_Hlk62560647"/>
      <w:r w:rsidRPr="005241AA">
        <w:rPr>
          <w:rFonts w:ascii="Book Antiqua" w:hAnsi="Book Antiqua" w:cs="Arial"/>
          <w:b/>
          <w:bCs/>
          <w:i/>
          <w:iCs/>
          <w:sz w:val="24"/>
          <w:szCs w:val="24"/>
        </w:rPr>
        <w:t>Fondo para el pago transitorio de la obligación alimentaria</w:t>
      </w:r>
      <w:bookmarkEnd w:id="7"/>
      <w:r w:rsidRPr="005241AA">
        <w:rPr>
          <w:rFonts w:ascii="Book Antiqua" w:hAnsi="Book Antiqua" w:cs="Arial"/>
          <w:b/>
          <w:bCs/>
          <w:i/>
          <w:iCs/>
          <w:sz w:val="24"/>
          <w:szCs w:val="24"/>
        </w:rPr>
        <w:t>.</w:t>
      </w:r>
      <w:r w:rsidRPr="005241AA">
        <w:rPr>
          <w:rFonts w:ascii="Book Antiqua" w:hAnsi="Book Antiqua" w:cs="Arial"/>
          <w:i/>
          <w:iCs/>
          <w:sz w:val="24"/>
          <w:szCs w:val="24"/>
        </w:rPr>
        <w:t xml:space="preserve"> Se crea el Fondo de Pensiones Alimentarias para cubrir cualquiera de las obligaciones alimentarias que se encuentren pendientes de pago, total o parcialmente, que por razones debidamente justificadas ante el juzgado de pensiones respectivo no hayan podido ser cubiertas por la persona deudora.</w:t>
      </w:r>
    </w:p>
    <w:p w14:paraId="42927474" w14:textId="77777777" w:rsidR="005241AA" w:rsidRPr="005241AA" w:rsidRDefault="005241AA" w:rsidP="00391C8F">
      <w:pPr>
        <w:pStyle w:val="Prrafodelista"/>
        <w:spacing w:line="276" w:lineRule="auto"/>
        <w:ind w:right="616"/>
        <w:jc w:val="both"/>
        <w:rPr>
          <w:rFonts w:ascii="Book Antiqua" w:hAnsi="Book Antiqua" w:cs="Arial"/>
          <w:i/>
          <w:iCs/>
          <w:sz w:val="24"/>
          <w:szCs w:val="24"/>
        </w:rPr>
      </w:pPr>
    </w:p>
    <w:p w14:paraId="078A6228" w14:textId="77777777" w:rsidR="005241AA" w:rsidRPr="005241AA" w:rsidRDefault="005241AA" w:rsidP="00391C8F">
      <w:pPr>
        <w:pStyle w:val="Prrafodelista"/>
        <w:spacing w:line="276" w:lineRule="auto"/>
        <w:ind w:right="616"/>
        <w:jc w:val="both"/>
        <w:rPr>
          <w:rFonts w:ascii="Book Antiqua" w:hAnsi="Book Antiqua" w:cs="Arial"/>
          <w:i/>
          <w:iCs/>
          <w:sz w:val="24"/>
          <w:szCs w:val="24"/>
        </w:rPr>
      </w:pPr>
      <w:r w:rsidRPr="005241AA">
        <w:rPr>
          <w:rFonts w:ascii="Book Antiqua" w:hAnsi="Book Antiqua" w:cs="Arial"/>
          <w:i/>
          <w:iCs/>
          <w:sz w:val="24"/>
          <w:szCs w:val="24"/>
        </w:rPr>
        <w:t>Para administrar dicho Fondo, la Corte Suprema de Justicia designará el órgano o departamento competente para tales efectos. Sus recursos provendrán del quince por ciento (15%) de los dineros y los intereses por ellos generados, de los depósitos judiciales en cuentas bancarias, certificados a plazo o cualquier otro producto financiero en cualquier tipo de moneda, que provengan de procesos judiciales concluidos o abandonados, previamente así declarados por la autoridad judicial correspondiente.</w:t>
      </w:r>
    </w:p>
    <w:p w14:paraId="62E44E1A" w14:textId="77777777" w:rsidR="005241AA" w:rsidRPr="005241AA" w:rsidRDefault="005241AA" w:rsidP="00391C8F">
      <w:pPr>
        <w:pStyle w:val="Prrafodelista"/>
        <w:spacing w:line="276" w:lineRule="auto"/>
        <w:ind w:right="616"/>
        <w:rPr>
          <w:rFonts w:cs="Arial"/>
          <w:i/>
          <w:iCs/>
          <w:sz w:val="24"/>
          <w:szCs w:val="24"/>
        </w:rPr>
      </w:pPr>
    </w:p>
    <w:p w14:paraId="5F513889" w14:textId="77631ACA" w:rsidR="005241AA" w:rsidRDefault="005241AA" w:rsidP="00391C8F">
      <w:pPr>
        <w:pStyle w:val="Prrafodelista"/>
        <w:spacing w:line="276" w:lineRule="auto"/>
        <w:ind w:right="616"/>
        <w:jc w:val="both"/>
        <w:rPr>
          <w:rFonts w:ascii="Book Antiqua" w:hAnsi="Book Antiqua" w:cs="Arial"/>
          <w:i/>
          <w:iCs/>
          <w:sz w:val="24"/>
          <w:szCs w:val="24"/>
        </w:rPr>
      </w:pPr>
      <w:r w:rsidRPr="005241AA">
        <w:rPr>
          <w:rFonts w:ascii="Book Antiqua" w:hAnsi="Book Antiqua" w:cs="Arial"/>
          <w:i/>
          <w:iCs/>
          <w:sz w:val="24"/>
          <w:szCs w:val="24"/>
        </w:rPr>
        <w:t>El porcentaje indicado en el párrafo anterior deberá aplicarse sobre la totalidad de los recursos existentes al momento de entrar en vigencia la presente ley, y su giro se hará por única vez.</w:t>
      </w:r>
    </w:p>
    <w:p w14:paraId="3007B1BE" w14:textId="77777777" w:rsidR="005241AA" w:rsidRPr="005241AA" w:rsidRDefault="005241AA" w:rsidP="00391C8F">
      <w:pPr>
        <w:pStyle w:val="Prrafodelista"/>
        <w:spacing w:line="276" w:lineRule="auto"/>
        <w:ind w:right="616"/>
        <w:jc w:val="both"/>
        <w:rPr>
          <w:rFonts w:ascii="Book Antiqua" w:hAnsi="Book Antiqua" w:cs="Arial"/>
          <w:i/>
          <w:iCs/>
          <w:sz w:val="24"/>
          <w:szCs w:val="24"/>
        </w:rPr>
      </w:pPr>
    </w:p>
    <w:p w14:paraId="3A030D64" w14:textId="5C12FBC2" w:rsidR="005241AA" w:rsidRPr="005241AA" w:rsidRDefault="005241AA" w:rsidP="00391C8F">
      <w:pPr>
        <w:pStyle w:val="Prrafodelista"/>
        <w:spacing w:line="276" w:lineRule="auto"/>
        <w:ind w:right="616"/>
        <w:jc w:val="both"/>
        <w:rPr>
          <w:rFonts w:ascii="Book Antiqua" w:hAnsi="Book Antiqua" w:cs="Arial"/>
          <w:i/>
          <w:iCs/>
          <w:sz w:val="24"/>
          <w:szCs w:val="24"/>
        </w:rPr>
      </w:pPr>
      <w:r w:rsidRPr="005241AA">
        <w:rPr>
          <w:rFonts w:ascii="Book Antiqua" w:hAnsi="Book Antiqua" w:cs="Arial"/>
          <w:i/>
          <w:iCs/>
          <w:sz w:val="24"/>
          <w:szCs w:val="24"/>
        </w:rPr>
        <w:t>Estos recursos serán utilizados como fondos reembolsables para el pago de la obligación alimentaria y podrán ser utilizados por cualquier persona deudora alimentaria que posea un título de propiedad sobre bienes muebles e inmuebles que pueda ser colocado como garantía real. Para los bienes inmuebles se utilizará la valoración efectuada por la municipalidad correspondiente y, en el caso de los bienes muebles, el valor fiscal del Ministerio de Hacienda.</w:t>
      </w:r>
    </w:p>
    <w:p w14:paraId="54BF878A" w14:textId="77777777" w:rsidR="005241AA" w:rsidRPr="005241AA" w:rsidRDefault="005241AA" w:rsidP="001D0C10">
      <w:pPr>
        <w:spacing w:after="0" w:line="276" w:lineRule="auto"/>
        <w:ind w:left="720" w:right="616"/>
        <w:jc w:val="both"/>
        <w:rPr>
          <w:rFonts w:ascii="Book Antiqua" w:eastAsia="Calibri" w:hAnsi="Book Antiqua" w:cs="Arial"/>
          <w:i/>
          <w:iCs/>
          <w:sz w:val="24"/>
          <w:szCs w:val="24"/>
        </w:rPr>
      </w:pPr>
      <w:r w:rsidRPr="005241AA">
        <w:rPr>
          <w:rFonts w:ascii="Book Antiqua" w:eastAsia="Calibri" w:hAnsi="Book Antiqua" w:cs="Arial"/>
          <w:i/>
          <w:iCs/>
          <w:sz w:val="24"/>
          <w:szCs w:val="24"/>
        </w:rPr>
        <w:t>Los montos que sean desembolsados por el Fondo, a favor de la persona deudora que califique y lo haya solicitado formalmente, devengarán intereses correspondientes a la tasa básica pasiva del Banco Central. En caso de incumplimiento, se seguirá lo dispuesto en la Ley N.º 8624, Ley de Cobro Judicial, de 1 de noviembre de 2007.”.</w:t>
      </w:r>
    </w:p>
    <w:p w14:paraId="52BF8CC1" w14:textId="77777777" w:rsidR="005241AA" w:rsidRPr="005241AA" w:rsidRDefault="005241AA" w:rsidP="005241AA">
      <w:pPr>
        <w:spacing w:after="0" w:line="276" w:lineRule="auto"/>
        <w:jc w:val="both"/>
        <w:rPr>
          <w:rFonts w:ascii="Book Antiqua" w:eastAsia="Calibri" w:hAnsi="Book Antiqua" w:cs="Arial"/>
          <w:sz w:val="24"/>
          <w:szCs w:val="24"/>
        </w:rPr>
      </w:pPr>
    </w:p>
    <w:p w14:paraId="4DBC474B" w14:textId="77777777" w:rsidR="005241AA" w:rsidRPr="005241AA" w:rsidRDefault="005241AA" w:rsidP="002D0A74">
      <w:pPr>
        <w:spacing w:after="0" w:line="276" w:lineRule="auto"/>
        <w:jc w:val="both"/>
        <w:rPr>
          <w:rFonts w:ascii="Book Antiqua" w:eastAsia="Calibri" w:hAnsi="Book Antiqua" w:cs="Arial"/>
          <w:sz w:val="24"/>
          <w:szCs w:val="24"/>
        </w:rPr>
      </w:pPr>
      <w:r w:rsidRPr="005241AA">
        <w:rPr>
          <w:rFonts w:ascii="Book Antiqua" w:eastAsia="Calibri" w:hAnsi="Book Antiqua" w:cs="Arial"/>
          <w:sz w:val="24"/>
          <w:szCs w:val="24"/>
        </w:rPr>
        <w:t xml:space="preserve">Respecto a la operativización del fondo, la Dirección de Planificación emitió el oficio 1937-PLA-EV-2020 el cual fue aprobado por el Consejo Superior en sesión 119-2020 celebrada el 15 de diciembre de 2020, artículo LXVI. </w:t>
      </w:r>
    </w:p>
    <w:p w14:paraId="4B07DE0A" w14:textId="77777777" w:rsidR="005241AA" w:rsidRPr="005241AA" w:rsidRDefault="005241AA" w:rsidP="005241AA">
      <w:pPr>
        <w:spacing w:after="0" w:line="276" w:lineRule="auto"/>
        <w:jc w:val="both"/>
        <w:rPr>
          <w:rFonts w:ascii="Book Antiqua" w:eastAsia="Calibri" w:hAnsi="Book Antiqua" w:cs="Arial"/>
          <w:sz w:val="24"/>
          <w:szCs w:val="24"/>
        </w:rPr>
      </w:pPr>
    </w:p>
    <w:p w14:paraId="2D41F550" w14:textId="77777777" w:rsidR="000B64CF" w:rsidRPr="001D0C10" w:rsidRDefault="000B64CF" w:rsidP="000B64CF">
      <w:pPr>
        <w:spacing w:after="0" w:line="240" w:lineRule="auto"/>
        <w:ind w:left="567" w:right="616"/>
        <w:jc w:val="both"/>
        <w:rPr>
          <w:rFonts w:ascii="Book Antiqua" w:eastAsia="Calibri" w:hAnsi="Book Antiqua" w:cs="Arial"/>
          <w:i/>
          <w:iCs/>
        </w:rPr>
      </w:pPr>
      <w:r w:rsidRPr="001D0C10">
        <w:rPr>
          <w:rFonts w:ascii="Book Antiqua" w:eastAsia="Calibri" w:hAnsi="Book Antiqua" w:cs="Arial"/>
          <w:i/>
          <w:iCs/>
        </w:rPr>
        <w:lastRenderedPageBreak/>
        <w:t xml:space="preserve">“Se acordó: </w:t>
      </w:r>
      <w:r w:rsidRPr="001D0C10">
        <w:rPr>
          <w:rFonts w:ascii="Book Antiqua" w:eastAsia="Calibri" w:hAnsi="Book Antiqua" w:cs="Arial"/>
          <w:b/>
          <w:bCs/>
          <w:i/>
          <w:iCs/>
        </w:rPr>
        <w:t>1.)</w:t>
      </w:r>
      <w:r w:rsidRPr="001D0C10">
        <w:rPr>
          <w:rFonts w:ascii="Book Antiqua" w:eastAsia="Calibri" w:hAnsi="Book Antiqua" w:cs="Arial"/>
          <w:i/>
          <w:iCs/>
        </w:rPr>
        <w:t xml:space="preserve"> Tener por rendido el oficio N° 1937-PLA-EV-2020 de 1 de diciembre de 2020, suscrito por el máster Erick Antonio Mora Leiva, Jefe del Proceso de Planeación y Evaluación, en el que remitió el informe del máster Jorge Fernando Rodríguez Salazar, Jefe interino del Subproceso de Evaluación, relacionado con el “Impacto organizacional y presupuestario en el Poder Judicial a partir de la promulgación del Código Procesal de Familia”, que considera las acciones a seguir para la implementación de la Ley 9747, concretamente, en lo relativo a la operativización de lo dispuesto en el artículo 286 de la Ley 9747 “Código Procesal de Familia”. </w:t>
      </w:r>
      <w:r w:rsidRPr="001D0C10">
        <w:rPr>
          <w:rFonts w:ascii="Book Antiqua" w:eastAsia="Calibri" w:hAnsi="Book Antiqua" w:cs="Arial"/>
          <w:b/>
          <w:bCs/>
          <w:i/>
          <w:iCs/>
        </w:rPr>
        <w:t>2.)</w:t>
      </w:r>
      <w:r w:rsidRPr="001D0C10">
        <w:rPr>
          <w:rFonts w:ascii="Book Antiqua" w:eastAsia="Calibri" w:hAnsi="Book Antiqua" w:cs="Arial"/>
          <w:i/>
          <w:iCs/>
        </w:rPr>
        <w:t xml:space="preserve"> Acoger en todos sus extremos las recomendaciones supra, en consecuencia: a.) Ordenar las coordinaciones necesarias a los entes responsables, a saber, Dirección Ejecutiva, Dirección Jurídica, Departamento Financiero Contable, así como al gestor en materia de familia, a efecto, de que atiendan los puntos destacados como recomendaciones en el presente oficio e informen a este Consejo Superior lo que corresponda. </w:t>
      </w:r>
    </w:p>
    <w:p w14:paraId="2F827BDB" w14:textId="77777777" w:rsidR="000B64CF" w:rsidRPr="001D0C10" w:rsidRDefault="000B64CF" w:rsidP="000B64CF">
      <w:pPr>
        <w:spacing w:after="0" w:line="240" w:lineRule="auto"/>
        <w:ind w:left="567" w:right="616"/>
        <w:jc w:val="both"/>
        <w:rPr>
          <w:rFonts w:ascii="Book Antiqua" w:eastAsia="Calibri" w:hAnsi="Book Antiqua" w:cs="Arial"/>
          <w:i/>
          <w:iCs/>
        </w:rPr>
      </w:pPr>
    </w:p>
    <w:p w14:paraId="5CD307EA" w14:textId="1269A155" w:rsidR="000B64CF" w:rsidRPr="001D0C10" w:rsidRDefault="000B64CF" w:rsidP="000B64CF">
      <w:pPr>
        <w:spacing w:after="0" w:line="240" w:lineRule="auto"/>
        <w:ind w:left="567" w:right="616"/>
        <w:jc w:val="both"/>
        <w:rPr>
          <w:rFonts w:ascii="Book Antiqua" w:eastAsia="Calibri" w:hAnsi="Book Antiqua" w:cs="Arial"/>
          <w:i/>
          <w:iCs/>
        </w:rPr>
      </w:pPr>
      <w:r w:rsidRPr="001D0C10">
        <w:rPr>
          <w:rFonts w:ascii="Book Antiqua" w:eastAsia="Calibri" w:hAnsi="Book Antiqua" w:cs="Arial"/>
          <w:i/>
          <w:iCs/>
        </w:rPr>
        <w:t> La Dirección de Planificación tomará nota para los fines consiguientes.”.</w:t>
      </w:r>
    </w:p>
    <w:p w14:paraId="795F0208" w14:textId="5A0E0895" w:rsidR="002D0A74" w:rsidRDefault="002D0A74" w:rsidP="002D0A74">
      <w:pPr>
        <w:spacing w:after="0" w:line="240" w:lineRule="auto"/>
        <w:ind w:right="616"/>
        <w:jc w:val="both"/>
        <w:rPr>
          <w:rFonts w:ascii="Book Antiqua" w:eastAsia="Calibri" w:hAnsi="Book Antiqua" w:cs="Arial"/>
          <w:i/>
          <w:iCs/>
          <w:sz w:val="24"/>
          <w:szCs w:val="24"/>
        </w:rPr>
      </w:pPr>
    </w:p>
    <w:p w14:paraId="524AF9E7" w14:textId="46FD0318" w:rsidR="002D0A74" w:rsidRDefault="002D0A74" w:rsidP="002D0A74">
      <w:pPr>
        <w:spacing w:after="0" w:line="276" w:lineRule="auto"/>
        <w:ind w:right="49"/>
        <w:jc w:val="both"/>
        <w:rPr>
          <w:rFonts w:ascii="Book Antiqua" w:eastAsia="Calibri" w:hAnsi="Book Antiqua" w:cs="Arial"/>
          <w:sz w:val="24"/>
          <w:szCs w:val="24"/>
        </w:rPr>
      </w:pPr>
      <w:r w:rsidRPr="001D0C10">
        <w:rPr>
          <w:rFonts w:ascii="Book Antiqua" w:eastAsia="Calibri" w:hAnsi="Book Antiqua" w:cs="Arial"/>
          <w:sz w:val="24"/>
          <w:szCs w:val="24"/>
        </w:rPr>
        <w:t xml:space="preserve">Igualmente, se reiteró la necesidad de reglamentar este artículo mediante </w:t>
      </w:r>
      <w:r w:rsidR="007F45F6">
        <w:rPr>
          <w:rFonts w:ascii="Book Antiqua" w:eastAsia="Calibri" w:hAnsi="Book Antiqua" w:cs="Arial"/>
          <w:sz w:val="24"/>
          <w:szCs w:val="24"/>
        </w:rPr>
        <w:t xml:space="preserve">informe de la Dirección de Planificación </w:t>
      </w:r>
      <w:r w:rsidRPr="001D0C10">
        <w:rPr>
          <w:rFonts w:ascii="Book Antiqua" w:eastAsia="Calibri" w:hAnsi="Book Antiqua" w:cs="Arial"/>
          <w:sz w:val="24"/>
          <w:szCs w:val="24"/>
        </w:rPr>
        <w:t xml:space="preserve">979-PLA-MI-2021 </w:t>
      </w:r>
      <w:r w:rsidR="007F45F6">
        <w:rPr>
          <w:rFonts w:ascii="Book Antiqua" w:eastAsia="Calibri" w:hAnsi="Book Antiqua" w:cs="Arial"/>
          <w:sz w:val="24"/>
          <w:szCs w:val="24"/>
        </w:rPr>
        <w:t>del</w:t>
      </w:r>
      <w:r w:rsidRPr="001D0C10">
        <w:rPr>
          <w:rFonts w:ascii="Book Antiqua" w:eastAsia="Calibri" w:hAnsi="Book Antiqua" w:cs="Arial"/>
          <w:sz w:val="24"/>
          <w:szCs w:val="24"/>
        </w:rPr>
        <w:t xml:space="preserve"> 30 de agosto del 2021</w:t>
      </w:r>
      <w:r>
        <w:rPr>
          <w:rFonts w:ascii="Book Antiqua" w:eastAsia="Calibri" w:hAnsi="Book Antiqua" w:cs="Arial"/>
          <w:sz w:val="24"/>
          <w:szCs w:val="24"/>
        </w:rPr>
        <w:t xml:space="preserve">, aprobado por el Consejo Superior en sesión </w:t>
      </w:r>
      <w:r w:rsidRPr="002D0A74">
        <w:rPr>
          <w:rFonts w:ascii="Book Antiqua" w:eastAsia="Calibri" w:hAnsi="Book Antiqua" w:cs="Arial"/>
          <w:sz w:val="24"/>
          <w:szCs w:val="24"/>
        </w:rPr>
        <w:t>79-2021 celebrada el 9 de setiembre de 2021,</w:t>
      </w:r>
      <w:r>
        <w:rPr>
          <w:rFonts w:ascii="Book Antiqua" w:eastAsia="Calibri" w:hAnsi="Book Antiqua" w:cs="Arial"/>
          <w:sz w:val="24"/>
          <w:szCs w:val="24"/>
        </w:rPr>
        <w:t xml:space="preserve"> artículo </w:t>
      </w:r>
      <w:r w:rsidRPr="002D0A74">
        <w:rPr>
          <w:rFonts w:ascii="Book Antiqua" w:eastAsia="Calibri" w:hAnsi="Book Antiqua" w:cs="Arial"/>
          <w:sz w:val="24"/>
          <w:szCs w:val="24"/>
        </w:rPr>
        <w:t>XXXIX</w:t>
      </w:r>
      <w:r>
        <w:rPr>
          <w:rFonts w:ascii="Book Antiqua" w:eastAsia="Calibri" w:hAnsi="Book Antiqua" w:cs="Arial"/>
          <w:sz w:val="24"/>
          <w:szCs w:val="24"/>
        </w:rPr>
        <w:t xml:space="preserve">. </w:t>
      </w:r>
    </w:p>
    <w:p w14:paraId="2FBF305A" w14:textId="239B0232" w:rsidR="002D0A74" w:rsidRDefault="002D0A74" w:rsidP="002D0A74">
      <w:pPr>
        <w:spacing w:after="0" w:line="276" w:lineRule="auto"/>
        <w:ind w:right="49"/>
        <w:jc w:val="both"/>
        <w:rPr>
          <w:rFonts w:ascii="Book Antiqua" w:eastAsia="Calibri" w:hAnsi="Book Antiqua" w:cs="Arial"/>
          <w:sz w:val="24"/>
          <w:szCs w:val="24"/>
        </w:rPr>
      </w:pPr>
    </w:p>
    <w:p w14:paraId="0CB0026C" w14:textId="44B9A67F" w:rsidR="002D0A74" w:rsidRPr="001D0C10" w:rsidRDefault="005D01AA" w:rsidP="001D0C10">
      <w:pPr>
        <w:tabs>
          <w:tab w:val="left" w:pos="3375"/>
        </w:tabs>
        <w:ind w:left="567" w:right="616"/>
        <w:jc w:val="both"/>
        <w:rPr>
          <w:rFonts w:ascii="Book Antiqua" w:hAnsi="Book Antiqua"/>
          <w:b/>
          <w:bCs/>
          <w:i/>
          <w:iCs/>
        </w:rPr>
      </w:pPr>
      <w:r w:rsidRPr="001D0C10">
        <w:rPr>
          <w:rFonts w:ascii="Book Antiqua" w:eastAsia="Calibri" w:hAnsi="Book Antiqua" w:cs="Arial"/>
          <w:i/>
          <w:iCs/>
        </w:rPr>
        <w:t>“</w:t>
      </w:r>
      <w:r w:rsidRPr="001D0C10">
        <w:rPr>
          <w:rFonts w:ascii="Book Antiqua" w:eastAsia="Calibri" w:hAnsi="Book Antiqua"/>
          <w:b/>
          <w:i/>
          <w:iCs/>
        </w:rPr>
        <w:t xml:space="preserve">Se acordó: </w:t>
      </w:r>
      <w:r w:rsidRPr="001D0C10">
        <w:rPr>
          <w:rFonts w:ascii="Book Antiqua" w:eastAsia="Calibri" w:hAnsi="Book Antiqua"/>
          <w:bCs/>
          <w:i/>
          <w:iCs/>
        </w:rPr>
        <w:t>Tener por recibido el oficio N°</w:t>
      </w:r>
      <w:r w:rsidRPr="001D0C10">
        <w:rPr>
          <w:rFonts w:ascii="Book Antiqua" w:eastAsia="Calibri" w:hAnsi="Book Antiqua"/>
          <w:b/>
          <w:i/>
          <w:iCs/>
        </w:rPr>
        <w:t xml:space="preserve"> </w:t>
      </w:r>
      <w:r w:rsidRPr="001D0C10">
        <w:rPr>
          <w:rFonts w:ascii="Book Antiqua" w:hAnsi="Book Antiqua"/>
          <w:i/>
          <w:iCs/>
          <w:lang w:eastAsia="es-ES"/>
        </w:rPr>
        <w:t xml:space="preserve">979-PLA-MI-2021 DEL 30 de agosto del 2021, suscrito por el </w:t>
      </w:r>
      <w:r w:rsidRPr="001D0C10">
        <w:rPr>
          <w:rFonts w:ascii="Book Antiqua" w:hAnsi="Book Antiqua"/>
          <w:i/>
          <w:iCs/>
        </w:rPr>
        <w:t xml:space="preserve">Ingeniero Dixon Li Morales, Jefe interino del Proceso Ejecución de las Operaciones de la Dirección de Planificación, </w:t>
      </w:r>
      <w:r w:rsidRPr="001D0C10">
        <w:rPr>
          <w:rFonts w:ascii="Book Antiqua" w:hAnsi="Book Antiqua"/>
          <w:i/>
          <w:iCs/>
          <w:lang w:eastAsia="es-ES"/>
        </w:rPr>
        <w:t xml:space="preserve">y hacerlo de conocimiento de la </w:t>
      </w:r>
      <w:r w:rsidRPr="001D0C10">
        <w:rPr>
          <w:rFonts w:ascii="Book Antiqua" w:hAnsi="Book Antiqua"/>
          <w:i/>
          <w:iCs/>
          <w:lang w:eastAsia="es-CR"/>
        </w:rPr>
        <w:t xml:space="preserve">Comisión de Familia, Niñez y Adolescencia, </w:t>
      </w:r>
      <w:r w:rsidRPr="001D0C10">
        <w:rPr>
          <w:rFonts w:ascii="Book Antiqua" w:hAnsi="Book Antiqua"/>
          <w:i/>
          <w:iCs/>
          <w:lang w:eastAsia="es-ES"/>
        </w:rPr>
        <w:t xml:space="preserve">las Direcciones </w:t>
      </w:r>
      <w:r w:rsidRPr="001D0C10">
        <w:rPr>
          <w:rFonts w:ascii="Book Antiqua" w:hAnsi="Book Antiqua"/>
          <w:i/>
          <w:iCs/>
          <w:lang w:eastAsia="es-CR"/>
        </w:rPr>
        <w:t>Jurídica, Ejecutiva y el Departamento Financiero Contable, para que valoren la posibilidad de elaborar en conjunto la reglamentación pertinente para operativizar el referido artículo, en caso de que la reforma al mismo (que eventualmente se presente) no sea aprobada por la Asamblea Legislativa antes del 01 de octubre 2022.</w:t>
      </w:r>
      <w:r w:rsidRPr="001D0C10">
        <w:rPr>
          <w:rFonts w:ascii="Book Antiqua" w:hAnsi="Book Antiqua"/>
          <w:b/>
          <w:i/>
          <w:iCs/>
        </w:rPr>
        <w:t>”</w:t>
      </w:r>
    </w:p>
    <w:p w14:paraId="26E377F3" w14:textId="77777777" w:rsidR="000B64CF" w:rsidRPr="000B64CF" w:rsidRDefault="000B64CF" w:rsidP="000B64CF">
      <w:pPr>
        <w:spacing w:after="0" w:line="276" w:lineRule="auto"/>
        <w:jc w:val="both"/>
        <w:rPr>
          <w:rFonts w:ascii="Book Antiqua" w:eastAsia="Calibri" w:hAnsi="Book Antiqua" w:cs="Arial"/>
          <w:sz w:val="24"/>
          <w:szCs w:val="24"/>
        </w:rPr>
      </w:pPr>
    </w:p>
    <w:p w14:paraId="5CE722FB" w14:textId="77777777" w:rsidR="006762A3" w:rsidRPr="006762A3" w:rsidRDefault="006762A3" w:rsidP="006762A3">
      <w:pPr>
        <w:pStyle w:val="Prrafodelista"/>
        <w:keepNext/>
        <w:keepLines/>
        <w:numPr>
          <w:ilvl w:val="0"/>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C84B5F7" w14:textId="43D1A657" w:rsidR="00D71E0B" w:rsidRPr="006762A3" w:rsidRDefault="00D71E0B" w:rsidP="008456A9">
      <w:pPr>
        <w:pStyle w:val="Ttulo2"/>
      </w:pPr>
      <w:r w:rsidRPr="00AE2766">
        <w:t>Despachos y oficinas</w:t>
      </w:r>
      <w:r w:rsidR="003A2362" w:rsidRPr="00AE2766">
        <w:t xml:space="preserve"> judiciales involucradas</w:t>
      </w:r>
    </w:p>
    <w:p w14:paraId="573DE79C" w14:textId="77777777" w:rsidR="00AE2766" w:rsidRDefault="00AE2766" w:rsidP="003A2362">
      <w:pPr>
        <w:spacing w:after="0" w:line="276" w:lineRule="auto"/>
        <w:jc w:val="both"/>
        <w:rPr>
          <w:rFonts w:ascii="Book Antiqua" w:eastAsia="Calibri" w:hAnsi="Book Antiqua" w:cs="Arial"/>
          <w:sz w:val="24"/>
          <w:szCs w:val="24"/>
        </w:rPr>
      </w:pPr>
    </w:p>
    <w:p w14:paraId="301CE304" w14:textId="06BCEA54" w:rsidR="003A2362" w:rsidRDefault="003A2362" w:rsidP="003A2362">
      <w:pPr>
        <w:spacing w:after="0" w:line="276" w:lineRule="auto"/>
        <w:jc w:val="both"/>
        <w:rPr>
          <w:rFonts w:ascii="Book Antiqua" w:eastAsia="Calibri" w:hAnsi="Book Antiqua" w:cs="Arial"/>
          <w:sz w:val="24"/>
          <w:szCs w:val="24"/>
        </w:rPr>
      </w:pPr>
      <w:r w:rsidRPr="003A2362">
        <w:rPr>
          <w:rFonts w:ascii="Book Antiqua" w:eastAsia="Calibri" w:hAnsi="Book Antiqua" w:cs="Arial"/>
          <w:sz w:val="24"/>
          <w:szCs w:val="24"/>
        </w:rPr>
        <w:t>Se establece que el CPF tendrá incidencia directa sobre algunos despachos y oficinas judiciales que conforman los tres ámbitos de acción institucionales (Jurisdiccional, Auxiliar de justicia y Administrativo). A continuación, se enumeran las dependencias judiciales involucradas en la normativa procesal.</w:t>
      </w:r>
    </w:p>
    <w:p w14:paraId="18765669" w14:textId="77777777" w:rsidR="00AE2766" w:rsidRDefault="00AE2766" w:rsidP="003A2362">
      <w:pPr>
        <w:spacing w:after="0" w:line="276" w:lineRule="auto"/>
        <w:jc w:val="both"/>
        <w:rPr>
          <w:rFonts w:ascii="Book Antiqua" w:eastAsia="Calibri" w:hAnsi="Book Antiqua" w:cs="Arial"/>
          <w:sz w:val="24"/>
          <w:szCs w:val="24"/>
        </w:rPr>
      </w:pPr>
    </w:p>
    <w:p w14:paraId="2EC83CFB" w14:textId="38F04DAD" w:rsidR="003A2362" w:rsidRPr="006762A3" w:rsidRDefault="003A2362" w:rsidP="008456A9">
      <w:pPr>
        <w:pStyle w:val="Ttulo2"/>
      </w:pPr>
      <w:r w:rsidRPr="006762A3">
        <w:lastRenderedPageBreak/>
        <w:t>Ámbito Jurisdiccional</w:t>
      </w:r>
    </w:p>
    <w:p w14:paraId="52D8395B" w14:textId="77777777" w:rsidR="003A2362" w:rsidRPr="003A2362" w:rsidRDefault="003A2362" w:rsidP="003A2362">
      <w:pPr>
        <w:spacing w:after="0" w:line="240" w:lineRule="auto"/>
        <w:jc w:val="both"/>
        <w:rPr>
          <w:rFonts w:ascii="Book Antiqua" w:eastAsia="Calibri" w:hAnsi="Book Antiqua" w:cs="Arial"/>
          <w:lang w:val="es-ES_tradnl"/>
        </w:rPr>
      </w:pPr>
    </w:p>
    <w:p w14:paraId="73A5A081" w14:textId="77777777" w:rsidR="003A2362" w:rsidRPr="003A2362" w:rsidRDefault="003A2362" w:rsidP="003A2362">
      <w:pPr>
        <w:spacing w:after="0" w:line="276" w:lineRule="auto"/>
        <w:jc w:val="both"/>
        <w:rPr>
          <w:rFonts w:ascii="Book Antiqua" w:eastAsia="Calibri" w:hAnsi="Book Antiqua" w:cs="Arial"/>
          <w:sz w:val="24"/>
          <w:szCs w:val="24"/>
        </w:rPr>
      </w:pPr>
      <w:r w:rsidRPr="003A2362">
        <w:rPr>
          <w:rFonts w:ascii="Book Antiqua" w:eastAsia="Calibri" w:hAnsi="Book Antiqua" w:cs="Arial"/>
          <w:sz w:val="24"/>
          <w:szCs w:val="24"/>
        </w:rPr>
        <w:t>El CPF está dirigido mayormente a regular la labor de los despachos que en la actualidad son competentes en las materias de Familia y Pensiones Alimentarias, mediante la entrega de una herramienta jurídica específica para tramitar los procesos de esas jurisdicciones. De esta forma, se busca prescindir (o bien reducir de forma significativa) la utilización de otras normativas procesales vigentes, como por ejemplo la ley 7130 “</w:t>
      </w:r>
      <w:r w:rsidRPr="003A2362">
        <w:rPr>
          <w:rFonts w:ascii="Book Antiqua" w:eastAsia="Calibri" w:hAnsi="Book Antiqua" w:cs="Arial"/>
          <w:i/>
          <w:iCs/>
          <w:sz w:val="24"/>
          <w:szCs w:val="24"/>
        </w:rPr>
        <w:t>Código Procesal Civil”.</w:t>
      </w:r>
      <w:r w:rsidRPr="003A2362">
        <w:rPr>
          <w:rFonts w:ascii="Book Antiqua" w:eastAsia="Calibri" w:hAnsi="Book Antiqua" w:cs="Arial"/>
          <w:sz w:val="24"/>
          <w:szCs w:val="24"/>
        </w:rPr>
        <w:t xml:space="preserve"> </w:t>
      </w:r>
    </w:p>
    <w:p w14:paraId="340B5B4B" w14:textId="77777777" w:rsidR="003A2362" w:rsidRPr="003A2362" w:rsidRDefault="003A2362" w:rsidP="003A2362">
      <w:pPr>
        <w:spacing w:after="0" w:line="276" w:lineRule="auto"/>
        <w:jc w:val="both"/>
        <w:rPr>
          <w:rFonts w:ascii="Book Antiqua" w:eastAsia="Calibri" w:hAnsi="Book Antiqua" w:cs="Arial"/>
          <w:sz w:val="24"/>
          <w:szCs w:val="24"/>
        </w:rPr>
      </w:pPr>
    </w:p>
    <w:p w14:paraId="32BA0B69" w14:textId="77777777" w:rsidR="003A2362" w:rsidRPr="003A2362" w:rsidRDefault="003A2362" w:rsidP="003A2362">
      <w:pPr>
        <w:spacing w:after="0" w:line="276" w:lineRule="auto"/>
        <w:jc w:val="both"/>
        <w:rPr>
          <w:rFonts w:ascii="Book Antiqua" w:eastAsia="Calibri" w:hAnsi="Book Antiqua" w:cs="Arial"/>
          <w:sz w:val="24"/>
          <w:szCs w:val="24"/>
        </w:rPr>
      </w:pPr>
      <w:r w:rsidRPr="003A2362">
        <w:rPr>
          <w:rFonts w:ascii="Book Antiqua" w:eastAsia="Calibri" w:hAnsi="Book Antiqua" w:cs="Arial"/>
          <w:sz w:val="24"/>
          <w:szCs w:val="24"/>
        </w:rPr>
        <w:t>Asimismo, el CPF incluye a los juzgados de Violencia Doméstica al incorporar la protección cautelar como un nuevo tipo de proceso dentro de sus competencias vigentes.</w:t>
      </w:r>
    </w:p>
    <w:p w14:paraId="265499B5" w14:textId="77777777" w:rsidR="003A2362" w:rsidRPr="003A2362" w:rsidRDefault="003A2362" w:rsidP="003A2362">
      <w:pPr>
        <w:spacing w:after="0" w:line="276" w:lineRule="auto"/>
        <w:jc w:val="both"/>
        <w:rPr>
          <w:rFonts w:ascii="Book Antiqua" w:eastAsia="Calibri" w:hAnsi="Book Antiqua" w:cs="Arial"/>
          <w:sz w:val="24"/>
          <w:szCs w:val="24"/>
        </w:rPr>
      </w:pPr>
    </w:p>
    <w:p w14:paraId="16997113" w14:textId="77777777" w:rsidR="003A2362" w:rsidRPr="003A2362" w:rsidRDefault="003A2362" w:rsidP="003A2362">
      <w:pPr>
        <w:spacing w:after="0" w:line="276" w:lineRule="auto"/>
        <w:jc w:val="both"/>
        <w:rPr>
          <w:rFonts w:ascii="Book Antiqua" w:eastAsia="Calibri" w:hAnsi="Book Antiqua" w:cs="Arial"/>
          <w:sz w:val="24"/>
          <w:szCs w:val="24"/>
        </w:rPr>
      </w:pPr>
      <w:r w:rsidRPr="003A2362">
        <w:rPr>
          <w:rFonts w:ascii="Book Antiqua" w:eastAsia="Calibri" w:hAnsi="Book Antiqua" w:cs="Arial"/>
          <w:sz w:val="24"/>
          <w:szCs w:val="24"/>
        </w:rPr>
        <w:t xml:space="preserve">En términos generales, los despachos judiciales involucrados en esas tres materias serían:  </w:t>
      </w:r>
    </w:p>
    <w:p w14:paraId="07856969" w14:textId="4CEED6DC" w:rsidR="003A2362" w:rsidRPr="003A2362" w:rsidRDefault="003A2362" w:rsidP="003A236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A2362">
        <w:rPr>
          <w:rFonts w:ascii="Book Antiqua" w:eastAsia="Calibri" w:hAnsi="Book Antiqua" w:cs="Arial"/>
          <w:b/>
          <w:bCs/>
          <w:color w:val="1F497D"/>
          <w:szCs w:val="24"/>
          <w:lang w:val="es-ES" w:eastAsia="es-ES"/>
        </w:rPr>
        <w:t xml:space="preserve">Cuadro </w:t>
      </w:r>
      <w:r w:rsidRPr="003A2362">
        <w:rPr>
          <w:rFonts w:ascii="Book Antiqua" w:eastAsia="Calibri" w:hAnsi="Book Antiqua" w:cs="Arial"/>
          <w:b/>
          <w:bCs/>
          <w:color w:val="1F497D"/>
          <w:szCs w:val="24"/>
          <w:lang w:val="es-ES" w:eastAsia="es-ES"/>
        </w:rPr>
        <w:fldChar w:fldCharType="begin"/>
      </w:r>
      <w:r w:rsidRPr="003A2362">
        <w:rPr>
          <w:rFonts w:ascii="Book Antiqua" w:eastAsia="Calibri" w:hAnsi="Book Antiqua" w:cs="Arial"/>
          <w:b/>
          <w:bCs/>
          <w:color w:val="1F497D"/>
          <w:szCs w:val="24"/>
          <w:lang w:val="es-ES" w:eastAsia="es-ES"/>
        </w:rPr>
        <w:instrText xml:space="preserve"> SEQ Cuadro \* ARABIC </w:instrText>
      </w:r>
      <w:r w:rsidRPr="003A2362">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w:t>
      </w:r>
      <w:r w:rsidRPr="003A2362">
        <w:rPr>
          <w:rFonts w:ascii="Book Antiqua" w:eastAsia="Calibri" w:hAnsi="Book Antiqua" w:cs="Arial"/>
          <w:b/>
          <w:bCs/>
          <w:color w:val="1F497D"/>
          <w:szCs w:val="24"/>
          <w:lang w:val="es-ES" w:eastAsia="es-ES"/>
        </w:rPr>
        <w:fldChar w:fldCharType="end"/>
      </w:r>
      <w:r w:rsidRPr="003A2362">
        <w:rPr>
          <w:rFonts w:ascii="Book Antiqua" w:eastAsia="Calibri" w:hAnsi="Book Antiqua" w:cs="Arial"/>
          <w:b/>
          <w:bCs/>
          <w:color w:val="1F497D"/>
          <w:szCs w:val="24"/>
          <w:lang w:val="es-ES" w:eastAsia="es-ES"/>
        </w:rPr>
        <w:t xml:space="preserve"> </w:t>
      </w:r>
    </w:p>
    <w:p w14:paraId="3DBEE68B" w14:textId="77777777" w:rsidR="003A2362" w:rsidRPr="003A2362" w:rsidRDefault="003A2362" w:rsidP="003A236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A2362">
        <w:rPr>
          <w:rFonts w:ascii="Book Antiqua" w:eastAsia="Calibri" w:hAnsi="Book Antiqua" w:cs="Arial"/>
          <w:b/>
          <w:bCs/>
          <w:color w:val="1F497D"/>
          <w:szCs w:val="24"/>
          <w:lang w:val="es-ES" w:eastAsia="es-ES"/>
        </w:rPr>
        <w:t>Cantidad de despachos jurisdiccionales involucrados en el Código Procesal de Familia</w:t>
      </w:r>
    </w:p>
    <w:tbl>
      <w:tblPr>
        <w:tblW w:w="5000" w:type="pct"/>
        <w:tblCellMar>
          <w:left w:w="70" w:type="dxa"/>
          <w:right w:w="70" w:type="dxa"/>
        </w:tblCellMar>
        <w:tblLook w:val="04A0" w:firstRow="1" w:lastRow="0" w:firstColumn="1" w:lastColumn="0" w:noHBand="0" w:noVBand="1"/>
      </w:tblPr>
      <w:tblGrid>
        <w:gridCol w:w="3205"/>
        <w:gridCol w:w="1765"/>
        <w:gridCol w:w="2296"/>
        <w:gridCol w:w="1552"/>
      </w:tblGrid>
      <w:tr w:rsidR="009407D2" w:rsidRPr="009407D2" w14:paraId="5CD53D32" w14:textId="77777777" w:rsidTr="009407D2">
        <w:trPr>
          <w:trHeight w:val="940"/>
        </w:trPr>
        <w:tc>
          <w:tcPr>
            <w:tcW w:w="1817"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7D459033"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bookmarkStart w:id="8" w:name="OLE_LINK10"/>
            <w:bookmarkStart w:id="9" w:name="OLE_LINK9" w:colFirst="2" w:colLast="3"/>
            <w:r w:rsidRPr="009407D2">
              <w:rPr>
                <w:rFonts w:ascii="Book Antiqua" w:eastAsia="Times New Roman" w:hAnsi="Book Antiqua" w:cs="Calibri"/>
                <w:b/>
                <w:bCs/>
                <w:color w:val="FFFFFF"/>
                <w:sz w:val="24"/>
                <w:szCs w:val="24"/>
                <w:lang w:eastAsia="es-CR"/>
              </w:rPr>
              <w:t>Materia</w:t>
            </w:r>
          </w:p>
        </w:tc>
        <w:tc>
          <w:tcPr>
            <w:tcW w:w="1001" w:type="pct"/>
            <w:tcBorders>
              <w:top w:val="single" w:sz="8" w:space="0" w:color="auto"/>
              <w:left w:val="nil"/>
              <w:bottom w:val="single" w:sz="8" w:space="0" w:color="auto"/>
              <w:right w:val="single" w:sz="8" w:space="0" w:color="auto"/>
            </w:tcBorders>
            <w:shd w:val="clear" w:color="000000" w:fill="002060"/>
            <w:vAlign w:val="center"/>
            <w:hideMark/>
          </w:tcPr>
          <w:p w14:paraId="70B9EAFD"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bookmarkStart w:id="10" w:name="RANGE!C3"/>
            <w:r w:rsidRPr="009407D2">
              <w:rPr>
                <w:rFonts w:ascii="Book Antiqua" w:eastAsia="Times New Roman" w:hAnsi="Book Antiqua" w:cs="Calibri"/>
                <w:b/>
                <w:bCs/>
                <w:color w:val="FFFFFF"/>
                <w:sz w:val="24"/>
                <w:szCs w:val="24"/>
                <w:lang w:eastAsia="es-CR"/>
              </w:rPr>
              <w:t>Especializados</w:t>
            </w:r>
            <w:bookmarkEnd w:id="10"/>
          </w:p>
        </w:tc>
        <w:tc>
          <w:tcPr>
            <w:tcW w:w="1302" w:type="pct"/>
            <w:tcBorders>
              <w:top w:val="single" w:sz="8" w:space="0" w:color="auto"/>
              <w:left w:val="nil"/>
              <w:bottom w:val="single" w:sz="8" w:space="0" w:color="auto"/>
              <w:right w:val="single" w:sz="8" w:space="0" w:color="auto"/>
            </w:tcBorders>
            <w:shd w:val="clear" w:color="000000" w:fill="002060"/>
            <w:vAlign w:val="center"/>
            <w:hideMark/>
          </w:tcPr>
          <w:p w14:paraId="2778E36C"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Mixtos y Contravencionales</w:t>
            </w:r>
          </w:p>
        </w:tc>
        <w:tc>
          <w:tcPr>
            <w:tcW w:w="880" w:type="pct"/>
            <w:tcBorders>
              <w:top w:val="single" w:sz="8" w:space="0" w:color="auto"/>
              <w:left w:val="nil"/>
              <w:bottom w:val="single" w:sz="8" w:space="0" w:color="auto"/>
              <w:right w:val="single" w:sz="8" w:space="0" w:color="auto"/>
            </w:tcBorders>
            <w:shd w:val="clear" w:color="000000" w:fill="002060"/>
            <w:vAlign w:val="center"/>
            <w:hideMark/>
          </w:tcPr>
          <w:p w14:paraId="63B97548"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Total</w:t>
            </w:r>
          </w:p>
        </w:tc>
      </w:tr>
      <w:tr w:rsidR="009407D2" w:rsidRPr="009407D2" w14:paraId="1332E3DD" w14:textId="77777777" w:rsidTr="009407D2">
        <w:trPr>
          <w:trHeight w:val="320"/>
        </w:trPr>
        <w:tc>
          <w:tcPr>
            <w:tcW w:w="1817" w:type="pct"/>
            <w:tcBorders>
              <w:top w:val="nil"/>
              <w:left w:val="single" w:sz="8" w:space="0" w:color="auto"/>
              <w:bottom w:val="single" w:sz="8" w:space="0" w:color="auto"/>
              <w:right w:val="single" w:sz="8" w:space="0" w:color="auto"/>
            </w:tcBorders>
            <w:shd w:val="clear" w:color="auto" w:fill="auto"/>
            <w:vAlign w:val="center"/>
            <w:hideMark/>
          </w:tcPr>
          <w:p w14:paraId="7B999288" w14:textId="77777777" w:rsidR="009407D2" w:rsidRPr="009407D2" w:rsidRDefault="009407D2" w:rsidP="009407D2">
            <w:pPr>
              <w:spacing w:after="0" w:line="240" w:lineRule="auto"/>
              <w:jc w:val="both"/>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Familia</w:t>
            </w:r>
          </w:p>
        </w:tc>
        <w:tc>
          <w:tcPr>
            <w:tcW w:w="1001" w:type="pct"/>
            <w:tcBorders>
              <w:top w:val="nil"/>
              <w:left w:val="nil"/>
              <w:bottom w:val="single" w:sz="8" w:space="0" w:color="auto"/>
              <w:right w:val="single" w:sz="8" w:space="0" w:color="auto"/>
            </w:tcBorders>
            <w:shd w:val="clear" w:color="auto" w:fill="auto"/>
            <w:vAlign w:val="center"/>
            <w:hideMark/>
          </w:tcPr>
          <w:p w14:paraId="4D9776C6"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14</w:t>
            </w:r>
          </w:p>
        </w:tc>
        <w:tc>
          <w:tcPr>
            <w:tcW w:w="1302" w:type="pct"/>
            <w:tcBorders>
              <w:top w:val="nil"/>
              <w:left w:val="nil"/>
              <w:bottom w:val="single" w:sz="8" w:space="0" w:color="auto"/>
              <w:right w:val="single" w:sz="8" w:space="0" w:color="auto"/>
            </w:tcBorders>
            <w:shd w:val="clear" w:color="auto" w:fill="auto"/>
            <w:vAlign w:val="center"/>
            <w:hideMark/>
          </w:tcPr>
          <w:p w14:paraId="46B45E13"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17*</w:t>
            </w:r>
          </w:p>
        </w:tc>
        <w:tc>
          <w:tcPr>
            <w:tcW w:w="880" w:type="pct"/>
            <w:tcBorders>
              <w:top w:val="nil"/>
              <w:left w:val="nil"/>
              <w:bottom w:val="single" w:sz="8" w:space="0" w:color="auto"/>
              <w:right w:val="single" w:sz="8" w:space="0" w:color="auto"/>
            </w:tcBorders>
            <w:shd w:val="clear" w:color="auto" w:fill="auto"/>
            <w:vAlign w:val="center"/>
            <w:hideMark/>
          </w:tcPr>
          <w:p w14:paraId="1089D812" w14:textId="6FAF2E71"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3</w:t>
            </w:r>
            <w:r w:rsidR="003B2DF1">
              <w:rPr>
                <w:rFonts w:ascii="Book Antiqua" w:eastAsia="Times New Roman" w:hAnsi="Book Antiqua" w:cs="Calibri"/>
                <w:color w:val="000000"/>
                <w:sz w:val="24"/>
                <w:szCs w:val="24"/>
                <w:lang w:eastAsia="es-CR"/>
              </w:rPr>
              <w:t>1</w:t>
            </w:r>
          </w:p>
        </w:tc>
      </w:tr>
      <w:tr w:rsidR="009407D2" w:rsidRPr="009407D2" w14:paraId="785ED168" w14:textId="77777777" w:rsidTr="001D0C10">
        <w:trPr>
          <w:trHeight w:val="372"/>
        </w:trPr>
        <w:tc>
          <w:tcPr>
            <w:tcW w:w="1817" w:type="pct"/>
            <w:tcBorders>
              <w:top w:val="nil"/>
              <w:left w:val="single" w:sz="8" w:space="0" w:color="auto"/>
              <w:bottom w:val="single" w:sz="8" w:space="0" w:color="auto"/>
              <w:right w:val="single" w:sz="8" w:space="0" w:color="auto"/>
            </w:tcBorders>
            <w:shd w:val="clear" w:color="auto" w:fill="auto"/>
            <w:vAlign w:val="center"/>
            <w:hideMark/>
          </w:tcPr>
          <w:p w14:paraId="225C470A" w14:textId="77777777" w:rsidR="009407D2" w:rsidRPr="009407D2" w:rsidRDefault="009407D2" w:rsidP="009407D2">
            <w:pPr>
              <w:spacing w:after="0" w:line="240" w:lineRule="auto"/>
              <w:jc w:val="both"/>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Violencia Doméstica</w:t>
            </w:r>
          </w:p>
        </w:tc>
        <w:tc>
          <w:tcPr>
            <w:tcW w:w="1001" w:type="pct"/>
            <w:tcBorders>
              <w:top w:val="nil"/>
              <w:left w:val="nil"/>
              <w:bottom w:val="single" w:sz="8" w:space="0" w:color="auto"/>
              <w:right w:val="single" w:sz="8" w:space="0" w:color="auto"/>
            </w:tcBorders>
            <w:shd w:val="clear" w:color="auto" w:fill="auto"/>
            <w:vAlign w:val="center"/>
            <w:hideMark/>
          </w:tcPr>
          <w:p w14:paraId="491E157C"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12</w:t>
            </w:r>
          </w:p>
        </w:tc>
        <w:tc>
          <w:tcPr>
            <w:tcW w:w="1302" w:type="pct"/>
            <w:tcBorders>
              <w:top w:val="nil"/>
              <w:left w:val="nil"/>
              <w:bottom w:val="single" w:sz="8" w:space="0" w:color="auto"/>
              <w:right w:val="single" w:sz="8" w:space="0" w:color="auto"/>
            </w:tcBorders>
            <w:shd w:val="clear" w:color="auto" w:fill="auto"/>
            <w:vAlign w:val="center"/>
            <w:hideMark/>
          </w:tcPr>
          <w:p w14:paraId="222B217F"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62</w:t>
            </w:r>
          </w:p>
        </w:tc>
        <w:tc>
          <w:tcPr>
            <w:tcW w:w="880" w:type="pct"/>
            <w:tcBorders>
              <w:top w:val="nil"/>
              <w:left w:val="nil"/>
              <w:bottom w:val="single" w:sz="8" w:space="0" w:color="auto"/>
              <w:right w:val="single" w:sz="8" w:space="0" w:color="auto"/>
            </w:tcBorders>
            <w:shd w:val="clear" w:color="auto" w:fill="auto"/>
            <w:vAlign w:val="center"/>
            <w:hideMark/>
          </w:tcPr>
          <w:p w14:paraId="6BB0CABE"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74</w:t>
            </w:r>
          </w:p>
        </w:tc>
      </w:tr>
      <w:tr w:rsidR="009407D2" w:rsidRPr="009407D2" w14:paraId="288F9529" w14:textId="77777777" w:rsidTr="001D0C10">
        <w:trPr>
          <w:trHeight w:val="406"/>
        </w:trPr>
        <w:tc>
          <w:tcPr>
            <w:tcW w:w="1817" w:type="pct"/>
            <w:tcBorders>
              <w:top w:val="nil"/>
              <w:left w:val="single" w:sz="8" w:space="0" w:color="auto"/>
              <w:bottom w:val="single" w:sz="8" w:space="0" w:color="auto"/>
              <w:right w:val="single" w:sz="8" w:space="0" w:color="auto"/>
            </w:tcBorders>
            <w:shd w:val="clear" w:color="auto" w:fill="auto"/>
            <w:vAlign w:val="center"/>
            <w:hideMark/>
          </w:tcPr>
          <w:p w14:paraId="689482AF" w14:textId="77777777" w:rsidR="009407D2" w:rsidRPr="009407D2" w:rsidRDefault="009407D2" w:rsidP="009407D2">
            <w:pPr>
              <w:spacing w:after="0" w:line="240" w:lineRule="auto"/>
              <w:jc w:val="both"/>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Pensiones Alimentarias</w:t>
            </w:r>
          </w:p>
        </w:tc>
        <w:tc>
          <w:tcPr>
            <w:tcW w:w="1001" w:type="pct"/>
            <w:tcBorders>
              <w:top w:val="nil"/>
              <w:left w:val="nil"/>
              <w:bottom w:val="single" w:sz="8" w:space="0" w:color="auto"/>
              <w:right w:val="single" w:sz="8" w:space="0" w:color="auto"/>
            </w:tcBorders>
            <w:shd w:val="clear" w:color="auto" w:fill="auto"/>
            <w:vAlign w:val="center"/>
            <w:hideMark/>
          </w:tcPr>
          <w:p w14:paraId="24664FD0"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12</w:t>
            </w:r>
          </w:p>
        </w:tc>
        <w:tc>
          <w:tcPr>
            <w:tcW w:w="1302" w:type="pct"/>
            <w:tcBorders>
              <w:top w:val="nil"/>
              <w:left w:val="nil"/>
              <w:bottom w:val="single" w:sz="8" w:space="0" w:color="auto"/>
              <w:right w:val="single" w:sz="8" w:space="0" w:color="auto"/>
            </w:tcBorders>
            <w:shd w:val="clear" w:color="auto" w:fill="auto"/>
            <w:vAlign w:val="center"/>
            <w:hideMark/>
          </w:tcPr>
          <w:p w14:paraId="0410A90C"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64</w:t>
            </w:r>
          </w:p>
        </w:tc>
        <w:tc>
          <w:tcPr>
            <w:tcW w:w="880" w:type="pct"/>
            <w:tcBorders>
              <w:top w:val="nil"/>
              <w:left w:val="nil"/>
              <w:bottom w:val="single" w:sz="8" w:space="0" w:color="auto"/>
              <w:right w:val="single" w:sz="8" w:space="0" w:color="auto"/>
            </w:tcBorders>
            <w:shd w:val="clear" w:color="auto" w:fill="auto"/>
            <w:vAlign w:val="center"/>
            <w:hideMark/>
          </w:tcPr>
          <w:p w14:paraId="0E31D39B" w14:textId="77777777" w:rsidR="009407D2" w:rsidRPr="009407D2" w:rsidRDefault="009407D2" w:rsidP="009407D2">
            <w:pPr>
              <w:spacing w:after="0" w:line="240" w:lineRule="auto"/>
              <w:jc w:val="center"/>
              <w:rPr>
                <w:rFonts w:ascii="Book Antiqua" w:eastAsia="Times New Roman" w:hAnsi="Book Antiqua" w:cs="Calibri"/>
                <w:color w:val="000000"/>
                <w:sz w:val="24"/>
                <w:szCs w:val="24"/>
                <w:lang w:eastAsia="es-CR"/>
              </w:rPr>
            </w:pPr>
            <w:r w:rsidRPr="009407D2">
              <w:rPr>
                <w:rFonts w:ascii="Book Antiqua" w:eastAsia="Times New Roman" w:hAnsi="Book Antiqua" w:cs="Calibri"/>
                <w:color w:val="000000"/>
                <w:sz w:val="24"/>
                <w:szCs w:val="24"/>
                <w:lang w:eastAsia="es-CR"/>
              </w:rPr>
              <w:t>76</w:t>
            </w:r>
          </w:p>
        </w:tc>
      </w:tr>
      <w:tr w:rsidR="009407D2" w:rsidRPr="009407D2" w14:paraId="6F299D9E" w14:textId="77777777" w:rsidTr="009407D2">
        <w:trPr>
          <w:trHeight w:val="320"/>
        </w:trPr>
        <w:tc>
          <w:tcPr>
            <w:tcW w:w="1817" w:type="pct"/>
            <w:tcBorders>
              <w:top w:val="nil"/>
              <w:left w:val="single" w:sz="8" w:space="0" w:color="auto"/>
              <w:bottom w:val="single" w:sz="8" w:space="0" w:color="auto"/>
              <w:right w:val="single" w:sz="8" w:space="0" w:color="auto"/>
            </w:tcBorders>
            <w:shd w:val="clear" w:color="000000" w:fill="808080"/>
            <w:noWrap/>
            <w:vAlign w:val="center"/>
            <w:hideMark/>
          </w:tcPr>
          <w:p w14:paraId="275A140C" w14:textId="77777777" w:rsidR="009407D2" w:rsidRPr="009407D2" w:rsidRDefault="009407D2" w:rsidP="009407D2">
            <w:pPr>
              <w:spacing w:after="0" w:line="240" w:lineRule="auto"/>
              <w:jc w:val="right"/>
              <w:rPr>
                <w:rFonts w:ascii="Book Antiqua" w:eastAsia="Times New Roman" w:hAnsi="Book Antiqua" w:cs="Calibri"/>
                <w:b/>
                <w:bCs/>
                <w:color w:val="FFFFFF"/>
                <w:sz w:val="24"/>
                <w:szCs w:val="24"/>
                <w:lang w:eastAsia="es-CR"/>
              </w:rPr>
            </w:pPr>
            <w:bookmarkStart w:id="11" w:name="_Hlk97267091"/>
            <w:r w:rsidRPr="009407D2">
              <w:rPr>
                <w:rFonts w:ascii="Book Antiqua" w:eastAsia="Times New Roman" w:hAnsi="Book Antiqua" w:cs="Calibri"/>
                <w:b/>
                <w:bCs/>
                <w:color w:val="FFFFFF"/>
                <w:sz w:val="24"/>
                <w:szCs w:val="24"/>
                <w:lang w:eastAsia="es-CR"/>
              </w:rPr>
              <w:t>Total</w:t>
            </w:r>
          </w:p>
        </w:tc>
        <w:tc>
          <w:tcPr>
            <w:tcW w:w="1001" w:type="pct"/>
            <w:tcBorders>
              <w:top w:val="nil"/>
              <w:left w:val="nil"/>
              <w:bottom w:val="single" w:sz="8" w:space="0" w:color="auto"/>
              <w:right w:val="single" w:sz="8" w:space="0" w:color="auto"/>
            </w:tcBorders>
            <w:shd w:val="clear" w:color="000000" w:fill="808080"/>
            <w:noWrap/>
            <w:vAlign w:val="center"/>
            <w:hideMark/>
          </w:tcPr>
          <w:p w14:paraId="45BFD525"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38</w:t>
            </w:r>
          </w:p>
        </w:tc>
        <w:tc>
          <w:tcPr>
            <w:tcW w:w="1302" w:type="pct"/>
            <w:tcBorders>
              <w:top w:val="nil"/>
              <w:left w:val="nil"/>
              <w:bottom w:val="single" w:sz="8" w:space="0" w:color="auto"/>
              <w:right w:val="single" w:sz="8" w:space="0" w:color="auto"/>
            </w:tcBorders>
            <w:shd w:val="clear" w:color="000000" w:fill="808080"/>
            <w:noWrap/>
            <w:vAlign w:val="center"/>
            <w:hideMark/>
          </w:tcPr>
          <w:p w14:paraId="6B60BC8A"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143</w:t>
            </w:r>
          </w:p>
        </w:tc>
        <w:tc>
          <w:tcPr>
            <w:tcW w:w="880" w:type="pct"/>
            <w:tcBorders>
              <w:top w:val="nil"/>
              <w:left w:val="nil"/>
              <w:bottom w:val="single" w:sz="8" w:space="0" w:color="auto"/>
              <w:right w:val="single" w:sz="8" w:space="0" w:color="auto"/>
            </w:tcBorders>
            <w:shd w:val="clear" w:color="000000" w:fill="808080"/>
            <w:noWrap/>
            <w:vAlign w:val="center"/>
            <w:hideMark/>
          </w:tcPr>
          <w:p w14:paraId="792DDAA3" w14:textId="77777777" w:rsidR="009407D2" w:rsidRPr="009407D2" w:rsidRDefault="009407D2" w:rsidP="009407D2">
            <w:pPr>
              <w:spacing w:after="0" w:line="240" w:lineRule="auto"/>
              <w:jc w:val="center"/>
              <w:rPr>
                <w:rFonts w:ascii="Book Antiqua" w:eastAsia="Times New Roman" w:hAnsi="Book Antiqua" w:cs="Calibri"/>
                <w:b/>
                <w:bCs/>
                <w:color w:val="FFFFFF"/>
                <w:sz w:val="24"/>
                <w:szCs w:val="24"/>
                <w:lang w:eastAsia="es-CR"/>
              </w:rPr>
            </w:pPr>
            <w:r w:rsidRPr="009407D2">
              <w:rPr>
                <w:rFonts w:ascii="Book Antiqua" w:eastAsia="Times New Roman" w:hAnsi="Book Antiqua" w:cs="Calibri"/>
                <w:b/>
                <w:bCs/>
                <w:color w:val="FFFFFF"/>
                <w:sz w:val="24"/>
                <w:szCs w:val="24"/>
                <w:lang w:eastAsia="es-CR"/>
              </w:rPr>
              <w:t>181</w:t>
            </w:r>
            <w:bookmarkEnd w:id="8"/>
          </w:p>
        </w:tc>
      </w:tr>
    </w:tbl>
    <w:p w14:paraId="04C8D7FC" w14:textId="13BF4590" w:rsidR="00D00CB4" w:rsidRDefault="009407D2" w:rsidP="009C01E1">
      <w:pPr>
        <w:spacing w:line="276" w:lineRule="auto"/>
        <w:jc w:val="both"/>
        <w:rPr>
          <w:rFonts w:ascii="Book Antiqua" w:eastAsia="Calibri" w:hAnsi="Book Antiqua" w:cs="Arial"/>
          <w:i/>
          <w:iCs/>
          <w:sz w:val="20"/>
          <w:szCs w:val="20"/>
        </w:rPr>
      </w:pPr>
      <w:bookmarkStart w:id="12" w:name="_Hlk93930185"/>
      <w:bookmarkEnd w:id="9"/>
      <w:r w:rsidRPr="007D4541">
        <w:rPr>
          <w:rFonts w:ascii="Book Antiqua" w:hAnsi="Book Antiqua"/>
          <w:i/>
          <w:iCs/>
          <w:sz w:val="20"/>
          <w:szCs w:val="20"/>
        </w:rPr>
        <w:t xml:space="preserve">Fuente: </w:t>
      </w:r>
      <w:r w:rsidRPr="007D4541">
        <w:rPr>
          <w:rFonts w:ascii="Book Antiqua" w:eastAsia="Calibri" w:hAnsi="Book Antiqua" w:cs="Arial"/>
          <w:i/>
          <w:iCs/>
          <w:sz w:val="20"/>
          <w:szCs w:val="20"/>
        </w:rPr>
        <w:t>Subproceso de Modernización Institucional</w:t>
      </w:r>
      <w:r w:rsidR="001B35A8">
        <w:rPr>
          <w:rFonts w:ascii="Book Antiqua" w:eastAsia="Calibri" w:hAnsi="Book Antiqua" w:cs="Arial"/>
          <w:i/>
          <w:iCs/>
          <w:sz w:val="20"/>
          <w:szCs w:val="20"/>
        </w:rPr>
        <w:t>.</w:t>
      </w:r>
    </w:p>
    <w:bookmarkEnd w:id="11"/>
    <w:bookmarkEnd w:id="12"/>
    <w:p w14:paraId="468AB930" w14:textId="3D5E0C7C" w:rsidR="007D4541" w:rsidRPr="007D4541" w:rsidRDefault="007D4541" w:rsidP="009C01E1">
      <w:pPr>
        <w:spacing w:line="276" w:lineRule="auto"/>
        <w:jc w:val="both"/>
        <w:rPr>
          <w:rFonts w:ascii="Book Antiqua" w:hAnsi="Book Antiqua"/>
          <w:i/>
          <w:iCs/>
          <w:sz w:val="20"/>
          <w:szCs w:val="20"/>
        </w:rPr>
      </w:pPr>
      <w:r>
        <w:rPr>
          <w:rFonts w:ascii="Book Antiqua" w:eastAsia="Calibri" w:hAnsi="Book Antiqua" w:cs="Arial"/>
          <w:i/>
          <w:iCs/>
          <w:sz w:val="20"/>
          <w:szCs w:val="20"/>
        </w:rPr>
        <w:t>*Se incluye la Sala Segunda y el Tribunal de Familia</w:t>
      </w:r>
    </w:p>
    <w:p w14:paraId="1BB56A76" w14:textId="647BB2F7" w:rsidR="0000734D" w:rsidRPr="0000734D" w:rsidRDefault="0000734D" w:rsidP="0000734D">
      <w:pPr>
        <w:spacing w:after="0" w:line="276" w:lineRule="auto"/>
        <w:jc w:val="both"/>
        <w:rPr>
          <w:rFonts w:ascii="Book Antiqua" w:eastAsia="Calibri" w:hAnsi="Book Antiqua" w:cs="Arial"/>
          <w:sz w:val="24"/>
          <w:szCs w:val="24"/>
        </w:rPr>
      </w:pPr>
      <w:r w:rsidRPr="0000734D">
        <w:rPr>
          <w:rFonts w:ascii="Book Antiqua" w:eastAsia="Calibri" w:hAnsi="Book Antiqua" w:cs="Arial"/>
          <w:sz w:val="24"/>
          <w:szCs w:val="24"/>
        </w:rPr>
        <w:t>De los 181 despachos</w:t>
      </w:r>
      <w:r>
        <w:rPr>
          <w:rFonts w:ascii="Book Antiqua" w:eastAsia="Calibri" w:hAnsi="Book Antiqua" w:cs="Arial"/>
          <w:sz w:val="24"/>
          <w:szCs w:val="24"/>
        </w:rPr>
        <w:t>,</w:t>
      </w:r>
      <w:r w:rsidRPr="0000734D">
        <w:rPr>
          <w:rFonts w:ascii="Book Antiqua" w:eastAsia="Calibri" w:hAnsi="Book Antiqua" w:cs="Arial"/>
          <w:sz w:val="24"/>
          <w:szCs w:val="24"/>
        </w:rPr>
        <w:t xml:space="preserve"> se debe aclarar que se identifican 6</w:t>
      </w:r>
      <w:r w:rsidR="00486439">
        <w:rPr>
          <w:rFonts w:ascii="Book Antiqua" w:eastAsia="Calibri" w:hAnsi="Book Antiqua" w:cs="Arial"/>
          <w:sz w:val="24"/>
          <w:szCs w:val="24"/>
        </w:rPr>
        <w:t>3</w:t>
      </w:r>
      <w:r w:rsidRPr="0000734D">
        <w:rPr>
          <w:rFonts w:ascii="Book Antiqua" w:eastAsia="Calibri" w:hAnsi="Book Antiqua" w:cs="Arial"/>
          <w:sz w:val="24"/>
          <w:szCs w:val="24"/>
        </w:rPr>
        <w:t xml:space="preserve"> despachos con competencia en dos materias, ya sea Familia y Violencia Doméstica, o bien Pensiones Alimentarias y Violencia Doméstica. Por lo anterior, al excluirlos del dato global, se obtiene que en la realidad la totalidad de despachos judiciales implicados en el Código Procesal de </w:t>
      </w:r>
      <w:r w:rsidR="00E354F4" w:rsidRPr="0000734D">
        <w:rPr>
          <w:rFonts w:ascii="Book Antiqua" w:eastAsia="Calibri" w:hAnsi="Book Antiqua" w:cs="Arial"/>
          <w:sz w:val="24"/>
          <w:szCs w:val="24"/>
        </w:rPr>
        <w:t>Familia</w:t>
      </w:r>
      <w:r w:rsidRPr="0000734D">
        <w:rPr>
          <w:rFonts w:ascii="Book Antiqua" w:eastAsia="Calibri" w:hAnsi="Book Antiqua" w:cs="Arial"/>
          <w:sz w:val="24"/>
          <w:szCs w:val="24"/>
        </w:rPr>
        <w:t xml:space="preserve"> se estima en 11</w:t>
      </w:r>
      <w:r w:rsidR="008D6914">
        <w:rPr>
          <w:rFonts w:ascii="Book Antiqua" w:eastAsia="Calibri" w:hAnsi="Book Antiqua" w:cs="Arial"/>
          <w:sz w:val="24"/>
          <w:szCs w:val="24"/>
        </w:rPr>
        <w:t>8</w:t>
      </w:r>
      <w:r w:rsidRPr="0000734D">
        <w:rPr>
          <w:rFonts w:ascii="Book Antiqua" w:eastAsia="Calibri" w:hAnsi="Book Antiqua" w:cs="Arial"/>
          <w:sz w:val="24"/>
          <w:szCs w:val="24"/>
        </w:rPr>
        <w:t xml:space="preserve"> juzgados. </w:t>
      </w:r>
    </w:p>
    <w:p w14:paraId="41027761" w14:textId="37216BDD" w:rsidR="0000734D" w:rsidRPr="0000734D" w:rsidRDefault="0000734D" w:rsidP="0000734D">
      <w:pPr>
        <w:spacing w:after="0" w:line="276" w:lineRule="auto"/>
        <w:jc w:val="both"/>
        <w:rPr>
          <w:rFonts w:ascii="Book Antiqua" w:eastAsia="Calibri" w:hAnsi="Book Antiqua" w:cs="Arial"/>
          <w:sz w:val="24"/>
          <w:szCs w:val="24"/>
        </w:rPr>
      </w:pPr>
      <w:r w:rsidRPr="0000734D">
        <w:rPr>
          <w:rFonts w:ascii="Book Antiqua" w:eastAsia="Calibri" w:hAnsi="Book Antiqua" w:cs="Arial"/>
          <w:sz w:val="24"/>
          <w:szCs w:val="24"/>
        </w:rPr>
        <w:t>En el siguiente cuadro se muestran los 11</w:t>
      </w:r>
      <w:r w:rsidR="008D6914">
        <w:rPr>
          <w:rFonts w:ascii="Book Antiqua" w:eastAsia="Calibri" w:hAnsi="Book Antiqua" w:cs="Arial"/>
          <w:sz w:val="24"/>
          <w:szCs w:val="24"/>
        </w:rPr>
        <w:t>8</w:t>
      </w:r>
      <w:r w:rsidRPr="0000734D">
        <w:rPr>
          <w:rFonts w:ascii="Book Antiqua" w:eastAsia="Calibri" w:hAnsi="Book Antiqua" w:cs="Arial"/>
          <w:sz w:val="24"/>
          <w:szCs w:val="24"/>
        </w:rPr>
        <w:t xml:space="preserve"> despachos de Familia, Violencia Doméstica y Pensiones Alimentarias en el país, incluyendo los Juzgados </w:t>
      </w:r>
      <w:r w:rsidRPr="0000734D">
        <w:rPr>
          <w:rFonts w:ascii="Book Antiqua" w:eastAsia="Calibri" w:hAnsi="Book Antiqua" w:cs="Arial"/>
          <w:sz w:val="24"/>
          <w:szCs w:val="24"/>
        </w:rPr>
        <w:lastRenderedPageBreak/>
        <w:t xml:space="preserve">Contravencionales, ya que en el caso que en la zona no haya despacho de Familia, o Violencia Doméstica estos asumirían el caso. </w:t>
      </w:r>
    </w:p>
    <w:p w14:paraId="02F776BD" w14:textId="6A92E615" w:rsidR="009407D2" w:rsidRDefault="009407D2" w:rsidP="009C01E1">
      <w:pPr>
        <w:spacing w:line="276" w:lineRule="auto"/>
        <w:jc w:val="both"/>
        <w:rPr>
          <w:rFonts w:ascii="Book Antiqua" w:hAnsi="Book Antiqua"/>
          <w:sz w:val="24"/>
          <w:szCs w:val="24"/>
        </w:rPr>
      </w:pPr>
    </w:p>
    <w:p w14:paraId="0172BF78" w14:textId="4277B890" w:rsidR="00B11504" w:rsidRDefault="00B11504" w:rsidP="00B1150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11504">
        <w:rPr>
          <w:rFonts w:ascii="Book Antiqua" w:eastAsia="Calibri" w:hAnsi="Book Antiqua" w:cs="Arial"/>
          <w:b/>
          <w:bCs/>
          <w:color w:val="1F497D"/>
          <w:szCs w:val="24"/>
          <w:lang w:val="es-ES" w:eastAsia="es-ES"/>
        </w:rPr>
        <w:t xml:space="preserve">Cuadro </w:t>
      </w:r>
      <w:r w:rsidRPr="00B11504">
        <w:rPr>
          <w:rFonts w:ascii="Book Antiqua" w:eastAsia="Calibri" w:hAnsi="Book Antiqua" w:cs="Arial"/>
          <w:b/>
          <w:bCs/>
          <w:color w:val="1F497D"/>
          <w:szCs w:val="24"/>
          <w:lang w:val="es-ES" w:eastAsia="es-ES"/>
        </w:rPr>
        <w:fldChar w:fldCharType="begin"/>
      </w:r>
      <w:r w:rsidRPr="00B11504">
        <w:rPr>
          <w:rFonts w:ascii="Book Antiqua" w:eastAsia="Calibri" w:hAnsi="Book Antiqua" w:cs="Arial"/>
          <w:b/>
          <w:bCs/>
          <w:color w:val="1F497D"/>
          <w:szCs w:val="24"/>
          <w:lang w:val="es-ES" w:eastAsia="es-ES"/>
        </w:rPr>
        <w:instrText xml:space="preserve"> SEQ Cuadro \* ARABIC </w:instrText>
      </w:r>
      <w:r w:rsidRPr="00B11504">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w:t>
      </w:r>
      <w:r w:rsidRPr="00B11504">
        <w:rPr>
          <w:rFonts w:ascii="Book Antiqua" w:eastAsia="Calibri" w:hAnsi="Book Antiqua" w:cs="Arial"/>
          <w:b/>
          <w:bCs/>
          <w:color w:val="1F497D"/>
          <w:szCs w:val="24"/>
          <w:lang w:val="es-ES" w:eastAsia="es-ES"/>
        </w:rPr>
        <w:fldChar w:fldCharType="end"/>
      </w:r>
      <w:r w:rsidRPr="00B11504">
        <w:rPr>
          <w:rFonts w:ascii="Book Antiqua" w:eastAsia="Calibri" w:hAnsi="Book Antiqua" w:cs="Arial"/>
          <w:b/>
          <w:bCs/>
          <w:color w:val="1F497D"/>
          <w:szCs w:val="24"/>
          <w:lang w:val="es-ES" w:eastAsia="es-ES"/>
        </w:rPr>
        <w:t xml:space="preserve"> </w:t>
      </w:r>
    </w:p>
    <w:p w14:paraId="46529B26" w14:textId="77777777" w:rsidR="00B11504" w:rsidRPr="00B11504" w:rsidRDefault="00B11504" w:rsidP="00B1150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11504">
        <w:rPr>
          <w:rFonts w:ascii="Book Antiqua" w:eastAsia="Calibri" w:hAnsi="Book Antiqua" w:cs="Arial"/>
          <w:b/>
          <w:bCs/>
          <w:color w:val="1F497D"/>
          <w:szCs w:val="24"/>
          <w:lang w:val="es-ES" w:eastAsia="es-ES"/>
        </w:rPr>
        <w:t xml:space="preserve">Despachos jurisdiccionales involucrados en el </w:t>
      </w:r>
    </w:p>
    <w:p w14:paraId="6A16E641" w14:textId="77777777" w:rsidR="00B11504" w:rsidRPr="00B11504" w:rsidRDefault="00B11504" w:rsidP="00B1150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11504">
        <w:rPr>
          <w:rFonts w:ascii="Book Antiqua" w:eastAsia="Calibri" w:hAnsi="Book Antiqua" w:cs="Arial"/>
          <w:b/>
          <w:bCs/>
          <w:color w:val="1F497D"/>
          <w:szCs w:val="24"/>
          <w:lang w:val="es-ES" w:eastAsia="es-ES"/>
        </w:rPr>
        <w:t>Código Procesal de Familia según Circuito al que pertenecen</w:t>
      </w:r>
    </w:p>
    <w:tbl>
      <w:tblPr>
        <w:tblW w:w="5000" w:type="pct"/>
        <w:tblCellMar>
          <w:left w:w="70" w:type="dxa"/>
          <w:right w:w="70" w:type="dxa"/>
        </w:tblCellMar>
        <w:tblLook w:val="04A0" w:firstRow="1" w:lastRow="0" w:firstColumn="1" w:lastColumn="0" w:noHBand="0" w:noVBand="1"/>
      </w:tblPr>
      <w:tblGrid>
        <w:gridCol w:w="1514"/>
        <w:gridCol w:w="2222"/>
        <w:gridCol w:w="2490"/>
        <w:gridCol w:w="2592"/>
      </w:tblGrid>
      <w:tr w:rsidR="00364499" w:rsidRPr="00832B59" w14:paraId="55630DC1" w14:textId="77777777" w:rsidTr="001D0C10">
        <w:trPr>
          <w:trHeight w:val="320"/>
        </w:trPr>
        <w:tc>
          <w:tcPr>
            <w:tcW w:w="85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FE7B3E8"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Circuito</w:t>
            </w:r>
          </w:p>
        </w:tc>
        <w:tc>
          <w:tcPr>
            <w:tcW w:w="4142" w:type="pct"/>
            <w:gridSpan w:val="3"/>
            <w:tcBorders>
              <w:top w:val="single" w:sz="8" w:space="0" w:color="auto"/>
              <w:left w:val="nil"/>
              <w:bottom w:val="single" w:sz="8" w:space="0" w:color="auto"/>
              <w:right w:val="single" w:sz="8" w:space="0" w:color="000000"/>
            </w:tcBorders>
            <w:shd w:val="clear" w:color="000000" w:fill="002060"/>
            <w:vAlign w:val="center"/>
            <w:hideMark/>
          </w:tcPr>
          <w:p w14:paraId="36EDA1C0"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Materia</w:t>
            </w:r>
          </w:p>
        </w:tc>
      </w:tr>
      <w:tr w:rsidR="00364499" w:rsidRPr="00832B59" w14:paraId="79A69152" w14:textId="77777777" w:rsidTr="001D0C10">
        <w:trPr>
          <w:trHeight w:val="1250"/>
        </w:trPr>
        <w:tc>
          <w:tcPr>
            <w:tcW w:w="858" w:type="pct"/>
            <w:vMerge/>
            <w:tcBorders>
              <w:top w:val="single" w:sz="8" w:space="0" w:color="auto"/>
              <w:left w:val="single" w:sz="8" w:space="0" w:color="auto"/>
              <w:bottom w:val="single" w:sz="8" w:space="0" w:color="000000"/>
              <w:right w:val="single" w:sz="8" w:space="0" w:color="auto"/>
            </w:tcBorders>
            <w:vAlign w:val="center"/>
            <w:hideMark/>
          </w:tcPr>
          <w:p w14:paraId="54137822" w14:textId="77777777" w:rsidR="00364499" w:rsidRPr="001D0C10" w:rsidRDefault="00364499" w:rsidP="001D0C10">
            <w:pPr>
              <w:spacing w:after="0" w:line="240" w:lineRule="auto"/>
              <w:jc w:val="center"/>
              <w:rPr>
                <w:rFonts w:ascii="Book Antiqua" w:eastAsia="Times New Roman" w:hAnsi="Book Antiqua" w:cs="Calibri"/>
                <w:b/>
                <w:bCs/>
                <w:color w:val="FFFFFF"/>
                <w:sz w:val="18"/>
                <w:szCs w:val="18"/>
                <w:lang w:eastAsia="es-CR"/>
              </w:rPr>
            </w:pPr>
          </w:p>
        </w:tc>
        <w:tc>
          <w:tcPr>
            <w:tcW w:w="1260" w:type="pct"/>
            <w:tcBorders>
              <w:top w:val="nil"/>
              <w:left w:val="nil"/>
              <w:bottom w:val="single" w:sz="8" w:space="0" w:color="auto"/>
              <w:right w:val="single" w:sz="8" w:space="0" w:color="auto"/>
            </w:tcBorders>
            <w:shd w:val="clear" w:color="000000" w:fill="002060"/>
            <w:vAlign w:val="center"/>
            <w:hideMark/>
          </w:tcPr>
          <w:p w14:paraId="09F49416"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Familia</w:t>
            </w:r>
          </w:p>
        </w:tc>
        <w:tc>
          <w:tcPr>
            <w:tcW w:w="1412" w:type="pct"/>
            <w:tcBorders>
              <w:top w:val="nil"/>
              <w:left w:val="nil"/>
              <w:bottom w:val="single" w:sz="8" w:space="0" w:color="auto"/>
              <w:right w:val="single" w:sz="8" w:space="0" w:color="auto"/>
            </w:tcBorders>
            <w:shd w:val="clear" w:color="000000" w:fill="002060"/>
            <w:vAlign w:val="center"/>
            <w:hideMark/>
          </w:tcPr>
          <w:p w14:paraId="06E1BA68"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Violencia Doméstica</w:t>
            </w:r>
          </w:p>
        </w:tc>
        <w:tc>
          <w:tcPr>
            <w:tcW w:w="1469" w:type="pct"/>
            <w:tcBorders>
              <w:top w:val="nil"/>
              <w:left w:val="nil"/>
              <w:bottom w:val="single" w:sz="8" w:space="0" w:color="auto"/>
              <w:right w:val="single" w:sz="8" w:space="0" w:color="auto"/>
            </w:tcBorders>
            <w:shd w:val="clear" w:color="000000" w:fill="002060"/>
            <w:vAlign w:val="center"/>
            <w:hideMark/>
          </w:tcPr>
          <w:p w14:paraId="1CB8D3EB" w14:textId="77777777" w:rsidR="00364499" w:rsidRPr="001D0C10" w:rsidRDefault="00364499" w:rsidP="00832B59">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Pensiones Alimentarias</w:t>
            </w:r>
          </w:p>
        </w:tc>
      </w:tr>
      <w:tr w:rsidR="00364499" w:rsidRPr="00832B59" w14:paraId="12AAD2C3" w14:textId="77777777" w:rsidTr="001D0C10">
        <w:trPr>
          <w:trHeight w:val="930"/>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0621E46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 Circuito Judicial de San José</w:t>
            </w:r>
          </w:p>
        </w:tc>
        <w:tc>
          <w:tcPr>
            <w:tcW w:w="1260" w:type="pct"/>
            <w:tcBorders>
              <w:top w:val="nil"/>
              <w:left w:val="nil"/>
              <w:bottom w:val="nil"/>
              <w:right w:val="single" w:sz="8" w:space="0" w:color="auto"/>
            </w:tcBorders>
            <w:shd w:val="clear" w:color="auto" w:fill="auto"/>
            <w:vAlign w:val="center"/>
            <w:hideMark/>
          </w:tcPr>
          <w:p w14:paraId="5D44601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1.Tribunal de Familia</w:t>
            </w:r>
          </w:p>
        </w:tc>
        <w:tc>
          <w:tcPr>
            <w:tcW w:w="1412" w:type="pct"/>
            <w:vMerge w:val="restart"/>
            <w:tcBorders>
              <w:top w:val="nil"/>
              <w:left w:val="single" w:sz="8" w:space="0" w:color="auto"/>
              <w:bottom w:val="single" w:sz="8" w:space="0" w:color="000000"/>
              <w:right w:val="single" w:sz="8" w:space="0" w:color="auto"/>
            </w:tcBorders>
            <w:shd w:val="clear" w:color="auto" w:fill="auto"/>
            <w:vAlign w:val="center"/>
            <w:hideMark/>
          </w:tcPr>
          <w:p w14:paraId="23274B4B" w14:textId="47E38CE9"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vMerge w:val="restart"/>
            <w:tcBorders>
              <w:top w:val="nil"/>
              <w:left w:val="single" w:sz="8" w:space="0" w:color="auto"/>
              <w:bottom w:val="single" w:sz="8" w:space="0" w:color="000000"/>
              <w:right w:val="single" w:sz="8" w:space="0" w:color="auto"/>
            </w:tcBorders>
            <w:shd w:val="clear" w:color="auto" w:fill="auto"/>
            <w:vAlign w:val="center"/>
            <w:hideMark/>
          </w:tcPr>
          <w:p w14:paraId="3580362B" w14:textId="7FA1ADAB"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r>
      <w:tr w:rsidR="00364499" w:rsidRPr="00832B59" w14:paraId="1C338E99" w14:textId="77777777" w:rsidTr="009B71C9">
        <w:trPr>
          <w:trHeight w:val="40"/>
        </w:trPr>
        <w:tc>
          <w:tcPr>
            <w:tcW w:w="858" w:type="pct"/>
            <w:vMerge/>
            <w:tcBorders>
              <w:top w:val="nil"/>
              <w:left w:val="single" w:sz="8" w:space="0" w:color="auto"/>
              <w:bottom w:val="single" w:sz="8" w:space="0" w:color="000000"/>
              <w:right w:val="single" w:sz="8" w:space="0" w:color="auto"/>
            </w:tcBorders>
            <w:vAlign w:val="center"/>
            <w:hideMark/>
          </w:tcPr>
          <w:p w14:paraId="3E642CB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414A3A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Sala Segunda</w:t>
            </w:r>
          </w:p>
        </w:tc>
        <w:tc>
          <w:tcPr>
            <w:tcW w:w="1412" w:type="pct"/>
            <w:vMerge/>
            <w:tcBorders>
              <w:top w:val="nil"/>
              <w:left w:val="single" w:sz="8" w:space="0" w:color="auto"/>
              <w:bottom w:val="single" w:sz="8" w:space="0" w:color="000000"/>
              <w:right w:val="single" w:sz="8" w:space="0" w:color="auto"/>
            </w:tcBorders>
            <w:vAlign w:val="center"/>
            <w:hideMark/>
          </w:tcPr>
          <w:p w14:paraId="46D70D7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vMerge/>
            <w:tcBorders>
              <w:top w:val="nil"/>
              <w:left w:val="single" w:sz="8" w:space="0" w:color="auto"/>
              <w:bottom w:val="single" w:sz="8" w:space="0" w:color="000000"/>
              <w:right w:val="single" w:sz="8" w:space="0" w:color="auto"/>
            </w:tcBorders>
            <w:vAlign w:val="center"/>
            <w:hideMark/>
          </w:tcPr>
          <w:p w14:paraId="432C793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r>
      <w:tr w:rsidR="00364499" w:rsidRPr="00832B59" w14:paraId="54598196" w14:textId="77777777" w:rsidTr="001D0C10">
        <w:trPr>
          <w:trHeight w:val="278"/>
        </w:trPr>
        <w:tc>
          <w:tcPr>
            <w:tcW w:w="858" w:type="pct"/>
            <w:vMerge/>
            <w:tcBorders>
              <w:top w:val="nil"/>
              <w:left w:val="single" w:sz="8" w:space="0" w:color="auto"/>
              <w:bottom w:val="single" w:sz="8" w:space="0" w:color="000000"/>
              <w:right w:val="single" w:sz="8" w:space="0" w:color="auto"/>
            </w:tcBorders>
            <w:vAlign w:val="center"/>
            <w:hideMark/>
          </w:tcPr>
          <w:p w14:paraId="00F245F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6973126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2.Juzgado Primero de Familia de San José</w:t>
            </w:r>
          </w:p>
        </w:tc>
        <w:tc>
          <w:tcPr>
            <w:tcW w:w="1412" w:type="pct"/>
            <w:tcBorders>
              <w:top w:val="nil"/>
              <w:left w:val="nil"/>
              <w:bottom w:val="single" w:sz="8" w:space="0" w:color="auto"/>
              <w:right w:val="single" w:sz="8" w:space="0" w:color="auto"/>
            </w:tcBorders>
            <w:shd w:val="clear" w:color="auto" w:fill="auto"/>
            <w:vAlign w:val="center"/>
            <w:hideMark/>
          </w:tcPr>
          <w:p w14:paraId="7E952AE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3.Juzgado Violencia Doméstica I Circ. Jud. San José</w:t>
            </w:r>
          </w:p>
        </w:tc>
        <w:tc>
          <w:tcPr>
            <w:tcW w:w="1469" w:type="pct"/>
            <w:tcBorders>
              <w:top w:val="nil"/>
              <w:left w:val="nil"/>
              <w:bottom w:val="single" w:sz="8" w:space="0" w:color="auto"/>
              <w:right w:val="single" w:sz="8" w:space="0" w:color="auto"/>
            </w:tcBorders>
            <w:shd w:val="clear" w:color="auto" w:fill="auto"/>
            <w:vAlign w:val="center"/>
            <w:hideMark/>
          </w:tcPr>
          <w:p w14:paraId="3B9B6AB5" w14:textId="78906FF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4.Juzgado Pensiones Alimentarias I Circ. Jud. San José</w:t>
            </w:r>
          </w:p>
        </w:tc>
      </w:tr>
      <w:tr w:rsidR="00364499" w:rsidRPr="00832B59" w14:paraId="643BE93D"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08CD3D8C"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44BEE67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5.Juzgado Segundo de Familia de San José</w:t>
            </w:r>
          </w:p>
        </w:tc>
        <w:tc>
          <w:tcPr>
            <w:tcW w:w="1412" w:type="pct"/>
            <w:tcBorders>
              <w:top w:val="nil"/>
              <w:left w:val="nil"/>
              <w:bottom w:val="single" w:sz="8" w:space="0" w:color="auto"/>
              <w:right w:val="single" w:sz="8" w:space="0" w:color="000000"/>
            </w:tcBorders>
            <w:shd w:val="clear" w:color="auto" w:fill="auto"/>
            <w:vAlign w:val="center"/>
            <w:hideMark/>
          </w:tcPr>
          <w:p w14:paraId="6A9C75CA" w14:textId="5823E72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tcBorders>
              <w:top w:val="nil"/>
              <w:left w:val="nil"/>
              <w:bottom w:val="single" w:sz="8" w:space="0" w:color="auto"/>
              <w:right w:val="single" w:sz="8" w:space="0" w:color="000000"/>
            </w:tcBorders>
            <w:shd w:val="clear" w:color="auto" w:fill="auto"/>
            <w:vAlign w:val="center"/>
            <w:hideMark/>
          </w:tcPr>
          <w:p w14:paraId="0F5FAB51" w14:textId="74672186"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r>
      <w:tr w:rsidR="00364499" w:rsidRPr="00832B59" w14:paraId="2FF6F49E" w14:textId="77777777" w:rsidTr="001D0C10">
        <w:trPr>
          <w:trHeight w:val="521"/>
        </w:trPr>
        <w:tc>
          <w:tcPr>
            <w:tcW w:w="858" w:type="pct"/>
            <w:vMerge/>
            <w:tcBorders>
              <w:top w:val="nil"/>
              <w:left w:val="single" w:sz="8" w:space="0" w:color="auto"/>
              <w:bottom w:val="single" w:sz="8" w:space="0" w:color="000000"/>
              <w:right w:val="single" w:sz="8" w:space="0" w:color="auto"/>
            </w:tcBorders>
            <w:vAlign w:val="center"/>
            <w:hideMark/>
          </w:tcPr>
          <w:p w14:paraId="696FA67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B5142B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 Juzgado de Familia, de Niñez y Adolescencia</w:t>
            </w:r>
          </w:p>
        </w:tc>
        <w:tc>
          <w:tcPr>
            <w:tcW w:w="1412" w:type="pct"/>
            <w:tcBorders>
              <w:top w:val="nil"/>
              <w:left w:val="nil"/>
              <w:bottom w:val="single" w:sz="8" w:space="0" w:color="auto"/>
              <w:right w:val="single" w:sz="8" w:space="0" w:color="000000"/>
            </w:tcBorders>
            <w:shd w:val="clear" w:color="auto" w:fill="auto"/>
            <w:vAlign w:val="center"/>
            <w:hideMark/>
          </w:tcPr>
          <w:p w14:paraId="77798ED7" w14:textId="337DFC8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tcBorders>
              <w:top w:val="nil"/>
              <w:left w:val="nil"/>
              <w:bottom w:val="single" w:sz="8" w:space="0" w:color="auto"/>
              <w:right w:val="single" w:sz="8" w:space="0" w:color="000000"/>
            </w:tcBorders>
            <w:shd w:val="clear" w:color="auto" w:fill="auto"/>
            <w:vAlign w:val="center"/>
            <w:hideMark/>
          </w:tcPr>
          <w:p w14:paraId="0D69D401" w14:textId="034DA1C9"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r>
      <w:tr w:rsidR="00364499" w:rsidRPr="00832B59" w14:paraId="4980AC66" w14:textId="77777777" w:rsidTr="001D0C10">
        <w:trPr>
          <w:trHeight w:val="416"/>
        </w:trPr>
        <w:tc>
          <w:tcPr>
            <w:tcW w:w="858" w:type="pct"/>
            <w:vMerge/>
            <w:tcBorders>
              <w:top w:val="nil"/>
              <w:left w:val="single" w:sz="8" w:space="0" w:color="auto"/>
              <w:bottom w:val="single" w:sz="8" w:space="0" w:color="000000"/>
              <w:right w:val="single" w:sz="8" w:space="0" w:color="auto"/>
            </w:tcBorders>
            <w:vAlign w:val="center"/>
            <w:hideMark/>
          </w:tcPr>
          <w:p w14:paraId="30132B7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6A77347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7.Juzgado Civil, Trabajo y Familia de Puriscal</w:t>
            </w:r>
          </w:p>
        </w:tc>
        <w:tc>
          <w:tcPr>
            <w:tcW w:w="1469" w:type="pct"/>
            <w:tcBorders>
              <w:top w:val="nil"/>
              <w:left w:val="nil"/>
              <w:bottom w:val="single" w:sz="8" w:space="0" w:color="auto"/>
              <w:right w:val="single" w:sz="8" w:space="0" w:color="auto"/>
            </w:tcBorders>
            <w:shd w:val="clear" w:color="auto" w:fill="auto"/>
            <w:vAlign w:val="center"/>
            <w:hideMark/>
          </w:tcPr>
          <w:p w14:paraId="7A23C670"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8.Juzgado Contravencional Puriscal</w:t>
            </w:r>
          </w:p>
        </w:tc>
      </w:tr>
      <w:tr w:rsidR="00364499" w:rsidRPr="00832B59" w14:paraId="7DD5E361" w14:textId="77777777" w:rsidTr="001D0C10">
        <w:trPr>
          <w:trHeight w:val="366"/>
        </w:trPr>
        <w:tc>
          <w:tcPr>
            <w:tcW w:w="858" w:type="pct"/>
            <w:vMerge/>
            <w:tcBorders>
              <w:top w:val="nil"/>
              <w:left w:val="single" w:sz="8" w:space="0" w:color="auto"/>
              <w:bottom w:val="single" w:sz="8" w:space="0" w:color="000000"/>
              <w:right w:val="single" w:sz="8" w:space="0" w:color="auto"/>
            </w:tcBorders>
            <w:vAlign w:val="center"/>
            <w:hideMark/>
          </w:tcPr>
          <w:p w14:paraId="6862ACA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C877112" w14:textId="54444E38"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63097B8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9.Juzgado Pensiones y Violencia Doméstica Escazú</w:t>
            </w:r>
          </w:p>
        </w:tc>
      </w:tr>
      <w:tr w:rsidR="00364499" w:rsidRPr="00832B59" w14:paraId="5A1A94EE" w14:textId="77777777" w:rsidTr="001D0C10">
        <w:trPr>
          <w:trHeight w:val="400"/>
        </w:trPr>
        <w:tc>
          <w:tcPr>
            <w:tcW w:w="858" w:type="pct"/>
            <w:vMerge/>
            <w:tcBorders>
              <w:top w:val="nil"/>
              <w:left w:val="single" w:sz="8" w:space="0" w:color="auto"/>
              <w:bottom w:val="single" w:sz="8" w:space="0" w:color="000000"/>
              <w:right w:val="single" w:sz="8" w:space="0" w:color="auto"/>
            </w:tcBorders>
            <w:vAlign w:val="center"/>
            <w:hideMark/>
          </w:tcPr>
          <w:p w14:paraId="1180F68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1B7F51DF" w14:textId="5B79AF0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E7498E5" w14:textId="663BC97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10.Juzgado Contravencional Santa Ana</w:t>
            </w:r>
          </w:p>
        </w:tc>
      </w:tr>
      <w:tr w:rsidR="00364499" w:rsidRPr="00832B59" w14:paraId="3473FC42" w14:textId="77777777" w:rsidTr="001D0C10">
        <w:trPr>
          <w:trHeight w:val="277"/>
        </w:trPr>
        <w:tc>
          <w:tcPr>
            <w:tcW w:w="858" w:type="pct"/>
            <w:vMerge/>
            <w:tcBorders>
              <w:top w:val="nil"/>
              <w:left w:val="single" w:sz="8" w:space="0" w:color="auto"/>
              <w:bottom w:val="single" w:sz="8" w:space="0" w:color="000000"/>
              <w:right w:val="single" w:sz="8" w:space="0" w:color="auto"/>
            </w:tcBorders>
            <w:vAlign w:val="center"/>
            <w:hideMark/>
          </w:tcPr>
          <w:p w14:paraId="48D0658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DD39134" w14:textId="1EAC25EF"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38767BB1" w14:textId="4D37FD8B"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11.Juzgado Contravencional Mora</w:t>
            </w:r>
          </w:p>
        </w:tc>
      </w:tr>
      <w:tr w:rsidR="00364499" w:rsidRPr="00832B59" w14:paraId="75582619" w14:textId="77777777" w:rsidTr="009B71C9">
        <w:trPr>
          <w:trHeight w:val="320"/>
        </w:trPr>
        <w:tc>
          <w:tcPr>
            <w:tcW w:w="858" w:type="pct"/>
            <w:vMerge/>
            <w:tcBorders>
              <w:top w:val="nil"/>
              <w:left w:val="single" w:sz="8" w:space="0" w:color="auto"/>
              <w:bottom w:val="single" w:sz="8" w:space="0" w:color="000000"/>
              <w:right w:val="single" w:sz="8" w:space="0" w:color="auto"/>
            </w:tcBorders>
            <w:vAlign w:val="center"/>
            <w:hideMark/>
          </w:tcPr>
          <w:p w14:paraId="60A14A5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6ADC7B2" w14:textId="78068E6A"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3D2B43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12.Juzgado Contravencional Turrubares</w:t>
            </w:r>
          </w:p>
        </w:tc>
      </w:tr>
      <w:tr w:rsidR="00364499" w:rsidRPr="00832B59" w14:paraId="76E8B8C3" w14:textId="77777777" w:rsidTr="001D0C10">
        <w:trPr>
          <w:trHeight w:val="766"/>
        </w:trPr>
        <w:tc>
          <w:tcPr>
            <w:tcW w:w="858" w:type="pct"/>
            <w:tcBorders>
              <w:top w:val="nil"/>
              <w:left w:val="single" w:sz="8" w:space="0" w:color="auto"/>
              <w:bottom w:val="single" w:sz="8" w:space="0" w:color="auto"/>
              <w:right w:val="single" w:sz="8" w:space="0" w:color="auto"/>
            </w:tcBorders>
            <w:shd w:val="clear" w:color="000000" w:fill="D9E1F2"/>
            <w:vAlign w:val="center"/>
            <w:hideMark/>
          </w:tcPr>
          <w:p w14:paraId="51BA8CFC"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San José</w:t>
            </w:r>
          </w:p>
        </w:tc>
        <w:tc>
          <w:tcPr>
            <w:tcW w:w="1260" w:type="pct"/>
            <w:tcBorders>
              <w:top w:val="nil"/>
              <w:left w:val="nil"/>
              <w:bottom w:val="single" w:sz="8" w:space="0" w:color="auto"/>
              <w:right w:val="single" w:sz="8" w:space="0" w:color="auto"/>
            </w:tcBorders>
            <w:shd w:val="clear" w:color="000000" w:fill="D9E1F2"/>
            <w:vAlign w:val="center"/>
            <w:hideMark/>
          </w:tcPr>
          <w:p w14:paraId="7CBF7BC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13.Juzgado Familia II Circ. Jud. San José</w:t>
            </w:r>
          </w:p>
        </w:tc>
        <w:tc>
          <w:tcPr>
            <w:tcW w:w="1412" w:type="pct"/>
            <w:tcBorders>
              <w:top w:val="nil"/>
              <w:left w:val="nil"/>
              <w:bottom w:val="single" w:sz="8" w:space="0" w:color="auto"/>
              <w:right w:val="single" w:sz="8" w:space="0" w:color="auto"/>
            </w:tcBorders>
            <w:shd w:val="clear" w:color="000000" w:fill="D9E1F2"/>
            <w:vAlign w:val="center"/>
            <w:hideMark/>
          </w:tcPr>
          <w:p w14:paraId="58FC987F" w14:textId="40D70C7A"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14.Juzgado Violencia Doméstica II Circ. Jud. San José (Goicoechea)</w:t>
            </w:r>
            <w:r w:rsidR="004066A7">
              <w:rPr>
                <w:rFonts w:ascii="Book Antiqua" w:eastAsia="Times New Roman" w:hAnsi="Book Antiqua" w:cs="Calibri"/>
                <w:color w:val="000000"/>
                <w:sz w:val="18"/>
                <w:szCs w:val="18"/>
                <w:lang w:eastAsia="es-CR"/>
              </w:rPr>
              <w:t xml:space="preserve"> y Turno extraordinario</w:t>
            </w:r>
          </w:p>
        </w:tc>
        <w:tc>
          <w:tcPr>
            <w:tcW w:w="1469" w:type="pct"/>
            <w:tcBorders>
              <w:top w:val="nil"/>
              <w:left w:val="nil"/>
              <w:bottom w:val="single" w:sz="8" w:space="0" w:color="auto"/>
              <w:right w:val="single" w:sz="8" w:space="0" w:color="auto"/>
            </w:tcBorders>
            <w:shd w:val="clear" w:color="000000" w:fill="D9E1F2"/>
            <w:vAlign w:val="center"/>
            <w:hideMark/>
          </w:tcPr>
          <w:p w14:paraId="6D732F41" w14:textId="7202E94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15.Juzgado Pensiones Alimentarias II Circ. Jud. San José (Goicoechea)</w:t>
            </w:r>
            <w:r w:rsidR="004066A7">
              <w:rPr>
                <w:rFonts w:ascii="Book Antiqua" w:eastAsia="Times New Roman" w:hAnsi="Book Antiqua" w:cs="Calibri"/>
                <w:color w:val="000000"/>
                <w:sz w:val="18"/>
                <w:szCs w:val="18"/>
                <w:lang w:eastAsia="es-CR"/>
              </w:rPr>
              <w:t xml:space="preserve"> </w:t>
            </w:r>
          </w:p>
        </w:tc>
      </w:tr>
      <w:tr w:rsidR="00364499" w:rsidRPr="00832B59" w14:paraId="33A0DC78" w14:textId="77777777" w:rsidTr="001D0C10">
        <w:trPr>
          <w:trHeight w:val="340"/>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5904FD43"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III Circuito Judicial de San José</w:t>
            </w:r>
          </w:p>
        </w:tc>
        <w:tc>
          <w:tcPr>
            <w:tcW w:w="1260" w:type="pct"/>
            <w:tcBorders>
              <w:top w:val="nil"/>
              <w:left w:val="nil"/>
              <w:bottom w:val="single" w:sz="8" w:space="0" w:color="auto"/>
              <w:right w:val="single" w:sz="8" w:space="0" w:color="auto"/>
            </w:tcBorders>
            <w:shd w:val="clear" w:color="auto" w:fill="auto"/>
            <w:vAlign w:val="center"/>
            <w:hideMark/>
          </w:tcPr>
          <w:p w14:paraId="2F74C6E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16.Juzgado de Trabajo y Familia de Hatillo, San Seb. y Alajuelita</w:t>
            </w:r>
          </w:p>
        </w:tc>
        <w:tc>
          <w:tcPr>
            <w:tcW w:w="1412" w:type="pct"/>
            <w:tcBorders>
              <w:top w:val="nil"/>
              <w:left w:val="nil"/>
              <w:bottom w:val="single" w:sz="8" w:space="0" w:color="auto"/>
              <w:right w:val="single" w:sz="8" w:space="0" w:color="auto"/>
            </w:tcBorders>
            <w:shd w:val="clear" w:color="auto" w:fill="auto"/>
            <w:vAlign w:val="center"/>
            <w:hideMark/>
          </w:tcPr>
          <w:p w14:paraId="2DFEBA3F"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17.Juzgado Violencia Doméstica Hatillo, San Sebas. y Alajuelita</w:t>
            </w:r>
          </w:p>
        </w:tc>
        <w:tc>
          <w:tcPr>
            <w:tcW w:w="1469" w:type="pct"/>
            <w:tcBorders>
              <w:top w:val="nil"/>
              <w:left w:val="nil"/>
              <w:bottom w:val="single" w:sz="8" w:space="0" w:color="auto"/>
              <w:right w:val="single" w:sz="8" w:space="0" w:color="auto"/>
            </w:tcBorders>
            <w:shd w:val="clear" w:color="auto" w:fill="auto"/>
            <w:vAlign w:val="center"/>
            <w:hideMark/>
          </w:tcPr>
          <w:p w14:paraId="203BDD2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18.Juzgado Contravencional Hatillo</w:t>
            </w:r>
          </w:p>
        </w:tc>
      </w:tr>
      <w:tr w:rsidR="00364499" w:rsidRPr="00832B59" w14:paraId="3C241735"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3D36A84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4E1BC72" w14:textId="2E927F4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12" w:type="pct"/>
            <w:tcBorders>
              <w:top w:val="nil"/>
              <w:left w:val="nil"/>
              <w:bottom w:val="single" w:sz="8" w:space="0" w:color="auto"/>
              <w:right w:val="single" w:sz="8" w:space="0" w:color="auto"/>
            </w:tcBorders>
            <w:shd w:val="clear" w:color="auto" w:fill="auto"/>
            <w:vAlign w:val="center"/>
            <w:hideMark/>
          </w:tcPr>
          <w:p w14:paraId="130764C4" w14:textId="452AA47C"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tcBorders>
              <w:top w:val="nil"/>
              <w:left w:val="nil"/>
              <w:bottom w:val="single" w:sz="8" w:space="0" w:color="auto"/>
              <w:right w:val="single" w:sz="8" w:space="0" w:color="auto"/>
            </w:tcBorders>
            <w:shd w:val="clear" w:color="auto" w:fill="auto"/>
            <w:vAlign w:val="center"/>
            <w:hideMark/>
          </w:tcPr>
          <w:p w14:paraId="1DB176B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19.Juzgado Contravencional San Sebastián</w:t>
            </w:r>
          </w:p>
        </w:tc>
      </w:tr>
      <w:tr w:rsidR="00364499" w:rsidRPr="00832B59" w14:paraId="1952104B"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4F9B261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E113865" w14:textId="0FF4F806"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12" w:type="pct"/>
            <w:tcBorders>
              <w:top w:val="nil"/>
              <w:left w:val="nil"/>
              <w:bottom w:val="single" w:sz="8" w:space="0" w:color="auto"/>
              <w:right w:val="single" w:sz="8" w:space="0" w:color="auto"/>
            </w:tcBorders>
            <w:shd w:val="clear" w:color="auto" w:fill="auto"/>
            <w:vAlign w:val="center"/>
            <w:hideMark/>
          </w:tcPr>
          <w:p w14:paraId="45AD2DB8" w14:textId="43DBC2E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1469" w:type="pct"/>
            <w:tcBorders>
              <w:top w:val="nil"/>
              <w:left w:val="nil"/>
              <w:bottom w:val="single" w:sz="8" w:space="0" w:color="auto"/>
              <w:right w:val="single" w:sz="8" w:space="0" w:color="auto"/>
            </w:tcBorders>
            <w:shd w:val="clear" w:color="auto" w:fill="auto"/>
            <w:vAlign w:val="center"/>
            <w:hideMark/>
          </w:tcPr>
          <w:p w14:paraId="1FBFBA1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20.Juzgado Contravencional Alajuelita</w:t>
            </w:r>
          </w:p>
        </w:tc>
      </w:tr>
      <w:tr w:rsidR="00364499" w:rsidRPr="00832B59" w14:paraId="26CF7828" w14:textId="77777777" w:rsidTr="001D0C10">
        <w:trPr>
          <w:trHeight w:val="602"/>
        </w:trPr>
        <w:tc>
          <w:tcPr>
            <w:tcW w:w="858" w:type="pct"/>
            <w:vMerge/>
            <w:tcBorders>
              <w:top w:val="nil"/>
              <w:left w:val="single" w:sz="8" w:space="0" w:color="auto"/>
              <w:bottom w:val="single" w:sz="8" w:space="0" w:color="000000"/>
              <w:right w:val="single" w:sz="8" w:space="0" w:color="auto"/>
            </w:tcBorders>
            <w:vAlign w:val="center"/>
            <w:hideMark/>
          </w:tcPr>
          <w:p w14:paraId="7C47D93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6B654096"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21.Juzgado Familia III Circ. Jud. De San José (Desamparados)</w:t>
            </w:r>
          </w:p>
        </w:tc>
        <w:tc>
          <w:tcPr>
            <w:tcW w:w="1412" w:type="pct"/>
            <w:tcBorders>
              <w:top w:val="nil"/>
              <w:left w:val="nil"/>
              <w:bottom w:val="single" w:sz="8" w:space="0" w:color="auto"/>
              <w:right w:val="single" w:sz="8" w:space="0" w:color="auto"/>
            </w:tcBorders>
            <w:shd w:val="clear" w:color="auto" w:fill="auto"/>
            <w:vAlign w:val="center"/>
            <w:hideMark/>
          </w:tcPr>
          <w:p w14:paraId="266BB57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22.Juzgado Violencia Doméstica III Circ. Jud. San José (Desamparados)</w:t>
            </w:r>
          </w:p>
        </w:tc>
        <w:tc>
          <w:tcPr>
            <w:tcW w:w="1469" w:type="pct"/>
            <w:tcBorders>
              <w:top w:val="nil"/>
              <w:left w:val="nil"/>
              <w:bottom w:val="single" w:sz="8" w:space="0" w:color="auto"/>
              <w:right w:val="single" w:sz="8" w:space="0" w:color="auto"/>
            </w:tcBorders>
            <w:shd w:val="clear" w:color="auto" w:fill="auto"/>
            <w:vAlign w:val="center"/>
            <w:hideMark/>
          </w:tcPr>
          <w:p w14:paraId="0D1CD97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23.Juzgado Pensiones Alimentarias III Circ. Jud. San José (Desamparados)</w:t>
            </w:r>
          </w:p>
        </w:tc>
      </w:tr>
      <w:tr w:rsidR="00364499" w:rsidRPr="00832B59" w14:paraId="6B3CAA1B" w14:textId="77777777" w:rsidTr="001D0C10">
        <w:trPr>
          <w:trHeight w:val="186"/>
        </w:trPr>
        <w:tc>
          <w:tcPr>
            <w:tcW w:w="858" w:type="pct"/>
            <w:vMerge/>
            <w:tcBorders>
              <w:top w:val="nil"/>
              <w:left w:val="single" w:sz="8" w:space="0" w:color="auto"/>
              <w:bottom w:val="single" w:sz="8" w:space="0" w:color="000000"/>
              <w:right w:val="single" w:sz="8" w:space="0" w:color="auto"/>
            </w:tcBorders>
            <w:vAlign w:val="center"/>
            <w:hideMark/>
          </w:tcPr>
          <w:p w14:paraId="00416CC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68F6C464" w14:textId="60D06DF5"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5DD90FB6"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24.Juzgado Pensiones y Violencia Doméstica Pavas (PISAV)</w:t>
            </w:r>
          </w:p>
        </w:tc>
      </w:tr>
      <w:tr w:rsidR="00364499" w:rsidRPr="00832B59" w14:paraId="4B733AA1" w14:textId="77777777" w:rsidTr="001D0C10">
        <w:trPr>
          <w:trHeight w:val="232"/>
        </w:trPr>
        <w:tc>
          <w:tcPr>
            <w:tcW w:w="858" w:type="pct"/>
            <w:vMerge/>
            <w:tcBorders>
              <w:top w:val="nil"/>
              <w:left w:val="single" w:sz="8" w:space="0" w:color="auto"/>
              <w:bottom w:val="single" w:sz="8" w:space="0" w:color="000000"/>
              <w:right w:val="single" w:sz="8" w:space="0" w:color="auto"/>
            </w:tcBorders>
            <w:vAlign w:val="center"/>
            <w:hideMark/>
          </w:tcPr>
          <w:p w14:paraId="1156CAB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49ABA087" w14:textId="371734A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583A30E9"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25.Juzgado Contravencional Aserrí</w:t>
            </w:r>
          </w:p>
        </w:tc>
      </w:tr>
      <w:tr w:rsidR="00364499" w:rsidRPr="00832B59" w14:paraId="20850831" w14:textId="77777777" w:rsidTr="001D0C10">
        <w:trPr>
          <w:trHeight w:val="264"/>
        </w:trPr>
        <w:tc>
          <w:tcPr>
            <w:tcW w:w="858" w:type="pct"/>
            <w:vMerge/>
            <w:tcBorders>
              <w:top w:val="nil"/>
              <w:left w:val="single" w:sz="8" w:space="0" w:color="auto"/>
              <w:bottom w:val="single" w:sz="8" w:space="0" w:color="000000"/>
              <w:right w:val="single" w:sz="8" w:space="0" w:color="auto"/>
            </w:tcBorders>
            <w:vAlign w:val="center"/>
            <w:hideMark/>
          </w:tcPr>
          <w:p w14:paraId="1E9D001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81A3945" w14:textId="104B0285"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113D2A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26.Juzgado Contravencional Acosta</w:t>
            </w:r>
          </w:p>
        </w:tc>
      </w:tr>
      <w:tr w:rsidR="00364499" w:rsidRPr="00832B59" w14:paraId="29E4EB94" w14:textId="77777777" w:rsidTr="001D0C10">
        <w:trPr>
          <w:trHeight w:val="552"/>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2A980A3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 Circuito Judicial de Alajuela</w:t>
            </w:r>
          </w:p>
        </w:tc>
        <w:tc>
          <w:tcPr>
            <w:tcW w:w="1260" w:type="pct"/>
            <w:tcBorders>
              <w:top w:val="nil"/>
              <w:left w:val="nil"/>
              <w:bottom w:val="single" w:sz="8" w:space="0" w:color="auto"/>
              <w:right w:val="single" w:sz="8" w:space="0" w:color="auto"/>
            </w:tcBorders>
            <w:shd w:val="clear" w:color="000000" w:fill="D9E1F2"/>
            <w:vAlign w:val="center"/>
            <w:hideMark/>
          </w:tcPr>
          <w:p w14:paraId="25CC54E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27.Juzgado Familia del I Circ. Jud. de Alajuela</w:t>
            </w:r>
          </w:p>
        </w:tc>
        <w:tc>
          <w:tcPr>
            <w:tcW w:w="1412" w:type="pct"/>
            <w:tcBorders>
              <w:top w:val="nil"/>
              <w:left w:val="nil"/>
              <w:bottom w:val="single" w:sz="8" w:space="0" w:color="auto"/>
              <w:right w:val="single" w:sz="8" w:space="0" w:color="auto"/>
            </w:tcBorders>
            <w:shd w:val="clear" w:color="000000" w:fill="D9E1F2"/>
            <w:vAlign w:val="center"/>
            <w:hideMark/>
          </w:tcPr>
          <w:p w14:paraId="2AE18D2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28.Juzgado Violencia Doméstica I Circ. Jud. Alajuela</w:t>
            </w:r>
          </w:p>
        </w:tc>
        <w:tc>
          <w:tcPr>
            <w:tcW w:w="1469" w:type="pct"/>
            <w:tcBorders>
              <w:top w:val="nil"/>
              <w:left w:val="nil"/>
              <w:bottom w:val="single" w:sz="8" w:space="0" w:color="auto"/>
              <w:right w:val="single" w:sz="8" w:space="0" w:color="auto"/>
            </w:tcBorders>
            <w:shd w:val="clear" w:color="000000" w:fill="D9E1F2"/>
            <w:vAlign w:val="center"/>
            <w:hideMark/>
          </w:tcPr>
          <w:p w14:paraId="29F15209" w14:textId="28AC6FBA"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29.Juzgado Pensiones Alimentarias I Circ. Jud. Alajuela</w:t>
            </w:r>
          </w:p>
        </w:tc>
      </w:tr>
      <w:tr w:rsidR="00364499" w:rsidRPr="00832B59" w14:paraId="38985A37" w14:textId="77777777" w:rsidTr="001D0C10">
        <w:trPr>
          <w:trHeight w:val="278"/>
        </w:trPr>
        <w:tc>
          <w:tcPr>
            <w:tcW w:w="858" w:type="pct"/>
            <w:vMerge/>
            <w:tcBorders>
              <w:top w:val="nil"/>
              <w:left w:val="single" w:sz="8" w:space="0" w:color="auto"/>
              <w:bottom w:val="single" w:sz="8" w:space="0" w:color="000000"/>
              <w:right w:val="single" w:sz="8" w:space="0" w:color="auto"/>
            </w:tcBorders>
            <w:vAlign w:val="center"/>
            <w:hideMark/>
          </w:tcPr>
          <w:p w14:paraId="4E2E4B1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61042971" w14:textId="7A46EA0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77B6BDB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30.Juzgado Contravencional Poás</w:t>
            </w:r>
          </w:p>
        </w:tc>
      </w:tr>
      <w:tr w:rsidR="00364499" w:rsidRPr="00832B59" w14:paraId="1DBBD68C" w14:textId="77777777" w:rsidTr="001D0C10">
        <w:trPr>
          <w:trHeight w:val="267"/>
        </w:trPr>
        <w:tc>
          <w:tcPr>
            <w:tcW w:w="858" w:type="pct"/>
            <w:vMerge/>
            <w:tcBorders>
              <w:top w:val="nil"/>
              <w:left w:val="single" w:sz="8" w:space="0" w:color="auto"/>
              <w:bottom w:val="single" w:sz="8" w:space="0" w:color="000000"/>
              <w:right w:val="single" w:sz="8" w:space="0" w:color="auto"/>
            </w:tcBorders>
            <w:vAlign w:val="center"/>
            <w:hideMark/>
          </w:tcPr>
          <w:p w14:paraId="47C9AFE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1F6DBBB6" w14:textId="0D8C852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4FC6EE96"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31.Juzgado Contravencional Atenas</w:t>
            </w:r>
          </w:p>
        </w:tc>
      </w:tr>
      <w:tr w:rsidR="00364499" w:rsidRPr="00832B59" w14:paraId="1A95D23E" w14:textId="77777777" w:rsidTr="001D0C10">
        <w:trPr>
          <w:trHeight w:val="272"/>
        </w:trPr>
        <w:tc>
          <w:tcPr>
            <w:tcW w:w="858" w:type="pct"/>
            <w:vMerge/>
            <w:tcBorders>
              <w:top w:val="nil"/>
              <w:left w:val="single" w:sz="8" w:space="0" w:color="auto"/>
              <w:bottom w:val="single" w:sz="8" w:space="0" w:color="000000"/>
              <w:right w:val="single" w:sz="8" w:space="0" w:color="auto"/>
            </w:tcBorders>
            <w:vAlign w:val="center"/>
            <w:hideMark/>
          </w:tcPr>
          <w:p w14:paraId="4A227B7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27E796CB" w14:textId="62DDF49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7A90A84F"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32.Juzgado Contravencional San Mateo</w:t>
            </w:r>
          </w:p>
        </w:tc>
      </w:tr>
      <w:tr w:rsidR="00364499" w:rsidRPr="00832B59" w14:paraId="4028B8CC" w14:textId="77777777" w:rsidTr="001D0C10">
        <w:trPr>
          <w:trHeight w:val="248"/>
        </w:trPr>
        <w:tc>
          <w:tcPr>
            <w:tcW w:w="858" w:type="pct"/>
            <w:vMerge/>
            <w:tcBorders>
              <w:top w:val="nil"/>
              <w:left w:val="single" w:sz="8" w:space="0" w:color="auto"/>
              <w:bottom w:val="single" w:sz="8" w:space="0" w:color="000000"/>
              <w:right w:val="single" w:sz="8" w:space="0" w:color="auto"/>
            </w:tcBorders>
            <w:vAlign w:val="center"/>
            <w:hideMark/>
          </w:tcPr>
          <w:p w14:paraId="00AF4B9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5FF3F376" w14:textId="77FC947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2CCFEFA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33.Juzgado Contravencional Orotina</w:t>
            </w:r>
          </w:p>
        </w:tc>
      </w:tr>
      <w:tr w:rsidR="00364499" w:rsidRPr="00832B59" w14:paraId="0DD6894D" w14:textId="77777777" w:rsidTr="001D0C10">
        <w:trPr>
          <w:trHeight w:val="691"/>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7546449F"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Alajuela</w:t>
            </w:r>
          </w:p>
        </w:tc>
        <w:tc>
          <w:tcPr>
            <w:tcW w:w="1260" w:type="pct"/>
            <w:tcBorders>
              <w:top w:val="nil"/>
              <w:left w:val="nil"/>
              <w:bottom w:val="single" w:sz="8" w:space="0" w:color="auto"/>
              <w:right w:val="single" w:sz="8" w:space="0" w:color="auto"/>
            </w:tcBorders>
            <w:shd w:val="clear" w:color="auto" w:fill="auto"/>
            <w:vAlign w:val="center"/>
            <w:hideMark/>
          </w:tcPr>
          <w:p w14:paraId="23C371C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34.Juzgado Familia del II Circ. Jud. de Alajuela (San Carlos)</w:t>
            </w:r>
          </w:p>
        </w:tc>
        <w:tc>
          <w:tcPr>
            <w:tcW w:w="1412" w:type="pct"/>
            <w:tcBorders>
              <w:top w:val="nil"/>
              <w:left w:val="nil"/>
              <w:bottom w:val="single" w:sz="8" w:space="0" w:color="auto"/>
              <w:right w:val="single" w:sz="8" w:space="0" w:color="auto"/>
            </w:tcBorders>
            <w:shd w:val="clear" w:color="auto" w:fill="auto"/>
            <w:vAlign w:val="center"/>
            <w:hideMark/>
          </w:tcPr>
          <w:p w14:paraId="1BF106C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35.Juzgado Violencia Doméstica II Circ. Jud. Alajuela (San Carlos)</w:t>
            </w:r>
          </w:p>
        </w:tc>
        <w:tc>
          <w:tcPr>
            <w:tcW w:w="1469" w:type="pct"/>
            <w:tcBorders>
              <w:top w:val="nil"/>
              <w:left w:val="nil"/>
              <w:bottom w:val="single" w:sz="8" w:space="0" w:color="auto"/>
              <w:right w:val="single" w:sz="8" w:space="0" w:color="auto"/>
            </w:tcBorders>
            <w:shd w:val="clear" w:color="auto" w:fill="auto"/>
            <w:vAlign w:val="center"/>
            <w:hideMark/>
          </w:tcPr>
          <w:p w14:paraId="089D190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36.Juzgado Contravencional y Pens. Alimen. II Circ. Jud. Alajuela (San Carlos)</w:t>
            </w:r>
          </w:p>
        </w:tc>
      </w:tr>
      <w:tr w:rsidR="00364499" w:rsidRPr="00832B59" w14:paraId="5B673C75" w14:textId="77777777" w:rsidTr="001D0C10">
        <w:trPr>
          <w:trHeight w:val="687"/>
        </w:trPr>
        <w:tc>
          <w:tcPr>
            <w:tcW w:w="858" w:type="pct"/>
            <w:vMerge/>
            <w:tcBorders>
              <w:top w:val="nil"/>
              <w:left w:val="single" w:sz="8" w:space="0" w:color="auto"/>
              <w:bottom w:val="single" w:sz="8" w:space="0" w:color="000000"/>
              <w:right w:val="single" w:sz="8" w:space="0" w:color="auto"/>
            </w:tcBorders>
            <w:vAlign w:val="center"/>
            <w:hideMark/>
          </w:tcPr>
          <w:p w14:paraId="7A5DFB54"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027FB3B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37.Juzgado Civil, Trabajo y Familia del II Circuito Judicial de Alajuela sede Upala</w:t>
            </w:r>
          </w:p>
        </w:tc>
        <w:tc>
          <w:tcPr>
            <w:tcW w:w="1469" w:type="pct"/>
            <w:tcBorders>
              <w:top w:val="nil"/>
              <w:left w:val="nil"/>
              <w:bottom w:val="single" w:sz="8" w:space="0" w:color="auto"/>
              <w:right w:val="single" w:sz="8" w:space="0" w:color="auto"/>
            </w:tcBorders>
            <w:shd w:val="clear" w:color="auto" w:fill="auto"/>
            <w:vAlign w:val="center"/>
            <w:hideMark/>
          </w:tcPr>
          <w:p w14:paraId="781F14A0"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38.Juzgado Contravencional Upala</w:t>
            </w:r>
          </w:p>
        </w:tc>
      </w:tr>
      <w:tr w:rsidR="00364499" w:rsidRPr="00832B59" w14:paraId="704D7380" w14:textId="77777777" w:rsidTr="001D0C10">
        <w:trPr>
          <w:trHeight w:val="272"/>
        </w:trPr>
        <w:tc>
          <w:tcPr>
            <w:tcW w:w="858" w:type="pct"/>
            <w:vMerge/>
            <w:tcBorders>
              <w:top w:val="nil"/>
              <w:left w:val="single" w:sz="8" w:space="0" w:color="auto"/>
              <w:bottom w:val="single" w:sz="8" w:space="0" w:color="000000"/>
              <w:right w:val="single" w:sz="8" w:space="0" w:color="auto"/>
            </w:tcBorders>
            <w:vAlign w:val="center"/>
            <w:hideMark/>
          </w:tcPr>
          <w:p w14:paraId="2287288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362981BB" w14:textId="2FD7F2F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162A47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39.Juzgado Contravencional Los Chiles</w:t>
            </w:r>
          </w:p>
        </w:tc>
      </w:tr>
      <w:tr w:rsidR="00364499" w:rsidRPr="00832B59" w14:paraId="406C7CEB" w14:textId="77777777" w:rsidTr="001D0C10">
        <w:trPr>
          <w:trHeight w:val="262"/>
        </w:trPr>
        <w:tc>
          <w:tcPr>
            <w:tcW w:w="858" w:type="pct"/>
            <w:vMerge/>
            <w:tcBorders>
              <w:top w:val="nil"/>
              <w:left w:val="single" w:sz="8" w:space="0" w:color="auto"/>
              <w:bottom w:val="single" w:sz="8" w:space="0" w:color="000000"/>
              <w:right w:val="single" w:sz="8" w:space="0" w:color="auto"/>
            </w:tcBorders>
            <w:vAlign w:val="center"/>
            <w:hideMark/>
          </w:tcPr>
          <w:p w14:paraId="6654EDE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6337D996" w14:textId="0A8FE870"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0A3367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40.Juzgado Contravencional Guatuso</w:t>
            </w:r>
          </w:p>
        </w:tc>
      </w:tr>
      <w:tr w:rsidR="00364499" w:rsidRPr="00832B59" w14:paraId="24BDB187" w14:textId="77777777" w:rsidTr="001D0C10">
        <w:trPr>
          <w:trHeight w:val="252"/>
        </w:trPr>
        <w:tc>
          <w:tcPr>
            <w:tcW w:w="858" w:type="pct"/>
            <w:vMerge/>
            <w:tcBorders>
              <w:top w:val="nil"/>
              <w:left w:val="single" w:sz="8" w:space="0" w:color="auto"/>
              <w:bottom w:val="single" w:sz="8" w:space="0" w:color="000000"/>
              <w:right w:val="single" w:sz="8" w:space="0" w:color="auto"/>
            </w:tcBorders>
            <w:vAlign w:val="center"/>
            <w:hideMark/>
          </w:tcPr>
          <w:p w14:paraId="1D01248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4FE4259D" w14:textId="4DD4BED8"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E83E38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41.Juzgado Contravencional La Fortuna</w:t>
            </w:r>
          </w:p>
        </w:tc>
      </w:tr>
      <w:tr w:rsidR="00364499" w:rsidRPr="00832B59" w14:paraId="16A40FB5" w14:textId="77777777" w:rsidTr="001D0C10">
        <w:trPr>
          <w:trHeight w:val="270"/>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1C50541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III Circuito Judicial de Alajuela</w:t>
            </w: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50B7049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42.Juzgado de Familia y Viol. Doméstica Grecia</w:t>
            </w:r>
          </w:p>
        </w:tc>
        <w:tc>
          <w:tcPr>
            <w:tcW w:w="1469" w:type="pct"/>
            <w:tcBorders>
              <w:top w:val="nil"/>
              <w:left w:val="nil"/>
              <w:bottom w:val="single" w:sz="8" w:space="0" w:color="auto"/>
              <w:right w:val="single" w:sz="8" w:space="0" w:color="auto"/>
            </w:tcBorders>
            <w:shd w:val="clear" w:color="000000" w:fill="D9E1F2"/>
            <w:vAlign w:val="center"/>
            <w:hideMark/>
          </w:tcPr>
          <w:p w14:paraId="1837257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43.Juzgado de Cobro, Contravencional Grecia</w:t>
            </w:r>
          </w:p>
        </w:tc>
      </w:tr>
      <w:tr w:rsidR="00364499" w:rsidRPr="00832B59" w14:paraId="2A78A92C" w14:textId="77777777" w:rsidTr="001D0C10">
        <w:trPr>
          <w:trHeight w:val="92"/>
        </w:trPr>
        <w:tc>
          <w:tcPr>
            <w:tcW w:w="858" w:type="pct"/>
            <w:vMerge/>
            <w:tcBorders>
              <w:top w:val="nil"/>
              <w:left w:val="single" w:sz="8" w:space="0" w:color="auto"/>
              <w:bottom w:val="single" w:sz="8" w:space="0" w:color="000000"/>
              <w:right w:val="single" w:sz="8" w:space="0" w:color="auto"/>
            </w:tcBorders>
            <w:vAlign w:val="center"/>
            <w:hideMark/>
          </w:tcPr>
          <w:p w14:paraId="2EFB5A5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7BC4747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44.Juzgado Familia y Viol. Dom. III Circ. Jud. Alajuela (San Ramón)</w:t>
            </w:r>
          </w:p>
        </w:tc>
        <w:tc>
          <w:tcPr>
            <w:tcW w:w="1469" w:type="pct"/>
            <w:tcBorders>
              <w:top w:val="nil"/>
              <w:left w:val="nil"/>
              <w:bottom w:val="single" w:sz="8" w:space="0" w:color="auto"/>
              <w:right w:val="single" w:sz="8" w:space="0" w:color="auto"/>
            </w:tcBorders>
            <w:shd w:val="clear" w:color="000000" w:fill="D9E1F2"/>
            <w:vAlign w:val="center"/>
            <w:hideMark/>
          </w:tcPr>
          <w:p w14:paraId="3AB41AE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45.Juzgado Contr. y Pens. Alimen. III Circ. Jud. Alajuela (San Ramón)</w:t>
            </w:r>
          </w:p>
        </w:tc>
      </w:tr>
      <w:tr w:rsidR="00364499" w:rsidRPr="00832B59" w14:paraId="6AC5E3E0" w14:textId="77777777" w:rsidTr="001D0C10">
        <w:trPr>
          <w:trHeight w:val="244"/>
        </w:trPr>
        <w:tc>
          <w:tcPr>
            <w:tcW w:w="858" w:type="pct"/>
            <w:vMerge/>
            <w:tcBorders>
              <w:top w:val="nil"/>
              <w:left w:val="single" w:sz="8" w:space="0" w:color="auto"/>
              <w:bottom w:val="single" w:sz="8" w:space="0" w:color="000000"/>
              <w:right w:val="single" w:sz="8" w:space="0" w:color="auto"/>
            </w:tcBorders>
            <w:vAlign w:val="center"/>
            <w:hideMark/>
          </w:tcPr>
          <w:p w14:paraId="71FEB8A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53FDC271" w14:textId="75AA3A1C"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49194DA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46.Juzgado Contravencional Zarcero</w:t>
            </w:r>
          </w:p>
        </w:tc>
      </w:tr>
      <w:tr w:rsidR="00364499" w:rsidRPr="00832B59" w14:paraId="19A25E81" w14:textId="77777777" w:rsidTr="001D0C10">
        <w:trPr>
          <w:trHeight w:val="261"/>
        </w:trPr>
        <w:tc>
          <w:tcPr>
            <w:tcW w:w="858" w:type="pct"/>
            <w:vMerge/>
            <w:tcBorders>
              <w:top w:val="nil"/>
              <w:left w:val="single" w:sz="8" w:space="0" w:color="auto"/>
              <w:bottom w:val="single" w:sz="8" w:space="0" w:color="000000"/>
              <w:right w:val="single" w:sz="8" w:space="0" w:color="auto"/>
            </w:tcBorders>
            <w:vAlign w:val="center"/>
            <w:hideMark/>
          </w:tcPr>
          <w:p w14:paraId="44C3F62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2CC6C754" w14:textId="1E84359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60D9ABD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47.Juzgado Contravencional Valverde Vega</w:t>
            </w:r>
          </w:p>
        </w:tc>
      </w:tr>
      <w:tr w:rsidR="00364499" w:rsidRPr="00832B59" w14:paraId="54AF229E" w14:textId="77777777" w:rsidTr="001D0C10">
        <w:trPr>
          <w:trHeight w:val="266"/>
        </w:trPr>
        <w:tc>
          <w:tcPr>
            <w:tcW w:w="858" w:type="pct"/>
            <w:vMerge/>
            <w:tcBorders>
              <w:top w:val="nil"/>
              <w:left w:val="single" w:sz="8" w:space="0" w:color="auto"/>
              <w:bottom w:val="single" w:sz="8" w:space="0" w:color="000000"/>
              <w:right w:val="single" w:sz="8" w:space="0" w:color="auto"/>
            </w:tcBorders>
            <w:vAlign w:val="center"/>
            <w:hideMark/>
          </w:tcPr>
          <w:p w14:paraId="051036F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5A192267" w14:textId="5109A22C"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1149BB9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48.Juzgado Contravencional Naranjo</w:t>
            </w:r>
          </w:p>
        </w:tc>
      </w:tr>
      <w:tr w:rsidR="00364499" w:rsidRPr="00832B59" w14:paraId="151B81B4" w14:textId="77777777" w:rsidTr="001D0C10">
        <w:trPr>
          <w:trHeight w:val="270"/>
        </w:trPr>
        <w:tc>
          <w:tcPr>
            <w:tcW w:w="858" w:type="pct"/>
            <w:vMerge/>
            <w:tcBorders>
              <w:top w:val="nil"/>
              <w:left w:val="single" w:sz="8" w:space="0" w:color="auto"/>
              <w:bottom w:val="single" w:sz="8" w:space="0" w:color="000000"/>
              <w:right w:val="single" w:sz="8" w:space="0" w:color="auto"/>
            </w:tcBorders>
            <w:vAlign w:val="center"/>
            <w:hideMark/>
          </w:tcPr>
          <w:p w14:paraId="5DCFE42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0B70CDCB" w14:textId="799F5F8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0193908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49.Juzgado Contravencional Palmares</w:t>
            </w:r>
          </w:p>
        </w:tc>
      </w:tr>
      <w:tr w:rsidR="00364499" w:rsidRPr="00832B59" w14:paraId="2C9431F9" w14:textId="77777777" w:rsidTr="001D0C10">
        <w:trPr>
          <w:trHeight w:val="260"/>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5B4B8BE4"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Circuito Judicial de Cartago</w:t>
            </w:r>
          </w:p>
        </w:tc>
        <w:tc>
          <w:tcPr>
            <w:tcW w:w="1260" w:type="pct"/>
            <w:tcBorders>
              <w:top w:val="nil"/>
              <w:left w:val="nil"/>
              <w:bottom w:val="single" w:sz="8" w:space="0" w:color="auto"/>
              <w:right w:val="single" w:sz="8" w:space="0" w:color="auto"/>
            </w:tcBorders>
            <w:shd w:val="clear" w:color="auto" w:fill="auto"/>
            <w:vAlign w:val="center"/>
            <w:hideMark/>
          </w:tcPr>
          <w:p w14:paraId="7C42835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50.Juzgado Familia Cartago</w:t>
            </w:r>
          </w:p>
        </w:tc>
        <w:tc>
          <w:tcPr>
            <w:tcW w:w="1412" w:type="pct"/>
            <w:tcBorders>
              <w:top w:val="nil"/>
              <w:left w:val="nil"/>
              <w:bottom w:val="single" w:sz="8" w:space="0" w:color="auto"/>
              <w:right w:val="single" w:sz="8" w:space="0" w:color="auto"/>
            </w:tcBorders>
            <w:shd w:val="clear" w:color="auto" w:fill="auto"/>
            <w:vAlign w:val="center"/>
            <w:hideMark/>
          </w:tcPr>
          <w:p w14:paraId="1EB5196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51.Juzgado Violencia Doméstica Cartago</w:t>
            </w:r>
          </w:p>
        </w:tc>
        <w:tc>
          <w:tcPr>
            <w:tcW w:w="1469" w:type="pct"/>
            <w:tcBorders>
              <w:top w:val="nil"/>
              <w:left w:val="nil"/>
              <w:bottom w:val="single" w:sz="8" w:space="0" w:color="auto"/>
              <w:right w:val="single" w:sz="8" w:space="0" w:color="auto"/>
            </w:tcBorders>
            <w:shd w:val="clear" w:color="auto" w:fill="auto"/>
            <w:vAlign w:val="center"/>
            <w:hideMark/>
          </w:tcPr>
          <w:p w14:paraId="249CC09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52.Juzgado Pensiones Alimentarias Cartago</w:t>
            </w:r>
          </w:p>
        </w:tc>
      </w:tr>
      <w:tr w:rsidR="00364499" w:rsidRPr="00832B59" w14:paraId="764A955A" w14:textId="77777777" w:rsidTr="001D0C10">
        <w:trPr>
          <w:trHeight w:val="224"/>
        </w:trPr>
        <w:tc>
          <w:tcPr>
            <w:tcW w:w="858" w:type="pct"/>
            <w:vMerge/>
            <w:tcBorders>
              <w:top w:val="nil"/>
              <w:left w:val="single" w:sz="8" w:space="0" w:color="auto"/>
              <w:bottom w:val="single" w:sz="8" w:space="0" w:color="000000"/>
              <w:right w:val="single" w:sz="8" w:space="0" w:color="auto"/>
            </w:tcBorders>
            <w:vAlign w:val="center"/>
            <w:hideMark/>
          </w:tcPr>
          <w:p w14:paraId="4C4DF93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665FACEB"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53.Juzgado Fam. Pen. Juv. y Viol. Domést. Turrialba</w:t>
            </w:r>
          </w:p>
        </w:tc>
        <w:tc>
          <w:tcPr>
            <w:tcW w:w="1469" w:type="pct"/>
            <w:tcBorders>
              <w:top w:val="nil"/>
              <w:left w:val="nil"/>
              <w:bottom w:val="single" w:sz="8" w:space="0" w:color="auto"/>
              <w:right w:val="single" w:sz="8" w:space="0" w:color="auto"/>
            </w:tcBorders>
            <w:shd w:val="clear" w:color="auto" w:fill="auto"/>
            <w:vAlign w:val="center"/>
            <w:hideMark/>
          </w:tcPr>
          <w:p w14:paraId="7F7994B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54.Juzgado Contravencional Turrialba</w:t>
            </w:r>
          </w:p>
        </w:tc>
      </w:tr>
      <w:tr w:rsidR="00364499" w:rsidRPr="00832B59" w14:paraId="121C8517" w14:textId="77777777" w:rsidTr="001D0C10">
        <w:trPr>
          <w:trHeight w:val="330"/>
        </w:trPr>
        <w:tc>
          <w:tcPr>
            <w:tcW w:w="858" w:type="pct"/>
            <w:vMerge/>
            <w:tcBorders>
              <w:top w:val="nil"/>
              <w:left w:val="single" w:sz="8" w:space="0" w:color="auto"/>
              <w:bottom w:val="single" w:sz="8" w:space="0" w:color="000000"/>
              <w:right w:val="single" w:sz="8" w:space="0" w:color="auto"/>
            </w:tcBorders>
            <w:vAlign w:val="center"/>
            <w:hideMark/>
          </w:tcPr>
          <w:p w14:paraId="2650A77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F3641BF" w14:textId="7220AD4F"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5F85265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55.Juzgado Pensiones y Violencia Doméstica La Unión (PISAV)</w:t>
            </w:r>
          </w:p>
        </w:tc>
      </w:tr>
      <w:tr w:rsidR="00364499" w:rsidRPr="00832B59" w14:paraId="3876E032" w14:textId="77777777" w:rsidTr="001D0C10">
        <w:trPr>
          <w:trHeight w:val="421"/>
        </w:trPr>
        <w:tc>
          <w:tcPr>
            <w:tcW w:w="858" w:type="pct"/>
            <w:vMerge/>
            <w:tcBorders>
              <w:top w:val="nil"/>
              <w:left w:val="single" w:sz="8" w:space="0" w:color="auto"/>
              <w:bottom w:val="single" w:sz="8" w:space="0" w:color="000000"/>
              <w:right w:val="single" w:sz="8" w:space="0" w:color="auto"/>
            </w:tcBorders>
            <w:vAlign w:val="center"/>
            <w:hideMark/>
          </w:tcPr>
          <w:p w14:paraId="6B2A80A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58962A1C" w14:textId="6AA5A5DC"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13DA4AD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56.Juzgado Contravencional Tarrazú, Dota y León Cortés</w:t>
            </w:r>
          </w:p>
        </w:tc>
      </w:tr>
      <w:tr w:rsidR="00364499" w:rsidRPr="00832B59" w14:paraId="780367B5" w14:textId="77777777" w:rsidTr="001D0C10">
        <w:trPr>
          <w:trHeight w:val="414"/>
        </w:trPr>
        <w:tc>
          <w:tcPr>
            <w:tcW w:w="858" w:type="pct"/>
            <w:vMerge/>
            <w:tcBorders>
              <w:top w:val="nil"/>
              <w:left w:val="single" w:sz="8" w:space="0" w:color="auto"/>
              <w:bottom w:val="single" w:sz="8" w:space="0" w:color="000000"/>
              <w:right w:val="single" w:sz="8" w:space="0" w:color="auto"/>
            </w:tcBorders>
            <w:vAlign w:val="center"/>
            <w:hideMark/>
          </w:tcPr>
          <w:p w14:paraId="4383A4D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C56F125" w14:textId="6FD8D3F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1E6DDEA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57.Juzgado Contravencional Paraíso</w:t>
            </w:r>
          </w:p>
        </w:tc>
      </w:tr>
      <w:tr w:rsidR="00364499" w:rsidRPr="00832B59" w14:paraId="11A01211" w14:textId="77777777" w:rsidTr="009B71C9">
        <w:trPr>
          <w:trHeight w:val="331"/>
        </w:trPr>
        <w:tc>
          <w:tcPr>
            <w:tcW w:w="858" w:type="pct"/>
            <w:vMerge/>
            <w:tcBorders>
              <w:top w:val="nil"/>
              <w:left w:val="single" w:sz="8" w:space="0" w:color="auto"/>
              <w:bottom w:val="single" w:sz="8" w:space="0" w:color="000000"/>
              <w:right w:val="single" w:sz="8" w:space="0" w:color="auto"/>
            </w:tcBorders>
            <w:vAlign w:val="center"/>
            <w:hideMark/>
          </w:tcPr>
          <w:p w14:paraId="35AE900D"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4D921F6" w14:textId="6C49A6C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18F888A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58.Juzgado Contravencional Alvarado</w:t>
            </w:r>
          </w:p>
        </w:tc>
      </w:tr>
      <w:tr w:rsidR="00364499" w:rsidRPr="00832B59" w14:paraId="40E1DD6E" w14:textId="77777777" w:rsidTr="001D0C10">
        <w:trPr>
          <w:trHeight w:val="199"/>
        </w:trPr>
        <w:tc>
          <w:tcPr>
            <w:tcW w:w="858" w:type="pct"/>
            <w:vMerge/>
            <w:tcBorders>
              <w:top w:val="nil"/>
              <w:left w:val="single" w:sz="8" w:space="0" w:color="auto"/>
              <w:bottom w:val="single" w:sz="8" w:space="0" w:color="000000"/>
              <w:right w:val="single" w:sz="8" w:space="0" w:color="auto"/>
            </w:tcBorders>
            <w:vAlign w:val="center"/>
            <w:hideMark/>
          </w:tcPr>
          <w:p w14:paraId="44E1D903"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74F22D4" w14:textId="608F91D5"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21F7F79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59.Juzgado Contravencional Jiménez</w:t>
            </w:r>
          </w:p>
        </w:tc>
      </w:tr>
      <w:tr w:rsidR="00364499" w:rsidRPr="00832B59" w14:paraId="18A28302" w14:textId="77777777" w:rsidTr="001D0C10">
        <w:trPr>
          <w:trHeight w:val="44"/>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33F897AF"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Circuito Judicial de Heredia</w:t>
            </w:r>
          </w:p>
        </w:tc>
        <w:tc>
          <w:tcPr>
            <w:tcW w:w="1260" w:type="pct"/>
            <w:tcBorders>
              <w:top w:val="nil"/>
              <w:left w:val="nil"/>
              <w:bottom w:val="single" w:sz="8" w:space="0" w:color="auto"/>
              <w:right w:val="single" w:sz="8" w:space="0" w:color="auto"/>
            </w:tcBorders>
            <w:shd w:val="clear" w:color="000000" w:fill="D9E1F2"/>
            <w:vAlign w:val="center"/>
            <w:hideMark/>
          </w:tcPr>
          <w:p w14:paraId="62DFDC6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60.Juzgado Familia Heredia</w:t>
            </w:r>
          </w:p>
        </w:tc>
        <w:tc>
          <w:tcPr>
            <w:tcW w:w="1412" w:type="pct"/>
            <w:tcBorders>
              <w:top w:val="nil"/>
              <w:left w:val="nil"/>
              <w:bottom w:val="single" w:sz="8" w:space="0" w:color="auto"/>
              <w:right w:val="single" w:sz="8" w:space="0" w:color="auto"/>
            </w:tcBorders>
            <w:shd w:val="clear" w:color="000000" w:fill="D9E1F2"/>
            <w:vAlign w:val="center"/>
            <w:hideMark/>
          </w:tcPr>
          <w:p w14:paraId="41184938"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61.Juzgado Violencia Doméstica Heredia</w:t>
            </w:r>
          </w:p>
        </w:tc>
        <w:tc>
          <w:tcPr>
            <w:tcW w:w="1469" w:type="pct"/>
            <w:tcBorders>
              <w:top w:val="nil"/>
              <w:left w:val="nil"/>
              <w:bottom w:val="single" w:sz="8" w:space="0" w:color="auto"/>
              <w:right w:val="single" w:sz="8" w:space="0" w:color="auto"/>
            </w:tcBorders>
            <w:shd w:val="clear" w:color="000000" w:fill="D9E1F2"/>
            <w:vAlign w:val="center"/>
            <w:hideMark/>
          </w:tcPr>
          <w:p w14:paraId="5BBDBA5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62.Juzgado Pensiones Alimentarias Heredia</w:t>
            </w:r>
          </w:p>
        </w:tc>
      </w:tr>
      <w:tr w:rsidR="00364499" w:rsidRPr="00832B59" w14:paraId="612F54A1"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2D88B0A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6FEECB9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63.Juzgado Civil, Trabajo, Familia, Penal Juvenil y Violencia Doméstica Sarapiquí</w:t>
            </w:r>
          </w:p>
        </w:tc>
        <w:tc>
          <w:tcPr>
            <w:tcW w:w="1469" w:type="pct"/>
            <w:tcBorders>
              <w:top w:val="nil"/>
              <w:left w:val="nil"/>
              <w:bottom w:val="single" w:sz="8" w:space="0" w:color="auto"/>
              <w:right w:val="single" w:sz="8" w:space="0" w:color="auto"/>
            </w:tcBorders>
            <w:shd w:val="clear" w:color="000000" w:fill="D9E1F2"/>
            <w:vAlign w:val="center"/>
            <w:hideMark/>
          </w:tcPr>
          <w:p w14:paraId="37054B8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64.Juzgado Pensiones Alimentarias Sarapiquí</w:t>
            </w:r>
          </w:p>
        </w:tc>
      </w:tr>
      <w:tr w:rsidR="00364499" w:rsidRPr="00832B59" w14:paraId="624301C4"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6FCE957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63496639" w14:textId="7EDA701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11E3911F"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65.Juzgado Pensiones y Violencia Doméstica San Joaquín de Flores (PISAV)</w:t>
            </w:r>
          </w:p>
        </w:tc>
      </w:tr>
      <w:tr w:rsidR="00364499" w:rsidRPr="00832B59" w14:paraId="3F2E7271"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3FA79C3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1C1FAB11" w14:textId="1D0C23A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05F2658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66.Juzgado Contravencional Sto. Domingo</w:t>
            </w:r>
          </w:p>
        </w:tc>
      </w:tr>
      <w:tr w:rsidR="00364499" w:rsidRPr="00832B59" w14:paraId="1D824501"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73E936EF"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54ED5F84" w14:textId="75BFFE0D"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31762BF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67.Juzgado Contravencional San Rafael</w:t>
            </w:r>
          </w:p>
        </w:tc>
      </w:tr>
      <w:tr w:rsidR="00364499" w:rsidRPr="00832B59" w14:paraId="1E142FF5"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299E04C4"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2E299F08" w14:textId="618230C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0DC6C8DB"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68.Juzgado Contravencional San Isidro</w:t>
            </w:r>
          </w:p>
        </w:tc>
      </w:tr>
      <w:tr w:rsidR="00364499" w:rsidRPr="00832B59" w14:paraId="4D0C8183" w14:textId="77777777" w:rsidTr="001D0C10">
        <w:trPr>
          <w:trHeight w:val="58"/>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07809EE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lastRenderedPageBreak/>
              <w:t>I Circuito Judicial de Guanacaste</w:t>
            </w: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6C5CAFA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69.Juzgado de Familia y Viol. Dom. I Circ. Jud. Guanacaste (Liberia)</w:t>
            </w:r>
          </w:p>
        </w:tc>
        <w:tc>
          <w:tcPr>
            <w:tcW w:w="1469" w:type="pct"/>
            <w:tcBorders>
              <w:top w:val="nil"/>
              <w:left w:val="nil"/>
              <w:bottom w:val="single" w:sz="8" w:space="0" w:color="auto"/>
              <w:right w:val="single" w:sz="8" w:space="0" w:color="auto"/>
            </w:tcBorders>
            <w:shd w:val="clear" w:color="auto" w:fill="auto"/>
            <w:vAlign w:val="center"/>
            <w:hideMark/>
          </w:tcPr>
          <w:p w14:paraId="3ACC5CAF"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70.Juzgado Contravencional y Pensiones Alimentarias I Circ. Jud. Guanacaste (Liberia)</w:t>
            </w:r>
          </w:p>
        </w:tc>
      </w:tr>
      <w:tr w:rsidR="00364499" w:rsidRPr="00832B59" w14:paraId="5AA66870" w14:textId="77777777" w:rsidTr="001D0C10">
        <w:trPr>
          <w:trHeight w:val="366"/>
        </w:trPr>
        <w:tc>
          <w:tcPr>
            <w:tcW w:w="858" w:type="pct"/>
            <w:vMerge/>
            <w:tcBorders>
              <w:top w:val="nil"/>
              <w:left w:val="single" w:sz="8" w:space="0" w:color="auto"/>
              <w:bottom w:val="single" w:sz="8" w:space="0" w:color="000000"/>
              <w:right w:val="single" w:sz="8" w:space="0" w:color="auto"/>
            </w:tcBorders>
            <w:vAlign w:val="center"/>
            <w:hideMark/>
          </w:tcPr>
          <w:p w14:paraId="73D1538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407F6E0A" w14:textId="42DCCD0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w:t>
            </w:r>
            <w:r w:rsidR="00084BE8" w:rsidRPr="001D0C10">
              <w:rPr>
                <w:rFonts w:ascii="Book Antiqua" w:eastAsia="Times New Roman" w:hAnsi="Book Antiqua" w:cs="Calibri"/>
                <w:color w:val="000000"/>
                <w:sz w:val="18"/>
                <w:szCs w:val="18"/>
                <w:lang w:eastAsia="es-CR"/>
              </w:rPr>
              <w:t>1</w:t>
            </w:r>
            <w:r w:rsidRPr="001D0C10">
              <w:rPr>
                <w:rFonts w:ascii="Book Antiqua" w:eastAsia="Times New Roman" w:hAnsi="Book Antiqua" w:cs="Calibri"/>
                <w:color w:val="000000"/>
                <w:sz w:val="18"/>
                <w:szCs w:val="18"/>
                <w:lang w:eastAsia="es-CR"/>
              </w:rPr>
              <w:t>.Juzgado Fam. Penal Juv. y Viol. Domést. Cañas</w:t>
            </w:r>
          </w:p>
        </w:tc>
        <w:tc>
          <w:tcPr>
            <w:tcW w:w="1469" w:type="pct"/>
            <w:tcBorders>
              <w:top w:val="nil"/>
              <w:left w:val="nil"/>
              <w:bottom w:val="single" w:sz="8" w:space="0" w:color="auto"/>
              <w:right w:val="single" w:sz="8" w:space="0" w:color="auto"/>
            </w:tcBorders>
            <w:shd w:val="clear" w:color="auto" w:fill="auto"/>
            <w:vAlign w:val="center"/>
            <w:hideMark/>
          </w:tcPr>
          <w:p w14:paraId="73AD4E6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72.Juzgado Contravencional Cañas</w:t>
            </w:r>
          </w:p>
        </w:tc>
      </w:tr>
      <w:tr w:rsidR="00364499" w:rsidRPr="00832B59" w14:paraId="02D1BB6A" w14:textId="77777777" w:rsidTr="001D0C10">
        <w:trPr>
          <w:trHeight w:val="188"/>
        </w:trPr>
        <w:tc>
          <w:tcPr>
            <w:tcW w:w="858" w:type="pct"/>
            <w:vMerge/>
            <w:tcBorders>
              <w:top w:val="nil"/>
              <w:left w:val="single" w:sz="8" w:space="0" w:color="auto"/>
              <w:bottom w:val="single" w:sz="8" w:space="0" w:color="000000"/>
              <w:right w:val="single" w:sz="8" w:space="0" w:color="auto"/>
            </w:tcBorders>
            <w:vAlign w:val="center"/>
            <w:hideMark/>
          </w:tcPr>
          <w:p w14:paraId="3D017D6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D34EE1F" w14:textId="5A955C04"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2A01850"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73.Juzgado Contravencional Bagaces</w:t>
            </w:r>
          </w:p>
        </w:tc>
      </w:tr>
      <w:tr w:rsidR="00364499" w:rsidRPr="00832B59" w14:paraId="1E3B6BF9" w14:textId="77777777" w:rsidTr="001D0C10">
        <w:trPr>
          <w:trHeight w:val="234"/>
        </w:trPr>
        <w:tc>
          <w:tcPr>
            <w:tcW w:w="858" w:type="pct"/>
            <w:vMerge/>
            <w:tcBorders>
              <w:top w:val="nil"/>
              <w:left w:val="single" w:sz="8" w:space="0" w:color="auto"/>
              <w:bottom w:val="single" w:sz="8" w:space="0" w:color="000000"/>
              <w:right w:val="single" w:sz="8" w:space="0" w:color="auto"/>
            </w:tcBorders>
            <w:vAlign w:val="center"/>
            <w:hideMark/>
          </w:tcPr>
          <w:p w14:paraId="430F78D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439BDE2C" w14:textId="2EF7E19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4DA7177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74.Juzgado Contravencional de La Cruz</w:t>
            </w:r>
          </w:p>
        </w:tc>
      </w:tr>
      <w:tr w:rsidR="00364499" w:rsidRPr="00832B59" w14:paraId="50F6A8D0" w14:textId="77777777" w:rsidTr="001D0C10">
        <w:trPr>
          <w:trHeight w:val="252"/>
        </w:trPr>
        <w:tc>
          <w:tcPr>
            <w:tcW w:w="858" w:type="pct"/>
            <w:vMerge/>
            <w:tcBorders>
              <w:top w:val="nil"/>
              <w:left w:val="single" w:sz="8" w:space="0" w:color="auto"/>
              <w:bottom w:val="single" w:sz="8" w:space="0" w:color="000000"/>
              <w:right w:val="single" w:sz="8" w:space="0" w:color="auto"/>
            </w:tcBorders>
            <w:vAlign w:val="center"/>
            <w:hideMark/>
          </w:tcPr>
          <w:p w14:paraId="68A9F71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5B78F9B5" w14:textId="76972DE8"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4B10721D"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75.Juzgado Contravencional de Tilarán</w:t>
            </w:r>
          </w:p>
        </w:tc>
      </w:tr>
      <w:tr w:rsidR="00364499" w:rsidRPr="00832B59" w14:paraId="7AE04053" w14:textId="77777777" w:rsidTr="001D0C10">
        <w:trPr>
          <w:trHeight w:val="270"/>
        </w:trPr>
        <w:tc>
          <w:tcPr>
            <w:tcW w:w="858" w:type="pct"/>
            <w:vMerge/>
            <w:tcBorders>
              <w:top w:val="nil"/>
              <w:left w:val="single" w:sz="8" w:space="0" w:color="auto"/>
              <w:bottom w:val="single" w:sz="8" w:space="0" w:color="000000"/>
              <w:right w:val="single" w:sz="8" w:space="0" w:color="auto"/>
            </w:tcBorders>
            <w:vAlign w:val="center"/>
            <w:hideMark/>
          </w:tcPr>
          <w:p w14:paraId="21B70B1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630DE1A" w14:textId="20C91060"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1BC54B2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76.Juzgado Contravencional Abangares</w:t>
            </w:r>
          </w:p>
        </w:tc>
      </w:tr>
      <w:tr w:rsidR="00364499" w:rsidRPr="00832B59" w14:paraId="36B11F3E" w14:textId="77777777" w:rsidTr="001D0C10">
        <w:trPr>
          <w:trHeight w:val="260"/>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08109C5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Guanacaste</w:t>
            </w: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004AE74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77.Juzgado Familia y Violencia Doméstica II Circ. Jud. Guanacaste (Nicoya)</w:t>
            </w:r>
          </w:p>
        </w:tc>
        <w:tc>
          <w:tcPr>
            <w:tcW w:w="1469" w:type="pct"/>
            <w:tcBorders>
              <w:top w:val="nil"/>
              <w:left w:val="nil"/>
              <w:bottom w:val="single" w:sz="8" w:space="0" w:color="auto"/>
              <w:right w:val="single" w:sz="8" w:space="0" w:color="auto"/>
            </w:tcBorders>
            <w:shd w:val="clear" w:color="000000" w:fill="D9E1F2"/>
            <w:vAlign w:val="center"/>
            <w:hideMark/>
          </w:tcPr>
          <w:p w14:paraId="5496C28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78.Juzgado Pens. Alimen. II Circ. Jud. Guanacaste (Nicoya)</w:t>
            </w:r>
          </w:p>
        </w:tc>
      </w:tr>
      <w:tr w:rsidR="00364499" w:rsidRPr="00832B59" w14:paraId="1A1D8656" w14:textId="77777777" w:rsidTr="001D0C10">
        <w:trPr>
          <w:trHeight w:val="366"/>
        </w:trPr>
        <w:tc>
          <w:tcPr>
            <w:tcW w:w="858" w:type="pct"/>
            <w:vMerge/>
            <w:tcBorders>
              <w:top w:val="nil"/>
              <w:left w:val="single" w:sz="8" w:space="0" w:color="auto"/>
              <w:bottom w:val="single" w:sz="8" w:space="0" w:color="000000"/>
              <w:right w:val="single" w:sz="8" w:space="0" w:color="auto"/>
            </w:tcBorders>
            <w:vAlign w:val="center"/>
            <w:hideMark/>
          </w:tcPr>
          <w:p w14:paraId="440854D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0EAC2C6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79.Juzgado de Familia y Violencia Doméstica Santa Cruz</w:t>
            </w:r>
          </w:p>
        </w:tc>
        <w:tc>
          <w:tcPr>
            <w:tcW w:w="1469" w:type="pct"/>
            <w:tcBorders>
              <w:top w:val="nil"/>
              <w:left w:val="nil"/>
              <w:bottom w:val="single" w:sz="8" w:space="0" w:color="auto"/>
              <w:right w:val="single" w:sz="8" w:space="0" w:color="auto"/>
            </w:tcBorders>
            <w:shd w:val="clear" w:color="000000" w:fill="D9E1F2"/>
            <w:vAlign w:val="center"/>
            <w:hideMark/>
          </w:tcPr>
          <w:p w14:paraId="7E3032E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80.Juzgado Contravencional y Pensiones Alimentarias Santa Cruz</w:t>
            </w:r>
          </w:p>
        </w:tc>
      </w:tr>
      <w:tr w:rsidR="00364499" w:rsidRPr="00832B59" w14:paraId="3132D33B" w14:textId="77777777" w:rsidTr="001D0C10">
        <w:trPr>
          <w:trHeight w:val="234"/>
        </w:trPr>
        <w:tc>
          <w:tcPr>
            <w:tcW w:w="858" w:type="pct"/>
            <w:vMerge/>
            <w:tcBorders>
              <w:top w:val="nil"/>
              <w:left w:val="single" w:sz="8" w:space="0" w:color="auto"/>
              <w:bottom w:val="single" w:sz="8" w:space="0" w:color="000000"/>
              <w:right w:val="single" w:sz="8" w:space="0" w:color="auto"/>
            </w:tcBorders>
            <w:vAlign w:val="center"/>
            <w:hideMark/>
          </w:tcPr>
          <w:p w14:paraId="79B7508E"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089A4416" w14:textId="5C85E659"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2132B41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81.Juzgado Contravencional Nandayure</w:t>
            </w:r>
          </w:p>
        </w:tc>
      </w:tr>
      <w:tr w:rsidR="00364499" w:rsidRPr="00832B59" w14:paraId="0BDA525A" w14:textId="77777777" w:rsidTr="001D0C10">
        <w:trPr>
          <w:trHeight w:val="253"/>
        </w:trPr>
        <w:tc>
          <w:tcPr>
            <w:tcW w:w="858" w:type="pct"/>
            <w:vMerge/>
            <w:tcBorders>
              <w:top w:val="nil"/>
              <w:left w:val="single" w:sz="8" w:space="0" w:color="auto"/>
              <w:bottom w:val="single" w:sz="8" w:space="0" w:color="000000"/>
              <w:right w:val="single" w:sz="8" w:space="0" w:color="auto"/>
            </w:tcBorders>
            <w:vAlign w:val="center"/>
            <w:hideMark/>
          </w:tcPr>
          <w:p w14:paraId="05DE5D3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3EAAFE91" w14:textId="17E2DC5F"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40F4D69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82.Juzgado Contravencional Carrillo</w:t>
            </w:r>
          </w:p>
        </w:tc>
      </w:tr>
      <w:tr w:rsidR="00364499" w:rsidRPr="00832B59" w14:paraId="25759A13" w14:textId="77777777" w:rsidTr="001D0C10">
        <w:trPr>
          <w:trHeight w:val="270"/>
        </w:trPr>
        <w:tc>
          <w:tcPr>
            <w:tcW w:w="858" w:type="pct"/>
            <w:vMerge/>
            <w:tcBorders>
              <w:top w:val="nil"/>
              <w:left w:val="single" w:sz="8" w:space="0" w:color="auto"/>
              <w:bottom w:val="single" w:sz="8" w:space="0" w:color="000000"/>
              <w:right w:val="single" w:sz="8" w:space="0" w:color="auto"/>
            </w:tcBorders>
            <w:vAlign w:val="center"/>
            <w:hideMark/>
          </w:tcPr>
          <w:p w14:paraId="51961033"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04F855A3" w14:textId="752CDB89"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45FA114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83.Juzgado Contravencional Hojancha</w:t>
            </w:r>
          </w:p>
        </w:tc>
      </w:tr>
      <w:tr w:rsidR="00364499" w:rsidRPr="00832B59" w14:paraId="2971DE69" w14:textId="77777777" w:rsidTr="001D0C10">
        <w:trPr>
          <w:trHeight w:val="274"/>
        </w:trPr>
        <w:tc>
          <w:tcPr>
            <w:tcW w:w="858" w:type="pct"/>
            <w:vMerge/>
            <w:tcBorders>
              <w:top w:val="nil"/>
              <w:left w:val="single" w:sz="8" w:space="0" w:color="auto"/>
              <w:bottom w:val="single" w:sz="8" w:space="0" w:color="000000"/>
              <w:right w:val="single" w:sz="8" w:space="0" w:color="auto"/>
            </w:tcBorders>
            <w:vAlign w:val="center"/>
            <w:hideMark/>
          </w:tcPr>
          <w:p w14:paraId="2BA4971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6445B63B" w14:textId="54EF0B5B"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616CE3F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84.Juzgado Contravencional Jicaral</w:t>
            </w:r>
          </w:p>
        </w:tc>
      </w:tr>
      <w:tr w:rsidR="00364499" w:rsidRPr="00832B59" w14:paraId="419C3095" w14:textId="77777777" w:rsidTr="001D0C10">
        <w:trPr>
          <w:trHeight w:val="108"/>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106E22A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Circuito Judicial de Puntarenas</w:t>
            </w:r>
          </w:p>
        </w:tc>
        <w:tc>
          <w:tcPr>
            <w:tcW w:w="1260" w:type="pct"/>
            <w:tcBorders>
              <w:top w:val="nil"/>
              <w:left w:val="nil"/>
              <w:bottom w:val="single" w:sz="8" w:space="0" w:color="auto"/>
              <w:right w:val="single" w:sz="8" w:space="0" w:color="auto"/>
            </w:tcBorders>
            <w:shd w:val="clear" w:color="auto" w:fill="auto"/>
            <w:vAlign w:val="center"/>
            <w:hideMark/>
          </w:tcPr>
          <w:p w14:paraId="6C346FE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85.Juzgado Familia Puntarenas</w:t>
            </w:r>
          </w:p>
        </w:tc>
        <w:tc>
          <w:tcPr>
            <w:tcW w:w="1412" w:type="pct"/>
            <w:tcBorders>
              <w:top w:val="nil"/>
              <w:left w:val="nil"/>
              <w:bottom w:val="single" w:sz="8" w:space="0" w:color="auto"/>
              <w:right w:val="single" w:sz="8" w:space="0" w:color="auto"/>
            </w:tcBorders>
            <w:shd w:val="clear" w:color="auto" w:fill="auto"/>
            <w:vAlign w:val="center"/>
            <w:hideMark/>
          </w:tcPr>
          <w:p w14:paraId="32B6E2B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86.Juzgado Violencia Doméstica Puntarenas</w:t>
            </w:r>
          </w:p>
        </w:tc>
        <w:tc>
          <w:tcPr>
            <w:tcW w:w="1469" w:type="pct"/>
            <w:tcBorders>
              <w:top w:val="nil"/>
              <w:left w:val="nil"/>
              <w:bottom w:val="single" w:sz="8" w:space="0" w:color="auto"/>
              <w:right w:val="single" w:sz="8" w:space="0" w:color="auto"/>
            </w:tcBorders>
            <w:shd w:val="clear" w:color="auto" w:fill="auto"/>
            <w:vAlign w:val="center"/>
            <w:hideMark/>
          </w:tcPr>
          <w:p w14:paraId="2D236310"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87.Juzgado Pensiones Alimentarias Puntarenas</w:t>
            </w:r>
          </w:p>
        </w:tc>
      </w:tr>
      <w:tr w:rsidR="00364499" w:rsidRPr="00832B59" w14:paraId="4255F926" w14:textId="77777777" w:rsidTr="001D0C10">
        <w:trPr>
          <w:trHeight w:val="214"/>
        </w:trPr>
        <w:tc>
          <w:tcPr>
            <w:tcW w:w="858" w:type="pct"/>
            <w:vMerge/>
            <w:tcBorders>
              <w:top w:val="nil"/>
              <w:left w:val="single" w:sz="8" w:space="0" w:color="auto"/>
              <w:bottom w:val="single" w:sz="8" w:space="0" w:color="000000"/>
              <w:right w:val="single" w:sz="8" w:space="0" w:color="auto"/>
            </w:tcBorders>
            <w:vAlign w:val="center"/>
            <w:hideMark/>
          </w:tcPr>
          <w:p w14:paraId="2000A0D1"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53263FD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88.Juzgado de Familia, Penal Juvenil y Violencia Doméstica de Quepos</w:t>
            </w:r>
          </w:p>
        </w:tc>
        <w:tc>
          <w:tcPr>
            <w:tcW w:w="1469" w:type="pct"/>
            <w:tcBorders>
              <w:top w:val="nil"/>
              <w:left w:val="nil"/>
              <w:bottom w:val="single" w:sz="8" w:space="0" w:color="auto"/>
              <w:right w:val="single" w:sz="8" w:space="0" w:color="auto"/>
            </w:tcBorders>
            <w:shd w:val="clear" w:color="auto" w:fill="auto"/>
            <w:vAlign w:val="center"/>
            <w:hideMark/>
          </w:tcPr>
          <w:p w14:paraId="7D6C646F"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89.Juzgado Contravencional Quepos</w:t>
            </w:r>
          </w:p>
        </w:tc>
      </w:tr>
      <w:tr w:rsidR="00364499" w:rsidRPr="00832B59" w14:paraId="09AEB5FA" w14:textId="77777777" w:rsidTr="001D0C10">
        <w:trPr>
          <w:trHeight w:val="179"/>
        </w:trPr>
        <w:tc>
          <w:tcPr>
            <w:tcW w:w="858" w:type="pct"/>
            <w:vMerge/>
            <w:tcBorders>
              <w:top w:val="nil"/>
              <w:left w:val="single" w:sz="8" w:space="0" w:color="auto"/>
              <w:bottom w:val="single" w:sz="8" w:space="0" w:color="000000"/>
              <w:right w:val="single" w:sz="8" w:space="0" w:color="auto"/>
            </w:tcBorders>
            <w:vAlign w:val="center"/>
            <w:hideMark/>
          </w:tcPr>
          <w:p w14:paraId="7744065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7B401CA" w14:textId="7193942C"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1FB54F4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90.Juzgado Contravencional Parrita</w:t>
            </w:r>
          </w:p>
        </w:tc>
      </w:tr>
      <w:tr w:rsidR="00364499" w:rsidRPr="00832B59" w14:paraId="37AB01E9" w14:textId="77777777" w:rsidTr="001D0C10">
        <w:trPr>
          <w:trHeight w:val="352"/>
        </w:trPr>
        <w:tc>
          <w:tcPr>
            <w:tcW w:w="858" w:type="pct"/>
            <w:vMerge/>
            <w:tcBorders>
              <w:top w:val="nil"/>
              <w:left w:val="single" w:sz="8" w:space="0" w:color="auto"/>
              <w:bottom w:val="single" w:sz="8" w:space="0" w:color="000000"/>
              <w:right w:val="single" w:sz="8" w:space="0" w:color="auto"/>
            </w:tcBorders>
            <w:vAlign w:val="center"/>
            <w:hideMark/>
          </w:tcPr>
          <w:p w14:paraId="0E87FC3C"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11E4370F" w14:textId="45A84E53"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B20E2D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91.Juzgado Contravencional Esparza</w:t>
            </w:r>
          </w:p>
        </w:tc>
      </w:tr>
      <w:tr w:rsidR="00364499" w:rsidRPr="00832B59" w14:paraId="192237AB" w14:textId="77777777" w:rsidTr="001D0C10">
        <w:trPr>
          <w:trHeight w:val="400"/>
        </w:trPr>
        <w:tc>
          <w:tcPr>
            <w:tcW w:w="858" w:type="pct"/>
            <w:vMerge/>
            <w:tcBorders>
              <w:top w:val="nil"/>
              <w:left w:val="single" w:sz="8" w:space="0" w:color="auto"/>
              <w:bottom w:val="single" w:sz="8" w:space="0" w:color="000000"/>
              <w:right w:val="single" w:sz="8" w:space="0" w:color="auto"/>
            </w:tcBorders>
            <w:vAlign w:val="center"/>
            <w:hideMark/>
          </w:tcPr>
          <w:p w14:paraId="36751D4A"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45F16AF6" w14:textId="64D1A72F"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59A1395B"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92.Juzgado Contravencional Montes de Oro</w:t>
            </w:r>
          </w:p>
        </w:tc>
      </w:tr>
      <w:tr w:rsidR="00364499" w:rsidRPr="00832B59" w14:paraId="25735CE3" w14:textId="77777777" w:rsidTr="001D0C10">
        <w:trPr>
          <w:trHeight w:val="405"/>
        </w:trPr>
        <w:tc>
          <w:tcPr>
            <w:tcW w:w="858" w:type="pct"/>
            <w:vMerge/>
            <w:tcBorders>
              <w:top w:val="nil"/>
              <w:left w:val="single" w:sz="8" w:space="0" w:color="auto"/>
              <w:bottom w:val="single" w:sz="8" w:space="0" w:color="000000"/>
              <w:right w:val="single" w:sz="8" w:space="0" w:color="auto"/>
            </w:tcBorders>
            <w:vAlign w:val="center"/>
            <w:hideMark/>
          </w:tcPr>
          <w:p w14:paraId="50BE6C45"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344C620B" w14:textId="5A07988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715A04B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93.Juzgado Contravencional Garabito</w:t>
            </w:r>
          </w:p>
        </w:tc>
      </w:tr>
      <w:tr w:rsidR="00364499" w:rsidRPr="00832B59" w14:paraId="1D8D5482" w14:textId="77777777" w:rsidTr="001D0C10">
        <w:trPr>
          <w:trHeight w:val="270"/>
        </w:trPr>
        <w:tc>
          <w:tcPr>
            <w:tcW w:w="858" w:type="pct"/>
            <w:vMerge/>
            <w:tcBorders>
              <w:top w:val="nil"/>
              <w:left w:val="single" w:sz="8" w:space="0" w:color="auto"/>
              <w:bottom w:val="single" w:sz="8" w:space="0" w:color="000000"/>
              <w:right w:val="single" w:sz="8" w:space="0" w:color="auto"/>
            </w:tcBorders>
            <w:vAlign w:val="center"/>
            <w:hideMark/>
          </w:tcPr>
          <w:p w14:paraId="55BF2EB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2270939A" w14:textId="707366C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53DB425A"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94.Juzgado Contravencional Cóbano</w:t>
            </w:r>
          </w:p>
        </w:tc>
      </w:tr>
      <w:tr w:rsidR="00364499" w:rsidRPr="00832B59" w14:paraId="2906C42E" w14:textId="77777777" w:rsidTr="009B71C9">
        <w:trPr>
          <w:trHeight w:val="327"/>
        </w:trPr>
        <w:tc>
          <w:tcPr>
            <w:tcW w:w="858" w:type="pct"/>
            <w:vMerge/>
            <w:tcBorders>
              <w:top w:val="nil"/>
              <w:left w:val="single" w:sz="8" w:space="0" w:color="auto"/>
              <w:bottom w:val="single" w:sz="8" w:space="0" w:color="000000"/>
              <w:right w:val="single" w:sz="8" w:space="0" w:color="auto"/>
            </w:tcBorders>
            <w:vAlign w:val="center"/>
            <w:hideMark/>
          </w:tcPr>
          <w:p w14:paraId="51EFC296"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608D9A4" w14:textId="163BDF08"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4C927106"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95.Juzgado Contravencional Monteverde</w:t>
            </w:r>
          </w:p>
        </w:tc>
      </w:tr>
      <w:tr w:rsidR="00364499" w:rsidRPr="00832B59" w14:paraId="167A97AD" w14:textId="77777777" w:rsidTr="001D0C10">
        <w:trPr>
          <w:trHeight w:val="1049"/>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03A0D9C1"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 Circuito Judicial de Zona Sur</w:t>
            </w:r>
          </w:p>
        </w:tc>
        <w:tc>
          <w:tcPr>
            <w:tcW w:w="1260" w:type="pct"/>
            <w:tcBorders>
              <w:top w:val="nil"/>
              <w:left w:val="nil"/>
              <w:bottom w:val="single" w:sz="8" w:space="0" w:color="auto"/>
              <w:right w:val="single" w:sz="8" w:space="0" w:color="auto"/>
            </w:tcBorders>
            <w:shd w:val="clear" w:color="000000" w:fill="D9E1F2"/>
            <w:vAlign w:val="center"/>
            <w:hideMark/>
          </w:tcPr>
          <w:p w14:paraId="4CCE67B3"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96.Juzgado Familia del I Circ. Jud. Zona Sur (Pérez Zeledón)</w:t>
            </w:r>
          </w:p>
        </w:tc>
        <w:tc>
          <w:tcPr>
            <w:tcW w:w="1412" w:type="pct"/>
            <w:tcBorders>
              <w:top w:val="nil"/>
              <w:left w:val="nil"/>
              <w:bottom w:val="single" w:sz="8" w:space="0" w:color="auto"/>
              <w:right w:val="single" w:sz="8" w:space="0" w:color="auto"/>
            </w:tcBorders>
            <w:shd w:val="clear" w:color="000000" w:fill="D9E1F2"/>
            <w:vAlign w:val="center"/>
            <w:hideMark/>
          </w:tcPr>
          <w:p w14:paraId="256D2CC6" w14:textId="11E7E27E"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97.Juzgado Violencia Doméstica I Circ. Jud. Zona Sur (Pérez Zeledón)</w:t>
            </w:r>
          </w:p>
        </w:tc>
        <w:tc>
          <w:tcPr>
            <w:tcW w:w="1469" w:type="pct"/>
            <w:tcBorders>
              <w:top w:val="nil"/>
              <w:left w:val="nil"/>
              <w:bottom w:val="single" w:sz="8" w:space="0" w:color="auto"/>
              <w:right w:val="single" w:sz="8" w:space="0" w:color="auto"/>
            </w:tcBorders>
            <w:shd w:val="clear" w:color="000000" w:fill="D9E1F2"/>
            <w:vAlign w:val="center"/>
            <w:hideMark/>
          </w:tcPr>
          <w:p w14:paraId="685B6D3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98.Juzgado Pensiones Alimentarias I Circ. Jud. Zona Sur (Pérez Zeledón)</w:t>
            </w:r>
          </w:p>
        </w:tc>
      </w:tr>
      <w:tr w:rsidR="00364499" w:rsidRPr="00832B59" w14:paraId="68D7E7C2" w14:textId="77777777" w:rsidTr="001D0C10">
        <w:trPr>
          <w:trHeight w:val="340"/>
        </w:trPr>
        <w:tc>
          <w:tcPr>
            <w:tcW w:w="858" w:type="pct"/>
            <w:vMerge/>
            <w:tcBorders>
              <w:top w:val="nil"/>
              <w:left w:val="single" w:sz="8" w:space="0" w:color="auto"/>
              <w:bottom w:val="single" w:sz="8" w:space="0" w:color="000000"/>
              <w:right w:val="single" w:sz="8" w:space="0" w:color="auto"/>
            </w:tcBorders>
            <w:vAlign w:val="center"/>
            <w:hideMark/>
          </w:tcPr>
          <w:p w14:paraId="78198B81"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000000" w:fill="D9E1F2"/>
            <w:vAlign w:val="center"/>
            <w:hideMark/>
          </w:tcPr>
          <w:p w14:paraId="0709D4E5"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99.Juzgado Civil, Trabajo y Familia Buenos Aires</w:t>
            </w:r>
          </w:p>
        </w:tc>
        <w:tc>
          <w:tcPr>
            <w:tcW w:w="1469" w:type="pct"/>
            <w:tcBorders>
              <w:top w:val="nil"/>
              <w:left w:val="nil"/>
              <w:bottom w:val="single" w:sz="8" w:space="0" w:color="auto"/>
              <w:right w:val="single" w:sz="8" w:space="0" w:color="auto"/>
            </w:tcBorders>
            <w:shd w:val="clear" w:color="000000" w:fill="D9E1F2"/>
            <w:vAlign w:val="center"/>
            <w:hideMark/>
          </w:tcPr>
          <w:p w14:paraId="1F39009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100.Juzgado Contravencional Buenos Aires</w:t>
            </w:r>
          </w:p>
        </w:tc>
      </w:tr>
      <w:tr w:rsidR="00364499" w:rsidRPr="00832B59" w14:paraId="6B9C556A" w14:textId="77777777" w:rsidTr="001D0C10">
        <w:trPr>
          <w:trHeight w:val="199"/>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3DE2EDF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Zona Sur</w:t>
            </w: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45CF290B"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101.Juzgado Familia y Violencia Doméstica II Circ. Jud. Zona Sur (Corredores)</w:t>
            </w:r>
          </w:p>
        </w:tc>
        <w:tc>
          <w:tcPr>
            <w:tcW w:w="1469" w:type="pct"/>
            <w:tcBorders>
              <w:top w:val="nil"/>
              <w:left w:val="nil"/>
              <w:bottom w:val="single" w:sz="8" w:space="0" w:color="auto"/>
              <w:right w:val="single" w:sz="8" w:space="0" w:color="auto"/>
            </w:tcBorders>
            <w:shd w:val="clear" w:color="auto" w:fill="auto"/>
            <w:vAlign w:val="center"/>
            <w:hideMark/>
          </w:tcPr>
          <w:p w14:paraId="3766537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102.Juzgado Contravencional II Circ. Jud. Zona Sur (Corredores)</w:t>
            </w:r>
          </w:p>
        </w:tc>
      </w:tr>
      <w:tr w:rsidR="00364499" w:rsidRPr="00832B59" w14:paraId="0A423EB9" w14:textId="77777777" w:rsidTr="001D0C10">
        <w:trPr>
          <w:trHeight w:val="81"/>
        </w:trPr>
        <w:tc>
          <w:tcPr>
            <w:tcW w:w="858" w:type="pct"/>
            <w:vMerge/>
            <w:tcBorders>
              <w:top w:val="nil"/>
              <w:left w:val="single" w:sz="8" w:space="0" w:color="auto"/>
              <w:bottom w:val="single" w:sz="8" w:space="0" w:color="000000"/>
              <w:right w:val="single" w:sz="8" w:space="0" w:color="auto"/>
            </w:tcBorders>
            <w:vAlign w:val="center"/>
            <w:hideMark/>
          </w:tcPr>
          <w:p w14:paraId="6785C043"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112DB4D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103.Juzgado de Familia y Violencia Doméstica de Golfito</w:t>
            </w:r>
          </w:p>
        </w:tc>
        <w:tc>
          <w:tcPr>
            <w:tcW w:w="1469" w:type="pct"/>
            <w:tcBorders>
              <w:top w:val="nil"/>
              <w:left w:val="nil"/>
              <w:bottom w:val="single" w:sz="8" w:space="0" w:color="auto"/>
              <w:right w:val="single" w:sz="8" w:space="0" w:color="auto"/>
            </w:tcBorders>
            <w:shd w:val="clear" w:color="auto" w:fill="auto"/>
            <w:vAlign w:val="center"/>
            <w:hideMark/>
          </w:tcPr>
          <w:p w14:paraId="217E6DAD" w14:textId="5E913B01"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104.Juzgado Contravencional Golfito</w:t>
            </w:r>
          </w:p>
        </w:tc>
      </w:tr>
      <w:tr w:rsidR="00364499" w:rsidRPr="00832B59" w14:paraId="1E921308"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2A6CED84"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2672" w:type="pct"/>
            <w:gridSpan w:val="2"/>
            <w:tcBorders>
              <w:top w:val="single" w:sz="8" w:space="0" w:color="auto"/>
              <w:left w:val="nil"/>
              <w:bottom w:val="single" w:sz="8" w:space="0" w:color="auto"/>
              <w:right w:val="single" w:sz="8" w:space="0" w:color="000000"/>
            </w:tcBorders>
            <w:shd w:val="clear" w:color="auto" w:fill="auto"/>
            <w:vAlign w:val="center"/>
            <w:hideMark/>
          </w:tcPr>
          <w:p w14:paraId="2FE09E2C"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105.Juzgado Civil, Trabajo y Familia Osa</w:t>
            </w:r>
          </w:p>
        </w:tc>
        <w:tc>
          <w:tcPr>
            <w:tcW w:w="1469" w:type="pct"/>
            <w:tcBorders>
              <w:top w:val="nil"/>
              <w:left w:val="nil"/>
              <w:bottom w:val="single" w:sz="8" w:space="0" w:color="auto"/>
              <w:right w:val="single" w:sz="8" w:space="0" w:color="auto"/>
            </w:tcBorders>
            <w:shd w:val="clear" w:color="auto" w:fill="auto"/>
            <w:vAlign w:val="center"/>
            <w:hideMark/>
          </w:tcPr>
          <w:p w14:paraId="5720C0D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106.Juzgado Contravencional de Osa</w:t>
            </w:r>
          </w:p>
        </w:tc>
      </w:tr>
      <w:tr w:rsidR="00364499" w:rsidRPr="00832B59" w14:paraId="170A7B12" w14:textId="77777777" w:rsidTr="001D0C10">
        <w:trPr>
          <w:trHeight w:val="122"/>
        </w:trPr>
        <w:tc>
          <w:tcPr>
            <w:tcW w:w="858" w:type="pct"/>
            <w:vMerge/>
            <w:tcBorders>
              <w:top w:val="nil"/>
              <w:left w:val="single" w:sz="8" w:space="0" w:color="auto"/>
              <w:bottom w:val="single" w:sz="8" w:space="0" w:color="000000"/>
              <w:right w:val="single" w:sz="8" w:space="0" w:color="auto"/>
            </w:tcBorders>
            <w:vAlign w:val="center"/>
            <w:hideMark/>
          </w:tcPr>
          <w:p w14:paraId="64F0CC1B"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04D31C7A" w14:textId="07E8B22D"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31F820AE" w14:textId="050816E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107.Juzgado de Cobro y Contravencional de Golfito, Sede Puerto Jiménez</w:t>
            </w:r>
          </w:p>
        </w:tc>
      </w:tr>
      <w:tr w:rsidR="00364499" w:rsidRPr="00832B59" w14:paraId="5807C8C0" w14:textId="77777777" w:rsidTr="001D0C10">
        <w:trPr>
          <w:trHeight w:val="86"/>
        </w:trPr>
        <w:tc>
          <w:tcPr>
            <w:tcW w:w="858" w:type="pct"/>
            <w:vMerge/>
            <w:tcBorders>
              <w:top w:val="nil"/>
              <w:left w:val="single" w:sz="8" w:space="0" w:color="auto"/>
              <w:bottom w:val="single" w:sz="8" w:space="0" w:color="000000"/>
              <w:right w:val="single" w:sz="8" w:space="0" w:color="auto"/>
            </w:tcBorders>
            <w:vAlign w:val="center"/>
            <w:hideMark/>
          </w:tcPr>
          <w:p w14:paraId="08201C70"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52EF9F52" w14:textId="226287DD"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4DBFF431"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108.Juzgado Contravencional de Coto Brus</w:t>
            </w:r>
          </w:p>
        </w:tc>
      </w:tr>
      <w:tr w:rsidR="00364499" w:rsidRPr="00832B59" w14:paraId="524439ED" w14:textId="77777777" w:rsidTr="001D0C10">
        <w:trPr>
          <w:trHeight w:val="132"/>
        </w:trPr>
        <w:tc>
          <w:tcPr>
            <w:tcW w:w="858" w:type="pct"/>
            <w:vMerge w:val="restart"/>
            <w:tcBorders>
              <w:top w:val="nil"/>
              <w:left w:val="single" w:sz="8" w:space="0" w:color="auto"/>
              <w:bottom w:val="single" w:sz="8" w:space="0" w:color="000000"/>
              <w:right w:val="single" w:sz="8" w:space="0" w:color="auto"/>
            </w:tcBorders>
            <w:shd w:val="clear" w:color="000000" w:fill="D9E1F2"/>
            <w:vAlign w:val="center"/>
            <w:hideMark/>
          </w:tcPr>
          <w:p w14:paraId="3DAD5C7F"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lastRenderedPageBreak/>
              <w:t>I Circuito Judicial de Zona Atlántica</w:t>
            </w:r>
          </w:p>
        </w:tc>
        <w:tc>
          <w:tcPr>
            <w:tcW w:w="1260" w:type="pct"/>
            <w:tcBorders>
              <w:top w:val="nil"/>
              <w:left w:val="nil"/>
              <w:bottom w:val="single" w:sz="8" w:space="0" w:color="auto"/>
              <w:right w:val="single" w:sz="8" w:space="0" w:color="auto"/>
            </w:tcBorders>
            <w:shd w:val="clear" w:color="000000" w:fill="D9E1F2"/>
            <w:vAlign w:val="center"/>
            <w:hideMark/>
          </w:tcPr>
          <w:p w14:paraId="3EC2397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109.Juzgado Familia del I Circ. Jud. Zona Atlántica</w:t>
            </w:r>
          </w:p>
        </w:tc>
        <w:tc>
          <w:tcPr>
            <w:tcW w:w="1412" w:type="pct"/>
            <w:tcBorders>
              <w:top w:val="nil"/>
              <w:left w:val="nil"/>
              <w:bottom w:val="single" w:sz="8" w:space="0" w:color="auto"/>
              <w:right w:val="single" w:sz="8" w:space="0" w:color="auto"/>
            </w:tcBorders>
            <w:shd w:val="clear" w:color="000000" w:fill="D9E1F2"/>
            <w:vAlign w:val="center"/>
            <w:hideMark/>
          </w:tcPr>
          <w:p w14:paraId="3C22A4EE"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110.Juzgado de Violencia Doméstica del I Circ. Jud. de la Zona Atlántica (Limón)</w:t>
            </w:r>
          </w:p>
        </w:tc>
        <w:tc>
          <w:tcPr>
            <w:tcW w:w="1469" w:type="pct"/>
            <w:tcBorders>
              <w:top w:val="nil"/>
              <w:left w:val="nil"/>
              <w:bottom w:val="single" w:sz="8" w:space="0" w:color="auto"/>
              <w:right w:val="single" w:sz="8" w:space="0" w:color="auto"/>
            </w:tcBorders>
            <w:shd w:val="clear" w:color="000000" w:fill="D9E1F2"/>
            <w:vAlign w:val="center"/>
            <w:hideMark/>
          </w:tcPr>
          <w:p w14:paraId="181E0220" w14:textId="3902DFC2"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111.Juzgado Pensiones Alimentarias I Circ. Jud. Zona Atlántica (Limón)</w:t>
            </w:r>
          </w:p>
        </w:tc>
      </w:tr>
      <w:tr w:rsidR="00364499" w:rsidRPr="00832B59" w14:paraId="2629A3FC"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1E6F0AB2"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24FA2116" w14:textId="3E4EF15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2AD41B57"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112.Juzgado Contravencional Bribrí</w:t>
            </w:r>
          </w:p>
        </w:tc>
      </w:tr>
      <w:tr w:rsidR="00364499" w:rsidRPr="00832B59" w14:paraId="47287D8D"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2684CA0C"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000000" w:fill="D9E1F2"/>
            <w:vAlign w:val="center"/>
            <w:hideMark/>
          </w:tcPr>
          <w:p w14:paraId="4F47FD7C" w14:textId="758D649A"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000000" w:fill="D9E1F2"/>
            <w:vAlign w:val="center"/>
            <w:hideMark/>
          </w:tcPr>
          <w:p w14:paraId="17D450B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113.Juzgado Contravencional Matina</w:t>
            </w:r>
          </w:p>
        </w:tc>
      </w:tr>
      <w:tr w:rsidR="00364499" w:rsidRPr="00832B59" w14:paraId="6C1EFE95" w14:textId="77777777" w:rsidTr="001D0C10">
        <w:trPr>
          <w:trHeight w:val="44"/>
        </w:trPr>
        <w:tc>
          <w:tcPr>
            <w:tcW w:w="858" w:type="pct"/>
            <w:vMerge w:val="restart"/>
            <w:tcBorders>
              <w:top w:val="nil"/>
              <w:left w:val="single" w:sz="8" w:space="0" w:color="auto"/>
              <w:bottom w:val="single" w:sz="8" w:space="0" w:color="000000"/>
              <w:right w:val="single" w:sz="8" w:space="0" w:color="auto"/>
            </w:tcBorders>
            <w:shd w:val="clear" w:color="auto" w:fill="auto"/>
            <w:vAlign w:val="center"/>
            <w:hideMark/>
          </w:tcPr>
          <w:p w14:paraId="77656F99"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II Circuito Judicial de Zona Atlántica</w:t>
            </w:r>
          </w:p>
        </w:tc>
        <w:tc>
          <w:tcPr>
            <w:tcW w:w="1260" w:type="pct"/>
            <w:tcBorders>
              <w:top w:val="nil"/>
              <w:left w:val="nil"/>
              <w:bottom w:val="single" w:sz="8" w:space="0" w:color="auto"/>
              <w:right w:val="single" w:sz="8" w:space="0" w:color="auto"/>
            </w:tcBorders>
            <w:shd w:val="clear" w:color="auto" w:fill="auto"/>
            <w:vAlign w:val="center"/>
            <w:hideMark/>
          </w:tcPr>
          <w:p w14:paraId="09773792"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114.Juzgado Familia II Circ. Jud. Zona Atlántica (Pococí)</w:t>
            </w:r>
          </w:p>
        </w:tc>
        <w:tc>
          <w:tcPr>
            <w:tcW w:w="1412" w:type="pct"/>
            <w:tcBorders>
              <w:top w:val="nil"/>
              <w:left w:val="nil"/>
              <w:bottom w:val="single" w:sz="8" w:space="0" w:color="auto"/>
              <w:right w:val="single" w:sz="8" w:space="0" w:color="auto"/>
            </w:tcBorders>
            <w:shd w:val="clear" w:color="auto" w:fill="auto"/>
            <w:vAlign w:val="center"/>
            <w:hideMark/>
          </w:tcPr>
          <w:p w14:paraId="3D9BA099"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115.Juzgado Violencia Doméstica II Circ. Jud. de la Zona Atlántica (Pococí)</w:t>
            </w:r>
          </w:p>
        </w:tc>
        <w:tc>
          <w:tcPr>
            <w:tcW w:w="1469" w:type="pct"/>
            <w:tcBorders>
              <w:top w:val="nil"/>
              <w:left w:val="nil"/>
              <w:bottom w:val="single" w:sz="8" w:space="0" w:color="auto"/>
              <w:right w:val="single" w:sz="8" w:space="0" w:color="auto"/>
            </w:tcBorders>
            <w:shd w:val="clear" w:color="auto" w:fill="auto"/>
            <w:vAlign w:val="center"/>
            <w:hideMark/>
          </w:tcPr>
          <w:p w14:paraId="166CEF2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116.Juzgado Pensiones Alimentarias II Circ. Jud. Zona Atlántica (Pococí)</w:t>
            </w:r>
          </w:p>
        </w:tc>
      </w:tr>
      <w:tr w:rsidR="00364499" w:rsidRPr="00832B59" w14:paraId="72B14F4C"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7C199768"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CD26597" w14:textId="4C596B85"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2E9058F4"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117.Juzgado Pensiones y Violencia Doméstica Siquirres</w:t>
            </w:r>
          </w:p>
        </w:tc>
      </w:tr>
      <w:tr w:rsidR="00364499" w:rsidRPr="00832B59" w14:paraId="725AA795" w14:textId="77777777" w:rsidTr="001D0C10">
        <w:trPr>
          <w:trHeight w:val="44"/>
        </w:trPr>
        <w:tc>
          <w:tcPr>
            <w:tcW w:w="858" w:type="pct"/>
            <w:vMerge/>
            <w:tcBorders>
              <w:top w:val="nil"/>
              <w:left w:val="single" w:sz="8" w:space="0" w:color="auto"/>
              <w:bottom w:val="single" w:sz="8" w:space="0" w:color="000000"/>
              <w:right w:val="single" w:sz="8" w:space="0" w:color="auto"/>
            </w:tcBorders>
            <w:vAlign w:val="center"/>
            <w:hideMark/>
          </w:tcPr>
          <w:p w14:paraId="173BFB77" w14:textId="77777777" w:rsidR="00364499" w:rsidRPr="001D0C10" w:rsidRDefault="00364499" w:rsidP="001D0C10">
            <w:pPr>
              <w:spacing w:after="0" w:line="240" w:lineRule="auto"/>
              <w:jc w:val="center"/>
              <w:rPr>
                <w:rFonts w:ascii="Book Antiqua" w:eastAsia="Times New Roman" w:hAnsi="Book Antiqua" w:cs="Calibri"/>
                <w:b/>
                <w:bCs/>
                <w:color w:val="000000"/>
                <w:sz w:val="18"/>
                <w:szCs w:val="18"/>
                <w:lang w:eastAsia="es-CR"/>
              </w:rPr>
            </w:pPr>
          </w:p>
        </w:tc>
        <w:tc>
          <w:tcPr>
            <w:tcW w:w="1260" w:type="pct"/>
            <w:tcBorders>
              <w:top w:val="nil"/>
              <w:left w:val="nil"/>
              <w:bottom w:val="single" w:sz="8" w:space="0" w:color="auto"/>
              <w:right w:val="single" w:sz="8" w:space="0" w:color="auto"/>
            </w:tcBorders>
            <w:shd w:val="clear" w:color="auto" w:fill="auto"/>
            <w:vAlign w:val="center"/>
            <w:hideMark/>
          </w:tcPr>
          <w:p w14:paraId="732ACA96" w14:textId="1D7EA5A9"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p>
        </w:tc>
        <w:tc>
          <w:tcPr>
            <w:tcW w:w="2881" w:type="pct"/>
            <w:gridSpan w:val="2"/>
            <w:tcBorders>
              <w:top w:val="single" w:sz="8" w:space="0" w:color="auto"/>
              <w:left w:val="nil"/>
              <w:bottom w:val="single" w:sz="8" w:space="0" w:color="auto"/>
              <w:right w:val="single" w:sz="8" w:space="0" w:color="000000"/>
            </w:tcBorders>
            <w:shd w:val="clear" w:color="auto" w:fill="auto"/>
            <w:vAlign w:val="center"/>
            <w:hideMark/>
          </w:tcPr>
          <w:p w14:paraId="4BAACBD6" w14:textId="77777777" w:rsidR="00364499" w:rsidRPr="001D0C10" w:rsidRDefault="00364499" w:rsidP="001D0C1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118.Juzgado Contravencional Guácimo</w:t>
            </w:r>
          </w:p>
        </w:tc>
      </w:tr>
    </w:tbl>
    <w:p w14:paraId="7AFCAE4C" w14:textId="0438E099" w:rsidR="00364499" w:rsidRDefault="00364499" w:rsidP="00364499">
      <w:pPr>
        <w:spacing w:line="276" w:lineRule="auto"/>
        <w:jc w:val="both"/>
        <w:rPr>
          <w:rFonts w:ascii="Book Antiqua" w:eastAsia="Calibri" w:hAnsi="Book Antiqua" w:cs="Arial"/>
          <w:i/>
          <w:iCs/>
          <w:sz w:val="20"/>
          <w:szCs w:val="20"/>
        </w:rPr>
      </w:pPr>
      <w:r w:rsidRPr="007D4541">
        <w:rPr>
          <w:rFonts w:ascii="Book Antiqua" w:hAnsi="Book Antiqua"/>
          <w:i/>
          <w:iCs/>
          <w:sz w:val="20"/>
          <w:szCs w:val="20"/>
        </w:rPr>
        <w:t xml:space="preserve">Fuente: </w:t>
      </w:r>
      <w:r w:rsidRPr="007D4541">
        <w:rPr>
          <w:rFonts w:ascii="Book Antiqua" w:eastAsia="Calibri" w:hAnsi="Book Antiqua" w:cs="Arial"/>
          <w:i/>
          <w:iCs/>
          <w:sz w:val="20"/>
          <w:szCs w:val="20"/>
        </w:rPr>
        <w:t>Subproceso de Modernización Institucional</w:t>
      </w:r>
      <w:r w:rsidR="000130F6">
        <w:rPr>
          <w:rFonts w:ascii="Book Antiqua" w:eastAsia="Calibri" w:hAnsi="Book Antiqua" w:cs="Arial"/>
          <w:i/>
          <w:iCs/>
          <w:sz w:val="20"/>
          <w:szCs w:val="20"/>
        </w:rPr>
        <w:t>.</w:t>
      </w:r>
    </w:p>
    <w:p w14:paraId="6EAEE3B9" w14:textId="77777777" w:rsidR="004066A7" w:rsidRDefault="004066A7" w:rsidP="009C01E1">
      <w:pPr>
        <w:spacing w:line="276" w:lineRule="auto"/>
        <w:jc w:val="both"/>
        <w:rPr>
          <w:rFonts w:ascii="Book Antiqua" w:hAnsi="Book Antiqua"/>
          <w:sz w:val="24"/>
          <w:szCs w:val="24"/>
        </w:rPr>
      </w:pPr>
    </w:p>
    <w:p w14:paraId="549A9D5D" w14:textId="3433A009" w:rsidR="002D59AC" w:rsidRPr="006762A3" w:rsidRDefault="002D59AC" w:rsidP="008456A9">
      <w:pPr>
        <w:pStyle w:val="Ttulo2"/>
      </w:pPr>
      <w:r w:rsidRPr="006762A3">
        <w:t>Ámbito Auxiliar de Justicia</w:t>
      </w:r>
    </w:p>
    <w:p w14:paraId="4A93E2BC" w14:textId="77777777" w:rsidR="002D59AC" w:rsidRPr="002D59AC" w:rsidRDefault="002D59AC" w:rsidP="002D59AC">
      <w:pPr>
        <w:spacing w:after="0" w:line="240" w:lineRule="auto"/>
        <w:jc w:val="both"/>
        <w:rPr>
          <w:rFonts w:ascii="Book Antiqua" w:eastAsia="Calibri" w:hAnsi="Book Antiqua" w:cs="Arial"/>
          <w:lang w:val="es-ES_tradnl"/>
        </w:rPr>
      </w:pPr>
    </w:p>
    <w:p w14:paraId="266E19FE" w14:textId="0268354F" w:rsidR="002D59AC" w:rsidRDefault="002D59AC" w:rsidP="006154CF">
      <w:pPr>
        <w:spacing w:after="0" w:line="276" w:lineRule="auto"/>
        <w:jc w:val="both"/>
        <w:rPr>
          <w:rFonts w:ascii="Book Antiqua" w:eastAsia="Calibri" w:hAnsi="Book Antiqua" w:cs="Arial"/>
          <w:sz w:val="24"/>
          <w:szCs w:val="24"/>
        </w:rPr>
      </w:pPr>
      <w:r w:rsidRPr="002D59AC">
        <w:rPr>
          <w:rFonts w:ascii="Book Antiqua" w:eastAsia="Calibri" w:hAnsi="Book Antiqua" w:cs="Arial"/>
          <w:sz w:val="24"/>
          <w:szCs w:val="24"/>
        </w:rPr>
        <w:t xml:space="preserve">A la </w:t>
      </w:r>
      <w:bookmarkStart w:id="13" w:name="_Hlk34910649"/>
      <w:r w:rsidRPr="002D59AC">
        <w:rPr>
          <w:rFonts w:ascii="Book Antiqua" w:eastAsia="Calibri" w:hAnsi="Book Antiqua" w:cs="Arial"/>
          <w:sz w:val="24"/>
          <w:szCs w:val="24"/>
        </w:rPr>
        <w:t>fecha la Defensa Pública cuenta con 45 oficinas distribuidas en los 15 circuitos judiciales del país</w:t>
      </w:r>
      <w:bookmarkEnd w:id="13"/>
      <w:r w:rsidRPr="002D59AC">
        <w:rPr>
          <w:rFonts w:ascii="Book Antiqua" w:eastAsia="Calibri" w:hAnsi="Book Antiqua" w:cs="Arial"/>
          <w:sz w:val="24"/>
          <w:szCs w:val="24"/>
        </w:rPr>
        <w:t>, según datos aportados por la Administración de esa dependencia.</w:t>
      </w:r>
    </w:p>
    <w:p w14:paraId="72D1D06B" w14:textId="079BC4A7" w:rsidR="00A038A5" w:rsidRDefault="00A038A5" w:rsidP="002D59AC">
      <w:pPr>
        <w:spacing w:after="0" w:line="276" w:lineRule="auto"/>
        <w:jc w:val="both"/>
        <w:rPr>
          <w:rFonts w:ascii="Book Antiqua" w:eastAsia="Calibri" w:hAnsi="Book Antiqua" w:cs="Arial"/>
          <w:sz w:val="24"/>
          <w:szCs w:val="24"/>
        </w:rPr>
      </w:pPr>
    </w:p>
    <w:p w14:paraId="4B6C908D" w14:textId="77777777" w:rsidR="006154CF" w:rsidRPr="006154CF" w:rsidRDefault="006154CF" w:rsidP="006154CF">
      <w:pPr>
        <w:spacing w:after="0" w:line="276" w:lineRule="auto"/>
        <w:jc w:val="both"/>
        <w:rPr>
          <w:rFonts w:ascii="Book Antiqua" w:eastAsia="Calibri" w:hAnsi="Book Antiqua" w:cs="Arial"/>
          <w:sz w:val="24"/>
          <w:szCs w:val="24"/>
        </w:rPr>
      </w:pPr>
      <w:r w:rsidRPr="006154CF">
        <w:rPr>
          <w:rFonts w:ascii="Book Antiqua" w:eastAsia="Calibri" w:hAnsi="Book Antiqua" w:cs="Arial"/>
          <w:sz w:val="24"/>
          <w:szCs w:val="24"/>
        </w:rPr>
        <w:t>Respecto a la Defensa Pública en materia de Pensiones Alimentarias (incluida la población indígena</w:t>
      </w:r>
      <w:r w:rsidRPr="006154CF">
        <w:rPr>
          <w:rFonts w:ascii="Book Antiqua" w:eastAsia="Calibri" w:hAnsi="Book Antiqua" w:cs="Arial"/>
          <w:sz w:val="24"/>
          <w:szCs w:val="24"/>
          <w:vertAlign w:val="superscript"/>
        </w:rPr>
        <w:footnoteReference w:id="9"/>
      </w:r>
      <w:r w:rsidRPr="006154CF">
        <w:rPr>
          <w:rFonts w:ascii="Book Antiqua" w:eastAsia="Calibri" w:hAnsi="Book Antiqua" w:cs="Arial"/>
          <w:sz w:val="24"/>
          <w:szCs w:val="24"/>
        </w:rPr>
        <w:t xml:space="preserve"> y la asignación de plazas que pudiera eventualmente hacer la Defensa en Tarrazú) la Corte Plena en sesión 31-2020 celebrada el 2 de junio del 2020, artículo II aprobó la inclusión en el presupuesto extraordinario 2021 de la Institución 33 plazas</w:t>
      </w:r>
      <w:r w:rsidRPr="006154CF">
        <w:rPr>
          <w:rFonts w:ascii="Book Antiqua" w:eastAsia="Calibri" w:hAnsi="Book Antiqua" w:cs="Arial"/>
          <w:sz w:val="24"/>
          <w:szCs w:val="24"/>
          <w:vertAlign w:val="superscript"/>
        </w:rPr>
        <w:footnoteReference w:id="10"/>
      </w:r>
      <w:r w:rsidRPr="006154CF">
        <w:rPr>
          <w:rFonts w:ascii="Book Antiqua" w:eastAsia="Calibri" w:hAnsi="Book Antiqua" w:cs="Arial"/>
          <w:sz w:val="24"/>
          <w:szCs w:val="24"/>
        </w:rPr>
        <w:t xml:space="preserve"> de Defensora o Defensor Público:</w:t>
      </w:r>
    </w:p>
    <w:p w14:paraId="7DD3F08A" w14:textId="77777777" w:rsidR="006154CF" w:rsidRPr="002D59AC" w:rsidRDefault="006154CF" w:rsidP="002D59AC">
      <w:pPr>
        <w:spacing w:after="0" w:line="276" w:lineRule="auto"/>
        <w:jc w:val="both"/>
        <w:rPr>
          <w:rFonts w:ascii="Book Antiqua" w:eastAsia="Calibri" w:hAnsi="Book Antiqua" w:cs="Arial"/>
          <w:sz w:val="24"/>
          <w:szCs w:val="24"/>
        </w:rPr>
      </w:pPr>
    </w:p>
    <w:p w14:paraId="7082D020" w14:textId="474CED82" w:rsidR="00A038A5" w:rsidRDefault="00A038A5" w:rsidP="00E8070C">
      <w:pPr>
        <w:spacing w:after="0" w:line="276" w:lineRule="auto"/>
        <w:ind w:left="567" w:right="616"/>
        <w:jc w:val="both"/>
        <w:rPr>
          <w:rFonts w:ascii="Book Antiqua" w:eastAsia="Calibri" w:hAnsi="Book Antiqua" w:cs="Arial"/>
          <w:i/>
          <w:iCs/>
          <w:sz w:val="24"/>
          <w:szCs w:val="24"/>
        </w:rPr>
      </w:pPr>
      <w:r w:rsidRPr="00E8070C">
        <w:rPr>
          <w:rFonts w:ascii="Book Antiqua" w:eastAsia="Calibri" w:hAnsi="Book Antiqua" w:cs="Arial"/>
          <w:i/>
          <w:iCs/>
          <w:sz w:val="24"/>
          <w:szCs w:val="24"/>
        </w:rPr>
        <w:t xml:space="preserve">“Sin objeción de las señoras magistradas y los señores magistrados presentes, se dispuso: 1.) Aprobar la propuesta planteada por el magistrado Salazar Alvarado, en el sentido de autorizar al Presidente de la Corte y a la señora Vicepresidenta de la Corte para que tomen las decisiones que estime pertinentes, respecto a señalar a la Subcomisión de Asuntos Hacendarios de la Asamblea Legislativa, lo concerniente en cuanto lograr la aprobación del presupuesto del Poder Judicial 2021, así como las posibles negociaciones que se formulen, las que se harán de conocimiento del Consejo Consultivo de emergencia conformado con los </w:t>
      </w:r>
      <w:r w:rsidRPr="00E8070C">
        <w:rPr>
          <w:rFonts w:ascii="Book Antiqua" w:eastAsia="Calibri" w:hAnsi="Book Antiqua" w:cs="Arial"/>
          <w:i/>
          <w:iCs/>
          <w:sz w:val="24"/>
          <w:szCs w:val="24"/>
        </w:rPr>
        <w:lastRenderedPageBreak/>
        <w:t>Presidentes de las Salas, como respaldo a las decisiones que se tomen, a cuyos efectos cuando lo estime pertinente se hará acompañar de las diferentes direcciones, así como de la señora Fiscala General de la República, del señor Director del Organismo de Investigación Judicial y de la señora Directora de la Defensa Pública. Lo anterior, en el entendido de que posteriormente se hará de conocimiento de esta Corte. 2.) Agradecer y reconocer el trabajo realizado por los integrantes del Consejo Superior, las Direcciones de Planificación, Ejecutiva, Gestión Humana y Tecnología de la Información, que colaboraron en la elaboración del Proyecto de Presupuesto del Poder Judicial para el 2021. 3.) Se declaran acuerdos firmes todos los acuerdos adoptados en esta sesión.</w:t>
      </w:r>
    </w:p>
    <w:p w14:paraId="6D40642C" w14:textId="77777777" w:rsidR="00AE2CD7" w:rsidRDefault="00AE2CD7" w:rsidP="00E8070C">
      <w:pPr>
        <w:spacing w:after="0" w:line="276" w:lineRule="auto"/>
        <w:ind w:left="567" w:right="616"/>
        <w:jc w:val="both"/>
        <w:rPr>
          <w:rFonts w:ascii="Book Antiqua" w:eastAsia="Calibri" w:hAnsi="Book Antiqua" w:cs="Arial"/>
          <w:i/>
          <w:iCs/>
          <w:sz w:val="24"/>
          <w:szCs w:val="24"/>
        </w:rPr>
      </w:pPr>
    </w:p>
    <w:p w14:paraId="3BD3CC2F" w14:textId="77777777" w:rsidR="00AE2CD7" w:rsidRPr="00E8070C" w:rsidRDefault="00AE2CD7" w:rsidP="00AE2CD7">
      <w:pPr>
        <w:spacing w:after="0" w:line="276" w:lineRule="auto"/>
        <w:ind w:left="567" w:right="616"/>
        <w:jc w:val="both"/>
        <w:rPr>
          <w:rFonts w:ascii="Book Antiqua" w:eastAsia="Calibri" w:hAnsi="Book Antiqua" w:cs="Arial"/>
          <w:i/>
          <w:iCs/>
          <w:sz w:val="24"/>
          <w:szCs w:val="24"/>
        </w:rPr>
      </w:pPr>
      <w:r w:rsidRPr="00E8070C">
        <w:rPr>
          <w:rFonts w:ascii="Book Antiqua" w:eastAsia="Calibri" w:hAnsi="Book Antiqua" w:cs="Arial"/>
          <w:i/>
          <w:iCs/>
          <w:sz w:val="24"/>
          <w:szCs w:val="24"/>
        </w:rPr>
        <w:t>La Dirección de Planificación tomará nota para los fines consiguientes. Se declara acuerdo firme.”.</w:t>
      </w:r>
    </w:p>
    <w:p w14:paraId="51F8F6BC" w14:textId="77777777" w:rsidR="000A2DEC" w:rsidRDefault="000A2DEC" w:rsidP="00AC01CE">
      <w:pPr>
        <w:spacing w:after="0" w:line="276" w:lineRule="auto"/>
        <w:jc w:val="both"/>
        <w:rPr>
          <w:rFonts w:ascii="Book Antiqua" w:eastAsia="Calibri" w:hAnsi="Book Antiqua" w:cs="Arial"/>
          <w:sz w:val="24"/>
          <w:szCs w:val="24"/>
        </w:rPr>
      </w:pPr>
    </w:p>
    <w:p w14:paraId="7EE42D9D" w14:textId="4008E896" w:rsidR="00AC01CE" w:rsidRPr="001D0C10" w:rsidRDefault="000A2DEC" w:rsidP="00AC01CE">
      <w:pPr>
        <w:spacing w:after="0" w:line="276" w:lineRule="auto"/>
        <w:jc w:val="both"/>
        <w:rPr>
          <w:rFonts w:ascii="Book Antiqua" w:eastAsia="Calibri" w:hAnsi="Book Antiqua" w:cs="Arial"/>
          <w:b/>
          <w:bCs/>
          <w:sz w:val="24"/>
          <w:szCs w:val="24"/>
        </w:rPr>
      </w:pPr>
      <w:r w:rsidRPr="001D0C10">
        <w:rPr>
          <w:rFonts w:ascii="Book Antiqua" w:eastAsia="Calibri" w:hAnsi="Book Antiqua" w:cs="Arial"/>
          <w:b/>
          <w:bCs/>
          <w:sz w:val="24"/>
          <w:szCs w:val="24"/>
        </w:rPr>
        <w:t>Para el 2022</w:t>
      </w:r>
      <w:r w:rsidR="00222593">
        <w:rPr>
          <w:rFonts w:ascii="Book Antiqua" w:eastAsia="Calibri" w:hAnsi="Book Antiqua" w:cs="Arial"/>
          <w:b/>
          <w:bCs/>
          <w:sz w:val="24"/>
          <w:szCs w:val="24"/>
        </w:rPr>
        <w:t>,</w:t>
      </w:r>
      <w:r w:rsidRPr="001D0C10">
        <w:rPr>
          <w:rFonts w:ascii="Book Antiqua" w:eastAsia="Calibri" w:hAnsi="Book Antiqua" w:cs="Arial"/>
          <w:b/>
          <w:bCs/>
          <w:sz w:val="24"/>
          <w:szCs w:val="24"/>
        </w:rPr>
        <w:t xml:space="preserve"> igualmente se mantuvo esta necesidad de plazas, sin embargo el Ministerio de Haciendo incorporó en el proyecto de presupuesto 2022, solamente 17 plazas (15 ordinarias y 2 para personas de pueblos indígenas). Este recurso adicional conforme a lo indicado en el informe 389-PLA-RH-MI-2021 debe ser considerado por la Defensa Pública para </w:t>
      </w:r>
      <w:r w:rsidR="00AC01CE" w:rsidRPr="001D0C10">
        <w:rPr>
          <w:rFonts w:ascii="Book Antiqua" w:eastAsia="Calibri" w:hAnsi="Book Antiqua" w:cs="Arial"/>
          <w:b/>
          <w:bCs/>
          <w:sz w:val="24"/>
          <w:szCs w:val="24"/>
        </w:rPr>
        <w:t>solventar</w:t>
      </w:r>
      <w:r w:rsidRPr="001D0C10">
        <w:rPr>
          <w:rFonts w:ascii="Book Antiqua" w:eastAsia="Calibri" w:hAnsi="Book Antiqua" w:cs="Arial"/>
          <w:b/>
          <w:bCs/>
          <w:sz w:val="24"/>
          <w:szCs w:val="24"/>
        </w:rPr>
        <w:t xml:space="preserve"> </w:t>
      </w:r>
      <w:r w:rsidR="00AC01CE" w:rsidRPr="001D0C10">
        <w:rPr>
          <w:rFonts w:ascii="Book Antiqua" w:eastAsia="Calibri" w:hAnsi="Book Antiqua" w:cs="Arial"/>
          <w:b/>
          <w:bCs/>
          <w:sz w:val="24"/>
          <w:szCs w:val="24"/>
        </w:rPr>
        <w:t xml:space="preserve">la necesidad planteada por la </w:t>
      </w:r>
      <w:r w:rsidR="00222593" w:rsidRPr="001D0C10">
        <w:rPr>
          <w:rFonts w:ascii="Book Antiqua" w:eastAsia="Calibri" w:hAnsi="Book Antiqua" w:cs="Arial"/>
          <w:b/>
          <w:bCs/>
          <w:sz w:val="24"/>
          <w:szCs w:val="24"/>
        </w:rPr>
        <w:t xml:space="preserve">misma </w:t>
      </w:r>
      <w:r w:rsidR="00AC01CE" w:rsidRPr="001D0C10">
        <w:rPr>
          <w:rFonts w:ascii="Book Antiqua" w:eastAsia="Calibri" w:hAnsi="Book Antiqua" w:cs="Arial"/>
          <w:b/>
          <w:bCs/>
          <w:sz w:val="24"/>
          <w:szCs w:val="24"/>
        </w:rPr>
        <w:t>Defensa Pública</w:t>
      </w:r>
      <w:r w:rsidR="00222593" w:rsidRPr="001D0C10">
        <w:rPr>
          <w:rFonts w:ascii="Book Antiqua" w:eastAsia="Calibri" w:hAnsi="Book Antiqua" w:cs="Arial"/>
          <w:b/>
          <w:bCs/>
          <w:sz w:val="24"/>
          <w:szCs w:val="24"/>
        </w:rPr>
        <w:t>,</w:t>
      </w:r>
      <w:r w:rsidR="00AC01CE" w:rsidRPr="001D0C10">
        <w:rPr>
          <w:rFonts w:ascii="Book Antiqua" w:eastAsia="Calibri" w:hAnsi="Book Antiqua" w:cs="Arial"/>
          <w:b/>
          <w:bCs/>
          <w:sz w:val="24"/>
          <w:szCs w:val="24"/>
        </w:rPr>
        <w:t xml:space="preserve"> mediante oficio JEFDP-06-2020 (</w:t>
      </w:r>
      <w:r w:rsidR="00AC01CE" w:rsidRPr="00222593">
        <w:rPr>
          <w:rFonts w:ascii="Book Antiqua" w:eastAsia="Calibri" w:hAnsi="Book Antiqua" w:cs="Arial"/>
          <w:b/>
          <w:bCs/>
          <w:i/>
          <w:iCs/>
          <w:sz w:val="24"/>
          <w:szCs w:val="24"/>
        </w:rPr>
        <w:t>referencia interna 53-2020):</w:t>
      </w:r>
    </w:p>
    <w:p w14:paraId="72DF62F4" w14:textId="77777777" w:rsidR="00AC01CE" w:rsidRPr="00E8070C" w:rsidRDefault="00AC01CE" w:rsidP="00E8070C">
      <w:pPr>
        <w:spacing w:after="0" w:line="276" w:lineRule="auto"/>
        <w:ind w:left="567" w:right="616"/>
        <w:jc w:val="both"/>
        <w:rPr>
          <w:rFonts w:ascii="Book Antiqua" w:eastAsia="Calibri" w:hAnsi="Book Antiqua" w:cs="Arial"/>
          <w:i/>
          <w:iCs/>
          <w:sz w:val="24"/>
          <w:szCs w:val="24"/>
        </w:rPr>
      </w:pPr>
    </w:p>
    <w:p w14:paraId="5B6FD739" w14:textId="77777777" w:rsidR="00AD17CA" w:rsidRPr="00AD17CA" w:rsidRDefault="00AD17CA" w:rsidP="009B71C9">
      <w:pPr>
        <w:spacing w:after="0" w:line="276" w:lineRule="auto"/>
        <w:ind w:left="567" w:right="616"/>
        <w:jc w:val="both"/>
        <w:rPr>
          <w:rFonts w:ascii="Book Antiqua" w:eastAsia="Calibri" w:hAnsi="Book Antiqua" w:cs="Arial"/>
          <w:bCs/>
          <w:i/>
          <w:iCs/>
          <w:color w:val="000000"/>
          <w:kern w:val="3"/>
          <w:lang w:val="es-ES" w:bidi="hi-IN"/>
        </w:rPr>
      </w:pPr>
      <w:r w:rsidRPr="00AD17CA">
        <w:rPr>
          <w:rFonts w:ascii="Book Antiqua" w:eastAsia="Calibri" w:hAnsi="Book Antiqua" w:cs="Arial"/>
          <w:i/>
          <w:iCs/>
        </w:rPr>
        <w:t>“</w:t>
      </w:r>
      <w:r w:rsidRPr="00AD17CA">
        <w:rPr>
          <w:rFonts w:ascii="Book Antiqua" w:eastAsia="Calibri" w:hAnsi="Book Antiqua" w:cs="Arial"/>
          <w:bCs/>
          <w:i/>
          <w:iCs/>
          <w:color w:val="000000"/>
          <w:kern w:val="3"/>
          <w:lang w:val="es-ES" w:bidi="hi-IN"/>
        </w:rPr>
        <w:t>El Departamento de Auditoría, realizó el estudio denominado  “Estudio operativo en las oficinas regionales de la Defensa Pública”, cuyo objetivo era evaluar si la capacidad operativa de las Defensas Regionales permitía realizar los procesos más relevantes a su cargo en forma ágil y sin mayor afectación de los servicios prestados, con el fin de determinar si dichas oficinas se desempeñan con eficiencia y eficacia razonables.</w:t>
      </w:r>
    </w:p>
    <w:p w14:paraId="45CC1F42" w14:textId="77777777" w:rsidR="00AD17CA" w:rsidRDefault="00AD17CA" w:rsidP="009B71C9">
      <w:pPr>
        <w:spacing w:after="0" w:line="276" w:lineRule="auto"/>
        <w:ind w:left="567" w:right="616"/>
        <w:jc w:val="both"/>
        <w:rPr>
          <w:rFonts w:ascii="Book Antiqua" w:eastAsia="Calibri" w:hAnsi="Book Antiqua" w:cs="Arial"/>
          <w:bCs/>
          <w:i/>
          <w:iCs/>
          <w:color w:val="000000"/>
          <w:kern w:val="3"/>
          <w:lang w:val="es-ES" w:bidi="hi-IN"/>
        </w:rPr>
      </w:pPr>
      <w:r w:rsidRPr="00AD17CA">
        <w:rPr>
          <w:rFonts w:ascii="Book Antiqua" w:eastAsia="Calibri" w:hAnsi="Book Antiqua" w:cs="Arial"/>
          <w:bCs/>
          <w:i/>
          <w:iCs/>
          <w:color w:val="000000"/>
          <w:kern w:val="3"/>
          <w:lang w:val="es-ES" w:bidi="hi-IN"/>
        </w:rPr>
        <w:t xml:space="preserve"> </w:t>
      </w:r>
    </w:p>
    <w:p w14:paraId="68A25D7B" w14:textId="52D8DD50" w:rsidR="00AD17CA" w:rsidRPr="00AD17CA" w:rsidRDefault="00AD17CA" w:rsidP="009B71C9">
      <w:pPr>
        <w:spacing w:after="0" w:line="276" w:lineRule="auto"/>
        <w:ind w:left="567" w:right="616"/>
        <w:jc w:val="both"/>
        <w:rPr>
          <w:rFonts w:ascii="Book Antiqua" w:eastAsia="Calibri" w:hAnsi="Book Antiqua" w:cs="Arial"/>
          <w:bCs/>
          <w:i/>
          <w:iCs/>
          <w:color w:val="000000"/>
          <w:kern w:val="3"/>
          <w:lang w:val="es-ES" w:bidi="hi-IN"/>
        </w:rPr>
      </w:pPr>
      <w:r w:rsidRPr="00AD17CA">
        <w:rPr>
          <w:rFonts w:ascii="Book Antiqua" w:eastAsia="Calibri" w:hAnsi="Book Antiqua" w:cs="Arial"/>
          <w:bCs/>
          <w:i/>
          <w:iCs/>
          <w:color w:val="000000"/>
          <w:kern w:val="3"/>
          <w:lang w:val="es-ES" w:bidi="hi-IN"/>
        </w:rPr>
        <w:t xml:space="preserve">En virtud de </w:t>
      </w:r>
      <w:r w:rsidR="000847EB" w:rsidRPr="00AD17CA">
        <w:rPr>
          <w:rFonts w:ascii="Book Antiqua" w:eastAsia="Calibri" w:hAnsi="Book Antiqua" w:cs="Arial"/>
          <w:bCs/>
          <w:i/>
          <w:iCs/>
          <w:color w:val="000000"/>
          <w:kern w:val="3"/>
          <w:lang w:val="es-ES" w:bidi="hi-IN"/>
        </w:rPr>
        <w:t>ello, en</w:t>
      </w:r>
      <w:r w:rsidRPr="00AD17CA">
        <w:rPr>
          <w:rFonts w:ascii="Book Antiqua" w:eastAsia="Calibri" w:hAnsi="Book Antiqua" w:cs="Arial"/>
          <w:bCs/>
          <w:i/>
          <w:iCs/>
          <w:color w:val="000000"/>
          <w:kern w:val="3"/>
          <w:lang w:val="es-ES" w:bidi="hi-IN"/>
        </w:rPr>
        <w:t xml:space="preserve"> fecha 16 de diciembre de 2019, se rindió el informe número No. 1516-59-SAEE-2019, cuya recomendación final a la Jefatura de la Defensa Pública refiere:</w:t>
      </w:r>
    </w:p>
    <w:p w14:paraId="01D66D45" w14:textId="77777777" w:rsidR="00055ECF" w:rsidRPr="00055ECF" w:rsidRDefault="00055ECF" w:rsidP="009B71C9">
      <w:pPr>
        <w:tabs>
          <w:tab w:val="left" w:pos="7655"/>
        </w:tabs>
        <w:spacing w:before="100" w:beforeAutospacing="1" w:after="100" w:afterAutospacing="1" w:line="276" w:lineRule="auto"/>
        <w:ind w:left="1134" w:right="616"/>
        <w:jc w:val="both"/>
        <w:rPr>
          <w:rFonts w:ascii="Book Antiqua" w:eastAsia="Calibri" w:hAnsi="Book Antiqua" w:cs="Arial"/>
          <w:bCs/>
          <w:i/>
          <w:iCs/>
          <w:color w:val="000000"/>
          <w:kern w:val="3"/>
          <w:lang w:val="es-ES" w:bidi="hi-IN"/>
        </w:rPr>
      </w:pPr>
      <w:r w:rsidRPr="00055ECF">
        <w:rPr>
          <w:rFonts w:ascii="Book Antiqua" w:eastAsia="Calibri" w:hAnsi="Book Antiqua" w:cs="Arial"/>
          <w:bCs/>
          <w:i/>
          <w:iCs/>
          <w:color w:val="000000"/>
          <w:kern w:val="3"/>
          <w:lang w:val="es-ES" w:bidi="hi-IN"/>
        </w:rPr>
        <w:t>“4.1 Promover acciones formales ante la Dirección de Planificación tendientes a garantizar el servicio de asistencia legal en la materia de pensiones alimentarias para las personas usuarias en la localidad de Tarrazú, a fin de hacer efectivos sus derechos legítimos.  “</w:t>
      </w:r>
      <w:r w:rsidRPr="00055ECF">
        <w:rPr>
          <w:rFonts w:ascii="Book Antiqua" w:eastAsia="Calibri" w:hAnsi="Book Antiqua" w:cs="Arial"/>
          <w:bCs/>
          <w:i/>
          <w:iCs/>
          <w:color w:val="000000"/>
          <w:kern w:val="3"/>
          <w:lang w:val="es-ES" w:bidi="hi-IN"/>
        </w:rPr>
        <w:tab/>
      </w:r>
    </w:p>
    <w:p w14:paraId="1A2A9D7A" w14:textId="77777777" w:rsidR="00055ECF" w:rsidRPr="00055ECF" w:rsidRDefault="00055ECF" w:rsidP="009B71C9">
      <w:pPr>
        <w:spacing w:before="100" w:beforeAutospacing="1" w:after="100" w:afterAutospacing="1" w:line="276" w:lineRule="auto"/>
        <w:ind w:left="1134" w:right="616"/>
        <w:jc w:val="both"/>
        <w:rPr>
          <w:rFonts w:ascii="Book Antiqua" w:eastAsia="Calibri" w:hAnsi="Book Antiqua" w:cs="Arial"/>
          <w:bCs/>
          <w:i/>
          <w:iCs/>
          <w:color w:val="000000"/>
          <w:kern w:val="3"/>
          <w:lang w:val="es-ES" w:bidi="hi-IN"/>
        </w:rPr>
      </w:pPr>
      <w:r w:rsidRPr="00055ECF">
        <w:rPr>
          <w:rFonts w:ascii="Book Antiqua" w:eastAsia="Calibri" w:hAnsi="Book Antiqua" w:cs="Arial"/>
          <w:bCs/>
          <w:i/>
          <w:iCs/>
          <w:color w:val="000000"/>
          <w:kern w:val="3"/>
          <w:lang w:val="es-ES" w:bidi="hi-IN"/>
        </w:rPr>
        <w:lastRenderedPageBreak/>
        <w:t xml:space="preserve">En virtud de lo expuesto y siendo que: </w:t>
      </w:r>
    </w:p>
    <w:p w14:paraId="6FE807A5" w14:textId="77777777" w:rsidR="00055ECF" w:rsidRPr="00055ECF" w:rsidRDefault="00055ECF" w:rsidP="009B71C9">
      <w:pPr>
        <w:spacing w:before="100" w:beforeAutospacing="1" w:after="100" w:afterAutospacing="1" w:line="276" w:lineRule="auto"/>
        <w:ind w:left="1134" w:right="616"/>
        <w:jc w:val="both"/>
        <w:rPr>
          <w:rFonts w:ascii="Book Antiqua" w:eastAsia="Calibri" w:hAnsi="Book Antiqua" w:cs="Arial"/>
          <w:bCs/>
          <w:i/>
          <w:iCs/>
          <w:color w:val="000000"/>
          <w:kern w:val="3"/>
          <w:lang w:val="es-ES" w:bidi="hi-IN"/>
        </w:rPr>
      </w:pPr>
      <w:r w:rsidRPr="00055ECF">
        <w:rPr>
          <w:rFonts w:ascii="Book Antiqua" w:eastAsia="Calibri" w:hAnsi="Book Antiqua" w:cs="Arial"/>
          <w:bCs/>
          <w:i/>
          <w:iCs/>
          <w:color w:val="000000"/>
          <w:kern w:val="3"/>
          <w:lang w:val="es-ES" w:bidi="hi-IN"/>
        </w:rPr>
        <w:t xml:space="preserve"> 1) Esta Jefatura ha analizado la necesidad existente en la Defensa Pública de Tarrazú de brindar el servicio en materia de pensiones alimentarias y que valoradas las posibilidades a lo interno no cuenta la Defensa Pública con posibilidades institucionales de dotar a dicha oficina de un profesional defensor público para la atención en materia de pensiones alimentarias, y</w:t>
      </w:r>
    </w:p>
    <w:p w14:paraId="337A29DF" w14:textId="77777777" w:rsidR="00055ECF" w:rsidRPr="00055ECF" w:rsidRDefault="00055ECF" w:rsidP="000012B5">
      <w:pPr>
        <w:spacing w:before="100" w:beforeAutospacing="1" w:after="100" w:afterAutospacing="1" w:line="276" w:lineRule="auto"/>
        <w:ind w:left="1134" w:right="616"/>
        <w:jc w:val="both"/>
        <w:rPr>
          <w:rFonts w:ascii="Book Antiqua" w:eastAsia="Calibri" w:hAnsi="Book Antiqua" w:cs="Arial"/>
          <w:bCs/>
          <w:i/>
          <w:iCs/>
          <w:color w:val="000000"/>
          <w:kern w:val="3"/>
          <w:lang w:bidi="hi-IN"/>
        </w:rPr>
      </w:pPr>
      <w:r w:rsidRPr="00055ECF">
        <w:rPr>
          <w:rFonts w:ascii="Book Antiqua" w:eastAsia="Calibri" w:hAnsi="Book Antiqua" w:cs="Arial"/>
          <w:bCs/>
          <w:i/>
          <w:iCs/>
          <w:color w:val="000000"/>
          <w:kern w:val="3"/>
          <w:lang w:val="es-ES" w:bidi="hi-IN"/>
        </w:rPr>
        <w:t xml:space="preserve"> 2) Tomando en cuenta </w:t>
      </w:r>
      <w:r w:rsidRPr="00055ECF">
        <w:rPr>
          <w:rFonts w:ascii="Book Antiqua" w:eastAsia="Calibri" w:hAnsi="Book Antiqua" w:cs="Arial"/>
          <w:bCs/>
          <w:i/>
          <w:iCs/>
          <w:color w:val="000000"/>
          <w:kern w:val="3"/>
          <w:lang w:bidi="hi-IN"/>
        </w:rPr>
        <w:t>la recomendación brindada por el Departamento de Auditoría y que su plazo de cumplimiento es inmediato:</w:t>
      </w:r>
    </w:p>
    <w:p w14:paraId="40C58AB7" w14:textId="579571FD" w:rsidR="000012B5" w:rsidRPr="002B12F1" w:rsidRDefault="00055ECF" w:rsidP="002B12F1">
      <w:pPr>
        <w:spacing w:before="100" w:beforeAutospacing="1" w:after="100" w:afterAutospacing="1" w:line="276" w:lineRule="auto"/>
        <w:ind w:left="1134" w:right="616"/>
        <w:jc w:val="both"/>
        <w:rPr>
          <w:rFonts w:ascii="Book Antiqua" w:eastAsia="Calibri" w:hAnsi="Book Antiqua" w:cs="Arial"/>
          <w:bCs/>
          <w:i/>
          <w:iCs/>
          <w:color w:val="000000"/>
          <w:kern w:val="3"/>
          <w:lang w:bidi="hi-IN"/>
        </w:rPr>
      </w:pPr>
      <w:r w:rsidRPr="00055ECF">
        <w:rPr>
          <w:rFonts w:ascii="Book Antiqua" w:eastAsia="Calibri" w:hAnsi="Book Antiqua" w:cs="Arial"/>
          <w:bCs/>
          <w:i/>
          <w:iCs/>
          <w:color w:val="000000"/>
          <w:kern w:val="3"/>
          <w:lang w:bidi="hi-IN"/>
        </w:rPr>
        <w:t>S</w:t>
      </w:r>
      <w:r w:rsidRPr="00055ECF">
        <w:rPr>
          <w:rFonts w:ascii="Book Antiqua" w:eastAsia="Calibri" w:hAnsi="Book Antiqua" w:cs="Arial"/>
          <w:bCs/>
          <w:i/>
          <w:iCs/>
          <w:color w:val="000000"/>
          <w:kern w:val="3"/>
          <w:lang w:val="es-ES" w:bidi="hi-IN"/>
        </w:rPr>
        <w:t>e solicita respetuosamente se realicen los estudios técnicos respectivos para la creación de una plaza de pensiones alimentarias en la Defensa Pública de Tarrazú</w:t>
      </w:r>
      <w:r w:rsidRPr="00055ECF">
        <w:rPr>
          <w:rFonts w:ascii="Book Antiqua" w:eastAsia="Calibri" w:hAnsi="Book Antiqua" w:cs="Arial"/>
          <w:bCs/>
          <w:i/>
          <w:iCs/>
          <w:color w:val="000000"/>
          <w:kern w:val="3"/>
          <w:lang w:bidi="hi-IN"/>
        </w:rPr>
        <w:t xml:space="preserve"> por tratarse de la atención de una materia sensible cuyo servicio está dirigido mayoritariamente a población en situación de vulnerabilidad como son mujeres, personas menores de edad o adultas mayores, personas en situación de </w:t>
      </w:r>
      <w:r w:rsidR="000847EB" w:rsidRPr="00055ECF">
        <w:rPr>
          <w:rFonts w:ascii="Book Antiqua" w:eastAsia="Calibri" w:hAnsi="Book Antiqua" w:cs="Arial"/>
          <w:bCs/>
          <w:i/>
          <w:iCs/>
          <w:color w:val="000000"/>
          <w:kern w:val="3"/>
          <w:lang w:bidi="hi-IN"/>
        </w:rPr>
        <w:t>discapacidad, todas</w:t>
      </w:r>
      <w:r w:rsidRPr="00055ECF">
        <w:rPr>
          <w:rFonts w:ascii="Book Antiqua" w:eastAsia="Calibri" w:hAnsi="Book Antiqua" w:cs="Arial"/>
          <w:bCs/>
          <w:i/>
          <w:iCs/>
          <w:color w:val="000000"/>
          <w:kern w:val="3"/>
          <w:lang w:bidi="hi-IN"/>
        </w:rPr>
        <w:t xml:space="preserve"> con situación de pobreza.”.</w:t>
      </w:r>
    </w:p>
    <w:p w14:paraId="45A69770" w14:textId="59B3AA56" w:rsidR="00222593" w:rsidRPr="001D0C10" w:rsidRDefault="00222593" w:rsidP="001D0C10">
      <w:pPr>
        <w:spacing w:before="100" w:beforeAutospacing="1" w:after="100" w:afterAutospacing="1" w:line="276" w:lineRule="auto"/>
        <w:ind w:right="49"/>
        <w:jc w:val="both"/>
        <w:rPr>
          <w:rFonts w:ascii="Book Antiqua" w:eastAsia="Calibri" w:hAnsi="Book Antiqua" w:cs="Arial"/>
          <w:b/>
          <w:color w:val="000000"/>
          <w:kern w:val="3"/>
          <w:sz w:val="24"/>
          <w:szCs w:val="24"/>
          <w:lang w:bidi="hi-IN"/>
        </w:rPr>
      </w:pPr>
      <w:r w:rsidRPr="001D0C10">
        <w:rPr>
          <w:rFonts w:ascii="Book Antiqua" w:eastAsia="Calibri" w:hAnsi="Book Antiqua" w:cs="Arial"/>
          <w:b/>
          <w:color w:val="000000"/>
          <w:kern w:val="3"/>
          <w:sz w:val="24"/>
          <w:szCs w:val="24"/>
          <w:lang w:bidi="hi-IN"/>
        </w:rPr>
        <w:t xml:space="preserve">Para el 2023, la incorporación en el presupuesto de las restantes 18 plazas de Defensor </w:t>
      </w:r>
      <w:r w:rsidRPr="00222593">
        <w:rPr>
          <w:rFonts w:ascii="Book Antiqua" w:eastAsia="Calibri" w:hAnsi="Book Antiqua" w:cs="Arial"/>
          <w:b/>
          <w:color w:val="000000"/>
          <w:kern w:val="3"/>
          <w:sz w:val="24"/>
          <w:szCs w:val="24"/>
          <w:lang w:bidi="hi-IN"/>
        </w:rPr>
        <w:t>Público</w:t>
      </w:r>
      <w:r w:rsidRPr="001D0C10">
        <w:rPr>
          <w:rFonts w:ascii="Book Antiqua" w:eastAsia="Calibri" w:hAnsi="Book Antiqua" w:cs="Arial"/>
          <w:b/>
          <w:color w:val="000000"/>
          <w:kern w:val="3"/>
          <w:sz w:val="24"/>
          <w:szCs w:val="24"/>
          <w:lang w:bidi="hi-IN"/>
        </w:rPr>
        <w:t xml:space="preserve"> (35 solicitadas inicialmente por la Defensa </w:t>
      </w:r>
      <w:r w:rsidRPr="00222593">
        <w:rPr>
          <w:rFonts w:ascii="Book Antiqua" w:eastAsia="Calibri" w:hAnsi="Book Antiqua" w:cs="Arial"/>
          <w:b/>
          <w:color w:val="000000"/>
          <w:kern w:val="3"/>
          <w:sz w:val="24"/>
          <w:szCs w:val="24"/>
          <w:lang w:bidi="hi-IN"/>
        </w:rPr>
        <w:t>Pública</w:t>
      </w:r>
      <w:r w:rsidRPr="001D0C10">
        <w:rPr>
          <w:rFonts w:ascii="Book Antiqua" w:eastAsia="Calibri" w:hAnsi="Book Antiqua" w:cs="Arial"/>
          <w:b/>
          <w:color w:val="000000"/>
          <w:kern w:val="3"/>
          <w:sz w:val="24"/>
          <w:szCs w:val="24"/>
          <w:lang w:bidi="hi-IN"/>
        </w:rPr>
        <w:t xml:space="preserve"> – 17 incluidas en el </w:t>
      </w:r>
      <w:r w:rsidRPr="00222593">
        <w:rPr>
          <w:rFonts w:ascii="Book Antiqua" w:eastAsia="Calibri" w:hAnsi="Book Antiqua" w:cs="Arial"/>
          <w:b/>
          <w:color w:val="000000"/>
          <w:kern w:val="3"/>
          <w:sz w:val="24"/>
          <w:szCs w:val="24"/>
          <w:lang w:bidi="hi-IN"/>
        </w:rPr>
        <w:t>presupuesto</w:t>
      </w:r>
      <w:r w:rsidRPr="001D0C10">
        <w:rPr>
          <w:rFonts w:ascii="Book Antiqua" w:eastAsia="Calibri" w:hAnsi="Book Antiqua" w:cs="Arial"/>
          <w:b/>
          <w:color w:val="000000"/>
          <w:kern w:val="3"/>
          <w:sz w:val="24"/>
          <w:szCs w:val="24"/>
          <w:lang w:bidi="hi-IN"/>
        </w:rPr>
        <w:t xml:space="preserve"> 2022)</w:t>
      </w:r>
      <w:r>
        <w:rPr>
          <w:rFonts w:ascii="Book Antiqua" w:eastAsia="Calibri" w:hAnsi="Book Antiqua" w:cs="Arial"/>
          <w:b/>
          <w:color w:val="000000"/>
          <w:kern w:val="3"/>
          <w:sz w:val="24"/>
          <w:szCs w:val="24"/>
          <w:lang w:bidi="hi-IN"/>
        </w:rPr>
        <w:t>, dependerá de lo que apruebe la Corte Plena para este proceso de formulación</w:t>
      </w:r>
      <w:r w:rsidR="00951243">
        <w:rPr>
          <w:rFonts w:ascii="Book Antiqua" w:eastAsia="Calibri" w:hAnsi="Book Antiqua" w:cs="Arial"/>
          <w:b/>
          <w:color w:val="000000"/>
          <w:kern w:val="3"/>
          <w:sz w:val="24"/>
          <w:szCs w:val="24"/>
          <w:lang w:bidi="hi-IN"/>
        </w:rPr>
        <w:t xml:space="preserve"> y con las 17 plazas que se le inyectaron en el presupuesto del año 2022 deberá priorizar las necesidades detectadas</w:t>
      </w:r>
      <w:r w:rsidR="00445F35">
        <w:rPr>
          <w:rFonts w:ascii="Book Antiqua" w:eastAsia="Calibri" w:hAnsi="Book Antiqua" w:cs="Arial"/>
          <w:b/>
          <w:color w:val="000000"/>
          <w:kern w:val="3"/>
          <w:sz w:val="24"/>
          <w:szCs w:val="24"/>
          <w:lang w:bidi="hi-IN"/>
        </w:rPr>
        <w:t xml:space="preserve"> la Jefatura de la Defensa Pública</w:t>
      </w:r>
    </w:p>
    <w:p w14:paraId="4783B4A7" w14:textId="2539ECB6" w:rsidR="00051AAF" w:rsidRPr="006762A3" w:rsidRDefault="00051AAF" w:rsidP="008456A9">
      <w:pPr>
        <w:pStyle w:val="Ttulo2"/>
      </w:pPr>
      <w:r w:rsidRPr="006762A3">
        <w:t>Ámbito Administrativo</w:t>
      </w:r>
    </w:p>
    <w:p w14:paraId="3B282111" w14:textId="77777777" w:rsidR="00E51C26" w:rsidRDefault="00E51C26" w:rsidP="008C623E">
      <w:pPr>
        <w:spacing w:after="0" w:line="276" w:lineRule="auto"/>
        <w:jc w:val="both"/>
        <w:rPr>
          <w:rFonts w:ascii="Book Antiqua" w:eastAsia="Calibri" w:hAnsi="Book Antiqua" w:cs="Arial"/>
          <w:sz w:val="24"/>
          <w:szCs w:val="24"/>
        </w:rPr>
      </w:pPr>
    </w:p>
    <w:p w14:paraId="04E0AAEA" w14:textId="0FCB3EC2" w:rsidR="008C623E" w:rsidRPr="008C623E" w:rsidRDefault="008C623E" w:rsidP="008C623E">
      <w:pPr>
        <w:spacing w:after="0" w:line="276" w:lineRule="auto"/>
        <w:jc w:val="both"/>
        <w:rPr>
          <w:rFonts w:ascii="Book Antiqua" w:eastAsia="Calibri" w:hAnsi="Book Antiqua" w:cs="Arial"/>
          <w:sz w:val="24"/>
          <w:szCs w:val="24"/>
        </w:rPr>
      </w:pPr>
      <w:r w:rsidRPr="008C623E">
        <w:rPr>
          <w:rFonts w:ascii="Book Antiqua" w:eastAsia="Calibri" w:hAnsi="Book Antiqua" w:cs="Arial"/>
          <w:sz w:val="24"/>
          <w:szCs w:val="24"/>
        </w:rPr>
        <w:t>En la actualidad el Departamento de Trabajo Social y Psicología se encarga de elaborar los dictámenes periciales solicitados por los despachos y oficinas judiciales, entre ellos los juzgados que conocen los procesos familiares.</w:t>
      </w:r>
    </w:p>
    <w:p w14:paraId="3A0979E5" w14:textId="77777777" w:rsidR="008C623E" w:rsidRPr="008C623E" w:rsidRDefault="008C623E" w:rsidP="008C623E">
      <w:pPr>
        <w:spacing w:after="0" w:line="276" w:lineRule="auto"/>
        <w:jc w:val="both"/>
        <w:rPr>
          <w:rFonts w:ascii="Book Antiqua" w:eastAsia="Calibri" w:hAnsi="Book Antiqua" w:cs="Arial"/>
          <w:sz w:val="24"/>
          <w:szCs w:val="24"/>
        </w:rPr>
      </w:pPr>
    </w:p>
    <w:p w14:paraId="18962A73" w14:textId="3AD549BB" w:rsidR="008C623E" w:rsidRPr="008C623E" w:rsidRDefault="008C623E" w:rsidP="008C623E">
      <w:pPr>
        <w:spacing w:after="0" w:line="276" w:lineRule="auto"/>
        <w:jc w:val="both"/>
        <w:rPr>
          <w:rFonts w:ascii="Book Antiqua" w:eastAsia="Calibri" w:hAnsi="Book Antiqua" w:cs="Arial"/>
          <w:sz w:val="24"/>
          <w:szCs w:val="24"/>
        </w:rPr>
      </w:pPr>
      <w:r w:rsidRPr="008C623E">
        <w:rPr>
          <w:rFonts w:ascii="Book Antiqua" w:eastAsia="Calibri" w:hAnsi="Book Antiqua" w:cs="Arial"/>
          <w:sz w:val="24"/>
          <w:szCs w:val="24"/>
        </w:rPr>
        <w:t xml:space="preserve">A la fecha el </w:t>
      </w:r>
      <w:bookmarkStart w:id="14" w:name="_Hlk34905905"/>
      <w:r w:rsidRPr="008C623E">
        <w:rPr>
          <w:rFonts w:ascii="Book Antiqua" w:eastAsia="Calibri" w:hAnsi="Book Antiqua" w:cs="Arial"/>
          <w:sz w:val="24"/>
          <w:szCs w:val="24"/>
        </w:rPr>
        <w:t>Departamento de Trabajo Social y Psicología está conformado por 28 oficinas regionales distribuidas en los 15 circuitos judiciales del país</w:t>
      </w:r>
      <w:bookmarkEnd w:id="14"/>
      <w:r w:rsidRPr="008C623E">
        <w:rPr>
          <w:rFonts w:ascii="Book Antiqua" w:eastAsia="Calibri" w:hAnsi="Book Antiqua" w:cs="Arial"/>
          <w:sz w:val="24"/>
          <w:szCs w:val="24"/>
        </w:rPr>
        <w:t>, según datos aportados por esa dependencia.</w:t>
      </w:r>
      <w:r w:rsidR="00445F35">
        <w:rPr>
          <w:rFonts w:ascii="Book Antiqua" w:eastAsia="Calibri" w:hAnsi="Book Antiqua" w:cs="Arial"/>
          <w:sz w:val="24"/>
          <w:szCs w:val="24"/>
        </w:rPr>
        <w:t xml:space="preserve"> Este </w:t>
      </w:r>
      <w:r w:rsidR="00EA3630">
        <w:rPr>
          <w:rFonts w:ascii="Book Antiqua" w:eastAsia="Calibri" w:hAnsi="Book Antiqua" w:cs="Arial"/>
          <w:sz w:val="24"/>
          <w:szCs w:val="24"/>
        </w:rPr>
        <w:t xml:space="preserve">servicio debe ser analizado profundamente por la Jefatura de este Departamento, ya que los plazos de duración de </w:t>
      </w:r>
      <w:proofErr w:type="gramStart"/>
      <w:r w:rsidR="00EA3630">
        <w:rPr>
          <w:rFonts w:ascii="Book Antiqua" w:eastAsia="Calibri" w:hAnsi="Book Antiqua" w:cs="Arial"/>
          <w:sz w:val="24"/>
          <w:szCs w:val="24"/>
        </w:rPr>
        <w:t>los mismos</w:t>
      </w:r>
      <w:proofErr w:type="gramEnd"/>
      <w:r w:rsidR="00EA3630">
        <w:rPr>
          <w:rFonts w:ascii="Book Antiqua" w:eastAsia="Calibri" w:hAnsi="Book Antiqua" w:cs="Arial"/>
          <w:sz w:val="24"/>
          <w:szCs w:val="24"/>
        </w:rPr>
        <w:t xml:space="preserve">, está dilatando la oportuna respuesta de </w:t>
      </w:r>
      <w:r w:rsidR="00D46D9A">
        <w:rPr>
          <w:rFonts w:ascii="Book Antiqua" w:eastAsia="Calibri" w:hAnsi="Book Antiqua" w:cs="Arial"/>
          <w:sz w:val="24"/>
          <w:szCs w:val="24"/>
        </w:rPr>
        <w:t>la resolución de los expedientes judiciales.</w:t>
      </w:r>
    </w:p>
    <w:p w14:paraId="6F75BD53" w14:textId="461718E2" w:rsidR="004A387E" w:rsidRPr="00982DA9" w:rsidRDefault="004A387E" w:rsidP="0090609F">
      <w:pPr>
        <w:pStyle w:val="Ttulo1"/>
        <w:numPr>
          <w:ilvl w:val="0"/>
          <w:numId w:val="23"/>
        </w:numPr>
        <w:spacing w:line="276" w:lineRule="auto"/>
      </w:pPr>
      <w:r w:rsidRPr="00982DA9">
        <w:lastRenderedPageBreak/>
        <w:t xml:space="preserve">Información </w:t>
      </w:r>
      <w:r>
        <w:t>r</w:t>
      </w:r>
      <w:r w:rsidRPr="00982DA9">
        <w:t>elevante materia Familia</w:t>
      </w:r>
    </w:p>
    <w:p w14:paraId="5C45E6E4" w14:textId="7B6505AA" w:rsidR="001D6E3C" w:rsidRPr="000130F6" w:rsidRDefault="001D6E3C" w:rsidP="000130F6">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0130F6">
        <w:rPr>
          <w:rFonts w:ascii="Book Antiqua" w:eastAsiaTheme="majorEastAsia" w:hAnsi="Book Antiqua" w:cstheme="majorBidi"/>
          <w:b/>
          <w:color w:val="1F3864" w:themeColor="accent1" w:themeShade="80"/>
          <w:sz w:val="24"/>
          <w:lang w:val="es-ES"/>
        </w:rPr>
        <w:t>Análisis estadístico Juzgados Especializados de Familia</w:t>
      </w:r>
    </w:p>
    <w:p w14:paraId="6016CA0E" w14:textId="77777777" w:rsidR="000130F6" w:rsidRDefault="000130F6" w:rsidP="00711214">
      <w:pPr>
        <w:spacing w:line="276" w:lineRule="auto"/>
        <w:jc w:val="both"/>
        <w:rPr>
          <w:rFonts w:ascii="Book Antiqua" w:eastAsia="Calibri" w:hAnsi="Book Antiqua" w:cs="Arial"/>
          <w:sz w:val="24"/>
          <w:szCs w:val="24"/>
        </w:rPr>
      </w:pPr>
    </w:p>
    <w:p w14:paraId="7668808E" w14:textId="666F8A3A" w:rsidR="009A42B7" w:rsidRPr="009A42B7" w:rsidRDefault="009A42B7" w:rsidP="00711214">
      <w:pPr>
        <w:spacing w:line="276" w:lineRule="auto"/>
        <w:jc w:val="both"/>
        <w:rPr>
          <w:rFonts w:ascii="Book Antiqua" w:eastAsia="Calibri" w:hAnsi="Book Antiqua" w:cs="Arial"/>
          <w:sz w:val="24"/>
          <w:szCs w:val="24"/>
        </w:rPr>
      </w:pPr>
      <w:r w:rsidRPr="009A42B7">
        <w:rPr>
          <w:rFonts w:ascii="Book Antiqua" w:eastAsia="Calibri" w:hAnsi="Book Antiqua" w:cs="Arial"/>
          <w:sz w:val="24"/>
          <w:szCs w:val="24"/>
        </w:rPr>
        <w:t>A continuación, se muestra el detalle estadístico de los Juzgados Especializados de Familia del país del periodo 201</w:t>
      </w:r>
      <w:r w:rsidR="004A387E">
        <w:rPr>
          <w:rFonts w:ascii="Book Antiqua" w:eastAsia="Calibri" w:hAnsi="Book Antiqua" w:cs="Arial"/>
          <w:sz w:val="24"/>
          <w:szCs w:val="24"/>
        </w:rPr>
        <w:t>7</w:t>
      </w:r>
      <w:r w:rsidRPr="009A42B7">
        <w:rPr>
          <w:rFonts w:ascii="Book Antiqua" w:eastAsia="Calibri" w:hAnsi="Book Antiqua" w:cs="Arial"/>
          <w:sz w:val="24"/>
          <w:szCs w:val="24"/>
        </w:rPr>
        <w:t>-20</w:t>
      </w:r>
      <w:r w:rsidR="004A387E">
        <w:rPr>
          <w:rFonts w:ascii="Book Antiqua" w:eastAsia="Calibri" w:hAnsi="Book Antiqua" w:cs="Arial"/>
          <w:sz w:val="24"/>
          <w:szCs w:val="24"/>
        </w:rPr>
        <w:t>2</w:t>
      </w:r>
      <w:r w:rsidRPr="009A42B7">
        <w:rPr>
          <w:rFonts w:ascii="Book Antiqua" w:eastAsia="Calibri" w:hAnsi="Book Antiqua" w:cs="Arial"/>
          <w:sz w:val="24"/>
          <w:szCs w:val="24"/>
        </w:rPr>
        <w:t xml:space="preserve">1. </w:t>
      </w:r>
      <w:r w:rsidR="00E1622B">
        <w:rPr>
          <w:rFonts w:ascii="Book Antiqua" w:eastAsia="Calibri" w:hAnsi="Book Antiqua" w:cs="Arial"/>
          <w:sz w:val="24"/>
          <w:szCs w:val="24"/>
        </w:rPr>
        <w:t>S</w:t>
      </w:r>
      <w:r w:rsidRPr="009A42B7">
        <w:rPr>
          <w:rFonts w:ascii="Book Antiqua" w:eastAsia="Calibri" w:hAnsi="Book Antiqua" w:cs="Arial"/>
          <w:sz w:val="24"/>
          <w:szCs w:val="24"/>
        </w:rPr>
        <w:t xml:space="preserve">e considera el 2020 para efectos de estimaciones, un periodo atípico, cuyo comportamiento no refleja la normalidad de las oficinas debido a la emergencia nacional por la pandemia por Covid-19. </w:t>
      </w:r>
    </w:p>
    <w:p w14:paraId="79B94968" w14:textId="21DADCC6" w:rsidR="007F3BF9" w:rsidRDefault="007F3BF9" w:rsidP="007F3BF9">
      <w:pPr>
        <w:spacing w:after="0" w:line="240" w:lineRule="auto"/>
        <w:jc w:val="both"/>
        <w:rPr>
          <w:rFonts w:ascii="Book Antiqua" w:eastAsia="Calibri" w:hAnsi="Book Antiqua" w:cs="Arial"/>
          <w:lang w:val="es-ES_tradnl"/>
        </w:rPr>
      </w:pPr>
    </w:p>
    <w:p w14:paraId="2AA7A667" w14:textId="77777777" w:rsidR="004A387E" w:rsidRPr="008D6799" w:rsidRDefault="004A387E"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Análisis de la entrada, salida y circulante final</w:t>
      </w:r>
    </w:p>
    <w:p w14:paraId="64544C61" w14:textId="77777777" w:rsidR="004A387E" w:rsidRPr="007F3BF9" w:rsidRDefault="004A387E" w:rsidP="007F3BF9">
      <w:pPr>
        <w:spacing w:after="0" w:line="240" w:lineRule="auto"/>
        <w:jc w:val="both"/>
        <w:rPr>
          <w:rFonts w:ascii="Book Antiqua" w:eastAsia="Calibri" w:hAnsi="Book Antiqua" w:cs="Arial"/>
          <w:lang w:val="es-ES_tradnl"/>
        </w:rPr>
      </w:pPr>
    </w:p>
    <w:p w14:paraId="782458D2" w14:textId="5EA4664E" w:rsidR="00C16293" w:rsidRPr="00C16293" w:rsidRDefault="00C16293" w:rsidP="00C16293">
      <w:pPr>
        <w:spacing w:after="0" w:line="276" w:lineRule="auto"/>
        <w:jc w:val="both"/>
        <w:rPr>
          <w:rFonts w:ascii="Book Antiqua" w:eastAsia="Calibri" w:hAnsi="Book Antiqua" w:cs="Arial"/>
          <w:sz w:val="24"/>
          <w:szCs w:val="24"/>
        </w:rPr>
      </w:pPr>
      <w:r w:rsidRPr="00C16293">
        <w:rPr>
          <w:rFonts w:ascii="Book Antiqua" w:eastAsia="Calibri" w:hAnsi="Book Antiqua" w:cs="Arial"/>
          <w:sz w:val="24"/>
          <w:szCs w:val="24"/>
        </w:rPr>
        <w:t>En los siguientes gráficos se muestran las variables estadísticas de la entrada, salida y circulante final de los Juzgados Especializados de Familia a nivel nacional, durante el periodo del 201</w:t>
      </w:r>
      <w:r w:rsidR="003C0616">
        <w:rPr>
          <w:rFonts w:ascii="Book Antiqua" w:eastAsia="Calibri" w:hAnsi="Book Antiqua" w:cs="Arial"/>
          <w:sz w:val="24"/>
          <w:szCs w:val="24"/>
        </w:rPr>
        <w:t>7</w:t>
      </w:r>
      <w:r w:rsidRPr="00C16293">
        <w:rPr>
          <w:rFonts w:ascii="Book Antiqua" w:eastAsia="Calibri" w:hAnsi="Book Antiqua" w:cs="Arial"/>
          <w:sz w:val="24"/>
          <w:szCs w:val="24"/>
        </w:rPr>
        <w:t xml:space="preserve"> al 20</w:t>
      </w:r>
      <w:r w:rsidR="003C0616">
        <w:rPr>
          <w:rFonts w:ascii="Book Antiqua" w:eastAsia="Calibri" w:hAnsi="Book Antiqua" w:cs="Arial"/>
          <w:sz w:val="24"/>
          <w:szCs w:val="24"/>
        </w:rPr>
        <w:t>2</w:t>
      </w:r>
      <w:r w:rsidRPr="00C16293">
        <w:rPr>
          <w:rFonts w:ascii="Book Antiqua" w:eastAsia="Calibri" w:hAnsi="Book Antiqua" w:cs="Arial"/>
          <w:sz w:val="24"/>
          <w:szCs w:val="24"/>
        </w:rPr>
        <w:t>1.</w:t>
      </w:r>
    </w:p>
    <w:p w14:paraId="49F15C34" w14:textId="57C5A814" w:rsidR="009A42B7" w:rsidRDefault="009A42B7" w:rsidP="008D6799"/>
    <w:p w14:paraId="266AD628" w14:textId="7CBE477C" w:rsidR="00097586" w:rsidRPr="00097586" w:rsidRDefault="00097586" w:rsidP="0009758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97586">
        <w:rPr>
          <w:rFonts w:ascii="Book Antiqua" w:eastAsia="Calibri" w:hAnsi="Book Antiqua" w:cs="Arial"/>
          <w:b/>
          <w:bCs/>
          <w:color w:val="1F497D"/>
          <w:szCs w:val="24"/>
          <w:lang w:val="es-ES" w:eastAsia="es-ES"/>
        </w:rPr>
        <w:t xml:space="preserve">Gráfico </w:t>
      </w:r>
      <w:r w:rsidRPr="00097586">
        <w:rPr>
          <w:rFonts w:ascii="Book Antiqua" w:hAnsi="Book Antiqua"/>
          <w:b/>
          <w:bCs/>
          <w:noProof/>
          <w:color w:val="1F497D"/>
          <w:szCs w:val="24"/>
          <w:lang w:val="es-ES" w:eastAsia="es-ES"/>
        </w:rPr>
        <w:fldChar w:fldCharType="begin"/>
      </w:r>
      <w:r w:rsidRPr="00097586">
        <w:rPr>
          <w:rFonts w:ascii="Book Antiqua" w:hAnsi="Book Antiqua"/>
          <w:b/>
          <w:bCs/>
          <w:noProof/>
          <w:color w:val="1F497D"/>
          <w:szCs w:val="24"/>
          <w:lang w:val="es-ES" w:eastAsia="es-ES"/>
        </w:rPr>
        <w:instrText xml:space="preserve"> SEQ Gráfico \* ARABIC </w:instrText>
      </w:r>
      <w:r w:rsidRPr="00097586">
        <w:rPr>
          <w:rFonts w:ascii="Book Antiqua" w:hAnsi="Book Antiqua"/>
          <w:b/>
          <w:bCs/>
          <w:noProof/>
          <w:color w:val="1F497D"/>
          <w:szCs w:val="24"/>
          <w:lang w:val="es-ES" w:eastAsia="es-ES"/>
        </w:rPr>
        <w:fldChar w:fldCharType="separate"/>
      </w:r>
      <w:r w:rsidR="009B739E">
        <w:rPr>
          <w:rFonts w:ascii="Book Antiqua" w:hAnsi="Book Antiqua"/>
          <w:b/>
          <w:bCs/>
          <w:noProof/>
          <w:color w:val="1F497D"/>
          <w:szCs w:val="24"/>
          <w:lang w:val="es-ES" w:eastAsia="es-ES"/>
        </w:rPr>
        <w:t>1</w:t>
      </w:r>
      <w:r w:rsidRPr="00097586">
        <w:rPr>
          <w:rFonts w:ascii="Book Antiqua" w:hAnsi="Book Antiqua"/>
          <w:b/>
          <w:bCs/>
          <w:noProof/>
          <w:color w:val="1F497D"/>
          <w:szCs w:val="24"/>
          <w:lang w:val="es-ES" w:eastAsia="es-ES"/>
        </w:rPr>
        <w:fldChar w:fldCharType="end"/>
      </w:r>
    </w:p>
    <w:p w14:paraId="6BA6904C" w14:textId="141E7FC3" w:rsidR="00097586" w:rsidRPr="00097586" w:rsidRDefault="00097586" w:rsidP="00097586">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097586">
        <w:rPr>
          <w:rFonts w:ascii="Book Antiqua" w:eastAsia="Times New Roman" w:hAnsi="Book Antiqua" w:cs="Arial"/>
          <w:b/>
          <w:bCs/>
          <w:color w:val="1F497D"/>
          <w:sz w:val="24"/>
          <w:szCs w:val="24"/>
          <w:lang w:eastAsia="es-ES"/>
        </w:rPr>
        <w:t>Movimiento histórico de la entrada en asuntos nuevos y reentrados en los Juzgados Especializados de la materia de Familia, del 201</w:t>
      </w:r>
      <w:r w:rsidR="002E1F3A">
        <w:rPr>
          <w:rFonts w:ascii="Book Antiqua" w:eastAsia="Times New Roman" w:hAnsi="Book Antiqua" w:cs="Arial"/>
          <w:b/>
          <w:bCs/>
          <w:color w:val="1F497D"/>
          <w:sz w:val="24"/>
          <w:szCs w:val="24"/>
          <w:lang w:eastAsia="es-ES"/>
        </w:rPr>
        <w:t>7</w:t>
      </w:r>
      <w:r w:rsidRPr="00097586">
        <w:rPr>
          <w:rFonts w:ascii="Book Antiqua" w:eastAsia="Times New Roman" w:hAnsi="Book Antiqua" w:cs="Arial"/>
          <w:b/>
          <w:bCs/>
          <w:color w:val="1F497D"/>
          <w:sz w:val="24"/>
          <w:szCs w:val="24"/>
          <w:lang w:eastAsia="es-ES"/>
        </w:rPr>
        <w:t xml:space="preserve"> al 20</w:t>
      </w:r>
      <w:r w:rsidR="002E1F3A">
        <w:rPr>
          <w:rFonts w:ascii="Book Antiqua" w:eastAsia="Times New Roman" w:hAnsi="Book Antiqua" w:cs="Arial"/>
          <w:b/>
          <w:bCs/>
          <w:color w:val="1F497D"/>
          <w:sz w:val="24"/>
          <w:szCs w:val="24"/>
          <w:lang w:eastAsia="es-ES"/>
        </w:rPr>
        <w:t>2</w:t>
      </w:r>
      <w:r w:rsidRPr="00097586">
        <w:rPr>
          <w:rFonts w:ascii="Book Antiqua" w:eastAsia="Times New Roman" w:hAnsi="Book Antiqua" w:cs="Arial"/>
          <w:b/>
          <w:bCs/>
          <w:color w:val="1F497D"/>
          <w:sz w:val="24"/>
          <w:szCs w:val="24"/>
          <w:lang w:eastAsia="es-ES"/>
        </w:rPr>
        <w:t>1</w:t>
      </w:r>
    </w:p>
    <w:p w14:paraId="58630530" w14:textId="663ABAE9" w:rsidR="009A42B7" w:rsidRDefault="00E331E4" w:rsidP="000F66DC">
      <w:pPr>
        <w:spacing w:line="276" w:lineRule="auto"/>
        <w:jc w:val="center"/>
        <w:rPr>
          <w:rFonts w:ascii="Book Antiqua" w:hAnsi="Book Antiqua"/>
          <w:sz w:val="24"/>
          <w:szCs w:val="24"/>
        </w:rPr>
      </w:pPr>
      <w:r>
        <w:rPr>
          <w:noProof/>
        </w:rPr>
        <w:drawing>
          <wp:inline distT="0" distB="0" distL="0" distR="0" wp14:anchorId="6D80E22C" wp14:editId="7B57C72A">
            <wp:extent cx="4587903" cy="2533015"/>
            <wp:effectExtent l="0" t="0" r="3175" b="635"/>
            <wp:docPr id="1" name="Gráfico 1">
              <a:extLst xmlns:a="http://schemas.openxmlformats.org/drawingml/2006/main">
                <a:ext uri="{FF2B5EF4-FFF2-40B4-BE49-F238E27FC236}">
                  <a16:creationId xmlns:a16="http://schemas.microsoft.com/office/drawing/2014/main" id="{A1317D0F-EA45-49D5-A748-BCA179A4CB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3E3A302" w14:textId="6EA52DB0" w:rsidR="00210718" w:rsidRDefault="00210718" w:rsidP="00C23F09">
      <w:pPr>
        <w:spacing w:after="0" w:line="276" w:lineRule="auto"/>
        <w:ind w:right="284"/>
        <w:jc w:val="both"/>
        <w:rPr>
          <w:rFonts w:ascii="Book Antiqua" w:hAnsi="Book Antiqua"/>
          <w:i/>
          <w:iCs/>
          <w:sz w:val="20"/>
          <w:szCs w:val="20"/>
        </w:rPr>
      </w:pPr>
      <w:r>
        <w:rPr>
          <w:rFonts w:ascii="Book Antiqua" w:hAnsi="Book Antiqua"/>
          <w:i/>
          <w:iCs/>
          <w:sz w:val="20"/>
          <w:szCs w:val="20"/>
        </w:rPr>
        <w:t xml:space="preserve"> </w:t>
      </w:r>
      <w:r w:rsidR="003001A9">
        <w:rPr>
          <w:rFonts w:ascii="Book Antiqua" w:hAnsi="Book Antiqua"/>
          <w:i/>
          <w:iCs/>
          <w:sz w:val="20"/>
          <w:szCs w:val="20"/>
        </w:rPr>
        <w:t xml:space="preserve">               </w:t>
      </w:r>
      <w:r w:rsidR="003001A9" w:rsidRPr="003001A9">
        <w:rPr>
          <w:rFonts w:ascii="Book Antiqua" w:hAnsi="Book Antiqua"/>
          <w:i/>
          <w:iCs/>
          <w:sz w:val="20"/>
          <w:szCs w:val="20"/>
        </w:rPr>
        <w:t xml:space="preserve">Fuente: Subproceso de Modernización Institucional, con datos del </w:t>
      </w:r>
      <w:r w:rsidR="004216D9">
        <w:rPr>
          <w:rFonts w:ascii="Book Antiqua" w:hAnsi="Book Antiqua"/>
          <w:i/>
          <w:iCs/>
          <w:sz w:val="20"/>
          <w:szCs w:val="20"/>
        </w:rPr>
        <w:t>Subproceso de Estadística</w:t>
      </w:r>
      <w:r w:rsidR="00B70DFC">
        <w:rPr>
          <w:rFonts w:ascii="Book Antiqua" w:hAnsi="Book Antiqua"/>
          <w:i/>
          <w:iCs/>
          <w:sz w:val="20"/>
          <w:szCs w:val="20"/>
        </w:rPr>
        <w:t xml:space="preserve"> </w:t>
      </w:r>
    </w:p>
    <w:p w14:paraId="54718B21" w14:textId="51DC901C" w:rsidR="00210718" w:rsidRDefault="00210718" w:rsidP="00C23F09">
      <w:pPr>
        <w:spacing w:after="0" w:line="276" w:lineRule="auto"/>
        <w:ind w:left="284" w:right="284"/>
        <w:jc w:val="both"/>
        <w:rPr>
          <w:rFonts w:ascii="Book Antiqua" w:hAnsi="Book Antiqua"/>
          <w:i/>
          <w:iCs/>
          <w:sz w:val="20"/>
          <w:szCs w:val="20"/>
        </w:rPr>
      </w:pPr>
      <w:r>
        <w:rPr>
          <w:rFonts w:ascii="Book Antiqua" w:hAnsi="Book Antiqua"/>
          <w:i/>
          <w:iCs/>
          <w:sz w:val="20"/>
          <w:szCs w:val="20"/>
        </w:rPr>
        <w:t xml:space="preserve">          del 2017</w:t>
      </w:r>
      <w:r w:rsidR="00CA0A0F">
        <w:rPr>
          <w:rFonts w:ascii="Book Antiqua" w:hAnsi="Book Antiqua"/>
          <w:i/>
          <w:iCs/>
          <w:sz w:val="20"/>
          <w:szCs w:val="20"/>
        </w:rPr>
        <w:t xml:space="preserve"> al 2021</w:t>
      </w:r>
      <w:r w:rsidR="00E71E6D">
        <w:rPr>
          <w:rFonts w:ascii="Book Antiqua" w:hAnsi="Book Antiqua"/>
          <w:i/>
          <w:iCs/>
          <w:sz w:val="20"/>
          <w:szCs w:val="20"/>
        </w:rPr>
        <w:t xml:space="preserve">. Los años 2017 y 2018 </w:t>
      </w:r>
      <w:r w:rsidR="003520A3">
        <w:rPr>
          <w:rFonts w:ascii="Book Antiqua" w:hAnsi="Book Antiqua"/>
          <w:i/>
          <w:iCs/>
          <w:sz w:val="20"/>
          <w:szCs w:val="20"/>
        </w:rPr>
        <w:t>se p</w:t>
      </w:r>
      <w:r w:rsidR="003C05ED">
        <w:rPr>
          <w:rFonts w:ascii="Book Antiqua" w:hAnsi="Book Antiqua"/>
          <w:i/>
          <w:iCs/>
          <w:sz w:val="20"/>
          <w:szCs w:val="20"/>
        </w:rPr>
        <w:t>u</w:t>
      </w:r>
      <w:r w:rsidR="003520A3">
        <w:rPr>
          <w:rFonts w:ascii="Book Antiqua" w:hAnsi="Book Antiqua"/>
          <w:i/>
          <w:iCs/>
          <w:sz w:val="20"/>
          <w:szCs w:val="20"/>
        </w:rPr>
        <w:t xml:space="preserve">dieron ver afectados en la entrada de asuntos por </w:t>
      </w:r>
    </w:p>
    <w:p w14:paraId="76215B80" w14:textId="3D54B676" w:rsidR="00EA29BD" w:rsidRPr="003001A9" w:rsidRDefault="00210718" w:rsidP="00C23F09">
      <w:pPr>
        <w:spacing w:after="0" w:line="276" w:lineRule="auto"/>
        <w:ind w:left="284" w:right="284"/>
        <w:jc w:val="both"/>
        <w:rPr>
          <w:rFonts w:ascii="Book Antiqua" w:hAnsi="Book Antiqua"/>
          <w:i/>
          <w:iCs/>
          <w:sz w:val="20"/>
          <w:szCs w:val="20"/>
        </w:rPr>
      </w:pPr>
      <w:r>
        <w:rPr>
          <w:rFonts w:ascii="Book Antiqua" w:hAnsi="Book Antiqua"/>
          <w:i/>
          <w:iCs/>
          <w:sz w:val="20"/>
          <w:szCs w:val="20"/>
        </w:rPr>
        <w:t xml:space="preserve">          </w:t>
      </w:r>
      <w:r w:rsidR="003520A3">
        <w:rPr>
          <w:rFonts w:ascii="Book Antiqua" w:hAnsi="Book Antiqua"/>
          <w:i/>
          <w:iCs/>
          <w:sz w:val="20"/>
          <w:szCs w:val="20"/>
        </w:rPr>
        <w:t xml:space="preserve">el impacto en la huelga nacional y </w:t>
      </w:r>
      <w:r w:rsidR="00207CC9">
        <w:rPr>
          <w:rFonts w:ascii="Book Antiqua" w:hAnsi="Book Antiqua"/>
          <w:i/>
          <w:iCs/>
          <w:sz w:val="20"/>
          <w:szCs w:val="20"/>
        </w:rPr>
        <w:t xml:space="preserve">el </w:t>
      </w:r>
      <w:r w:rsidR="006C04D3">
        <w:rPr>
          <w:rFonts w:ascii="Book Antiqua" w:hAnsi="Book Antiqua"/>
          <w:i/>
          <w:iCs/>
          <w:sz w:val="20"/>
          <w:szCs w:val="20"/>
        </w:rPr>
        <w:t xml:space="preserve">periodo </w:t>
      </w:r>
      <w:r w:rsidR="0062466A">
        <w:rPr>
          <w:rFonts w:ascii="Book Antiqua" w:hAnsi="Book Antiqua"/>
          <w:i/>
          <w:iCs/>
          <w:sz w:val="20"/>
          <w:szCs w:val="20"/>
        </w:rPr>
        <w:t>2020</w:t>
      </w:r>
      <w:r w:rsidR="000130F6">
        <w:rPr>
          <w:rFonts w:ascii="Book Antiqua" w:hAnsi="Book Antiqua"/>
          <w:i/>
          <w:iCs/>
          <w:sz w:val="20"/>
          <w:szCs w:val="20"/>
        </w:rPr>
        <w:t xml:space="preserve"> </w:t>
      </w:r>
      <w:r w:rsidR="002458B4">
        <w:rPr>
          <w:rFonts w:ascii="Book Antiqua" w:hAnsi="Book Antiqua"/>
          <w:i/>
          <w:iCs/>
          <w:sz w:val="20"/>
          <w:szCs w:val="20"/>
        </w:rPr>
        <w:t>por la pandemia del C</w:t>
      </w:r>
      <w:r w:rsidR="006C04D3">
        <w:rPr>
          <w:rFonts w:ascii="Book Antiqua" w:hAnsi="Book Antiqua"/>
          <w:i/>
          <w:iCs/>
          <w:sz w:val="20"/>
          <w:szCs w:val="20"/>
        </w:rPr>
        <w:t>ovid</w:t>
      </w:r>
      <w:r w:rsidR="002458B4">
        <w:rPr>
          <w:rFonts w:ascii="Book Antiqua" w:hAnsi="Book Antiqua"/>
          <w:i/>
          <w:iCs/>
          <w:sz w:val="20"/>
          <w:szCs w:val="20"/>
        </w:rPr>
        <w:t>-19.</w:t>
      </w:r>
      <w:r w:rsidR="00B62CF6">
        <w:rPr>
          <w:rFonts w:ascii="Book Antiqua" w:hAnsi="Book Antiqua"/>
          <w:i/>
          <w:iCs/>
          <w:sz w:val="20"/>
          <w:szCs w:val="20"/>
        </w:rPr>
        <w:t xml:space="preserve"> </w:t>
      </w:r>
    </w:p>
    <w:p w14:paraId="4C632D9A" w14:textId="77777777" w:rsidR="00971A8E" w:rsidRDefault="00971A8E" w:rsidP="000F66DC">
      <w:pPr>
        <w:spacing w:line="276" w:lineRule="auto"/>
        <w:jc w:val="center"/>
        <w:rPr>
          <w:rFonts w:ascii="Book Antiqua" w:hAnsi="Book Antiqua"/>
          <w:sz w:val="24"/>
          <w:szCs w:val="24"/>
        </w:rPr>
      </w:pPr>
    </w:p>
    <w:p w14:paraId="2E226E9D" w14:textId="2EE08A6A" w:rsid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lastRenderedPageBreak/>
        <w:t>De la información del gráfico anterior, se observa que la cantidad entrada de asuntos nuevos y los reentrados no es constante, el mayor ingreso se presentó en el 20</w:t>
      </w:r>
      <w:r w:rsidR="00145D63">
        <w:rPr>
          <w:rFonts w:ascii="Book Antiqua" w:eastAsia="Calibri" w:hAnsi="Book Antiqua" w:cs="Arial"/>
          <w:sz w:val="24"/>
          <w:szCs w:val="24"/>
        </w:rPr>
        <w:t>2</w:t>
      </w:r>
      <w:r w:rsidRPr="00F96A81">
        <w:rPr>
          <w:rFonts w:ascii="Book Antiqua" w:eastAsia="Calibri" w:hAnsi="Book Antiqua" w:cs="Arial"/>
          <w:sz w:val="24"/>
          <w:szCs w:val="24"/>
        </w:rPr>
        <w:t>1 con 2</w:t>
      </w:r>
      <w:r w:rsidR="002D50A9">
        <w:rPr>
          <w:rFonts w:ascii="Book Antiqua" w:eastAsia="Calibri" w:hAnsi="Book Antiqua" w:cs="Arial"/>
          <w:sz w:val="24"/>
          <w:szCs w:val="24"/>
        </w:rPr>
        <w:t>4</w:t>
      </w:r>
      <w:r w:rsidRPr="00F96A81">
        <w:rPr>
          <w:rFonts w:ascii="Book Antiqua" w:eastAsia="Calibri" w:hAnsi="Book Antiqua" w:cs="Arial"/>
          <w:sz w:val="24"/>
          <w:szCs w:val="24"/>
        </w:rPr>
        <w:t xml:space="preserve"> </w:t>
      </w:r>
      <w:r w:rsidR="002D50A9">
        <w:rPr>
          <w:rFonts w:ascii="Book Antiqua" w:eastAsia="Calibri" w:hAnsi="Book Antiqua" w:cs="Arial"/>
          <w:sz w:val="24"/>
          <w:szCs w:val="24"/>
        </w:rPr>
        <w:t>0</w:t>
      </w:r>
      <w:r w:rsidRPr="00F96A81">
        <w:rPr>
          <w:rFonts w:ascii="Book Antiqua" w:eastAsia="Calibri" w:hAnsi="Book Antiqua" w:cs="Arial"/>
          <w:sz w:val="24"/>
          <w:szCs w:val="24"/>
        </w:rPr>
        <w:t>9</w:t>
      </w:r>
      <w:r w:rsidR="006D0E9B">
        <w:rPr>
          <w:rFonts w:ascii="Book Antiqua" w:eastAsia="Calibri" w:hAnsi="Book Antiqua" w:cs="Arial"/>
          <w:sz w:val="24"/>
          <w:szCs w:val="24"/>
        </w:rPr>
        <w:t>5</w:t>
      </w:r>
      <w:r w:rsidRPr="00F96A81">
        <w:rPr>
          <w:rFonts w:ascii="Book Antiqua" w:eastAsia="Calibri" w:hAnsi="Book Antiqua" w:cs="Arial"/>
          <w:sz w:val="24"/>
          <w:szCs w:val="24"/>
        </w:rPr>
        <w:t xml:space="preserve"> asuntos</w:t>
      </w:r>
      <w:r w:rsidR="00B62CF6">
        <w:rPr>
          <w:rFonts w:ascii="Book Antiqua" w:eastAsia="Calibri" w:hAnsi="Book Antiqua" w:cs="Arial"/>
          <w:sz w:val="24"/>
          <w:szCs w:val="24"/>
        </w:rPr>
        <w:t xml:space="preserve">, lo que evidencia la reactivación de los servicios luego de reportar en 2020 la entrada más baja del quinquenio, </w:t>
      </w:r>
      <w:r w:rsidRPr="00F96A81">
        <w:rPr>
          <w:rFonts w:ascii="Book Antiqua" w:eastAsia="Calibri" w:hAnsi="Book Antiqua" w:cs="Arial"/>
          <w:sz w:val="24"/>
          <w:szCs w:val="24"/>
        </w:rPr>
        <w:t xml:space="preserve"> con 2</w:t>
      </w:r>
      <w:r w:rsidR="000C668C">
        <w:rPr>
          <w:rFonts w:ascii="Book Antiqua" w:eastAsia="Calibri" w:hAnsi="Book Antiqua" w:cs="Arial"/>
          <w:sz w:val="24"/>
          <w:szCs w:val="24"/>
        </w:rPr>
        <w:t>0</w:t>
      </w:r>
      <w:r w:rsidRPr="00F96A81">
        <w:rPr>
          <w:rFonts w:ascii="Book Antiqua" w:eastAsia="Calibri" w:hAnsi="Book Antiqua" w:cs="Arial"/>
          <w:sz w:val="24"/>
          <w:szCs w:val="24"/>
        </w:rPr>
        <w:t xml:space="preserve"> </w:t>
      </w:r>
      <w:r w:rsidR="000C668C">
        <w:rPr>
          <w:rFonts w:ascii="Book Antiqua" w:eastAsia="Calibri" w:hAnsi="Book Antiqua" w:cs="Arial"/>
          <w:sz w:val="24"/>
          <w:szCs w:val="24"/>
        </w:rPr>
        <w:t>244</w:t>
      </w:r>
      <w:r w:rsidRPr="00F96A81">
        <w:rPr>
          <w:rFonts w:ascii="Book Antiqua" w:eastAsia="Calibri" w:hAnsi="Book Antiqua" w:cs="Arial"/>
          <w:sz w:val="24"/>
          <w:szCs w:val="24"/>
        </w:rPr>
        <w:t xml:space="preserve"> casos para una diferencia de un </w:t>
      </w:r>
      <w:r w:rsidR="009A486A">
        <w:rPr>
          <w:rFonts w:ascii="Book Antiqua" w:eastAsia="Calibri" w:hAnsi="Book Antiqua" w:cs="Arial"/>
          <w:sz w:val="24"/>
          <w:szCs w:val="24"/>
        </w:rPr>
        <w:t>16</w:t>
      </w:r>
      <w:r w:rsidRPr="00F96A81">
        <w:rPr>
          <w:rFonts w:ascii="Book Antiqua" w:eastAsia="Calibri" w:hAnsi="Book Antiqua" w:cs="Arial"/>
          <w:sz w:val="24"/>
          <w:szCs w:val="24"/>
        </w:rPr>
        <w:t xml:space="preserve">% de casos nuevos </w:t>
      </w:r>
      <w:r w:rsidR="00BC6301">
        <w:rPr>
          <w:rFonts w:ascii="Book Antiqua" w:eastAsia="Calibri" w:hAnsi="Book Antiqua" w:cs="Arial"/>
          <w:sz w:val="24"/>
          <w:szCs w:val="24"/>
        </w:rPr>
        <w:t xml:space="preserve">adicionales </w:t>
      </w:r>
      <w:r w:rsidRPr="00F96A81">
        <w:rPr>
          <w:rFonts w:ascii="Book Antiqua" w:eastAsia="Calibri" w:hAnsi="Book Antiqua" w:cs="Arial"/>
          <w:sz w:val="24"/>
          <w:szCs w:val="24"/>
        </w:rPr>
        <w:t>en el 20</w:t>
      </w:r>
      <w:r w:rsidR="0098606F">
        <w:rPr>
          <w:rFonts w:ascii="Book Antiqua" w:eastAsia="Calibri" w:hAnsi="Book Antiqua" w:cs="Arial"/>
          <w:sz w:val="24"/>
          <w:szCs w:val="24"/>
        </w:rPr>
        <w:t>2</w:t>
      </w:r>
      <w:r w:rsidRPr="00F96A81">
        <w:rPr>
          <w:rFonts w:ascii="Book Antiqua" w:eastAsia="Calibri" w:hAnsi="Book Antiqua" w:cs="Arial"/>
          <w:sz w:val="24"/>
          <w:szCs w:val="24"/>
        </w:rPr>
        <w:t>1</w:t>
      </w:r>
      <w:r w:rsidR="00BC6301">
        <w:rPr>
          <w:rFonts w:ascii="Book Antiqua" w:eastAsia="Calibri" w:hAnsi="Book Antiqua" w:cs="Arial"/>
          <w:sz w:val="24"/>
          <w:szCs w:val="24"/>
        </w:rPr>
        <w:t xml:space="preserve"> con respecto al 2020. S</w:t>
      </w:r>
      <w:r w:rsidR="007208F1">
        <w:rPr>
          <w:rFonts w:ascii="Book Antiqua" w:eastAsia="Calibri" w:hAnsi="Book Antiqua" w:cs="Arial"/>
          <w:sz w:val="24"/>
          <w:szCs w:val="24"/>
        </w:rPr>
        <w:t xml:space="preserve">in embargo, se considera </w:t>
      </w:r>
      <w:r w:rsidR="006E226F">
        <w:rPr>
          <w:rFonts w:ascii="Book Antiqua" w:eastAsia="Calibri" w:hAnsi="Book Antiqua" w:cs="Arial"/>
          <w:sz w:val="24"/>
          <w:szCs w:val="24"/>
        </w:rPr>
        <w:t xml:space="preserve">el 2020 un periodo </w:t>
      </w:r>
      <w:r w:rsidR="0071335C" w:rsidRPr="0071335C">
        <w:rPr>
          <w:rFonts w:ascii="Book Antiqua" w:eastAsia="Calibri" w:hAnsi="Book Antiqua" w:cs="Arial"/>
          <w:sz w:val="24"/>
          <w:szCs w:val="24"/>
        </w:rPr>
        <w:t>atípico, dado que su comportamiento no refleja la normalidad de las oficinas debido a la emergencia nacional por la pandemia por Covid-19</w:t>
      </w:r>
      <w:r w:rsidR="00EC2F0B">
        <w:rPr>
          <w:rFonts w:ascii="Book Antiqua" w:eastAsia="Calibri" w:hAnsi="Book Antiqua" w:cs="Arial"/>
          <w:sz w:val="24"/>
          <w:szCs w:val="24"/>
        </w:rPr>
        <w:t>, el resto de los años la entrada estuvo por encima de los 21</w:t>
      </w:r>
      <w:r w:rsidR="00CB5C10">
        <w:rPr>
          <w:rFonts w:ascii="Book Antiqua" w:eastAsia="Calibri" w:hAnsi="Book Antiqua" w:cs="Arial"/>
          <w:sz w:val="24"/>
          <w:szCs w:val="24"/>
        </w:rPr>
        <w:t xml:space="preserve"> </w:t>
      </w:r>
      <w:r w:rsidR="00EC2F0B">
        <w:rPr>
          <w:rFonts w:ascii="Book Antiqua" w:eastAsia="Calibri" w:hAnsi="Book Antiqua" w:cs="Arial"/>
          <w:sz w:val="24"/>
          <w:szCs w:val="24"/>
        </w:rPr>
        <w:t>000 asuntos</w:t>
      </w:r>
    </w:p>
    <w:p w14:paraId="750CCE43" w14:textId="77777777" w:rsidR="000C668C" w:rsidRPr="00F96A81" w:rsidRDefault="000C668C" w:rsidP="00F96A81">
      <w:pPr>
        <w:spacing w:after="0" w:line="276" w:lineRule="auto"/>
        <w:jc w:val="both"/>
        <w:rPr>
          <w:rFonts w:ascii="Book Antiqua" w:eastAsia="Calibri" w:hAnsi="Book Antiqua" w:cs="Arial"/>
          <w:sz w:val="24"/>
          <w:szCs w:val="24"/>
        </w:rPr>
      </w:pPr>
    </w:p>
    <w:p w14:paraId="79FA560C" w14:textId="267BEF33"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En cuanto a los expedientes reentrados en el 20</w:t>
      </w:r>
      <w:r w:rsidR="00087210">
        <w:rPr>
          <w:rFonts w:ascii="Book Antiqua" w:eastAsia="Calibri" w:hAnsi="Book Antiqua" w:cs="Arial"/>
          <w:sz w:val="24"/>
          <w:szCs w:val="24"/>
        </w:rPr>
        <w:t>20</w:t>
      </w:r>
      <w:r w:rsidRPr="00F96A81">
        <w:rPr>
          <w:rFonts w:ascii="Book Antiqua" w:eastAsia="Calibri" w:hAnsi="Book Antiqua" w:cs="Arial"/>
          <w:sz w:val="24"/>
          <w:szCs w:val="24"/>
        </w:rPr>
        <w:t xml:space="preserve"> se registraron 1</w:t>
      </w:r>
      <w:r w:rsidR="00087210">
        <w:rPr>
          <w:rFonts w:ascii="Book Antiqua" w:eastAsia="Calibri" w:hAnsi="Book Antiqua" w:cs="Arial"/>
          <w:sz w:val="24"/>
          <w:szCs w:val="24"/>
        </w:rPr>
        <w:t xml:space="preserve"> </w:t>
      </w:r>
      <w:r w:rsidRPr="00F96A81">
        <w:rPr>
          <w:rFonts w:ascii="Book Antiqua" w:eastAsia="Calibri" w:hAnsi="Book Antiqua" w:cs="Arial"/>
          <w:sz w:val="24"/>
          <w:szCs w:val="24"/>
        </w:rPr>
        <w:t>12</w:t>
      </w:r>
      <w:r w:rsidR="00087210">
        <w:rPr>
          <w:rFonts w:ascii="Book Antiqua" w:eastAsia="Calibri" w:hAnsi="Book Antiqua" w:cs="Arial"/>
          <w:sz w:val="24"/>
          <w:szCs w:val="24"/>
        </w:rPr>
        <w:t>0</w:t>
      </w:r>
      <w:r w:rsidRPr="00F96A81">
        <w:rPr>
          <w:rFonts w:ascii="Book Antiqua" w:eastAsia="Calibri" w:hAnsi="Book Antiqua" w:cs="Arial"/>
          <w:sz w:val="24"/>
          <w:szCs w:val="24"/>
        </w:rPr>
        <w:t xml:space="preserve"> casos y para el 20</w:t>
      </w:r>
      <w:r w:rsidR="00D268BD">
        <w:rPr>
          <w:rFonts w:ascii="Book Antiqua" w:eastAsia="Calibri" w:hAnsi="Book Antiqua" w:cs="Arial"/>
          <w:sz w:val="24"/>
          <w:szCs w:val="24"/>
        </w:rPr>
        <w:t>2</w:t>
      </w:r>
      <w:r w:rsidRPr="00F96A81">
        <w:rPr>
          <w:rFonts w:ascii="Book Antiqua" w:eastAsia="Calibri" w:hAnsi="Book Antiqua" w:cs="Arial"/>
          <w:sz w:val="24"/>
          <w:szCs w:val="24"/>
        </w:rPr>
        <w:t>1 un total 1</w:t>
      </w:r>
      <w:r w:rsidR="00D268BD">
        <w:rPr>
          <w:rFonts w:ascii="Book Antiqua" w:eastAsia="Calibri" w:hAnsi="Book Antiqua" w:cs="Arial"/>
          <w:sz w:val="24"/>
          <w:szCs w:val="24"/>
        </w:rPr>
        <w:t xml:space="preserve"> 1</w:t>
      </w:r>
      <w:r w:rsidR="00F62A3F">
        <w:rPr>
          <w:rFonts w:ascii="Book Antiqua" w:eastAsia="Calibri" w:hAnsi="Book Antiqua" w:cs="Arial"/>
          <w:sz w:val="24"/>
          <w:szCs w:val="24"/>
        </w:rPr>
        <w:t>44</w:t>
      </w:r>
      <w:r w:rsidRPr="00F96A81">
        <w:rPr>
          <w:rFonts w:ascii="Book Antiqua" w:eastAsia="Calibri" w:hAnsi="Book Antiqua" w:cs="Arial"/>
          <w:sz w:val="24"/>
          <w:szCs w:val="24"/>
        </w:rPr>
        <w:t xml:space="preserve"> reentrados</w:t>
      </w:r>
      <w:r w:rsidR="005C1068">
        <w:rPr>
          <w:rFonts w:ascii="Book Antiqua" w:eastAsia="Calibri" w:hAnsi="Book Antiqua" w:cs="Arial"/>
          <w:sz w:val="24"/>
          <w:szCs w:val="24"/>
        </w:rPr>
        <w:t xml:space="preserve">, una </w:t>
      </w:r>
      <w:r w:rsidRPr="00F96A81">
        <w:rPr>
          <w:rFonts w:ascii="Book Antiqua" w:eastAsia="Calibri" w:hAnsi="Book Antiqua" w:cs="Arial"/>
          <w:sz w:val="24"/>
          <w:szCs w:val="24"/>
        </w:rPr>
        <w:t xml:space="preserve">diferencia de </w:t>
      </w:r>
      <w:r w:rsidR="00D268BD">
        <w:rPr>
          <w:rFonts w:ascii="Book Antiqua" w:eastAsia="Calibri" w:hAnsi="Book Antiqua" w:cs="Arial"/>
          <w:sz w:val="24"/>
          <w:szCs w:val="24"/>
        </w:rPr>
        <w:t>2</w:t>
      </w:r>
      <w:r w:rsidRPr="00F96A81">
        <w:rPr>
          <w:rFonts w:ascii="Book Antiqua" w:eastAsia="Calibri" w:hAnsi="Book Antiqua" w:cs="Arial"/>
          <w:sz w:val="24"/>
          <w:szCs w:val="24"/>
        </w:rPr>
        <w:t>4 casos</w:t>
      </w:r>
      <w:r w:rsidR="009D4165">
        <w:rPr>
          <w:rFonts w:ascii="Book Antiqua" w:eastAsia="Calibri" w:hAnsi="Book Antiqua" w:cs="Arial"/>
          <w:sz w:val="24"/>
          <w:szCs w:val="24"/>
        </w:rPr>
        <w:t>,</w:t>
      </w:r>
      <w:r w:rsidRPr="00F96A81">
        <w:rPr>
          <w:rFonts w:ascii="Book Antiqua" w:eastAsia="Calibri" w:hAnsi="Book Antiqua" w:cs="Arial"/>
          <w:sz w:val="24"/>
          <w:szCs w:val="24"/>
        </w:rPr>
        <w:t xml:space="preserve"> lo que representa </w:t>
      </w:r>
      <w:r w:rsidR="002B7BD4">
        <w:rPr>
          <w:rFonts w:ascii="Book Antiqua" w:eastAsia="Calibri" w:hAnsi="Book Antiqua" w:cs="Arial"/>
          <w:sz w:val="24"/>
          <w:szCs w:val="24"/>
        </w:rPr>
        <w:t xml:space="preserve">un </w:t>
      </w:r>
      <w:r w:rsidR="005932CA">
        <w:rPr>
          <w:rFonts w:ascii="Book Antiqua" w:eastAsia="Calibri" w:hAnsi="Book Antiqua" w:cs="Arial"/>
          <w:sz w:val="24"/>
          <w:szCs w:val="24"/>
        </w:rPr>
        <w:t>2</w:t>
      </w:r>
      <w:r w:rsidRPr="00F96A81">
        <w:rPr>
          <w:rFonts w:ascii="Book Antiqua" w:eastAsia="Calibri" w:hAnsi="Book Antiqua" w:cs="Arial"/>
          <w:sz w:val="24"/>
          <w:szCs w:val="24"/>
        </w:rPr>
        <w:t xml:space="preserve">% de incremento, </w:t>
      </w:r>
      <w:r w:rsidR="009D4165">
        <w:rPr>
          <w:rFonts w:ascii="Book Antiqua" w:eastAsia="Calibri" w:hAnsi="Book Antiqua" w:cs="Arial"/>
          <w:sz w:val="24"/>
          <w:szCs w:val="24"/>
        </w:rPr>
        <w:t>como se indicó líneas arriba</w:t>
      </w:r>
      <w:r w:rsidR="00DA1C02">
        <w:rPr>
          <w:rFonts w:ascii="Book Antiqua" w:eastAsia="Calibri" w:hAnsi="Book Antiqua" w:cs="Arial"/>
          <w:sz w:val="24"/>
          <w:szCs w:val="24"/>
        </w:rPr>
        <w:t>,</w:t>
      </w:r>
      <w:r w:rsidR="009D4165">
        <w:rPr>
          <w:rFonts w:ascii="Book Antiqua" w:eastAsia="Calibri" w:hAnsi="Book Antiqua" w:cs="Arial"/>
          <w:sz w:val="24"/>
          <w:szCs w:val="24"/>
        </w:rPr>
        <w:t xml:space="preserve"> el 2020 </w:t>
      </w:r>
      <w:r w:rsidR="00CE21BF">
        <w:rPr>
          <w:rFonts w:ascii="Book Antiqua" w:eastAsia="Calibri" w:hAnsi="Book Antiqua" w:cs="Arial"/>
          <w:sz w:val="24"/>
          <w:szCs w:val="24"/>
        </w:rPr>
        <w:t>no refleja la normalidad de los despachos</w:t>
      </w:r>
      <w:r w:rsidR="008543BE">
        <w:rPr>
          <w:rFonts w:ascii="Book Antiqua" w:eastAsia="Calibri" w:hAnsi="Book Antiqua" w:cs="Arial"/>
          <w:sz w:val="24"/>
          <w:szCs w:val="24"/>
        </w:rPr>
        <w:t>, debido a la emergencia nacional por la pandemia del Covid-19</w:t>
      </w:r>
      <w:r w:rsidRPr="00F96A81">
        <w:rPr>
          <w:rFonts w:ascii="Book Antiqua" w:eastAsia="Calibri" w:hAnsi="Book Antiqua" w:cs="Arial"/>
          <w:sz w:val="24"/>
          <w:szCs w:val="24"/>
        </w:rPr>
        <w:t xml:space="preserve">. </w:t>
      </w:r>
    </w:p>
    <w:p w14:paraId="13C40279" w14:textId="77777777" w:rsidR="00F96A81" w:rsidRPr="00F96A81" w:rsidRDefault="00F96A81" w:rsidP="00F96A81">
      <w:pPr>
        <w:spacing w:after="0" w:line="276" w:lineRule="auto"/>
        <w:jc w:val="both"/>
        <w:rPr>
          <w:rFonts w:ascii="Book Antiqua" w:eastAsia="Calibri" w:hAnsi="Book Antiqua" w:cs="Arial"/>
          <w:sz w:val="24"/>
          <w:szCs w:val="24"/>
        </w:rPr>
      </w:pPr>
    </w:p>
    <w:p w14:paraId="60068467" w14:textId="57C03982" w:rsidR="00F96A81" w:rsidRPr="00F96A81" w:rsidRDefault="009C4EFD" w:rsidP="00F96A81">
      <w:pPr>
        <w:spacing w:after="0" w:line="276" w:lineRule="auto"/>
        <w:jc w:val="both"/>
        <w:rPr>
          <w:rFonts w:ascii="Book Antiqua" w:eastAsia="Calibri" w:hAnsi="Book Antiqua" w:cs="Arial"/>
          <w:sz w:val="24"/>
          <w:szCs w:val="24"/>
        </w:rPr>
      </w:pPr>
      <w:r w:rsidRPr="009C4EFD">
        <w:rPr>
          <w:rFonts w:ascii="Book Antiqua" w:eastAsia="Calibri" w:hAnsi="Book Antiqua" w:cs="Arial"/>
          <w:sz w:val="24"/>
          <w:szCs w:val="24"/>
        </w:rPr>
        <w:t>Al analizar el comportamiento de la entrada de asuntos nuevos de los últimos cinco años, se visualiza un aumento de 1 66</w:t>
      </w:r>
      <w:r w:rsidR="006D0E9B">
        <w:rPr>
          <w:rFonts w:ascii="Book Antiqua" w:eastAsia="Calibri" w:hAnsi="Book Antiqua" w:cs="Arial"/>
          <w:sz w:val="24"/>
          <w:szCs w:val="24"/>
        </w:rPr>
        <w:t>3</w:t>
      </w:r>
      <w:r w:rsidRPr="009C4EFD">
        <w:rPr>
          <w:rFonts w:ascii="Book Antiqua" w:eastAsia="Calibri" w:hAnsi="Book Antiqua" w:cs="Arial"/>
          <w:sz w:val="24"/>
          <w:szCs w:val="24"/>
        </w:rPr>
        <w:t xml:space="preserve"> </w:t>
      </w:r>
      <w:r w:rsidR="00FD628B">
        <w:rPr>
          <w:rFonts w:ascii="Book Antiqua" w:eastAsia="Calibri" w:hAnsi="Book Antiqua" w:cs="Arial"/>
          <w:sz w:val="24"/>
          <w:szCs w:val="24"/>
        </w:rPr>
        <w:t xml:space="preserve">asuntos </w:t>
      </w:r>
      <w:r w:rsidRPr="009C4EFD">
        <w:rPr>
          <w:rFonts w:ascii="Book Antiqua" w:eastAsia="Calibri" w:hAnsi="Book Antiqua" w:cs="Arial"/>
          <w:sz w:val="24"/>
          <w:szCs w:val="24"/>
        </w:rPr>
        <w:t>de 2017-2021 (crecimiento de un 7%); además, durante el periodo 202</w:t>
      </w:r>
      <w:r w:rsidR="0093051F">
        <w:rPr>
          <w:rFonts w:ascii="Book Antiqua" w:eastAsia="Calibri" w:hAnsi="Book Antiqua" w:cs="Arial"/>
          <w:sz w:val="24"/>
          <w:szCs w:val="24"/>
        </w:rPr>
        <w:t>1</w:t>
      </w:r>
      <w:r w:rsidR="00D268BD">
        <w:rPr>
          <w:rFonts w:ascii="Book Antiqua" w:eastAsia="Calibri" w:hAnsi="Book Antiqua" w:cs="Arial"/>
          <w:sz w:val="24"/>
          <w:szCs w:val="24"/>
        </w:rPr>
        <w:t xml:space="preserve"> </w:t>
      </w:r>
      <w:r w:rsidRPr="009C4EFD">
        <w:rPr>
          <w:rFonts w:ascii="Book Antiqua" w:eastAsia="Calibri" w:hAnsi="Book Antiqua" w:cs="Arial"/>
          <w:sz w:val="24"/>
          <w:szCs w:val="24"/>
        </w:rPr>
        <w:t xml:space="preserve">se </w:t>
      </w:r>
      <w:r w:rsidRPr="00F90275">
        <w:rPr>
          <w:rFonts w:ascii="Book Antiqua" w:eastAsia="Calibri" w:hAnsi="Book Antiqua" w:cs="Arial"/>
          <w:sz w:val="24"/>
          <w:szCs w:val="24"/>
        </w:rPr>
        <w:t xml:space="preserve">crearon </w:t>
      </w:r>
      <w:r w:rsidR="0093051F" w:rsidRPr="0093051F">
        <w:rPr>
          <w:rFonts w:ascii="Book Antiqua" w:eastAsia="Calibri" w:hAnsi="Book Antiqua" w:cs="Arial"/>
          <w:sz w:val="24"/>
          <w:szCs w:val="24"/>
        </w:rPr>
        <w:t>205</w:t>
      </w:r>
      <w:r w:rsidRPr="0093051F">
        <w:rPr>
          <w:rFonts w:ascii="Book Antiqua" w:eastAsia="Calibri" w:hAnsi="Book Antiqua" w:cs="Arial"/>
          <w:sz w:val="24"/>
          <w:szCs w:val="24"/>
        </w:rPr>
        <w:t xml:space="preserve"> legajos de</w:t>
      </w:r>
      <w:r w:rsidRPr="009C4EFD">
        <w:rPr>
          <w:rFonts w:ascii="Book Antiqua" w:eastAsia="Calibri" w:hAnsi="Book Antiqua" w:cs="Arial"/>
          <w:sz w:val="24"/>
          <w:szCs w:val="24"/>
        </w:rPr>
        <w:t xml:space="preserve"> ejecución. Por último</w:t>
      </w:r>
      <w:r w:rsidR="006A68BB">
        <w:rPr>
          <w:rFonts w:ascii="Book Antiqua" w:eastAsia="Calibri" w:hAnsi="Book Antiqua" w:cs="Arial"/>
          <w:sz w:val="24"/>
          <w:szCs w:val="24"/>
        </w:rPr>
        <w:t xml:space="preserve">, </w:t>
      </w:r>
      <w:r w:rsidRPr="009C4EFD">
        <w:rPr>
          <w:rFonts w:ascii="Book Antiqua" w:eastAsia="Calibri" w:hAnsi="Book Antiqua" w:cs="Arial"/>
          <w:sz w:val="24"/>
          <w:szCs w:val="24"/>
        </w:rPr>
        <w:t xml:space="preserve">se finalizó el 2021 con un circulante de </w:t>
      </w:r>
      <w:r w:rsidR="007B0088">
        <w:rPr>
          <w:rFonts w:ascii="Book Antiqua" w:eastAsia="Calibri" w:hAnsi="Book Antiqua" w:cs="Arial"/>
          <w:sz w:val="24"/>
          <w:szCs w:val="24"/>
        </w:rPr>
        <w:t>15 000 casos activos</w:t>
      </w:r>
      <w:r w:rsidR="008A6196">
        <w:rPr>
          <w:rFonts w:ascii="Book Antiqua" w:eastAsia="Calibri" w:hAnsi="Book Antiqua" w:cs="Arial"/>
          <w:sz w:val="24"/>
          <w:szCs w:val="24"/>
        </w:rPr>
        <w:t>, (</w:t>
      </w:r>
      <w:r w:rsidRPr="009C4EFD">
        <w:rPr>
          <w:rFonts w:ascii="Book Antiqua" w:eastAsia="Calibri" w:hAnsi="Book Antiqua" w:cs="Arial"/>
          <w:sz w:val="24"/>
          <w:szCs w:val="24"/>
        </w:rPr>
        <w:t xml:space="preserve">631 casos </w:t>
      </w:r>
      <w:r w:rsidR="008A6196">
        <w:rPr>
          <w:rFonts w:ascii="Book Antiqua" w:eastAsia="Calibri" w:hAnsi="Book Antiqua" w:cs="Arial"/>
          <w:sz w:val="24"/>
          <w:szCs w:val="24"/>
        </w:rPr>
        <w:t xml:space="preserve">menos que su antecesor el </w:t>
      </w:r>
      <w:r w:rsidR="007768B7">
        <w:rPr>
          <w:rFonts w:ascii="Book Antiqua" w:eastAsia="Calibri" w:hAnsi="Book Antiqua" w:cs="Arial"/>
          <w:sz w:val="24"/>
          <w:szCs w:val="24"/>
        </w:rPr>
        <w:t>20</w:t>
      </w:r>
      <w:r w:rsidR="00ED37FC">
        <w:rPr>
          <w:rFonts w:ascii="Book Antiqua" w:eastAsia="Calibri" w:hAnsi="Book Antiqua" w:cs="Arial"/>
          <w:sz w:val="24"/>
          <w:szCs w:val="24"/>
        </w:rPr>
        <w:t>20).</w:t>
      </w:r>
      <w:r w:rsidR="00F96A81" w:rsidRPr="00F96A81">
        <w:rPr>
          <w:rFonts w:ascii="Book Antiqua" w:eastAsia="Calibri" w:hAnsi="Book Antiqua" w:cs="Arial"/>
          <w:sz w:val="24"/>
          <w:szCs w:val="24"/>
        </w:rPr>
        <w:t xml:space="preserve"> </w:t>
      </w:r>
    </w:p>
    <w:p w14:paraId="7512529C" w14:textId="77777777" w:rsidR="00F96A81" w:rsidRPr="00F96A81" w:rsidRDefault="00F96A81" w:rsidP="00F96A81">
      <w:pPr>
        <w:spacing w:after="0" w:line="276" w:lineRule="auto"/>
        <w:jc w:val="both"/>
        <w:rPr>
          <w:rFonts w:ascii="Book Antiqua" w:eastAsia="Calibri" w:hAnsi="Book Antiqua" w:cs="Arial"/>
          <w:sz w:val="24"/>
          <w:szCs w:val="24"/>
        </w:rPr>
      </w:pPr>
    </w:p>
    <w:p w14:paraId="5AF819CA" w14:textId="201F7DD5"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 xml:space="preserve">Cabe destacar que </w:t>
      </w:r>
      <w:r w:rsidR="00D60425" w:rsidRPr="00F96A81">
        <w:rPr>
          <w:rFonts w:ascii="Book Antiqua" w:eastAsia="Calibri" w:hAnsi="Book Antiqua" w:cs="Arial"/>
          <w:sz w:val="24"/>
          <w:szCs w:val="24"/>
        </w:rPr>
        <w:t>la realización</w:t>
      </w:r>
      <w:r w:rsidRPr="00F96A81">
        <w:rPr>
          <w:rFonts w:ascii="Book Antiqua" w:eastAsia="Calibri" w:hAnsi="Book Antiqua" w:cs="Arial"/>
          <w:sz w:val="24"/>
          <w:szCs w:val="24"/>
        </w:rPr>
        <w:t xml:space="preserve"> de inventarios </w:t>
      </w:r>
      <w:r w:rsidR="00BC6301">
        <w:rPr>
          <w:rFonts w:ascii="Book Antiqua" w:eastAsia="Calibri" w:hAnsi="Book Antiqua" w:cs="Arial"/>
          <w:sz w:val="24"/>
          <w:szCs w:val="24"/>
        </w:rPr>
        <w:t xml:space="preserve">a partir del 2020 incluyó </w:t>
      </w:r>
      <w:r w:rsidRPr="00F96A81">
        <w:rPr>
          <w:rFonts w:ascii="Book Antiqua" w:eastAsia="Calibri" w:hAnsi="Book Antiqua" w:cs="Arial"/>
          <w:sz w:val="24"/>
          <w:szCs w:val="24"/>
        </w:rPr>
        <w:t>no solo principales</w:t>
      </w:r>
      <w:r w:rsidR="00BC6301">
        <w:rPr>
          <w:rFonts w:ascii="Book Antiqua" w:eastAsia="Calibri" w:hAnsi="Book Antiqua" w:cs="Arial"/>
          <w:sz w:val="24"/>
          <w:szCs w:val="24"/>
        </w:rPr>
        <w:t xml:space="preserve"> como se hacía hasta antes de esa fecha</w:t>
      </w:r>
      <w:r w:rsidRPr="00F96A81">
        <w:rPr>
          <w:rFonts w:ascii="Book Antiqua" w:eastAsia="Calibri" w:hAnsi="Book Antiqua" w:cs="Arial"/>
          <w:sz w:val="24"/>
          <w:szCs w:val="24"/>
        </w:rPr>
        <w:t xml:space="preserve">, sino también en legajos e incidentes; lo anterior como parte del inventario anual en la materia y además como una de las tareas asociadas a la depuración de la información en los sistemas de conformidad con las recomendaciones emitidas por la Contraloría General de la República. </w:t>
      </w:r>
    </w:p>
    <w:p w14:paraId="7B02429B" w14:textId="77777777" w:rsidR="00F96A81" w:rsidRPr="00F96A81" w:rsidRDefault="00F96A81" w:rsidP="00F96A81">
      <w:pPr>
        <w:spacing w:after="0" w:line="276" w:lineRule="auto"/>
        <w:jc w:val="both"/>
        <w:rPr>
          <w:rFonts w:ascii="Book Antiqua" w:eastAsia="Calibri" w:hAnsi="Book Antiqua" w:cs="Arial"/>
          <w:sz w:val="24"/>
          <w:szCs w:val="24"/>
        </w:rPr>
      </w:pPr>
    </w:p>
    <w:p w14:paraId="20C2278D" w14:textId="124E6883"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 xml:space="preserve">Como parte de las acciones institucionales para garantizar la depuración de la información </w:t>
      </w:r>
      <w:r w:rsidR="00BC6301">
        <w:rPr>
          <w:rFonts w:ascii="Book Antiqua" w:eastAsia="Calibri" w:hAnsi="Book Antiqua" w:cs="Arial"/>
          <w:sz w:val="24"/>
          <w:szCs w:val="24"/>
        </w:rPr>
        <w:t xml:space="preserve">a partir del 2020, </w:t>
      </w:r>
      <w:r w:rsidR="00D60425">
        <w:rPr>
          <w:rFonts w:ascii="Book Antiqua" w:eastAsia="Calibri" w:hAnsi="Book Antiqua" w:cs="Arial"/>
          <w:sz w:val="24"/>
          <w:szCs w:val="24"/>
        </w:rPr>
        <w:t xml:space="preserve">dentro </w:t>
      </w:r>
      <w:r w:rsidR="00D60425" w:rsidRPr="00F96A81">
        <w:rPr>
          <w:rFonts w:ascii="Book Antiqua" w:eastAsia="Calibri" w:hAnsi="Book Antiqua" w:cs="Arial"/>
          <w:sz w:val="24"/>
          <w:szCs w:val="24"/>
        </w:rPr>
        <w:t>del</w:t>
      </w:r>
      <w:r w:rsidRPr="00F96A81">
        <w:rPr>
          <w:rFonts w:ascii="Book Antiqua" w:eastAsia="Calibri" w:hAnsi="Book Antiqua" w:cs="Arial"/>
          <w:sz w:val="24"/>
          <w:szCs w:val="24"/>
        </w:rPr>
        <w:t xml:space="preserve"> informe de inconsistencias mensual de los despachos, </w:t>
      </w:r>
      <w:r w:rsidR="00763644">
        <w:rPr>
          <w:rFonts w:ascii="Book Antiqua" w:eastAsia="Calibri" w:hAnsi="Book Antiqua" w:cs="Arial"/>
          <w:sz w:val="24"/>
          <w:szCs w:val="24"/>
        </w:rPr>
        <w:t xml:space="preserve">se incluyeron </w:t>
      </w:r>
      <w:r w:rsidRPr="00F96A81">
        <w:rPr>
          <w:rFonts w:ascii="Book Antiqua" w:eastAsia="Calibri" w:hAnsi="Book Antiqua" w:cs="Arial"/>
          <w:sz w:val="24"/>
          <w:szCs w:val="24"/>
        </w:rPr>
        <w:t>5 variables adicionales</w:t>
      </w:r>
      <w:r w:rsidR="00BC6301">
        <w:rPr>
          <w:rFonts w:ascii="Book Antiqua" w:eastAsia="Calibri" w:hAnsi="Book Antiqua" w:cs="Arial"/>
          <w:sz w:val="24"/>
          <w:szCs w:val="24"/>
        </w:rPr>
        <w:t xml:space="preserve"> de revisión obligatoria</w:t>
      </w:r>
      <w:r w:rsidRPr="00F96A81">
        <w:rPr>
          <w:rFonts w:ascii="Book Antiqua" w:eastAsia="Calibri" w:hAnsi="Book Antiqua" w:cs="Arial"/>
          <w:sz w:val="24"/>
          <w:szCs w:val="24"/>
        </w:rPr>
        <w:t xml:space="preserve"> (comunicado mediante circular 191-2020).</w:t>
      </w:r>
    </w:p>
    <w:p w14:paraId="53740DC9" w14:textId="77777777"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 xml:space="preserve"> </w:t>
      </w:r>
    </w:p>
    <w:p w14:paraId="3D405FF6" w14:textId="77777777" w:rsidR="00EC2F0B" w:rsidRDefault="00F96A81" w:rsidP="0090609F">
      <w:pPr>
        <w:pStyle w:val="Prrafodelista"/>
        <w:numPr>
          <w:ilvl w:val="0"/>
          <w:numId w:val="42"/>
        </w:numPr>
        <w:spacing w:after="0" w:line="276" w:lineRule="auto"/>
        <w:jc w:val="both"/>
        <w:rPr>
          <w:rFonts w:ascii="Book Antiqua" w:eastAsia="Calibri" w:hAnsi="Book Antiqua" w:cs="Arial"/>
          <w:sz w:val="24"/>
        </w:rPr>
      </w:pPr>
      <w:r w:rsidRPr="00EC2F0B">
        <w:rPr>
          <w:rFonts w:ascii="Book Antiqua" w:eastAsia="Calibri" w:hAnsi="Book Antiqua" w:cs="Arial"/>
          <w:sz w:val="24"/>
        </w:rPr>
        <w:t>Expedientes con fecha de entrada mayor a la fecha de término</w:t>
      </w:r>
    </w:p>
    <w:p w14:paraId="40F23ADD" w14:textId="749CC50C" w:rsidR="00F96A81" w:rsidRPr="00EC2F0B" w:rsidRDefault="00F96A81" w:rsidP="0090609F">
      <w:pPr>
        <w:pStyle w:val="Prrafodelista"/>
        <w:numPr>
          <w:ilvl w:val="0"/>
          <w:numId w:val="42"/>
        </w:numPr>
        <w:spacing w:after="0" w:line="276" w:lineRule="auto"/>
        <w:jc w:val="both"/>
        <w:rPr>
          <w:rFonts w:ascii="Book Antiqua" w:eastAsia="Calibri" w:hAnsi="Book Antiqua" w:cs="Arial"/>
          <w:sz w:val="24"/>
        </w:rPr>
      </w:pPr>
      <w:r w:rsidRPr="00EC2F0B">
        <w:rPr>
          <w:rFonts w:ascii="Book Antiqua" w:eastAsia="Calibri" w:hAnsi="Book Antiqua" w:cs="Arial"/>
          <w:sz w:val="24"/>
        </w:rPr>
        <w:t xml:space="preserve">Expedientes donde la clase de asunto asignada no corresponde a las aprobadas por la Comisión de Familia, Niñez y Adolescencia. </w:t>
      </w:r>
    </w:p>
    <w:p w14:paraId="59B16F4F" w14:textId="77777777" w:rsidR="00EC2F0B" w:rsidRDefault="00F96A81" w:rsidP="0090609F">
      <w:pPr>
        <w:pStyle w:val="Prrafodelista"/>
        <w:numPr>
          <w:ilvl w:val="0"/>
          <w:numId w:val="42"/>
        </w:numPr>
        <w:spacing w:after="0" w:line="276" w:lineRule="auto"/>
        <w:jc w:val="both"/>
        <w:rPr>
          <w:rFonts w:ascii="Book Antiqua" w:eastAsia="Calibri" w:hAnsi="Book Antiqua" w:cs="Arial"/>
          <w:sz w:val="24"/>
        </w:rPr>
      </w:pPr>
      <w:r w:rsidRPr="00EC2F0B">
        <w:rPr>
          <w:rFonts w:ascii="Book Antiqua" w:eastAsia="Calibri" w:hAnsi="Book Antiqua" w:cs="Arial"/>
          <w:sz w:val="24"/>
        </w:rPr>
        <w:lastRenderedPageBreak/>
        <w:t>Expedientes donde el procedimiento asignado no corresponde a los aprobados por la Comisión de Familia, Niñez y Adolescencia.</w:t>
      </w:r>
    </w:p>
    <w:p w14:paraId="58ECDD45" w14:textId="77777777" w:rsidR="00EC2F0B" w:rsidRDefault="00F96A81" w:rsidP="0090609F">
      <w:pPr>
        <w:pStyle w:val="Prrafodelista"/>
        <w:numPr>
          <w:ilvl w:val="0"/>
          <w:numId w:val="42"/>
        </w:numPr>
        <w:spacing w:after="0" w:line="276" w:lineRule="auto"/>
        <w:jc w:val="both"/>
        <w:rPr>
          <w:rFonts w:ascii="Book Antiqua" w:eastAsia="Calibri" w:hAnsi="Book Antiqua" w:cs="Arial"/>
          <w:sz w:val="24"/>
        </w:rPr>
      </w:pPr>
      <w:r w:rsidRPr="00EC2F0B">
        <w:rPr>
          <w:rFonts w:ascii="Book Antiqua" w:eastAsia="Calibri" w:hAnsi="Book Antiqua" w:cs="Arial"/>
          <w:sz w:val="24"/>
        </w:rPr>
        <w:t>Expedientes donde el principal se encuentra cerrado estadísticamente, pero tiene un incidente o legajo de apremio que se está tramitando.</w:t>
      </w:r>
    </w:p>
    <w:p w14:paraId="394A4422" w14:textId="0707FFCC" w:rsidR="00F96A81" w:rsidRPr="00EC2F0B" w:rsidRDefault="00F96A81" w:rsidP="0090609F">
      <w:pPr>
        <w:pStyle w:val="Prrafodelista"/>
        <w:numPr>
          <w:ilvl w:val="0"/>
          <w:numId w:val="42"/>
        </w:numPr>
        <w:spacing w:after="0" w:line="276" w:lineRule="auto"/>
        <w:jc w:val="both"/>
        <w:rPr>
          <w:rFonts w:ascii="Book Antiqua" w:eastAsia="Calibri" w:hAnsi="Book Antiqua" w:cs="Arial"/>
          <w:sz w:val="24"/>
        </w:rPr>
      </w:pPr>
      <w:r w:rsidRPr="00EC2F0B">
        <w:rPr>
          <w:rFonts w:ascii="Book Antiqua" w:eastAsia="Calibri" w:hAnsi="Book Antiqua" w:cs="Arial"/>
          <w:sz w:val="24"/>
        </w:rPr>
        <w:t>Expedientes donde la fecha de pase a fallo sea menor a la fecha de dictado de sentencia.</w:t>
      </w:r>
    </w:p>
    <w:p w14:paraId="71248DC3" w14:textId="77777777" w:rsidR="00F96A81" w:rsidRPr="00F96A81" w:rsidRDefault="00F96A81" w:rsidP="00F96A81">
      <w:pPr>
        <w:spacing w:after="0" w:line="276" w:lineRule="auto"/>
        <w:jc w:val="both"/>
        <w:rPr>
          <w:rFonts w:ascii="Book Antiqua" w:eastAsia="Calibri" w:hAnsi="Book Antiqua" w:cs="Arial"/>
          <w:sz w:val="24"/>
          <w:szCs w:val="24"/>
        </w:rPr>
      </w:pPr>
    </w:p>
    <w:p w14:paraId="225F61A3" w14:textId="1EC4856A" w:rsidR="00F96A81" w:rsidRPr="00F96A81" w:rsidRDefault="00F96A81" w:rsidP="00F96A81">
      <w:pPr>
        <w:spacing w:after="0" w:line="276" w:lineRule="auto"/>
        <w:jc w:val="both"/>
        <w:rPr>
          <w:rFonts w:ascii="Book Antiqua" w:eastAsia="Calibri" w:hAnsi="Book Antiqua" w:cs="Arial"/>
          <w:sz w:val="24"/>
          <w:szCs w:val="24"/>
        </w:rPr>
      </w:pPr>
      <w:r w:rsidRPr="00F96A81">
        <w:rPr>
          <w:rFonts w:ascii="Book Antiqua" w:eastAsia="Calibri" w:hAnsi="Book Antiqua" w:cs="Arial"/>
          <w:sz w:val="24"/>
          <w:szCs w:val="24"/>
        </w:rPr>
        <w:t>Para monitorear con mayor detalle la materia</w:t>
      </w:r>
      <w:r w:rsidR="00BC6301">
        <w:rPr>
          <w:rFonts w:ascii="Book Antiqua" w:eastAsia="Calibri" w:hAnsi="Book Antiqua" w:cs="Arial"/>
          <w:sz w:val="24"/>
          <w:szCs w:val="24"/>
        </w:rPr>
        <w:t xml:space="preserve"> a partir del 2020</w:t>
      </w:r>
      <w:r w:rsidRPr="00F96A81">
        <w:rPr>
          <w:rFonts w:ascii="Book Antiqua" w:eastAsia="Calibri" w:hAnsi="Book Antiqua" w:cs="Arial"/>
          <w:sz w:val="24"/>
          <w:szCs w:val="24"/>
        </w:rPr>
        <w:t>, se creó el reporte “</w:t>
      </w:r>
      <w:r w:rsidRPr="001D0C10">
        <w:rPr>
          <w:rFonts w:ascii="Book Antiqua" w:eastAsia="Calibri" w:hAnsi="Book Antiqua" w:cs="Arial"/>
          <w:i/>
          <w:iCs/>
          <w:sz w:val="24"/>
          <w:szCs w:val="24"/>
        </w:rPr>
        <w:t>Informe de Inconsistencias para Familia y Pensiones Alimentarias</w:t>
      </w:r>
      <w:r w:rsidRPr="00F96A81">
        <w:rPr>
          <w:rFonts w:ascii="Book Antiqua" w:eastAsia="Calibri" w:hAnsi="Book Antiqua" w:cs="Arial"/>
          <w:sz w:val="24"/>
          <w:szCs w:val="24"/>
        </w:rPr>
        <w:t>” en la plataforma SIGMA; además de un cambio en la fórmula estadística (comunicado mediante circular 207-2020).</w:t>
      </w:r>
    </w:p>
    <w:p w14:paraId="40315DFE" w14:textId="77777777" w:rsidR="00F96A81" w:rsidRPr="00F96A81" w:rsidRDefault="00F96A81" w:rsidP="00F96A81">
      <w:pPr>
        <w:spacing w:after="0" w:line="276" w:lineRule="auto"/>
        <w:jc w:val="both"/>
        <w:rPr>
          <w:rFonts w:ascii="Book Antiqua" w:eastAsia="Calibri" w:hAnsi="Book Antiqua" w:cs="Arial"/>
          <w:sz w:val="24"/>
          <w:szCs w:val="24"/>
        </w:rPr>
      </w:pPr>
    </w:p>
    <w:p w14:paraId="51C583F6" w14:textId="3CEE9765" w:rsidR="00300974" w:rsidRPr="00300974" w:rsidRDefault="00300974" w:rsidP="0030097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00974">
        <w:rPr>
          <w:rFonts w:ascii="Book Antiqua" w:eastAsia="Calibri" w:hAnsi="Book Antiqua" w:cs="Arial"/>
          <w:b/>
          <w:bCs/>
          <w:color w:val="1F497D"/>
          <w:szCs w:val="24"/>
          <w:lang w:val="es-ES" w:eastAsia="es-ES"/>
        </w:rPr>
        <w:t xml:space="preserve">Ilustración </w:t>
      </w:r>
      <w:r w:rsidRPr="00300974">
        <w:rPr>
          <w:rFonts w:ascii="Book Antiqua" w:hAnsi="Book Antiqua"/>
          <w:b/>
          <w:bCs/>
          <w:noProof/>
          <w:color w:val="1F497D"/>
          <w:szCs w:val="24"/>
          <w:lang w:val="es-ES" w:eastAsia="es-ES"/>
        </w:rPr>
        <w:fldChar w:fldCharType="begin"/>
      </w:r>
      <w:r w:rsidRPr="00300974">
        <w:rPr>
          <w:rFonts w:ascii="Book Antiqua" w:hAnsi="Book Antiqua"/>
          <w:b/>
          <w:bCs/>
          <w:noProof/>
          <w:color w:val="1F497D"/>
          <w:szCs w:val="24"/>
          <w:lang w:val="es-ES" w:eastAsia="es-ES"/>
        </w:rPr>
        <w:instrText xml:space="preserve"> SEQ Ilustración \* ARABIC </w:instrText>
      </w:r>
      <w:r w:rsidRPr="00300974">
        <w:rPr>
          <w:rFonts w:ascii="Book Antiqua" w:hAnsi="Book Antiqua"/>
          <w:b/>
          <w:bCs/>
          <w:noProof/>
          <w:color w:val="1F497D"/>
          <w:szCs w:val="24"/>
          <w:lang w:val="es-ES" w:eastAsia="es-ES"/>
        </w:rPr>
        <w:fldChar w:fldCharType="separate"/>
      </w:r>
      <w:r w:rsidR="009B739E">
        <w:rPr>
          <w:rFonts w:ascii="Book Antiqua" w:hAnsi="Book Antiqua"/>
          <w:b/>
          <w:bCs/>
          <w:noProof/>
          <w:color w:val="1F497D"/>
          <w:szCs w:val="24"/>
          <w:lang w:val="es-ES" w:eastAsia="es-ES"/>
        </w:rPr>
        <w:t>1</w:t>
      </w:r>
      <w:r w:rsidRPr="00300974">
        <w:rPr>
          <w:rFonts w:ascii="Book Antiqua" w:hAnsi="Book Antiqua"/>
          <w:b/>
          <w:bCs/>
          <w:noProof/>
          <w:color w:val="1F497D"/>
          <w:szCs w:val="24"/>
          <w:lang w:val="es-ES" w:eastAsia="es-ES"/>
        </w:rPr>
        <w:fldChar w:fldCharType="end"/>
      </w:r>
    </w:p>
    <w:p w14:paraId="216444C4" w14:textId="6B5C3748" w:rsidR="00300974" w:rsidRPr="00300974" w:rsidRDefault="00300974" w:rsidP="0030097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00974">
        <w:rPr>
          <w:rFonts w:ascii="Book Antiqua" w:eastAsia="Calibri" w:hAnsi="Book Antiqua" w:cs="Arial"/>
          <w:b/>
          <w:bCs/>
          <w:color w:val="1F497D"/>
          <w:szCs w:val="24"/>
          <w:lang w:val="es-ES" w:eastAsia="es-ES"/>
        </w:rPr>
        <w:t xml:space="preserve">Contenido del reporte “Informe de Inconsistencias para Familia y Pensiones Alimentarias”, </w:t>
      </w:r>
      <w:r w:rsidR="00BC6301">
        <w:rPr>
          <w:rFonts w:ascii="Book Antiqua" w:eastAsia="Calibri" w:hAnsi="Book Antiqua" w:cs="Arial"/>
          <w:b/>
          <w:bCs/>
          <w:color w:val="1F497D"/>
          <w:szCs w:val="24"/>
          <w:lang w:val="es-ES" w:eastAsia="es-ES"/>
        </w:rPr>
        <w:t xml:space="preserve">existente en Sigma a partir del </w:t>
      </w:r>
      <w:r w:rsidRPr="00300974">
        <w:rPr>
          <w:rFonts w:ascii="Book Antiqua" w:eastAsia="Calibri" w:hAnsi="Book Antiqua" w:cs="Arial"/>
          <w:b/>
          <w:bCs/>
          <w:color w:val="1F497D"/>
          <w:szCs w:val="24"/>
          <w:lang w:val="es-ES" w:eastAsia="es-ES"/>
        </w:rPr>
        <w:t>2020</w:t>
      </w:r>
    </w:p>
    <w:p w14:paraId="1EAEE939" w14:textId="77777777" w:rsidR="00300974" w:rsidRPr="00300974" w:rsidRDefault="00300974" w:rsidP="00300974">
      <w:pPr>
        <w:spacing w:after="0" w:line="276" w:lineRule="auto"/>
        <w:jc w:val="center"/>
        <w:rPr>
          <w:rFonts w:ascii="Book Antiqua" w:eastAsia="Calibri" w:hAnsi="Book Antiqua" w:cs="Arial"/>
          <w:sz w:val="24"/>
          <w:szCs w:val="24"/>
        </w:rPr>
      </w:pPr>
      <w:r w:rsidRPr="00300974">
        <w:rPr>
          <w:rFonts w:ascii="Book Antiqua" w:eastAsia="Calibri" w:hAnsi="Book Antiqua" w:cs="Arial"/>
          <w:noProof/>
        </w:rPr>
        <w:drawing>
          <wp:inline distT="0" distB="0" distL="0" distR="0" wp14:anchorId="2C5BB117" wp14:editId="54A57A79">
            <wp:extent cx="2816768" cy="2918129"/>
            <wp:effectExtent l="0" t="0" r="3175" b="0"/>
            <wp:docPr id="1263269100" name="Imagen 126326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25901" cy="2927590"/>
                    </a:xfrm>
                    <a:prstGeom prst="rect">
                      <a:avLst/>
                    </a:prstGeom>
                  </pic:spPr>
                </pic:pic>
              </a:graphicData>
            </a:graphic>
          </wp:inline>
        </w:drawing>
      </w:r>
    </w:p>
    <w:p w14:paraId="3735F744" w14:textId="77777777" w:rsidR="00300974" w:rsidRPr="00300974" w:rsidRDefault="00300974" w:rsidP="00300974">
      <w:pPr>
        <w:spacing w:after="0" w:line="276" w:lineRule="auto"/>
        <w:ind w:firstLine="2268"/>
        <w:jc w:val="both"/>
        <w:rPr>
          <w:rFonts w:ascii="Book Antiqua" w:eastAsia="Calibri" w:hAnsi="Book Antiqua" w:cs="Arial"/>
          <w:i/>
          <w:iCs/>
          <w:sz w:val="20"/>
          <w:szCs w:val="20"/>
        </w:rPr>
      </w:pPr>
      <w:r w:rsidRPr="00300974">
        <w:rPr>
          <w:rFonts w:ascii="Book Antiqua" w:eastAsia="Calibri" w:hAnsi="Book Antiqua" w:cs="Arial"/>
          <w:i/>
          <w:iCs/>
          <w:sz w:val="20"/>
          <w:szCs w:val="20"/>
        </w:rPr>
        <w:t>Fuente: SIGMA.</w:t>
      </w:r>
    </w:p>
    <w:p w14:paraId="197641E3" w14:textId="77777777" w:rsidR="003B3842" w:rsidRDefault="003B3842" w:rsidP="009C01E1">
      <w:pPr>
        <w:spacing w:line="276" w:lineRule="auto"/>
        <w:jc w:val="both"/>
        <w:rPr>
          <w:rFonts w:ascii="Book Antiqua" w:eastAsia="Calibri" w:hAnsi="Book Antiqua" w:cs="Arial"/>
          <w:sz w:val="24"/>
          <w:szCs w:val="24"/>
        </w:rPr>
      </w:pPr>
    </w:p>
    <w:p w14:paraId="00825C75" w14:textId="0D64BAC5" w:rsidR="00C22DF7" w:rsidRDefault="003B3842" w:rsidP="009C01E1">
      <w:pPr>
        <w:spacing w:line="276" w:lineRule="auto"/>
        <w:jc w:val="both"/>
        <w:rPr>
          <w:rFonts w:ascii="Book Antiqua" w:hAnsi="Book Antiqua"/>
          <w:sz w:val="24"/>
          <w:szCs w:val="24"/>
        </w:rPr>
      </w:pPr>
      <w:r w:rsidRPr="003B3842">
        <w:rPr>
          <w:rFonts w:ascii="Book Antiqua" w:eastAsia="Calibri" w:hAnsi="Book Antiqua" w:cs="Arial"/>
          <w:sz w:val="24"/>
          <w:szCs w:val="24"/>
        </w:rPr>
        <w:t>En el siguiente gráfico, se visualiza la entrada de incidentes y segunda instancia, en los Juzgados Especializados de Familia, del periodo 2018 al 20</w:t>
      </w:r>
      <w:r>
        <w:rPr>
          <w:rFonts w:ascii="Book Antiqua" w:eastAsia="Calibri" w:hAnsi="Book Antiqua" w:cs="Arial"/>
          <w:sz w:val="24"/>
          <w:szCs w:val="24"/>
        </w:rPr>
        <w:t>2</w:t>
      </w:r>
      <w:r w:rsidRPr="003B3842">
        <w:rPr>
          <w:rFonts w:ascii="Book Antiqua" w:eastAsia="Calibri" w:hAnsi="Book Antiqua" w:cs="Arial"/>
          <w:sz w:val="24"/>
          <w:szCs w:val="24"/>
        </w:rPr>
        <w:t xml:space="preserve">1; es importante indicar, que los cálculos solo contemplan estos años, </w:t>
      </w:r>
      <w:r w:rsidR="00105BB7">
        <w:rPr>
          <w:rFonts w:ascii="Book Antiqua" w:eastAsia="Calibri" w:hAnsi="Book Antiqua" w:cs="Arial"/>
          <w:sz w:val="24"/>
          <w:szCs w:val="24"/>
        </w:rPr>
        <w:t xml:space="preserve">debido a </w:t>
      </w:r>
      <w:r w:rsidRPr="003B3842">
        <w:rPr>
          <w:rFonts w:ascii="Book Antiqua" w:eastAsia="Calibri" w:hAnsi="Book Antiqua" w:cs="Arial"/>
          <w:sz w:val="24"/>
          <w:szCs w:val="24"/>
        </w:rPr>
        <w:t>que</w:t>
      </w:r>
      <w:r w:rsidR="00105BB7">
        <w:rPr>
          <w:rFonts w:ascii="Book Antiqua" w:eastAsia="Calibri" w:hAnsi="Book Antiqua" w:cs="Arial"/>
          <w:sz w:val="24"/>
          <w:szCs w:val="24"/>
        </w:rPr>
        <w:t xml:space="preserve"> los datos </w:t>
      </w:r>
      <w:r w:rsidR="002D23A1">
        <w:rPr>
          <w:rFonts w:ascii="Book Antiqua" w:eastAsia="Calibri" w:hAnsi="Book Antiqua" w:cs="Arial"/>
          <w:sz w:val="24"/>
          <w:szCs w:val="24"/>
        </w:rPr>
        <w:t xml:space="preserve">se registran </w:t>
      </w:r>
      <w:r w:rsidRPr="003B3842">
        <w:rPr>
          <w:rFonts w:ascii="Book Antiqua" w:eastAsia="Calibri" w:hAnsi="Book Antiqua" w:cs="Arial"/>
          <w:sz w:val="24"/>
          <w:szCs w:val="24"/>
        </w:rPr>
        <w:t>a partir del 2018</w:t>
      </w:r>
      <w:r w:rsidR="00B32466">
        <w:rPr>
          <w:rFonts w:ascii="Book Antiqua" w:eastAsia="Calibri" w:hAnsi="Book Antiqua" w:cs="Arial"/>
          <w:sz w:val="24"/>
          <w:szCs w:val="24"/>
        </w:rPr>
        <w:t>.</w:t>
      </w:r>
    </w:p>
    <w:p w14:paraId="2302A8C7" w14:textId="4ABC77C3" w:rsidR="0053030A" w:rsidRPr="0053030A" w:rsidRDefault="0053030A" w:rsidP="0053030A">
      <w:pPr>
        <w:keepNext/>
        <w:numPr>
          <w:ilvl w:val="12"/>
          <w:numId w:val="0"/>
        </w:numPr>
        <w:spacing w:after="0" w:line="276" w:lineRule="auto"/>
        <w:jc w:val="center"/>
        <w:rPr>
          <w:rFonts w:ascii="Book Antiqua" w:hAnsi="Book Antiqua"/>
          <w:b/>
          <w:bCs/>
          <w:noProof/>
          <w:color w:val="1F497D"/>
          <w:lang w:val="es-ES" w:eastAsia="es-ES"/>
        </w:rPr>
      </w:pPr>
      <w:r w:rsidRPr="0053030A">
        <w:rPr>
          <w:rFonts w:ascii="Book Antiqua" w:eastAsia="Calibri" w:hAnsi="Book Antiqua" w:cs="Arial"/>
          <w:b/>
          <w:bCs/>
          <w:color w:val="1F497D"/>
          <w:lang w:val="es-ES" w:eastAsia="es-ES"/>
        </w:rPr>
        <w:lastRenderedPageBreak/>
        <w:t xml:space="preserve">Gráfico </w:t>
      </w:r>
      <w:r w:rsidRPr="0053030A">
        <w:rPr>
          <w:rFonts w:ascii="Book Antiqua" w:hAnsi="Book Antiqua"/>
          <w:b/>
          <w:bCs/>
          <w:noProof/>
          <w:color w:val="1F497D"/>
          <w:lang w:val="es-ES" w:eastAsia="es-ES"/>
        </w:rPr>
        <w:fldChar w:fldCharType="begin"/>
      </w:r>
      <w:r w:rsidRPr="0053030A">
        <w:rPr>
          <w:rFonts w:ascii="Book Antiqua" w:hAnsi="Book Antiqua"/>
          <w:b/>
          <w:bCs/>
          <w:noProof/>
          <w:color w:val="1F497D"/>
          <w:lang w:val="es-ES" w:eastAsia="es-ES"/>
        </w:rPr>
        <w:instrText xml:space="preserve"> SEQ Gráfico \* ARABIC </w:instrText>
      </w:r>
      <w:r w:rsidRPr="0053030A">
        <w:rPr>
          <w:rFonts w:ascii="Book Antiqua" w:hAnsi="Book Antiqua"/>
          <w:b/>
          <w:bCs/>
          <w:noProof/>
          <w:color w:val="1F497D"/>
          <w:lang w:val="es-ES" w:eastAsia="es-ES"/>
        </w:rPr>
        <w:fldChar w:fldCharType="separate"/>
      </w:r>
      <w:r w:rsidR="009B739E">
        <w:rPr>
          <w:rFonts w:ascii="Book Antiqua" w:hAnsi="Book Antiqua"/>
          <w:b/>
          <w:bCs/>
          <w:noProof/>
          <w:color w:val="1F497D"/>
          <w:lang w:val="es-ES" w:eastAsia="es-ES"/>
        </w:rPr>
        <w:t>2</w:t>
      </w:r>
      <w:r w:rsidRPr="0053030A">
        <w:rPr>
          <w:rFonts w:ascii="Book Antiqua" w:hAnsi="Book Antiqua"/>
          <w:b/>
          <w:bCs/>
          <w:noProof/>
          <w:color w:val="1F497D"/>
          <w:lang w:val="es-ES" w:eastAsia="es-ES"/>
        </w:rPr>
        <w:fldChar w:fldCharType="end"/>
      </w:r>
    </w:p>
    <w:p w14:paraId="38119A5C" w14:textId="667D7EF0" w:rsidR="0053030A" w:rsidRPr="0053030A" w:rsidRDefault="0053030A" w:rsidP="0053030A">
      <w:pPr>
        <w:keepNext/>
        <w:numPr>
          <w:ilvl w:val="12"/>
          <w:numId w:val="0"/>
        </w:numPr>
        <w:spacing w:after="0" w:line="276" w:lineRule="auto"/>
        <w:jc w:val="center"/>
        <w:rPr>
          <w:rFonts w:ascii="Book Antiqua" w:eastAsia="Times New Roman" w:hAnsi="Book Antiqua" w:cs="Arial"/>
          <w:b/>
          <w:bCs/>
          <w:color w:val="1F497D"/>
          <w:lang w:eastAsia="es-ES"/>
        </w:rPr>
      </w:pPr>
      <w:r w:rsidRPr="0053030A">
        <w:rPr>
          <w:rFonts w:ascii="Book Antiqua" w:eastAsia="Times New Roman" w:hAnsi="Book Antiqua" w:cs="Arial"/>
          <w:b/>
          <w:bCs/>
          <w:color w:val="1F497D"/>
          <w:lang w:eastAsia="es-ES"/>
        </w:rPr>
        <w:t>Movimiento histórico de la entrada en asuntos como segunda instancia en Pensiones Alimentarias e incidentes en los Juzgados Especializados de la materia de Familia, del 201</w:t>
      </w:r>
      <w:r w:rsidR="00844766">
        <w:rPr>
          <w:rFonts w:ascii="Book Antiqua" w:eastAsia="Times New Roman" w:hAnsi="Book Antiqua" w:cs="Arial"/>
          <w:b/>
          <w:bCs/>
          <w:color w:val="1F497D"/>
          <w:lang w:eastAsia="es-ES"/>
        </w:rPr>
        <w:t>8</w:t>
      </w:r>
      <w:r w:rsidRPr="0053030A">
        <w:rPr>
          <w:rFonts w:ascii="Book Antiqua" w:eastAsia="Times New Roman" w:hAnsi="Book Antiqua" w:cs="Arial"/>
          <w:b/>
          <w:bCs/>
          <w:color w:val="1F497D"/>
          <w:lang w:eastAsia="es-ES"/>
        </w:rPr>
        <w:t xml:space="preserve"> al 20</w:t>
      </w:r>
      <w:r w:rsidR="00782E9A">
        <w:rPr>
          <w:rFonts w:ascii="Book Antiqua" w:eastAsia="Times New Roman" w:hAnsi="Book Antiqua" w:cs="Arial"/>
          <w:b/>
          <w:bCs/>
          <w:color w:val="1F497D"/>
          <w:lang w:eastAsia="es-ES"/>
        </w:rPr>
        <w:t>2</w:t>
      </w:r>
      <w:r w:rsidRPr="0053030A">
        <w:rPr>
          <w:rFonts w:ascii="Book Antiqua" w:eastAsia="Times New Roman" w:hAnsi="Book Antiqua" w:cs="Arial"/>
          <w:b/>
          <w:bCs/>
          <w:color w:val="1F497D"/>
          <w:lang w:eastAsia="es-ES"/>
        </w:rPr>
        <w:t>1</w:t>
      </w:r>
    </w:p>
    <w:p w14:paraId="58BA2D3A" w14:textId="1BE4027C" w:rsidR="00294936" w:rsidRDefault="005D7461" w:rsidP="00621752">
      <w:pPr>
        <w:spacing w:line="276" w:lineRule="auto"/>
        <w:jc w:val="center"/>
        <w:rPr>
          <w:rFonts w:ascii="Book Antiqua" w:hAnsi="Book Antiqua"/>
          <w:sz w:val="24"/>
          <w:szCs w:val="24"/>
        </w:rPr>
      </w:pPr>
      <w:r>
        <w:rPr>
          <w:noProof/>
        </w:rPr>
        <w:drawing>
          <wp:inline distT="0" distB="0" distL="0" distR="0" wp14:anchorId="15401DE0" wp14:editId="75DD57D1">
            <wp:extent cx="5384800" cy="3194050"/>
            <wp:effectExtent l="0" t="0" r="6350" b="6350"/>
            <wp:docPr id="3" name="Gráfico 3">
              <a:extLst xmlns:a="http://schemas.openxmlformats.org/drawingml/2006/main">
                <a:ext uri="{FF2B5EF4-FFF2-40B4-BE49-F238E27FC236}">
                  <a16:creationId xmlns:a16="http://schemas.microsoft.com/office/drawing/2014/main" id="{C4BBCD07-9484-427F-96B8-C2CF46B502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63F4568" w14:textId="77777777" w:rsidR="003C05ED" w:rsidRDefault="007A65FD" w:rsidP="00E14D62">
      <w:pPr>
        <w:spacing w:after="0" w:line="276" w:lineRule="auto"/>
        <w:ind w:right="284" w:firstLine="851"/>
        <w:rPr>
          <w:rFonts w:ascii="Book Antiqua" w:hAnsi="Book Antiqua"/>
          <w:i/>
          <w:iCs/>
          <w:sz w:val="20"/>
          <w:szCs w:val="20"/>
        </w:rPr>
      </w:pPr>
      <w:bookmarkStart w:id="15" w:name="_Hlk95104453"/>
      <w:r w:rsidRPr="003001A9">
        <w:rPr>
          <w:rFonts w:ascii="Book Antiqua" w:hAnsi="Book Antiqua"/>
          <w:i/>
          <w:iCs/>
          <w:sz w:val="20"/>
          <w:szCs w:val="20"/>
        </w:rPr>
        <w:t xml:space="preserve">Fuente: Subproceso de Modernización Institucional, con datos del </w:t>
      </w:r>
      <w:r>
        <w:rPr>
          <w:rFonts w:ascii="Book Antiqua" w:hAnsi="Book Antiqua"/>
          <w:i/>
          <w:iCs/>
          <w:sz w:val="20"/>
          <w:szCs w:val="20"/>
        </w:rPr>
        <w:t xml:space="preserve">Subproceso de Estadística </w:t>
      </w:r>
    </w:p>
    <w:p w14:paraId="1B679E71" w14:textId="27096B5A" w:rsidR="007A65FD" w:rsidRDefault="007A65FD" w:rsidP="00E14D62">
      <w:pPr>
        <w:spacing w:after="0" w:line="276" w:lineRule="auto"/>
        <w:ind w:left="851" w:right="284"/>
        <w:rPr>
          <w:rFonts w:ascii="Book Antiqua" w:hAnsi="Book Antiqua"/>
          <w:i/>
          <w:iCs/>
          <w:sz w:val="20"/>
          <w:szCs w:val="20"/>
        </w:rPr>
      </w:pPr>
      <w:r>
        <w:rPr>
          <w:rFonts w:ascii="Book Antiqua" w:hAnsi="Book Antiqua"/>
          <w:i/>
          <w:iCs/>
          <w:sz w:val="20"/>
          <w:szCs w:val="20"/>
        </w:rPr>
        <w:t xml:space="preserve"> del 2017 al 2021</w:t>
      </w:r>
      <w:r w:rsidR="008C2B0B">
        <w:rPr>
          <w:rFonts w:ascii="Book Antiqua" w:hAnsi="Book Antiqua"/>
          <w:i/>
          <w:iCs/>
          <w:sz w:val="20"/>
          <w:szCs w:val="20"/>
        </w:rPr>
        <w:t xml:space="preserve"> (los datos de incidentes y segunda </w:t>
      </w:r>
      <w:r w:rsidR="00BD2E58">
        <w:rPr>
          <w:rFonts w:ascii="Book Antiqua" w:hAnsi="Book Antiqua"/>
          <w:i/>
          <w:iCs/>
          <w:sz w:val="20"/>
          <w:szCs w:val="20"/>
        </w:rPr>
        <w:t>instancia</w:t>
      </w:r>
      <w:r w:rsidR="008C2B0B">
        <w:rPr>
          <w:rFonts w:ascii="Book Antiqua" w:hAnsi="Book Antiqua"/>
          <w:i/>
          <w:iCs/>
          <w:sz w:val="20"/>
          <w:szCs w:val="20"/>
        </w:rPr>
        <w:t xml:space="preserve"> </w:t>
      </w:r>
      <w:r w:rsidR="006F2440">
        <w:rPr>
          <w:rFonts w:ascii="Book Antiqua" w:hAnsi="Book Antiqua"/>
          <w:i/>
          <w:iCs/>
          <w:sz w:val="20"/>
          <w:szCs w:val="20"/>
        </w:rPr>
        <w:t>se registran a partir del 2018)</w:t>
      </w:r>
      <w:r>
        <w:rPr>
          <w:rFonts w:ascii="Book Antiqua" w:hAnsi="Book Antiqua"/>
          <w:i/>
          <w:iCs/>
          <w:sz w:val="20"/>
          <w:szCs w:val="20"/>
        </w:rPr>
        <w:t>.</w:t>
      </w:r>
    </w:p>
    <w:p w14:paraId="2F682FB1" w14:textId="791F934E" w:rsidR="006A218C" w:rsidRPr="003001A9" w:rsidRDefault="006A218C" w:rsidP="00E14D62">
      <w:pPr>
        <w:spacing w:after="0" w:line="276" w:lineRule="auto"/>
        <w:ind w:left="851" w:right="284"/>
        <w:rPr>
          <w:rFonts w:ascii="Book Antiqua" w:hAnsi="Book Antiqua"/>
          <w:i/>
          <w:iCs/>
          <w:sz w:val="20"/>
          <w:szCs w:val="20"/>
        </w:rPr>
      </w:pPr>
      <w:r>
        <w:rPr>
          <w:rFonts w:ascii="Book Antiqua" w:hAnsi="Book Antiqua"/>
          <w:i/>
          <w:iCs/>
          <w:sz w:val="20"/>
          <w:szCs w:val="20"/>
        </w:rPr>
        <w:t>Nota: Los datos de incidentes del periodo 2021 corresponden a 9 meses.</w:t>
      </w:r>
    </w:p>
    <w:bookmarkEnd w:id="15"/>
    <w:p w14:paraId="61393B2F" w14:textId="6BA0758E" w:rsidR="003A5B2E" w:rsidRDefault="003A5B2E" w:rsidP="009C01E1">
      <w:pPr>
        <w:spacing w:line="276" w:lineRule="auto"/>
        <w:jc w:val="both"/>
        <w:rPr>
          <w:rFonts w:ascii="Book Antiqua" w:hAnsi="Book Antiqua"/>
          <w:sz w:val="24"/>
          <w:szCs w:val="24"/>
        </w:rPr>
      </w:pPr>
    </w:p>
    <w:p w14:paraId="7499580F" w14:textId="41E31619" w:rsidR="00B42271" w:rsidRPr="00B42271" w:rsidRDefault="00B42271" w:rsidP="00B42271">
      <w:pPr>
        <w:spacing w:after="0" w:line="276" w:lineRule="auto"/>
        <w:jc w:val="both"/>
        <w:rPr>
          <w:rFonts w:ascii="Book Antiqua" w:eastAsia="Calibri" w:hAnsi="Book Antiqua" w:cs="Arial"/>
          <w:sz w:val="24"/>
          <w:szCs w:val="24"/>
        </w:rPr>
      </w:pPr>
      <w:r w:rsidRPr="00B42271">
        <w:rPr>
          <w:rFonts w:ascii="Book Antiqua" w:eastAsia="Calibri" w:hAnsi="Book Antiqua" w:cs="Arial"/>
          <w:sz w:val="24"/>
          <w:szCs w:val="24"/>
        </w:rPr>
        <w:t xml:space="preserve">Como se muestra en el gráfico anterior, </w:t>
      </w:r>
      <w:r w:rsidR="007F737C">
        <w:rPr>
          <w:rFonts w:ascii="Book Antiqua" w:eastAsia="Calibri" w:hAnsi="Book Antiqua" w:cs="Arial"/>
          <w:sz w:val="24"/>
          <w:szCs w:val="24"/>
        </w:rPr>
        <w:t xml:space="preserve">en 2018 el promedio de entrada mensual de incidentes fue de 38 casos por mes, y para el 2021 fue de 50 casos, lo que representa un incremento mensual de un 32% (12 incidentes). En lo que corresponde </w:t>
      </w:r>
      <w:r w:rsidR="00D60425">
        <w:rPr>
          <w:rFonts w:ascii="Book Antiqua" w:eastAsia="Calibri" w:hAnsi="Book Antiqua" w:cs="Arial"/>
          <w:sz w:val="24"/>
          <w:szCs w:val="24"/>
        </w:rPr>
        <w:t xml:space="preserve">al </w:t>
      </w:r>
      <w:r w:rsidR="00D60425" w:rsidRPr="00B42271">
        <w:rPr>
          <w:rFonts w:ascii="Book Antiqua" w:eastAsia="Calibri" w:hAnsi="Book Antiqua" w:cs="Arial"/>
          <w:sz w:val="24"/>
          <w:szCs w:val="24"/>
        </w:rPr>
        <w:t>comportamiento</w:t>
      </w:r>
      <w:r w:rsidRPr="00B42271">
        <w:rPr>
          <w:rFonts w:ascii="Book Antiqua" w:eastAsia="Calibri" w:hAnsi="Book Antiqua" w:cs="Arial"/>
          <w:sz w:val="24"/>
          <w:szCs w:val="24"/>
        </w:rPr>
        <w:t xml:space="preserve"> en la entrada de casos en segunda instancia,</w:t>
      </w:r>
      <w:r w:rsidR="007F737C">
        <w:rPr>
          <w:rFonts w:ascii="Book Antiqua" w:eastAsia="Calibri" w:hAnsi="Book Antiqua" w:cs="Arial"/>
          <w:sz w:val="24"/>
          <w:szCs w:val="24"/>
        </w:rPr>
        <w:t xml:space="preserve"> se dio una disminución</w:t>
      </w:r>
      <w:r w:rsidRPr="00B42271">
        <w:rPr>
          <w:rFonts w:ascii="Book Antiqua" w:eastAsia="Calibri" w:hAnsi="Book Antiqua" w:cs="Arial"/>
          <w:sz w:val="24"/>
          <w:szCs w:val="24"/>
        </w:rPr>
        <w:t xml:space="preserve"> </w:t>
      </w:r>
      <w:r w:rsidR="007F737C">
        <w:rPr>
          <w:rFonts w:ascii="Book Antiqua" w:eastAsia="Calibri" w:hAnsi="Book Antiqua" w:cs="Arial"/>
          <w:sz w:val="24"/>
          <w:szCs w:val="24"/>
        </w:rPr>
        <w:t>del 1</w:t>
      </w:r>
      <w:r w:rsidR="005B1B85">
        <w:rPr>
          <w:rFonts w:ascii="Book Antiqua" w:eastAsia="Calibri" w:hAnsi="Book Antiqua" w:cs="Arial"/>
          <w:sz w:val="24"/>
          <w:szCs w:val="24"/>
        </w:rPr>
        <w:t>1</w:t>
      </w:r>
      <w:r w:rsidR="007F737C">
        <w:rPr>
          <w:rFonts w:ascii="Book Antiqua" w:eastAsia="Calibri" w:hAnsi="Book Antiqua" w:cs="Arial"/>
          <w:sz w:val="24"/>
          <w:szCs w:val="24"/>
        </w:rPr>
        <w:t xml:space="preserve">% entre 2018 y 2021. </w:t>
      </w:r>
    </w:p>
    <w:p w14:paraId="39D42FB6" w14:textId="77777777" w:rsidR="00B42271" w:rsidRPr="00B42271" w:rsidRDefault="00B42271" w:rsidP="00B42271">
      <w:pPr>
        <w:spacing w:after="0" w:line="276" w:lineRule="auto"/>
        <w:jc w:val="both"/>
        <w:rPr>
          <w:rFonts w:ascii="Book Antiqua" w:eastAsia="Calibri" w:hAnsi="Book Antiqua" w:cs="Arial"/>
          <w:sz w:val="24"/>
          <w:szCs w:val="24"/>
        </w:rPr>
      </w:pPr>
    </w:p>
    <w:p w14:paraId="0BCDE5AD" w14:textId="77777777" w:rsidR="00100EE5" w:rsidRDefault="00B42271" w:rsidP="00B42271">
      <w:pPr>
        <w:spacing w:after="0" w:line="276" w:lineRule="auto"/>
        <w:jc w:val="both"/>
        <w:rPr>
          <w:rFonts w:ascii="Book Antiqua" w:eastAsia="Calibri" w:hAnsi="Book Antiqua" w:cs="Arial"/>
          <w:sz w:val="24"/>
          <w:szCs w:val="24"/>
        </w:rPr>
      </w:pPr>
      <w:r w:rsidRPr="00B42271">
        <w:rPr>
          <w:rFonts w:ascii="Book Antiqua" w:eastAsia="Calibri" w:hAnsi="Book Antiqua" w:cs="Arial"/>
          <w:sz w:val="24"/>
          <w:szCs w:val="24"/>
        </w:rPr>
        <w:t>A continuación, se detalla la distribución de la entrada por persona juzgadora, en los Juzgados Especializados de Familia del país, durante el periodo del 201</w:t>
      </w:r>
      <w:r w:rsidR="00100EE5">
        <w:rPr>
          <w:rFonts w:ascii="Book Antiqua" w:eastAsia="Calibri" w:hAnsi="Book Antiqua" w:cs="Arial"/>
          <w:sz w:val="24"/>
          <w:szCs w:val="24"/>
        </w:rPr>
        <w:t>7</w:t>
      </w:r>
      <w:r w:rsidRPr="00B42271">
        <w:rPr>
          <w:rFonts w:ascii="Book Antiqua" w:eastAsia="Calibri" w:hAnsi="Book Antiqua" w:cs="Arial"/>
          <w:sz w:val="24"/>
          <w:szCs w:val="24"/>
        </w:rPr>
        <w:t xml:space="preserve"> al 20</w:t>
      </w:r>
      <w:r w:rsidR="00100EE5">
        <w:rPr>
          <w:rFonts w:ascii="Book Antiqua" w:eastAsia="Calibri" w:hAnsi="Book Antiqua" w:cs="Arial"/>
          <w:sz w:val="24"/>
          <w:szCs w:val="24"/>
        </w:rPr>
        <w:t>2</w:t>
      </w:r>
      <w:r w:rsidRPr="00B42271">
        <w:rPr>
          <w:rFonts w:ascii="Book Antiqua" w:eastAsia="Calibri" w:hAnsi="Book Antiqua" w:cs="Arial"/>
          <w:sz w:val="24"/>
          <w:szCs w:val="24"/>
        </w:rPr>
        <w:t>1.</w:t>
      </w:r>
    </w:p>
    <w:p w14:paraId="58868D33" w14:textId="14E644D2" w:rsidR="00100EE5" w:rsidRDefault="00100EE5" w:rsidP="00B42271">
      <w:pPr>
        <w:spacing w:after="0" w:line="276" w:lineRule="auto"/>
        <w:jc w:val="both"/>
        <w:rPr>
          <w:rFonts w:ascii="Book Antiqua" w:eastAsia="Calibri" w:hAnsi="Book Antiqua" w:cs="Arial"/>
          <w:sz w:val="24"/>
          <w:szCs w:val="24"/>
        </w:rPr>
      </w:pPr>
    </w:p>
    <w:p w14:paraId="60EAE0BD" w14:textId="77777777" w:rsidR="0054258A" w:rsidRDefault="0054258A" w:rsidP="00B42271">
      <w:pPr>
        <w:spacing w:after="0" w:line="276" w:lineRule="auto"/>
        <w:jc w:val="both"/>
        <w:rPr>
          <w:rFonts w:ascii="Book Antiqua" w:eastAsia="Calibri" w:hAnsi="Book Antiqua" w:cs="Arial"/>
          <w:sz w:val="24"/>
          <w:szCs w:val="24"/>
        </w:rPr>
      </w:pPr>
    </w:p>
    <w:p w14:paraId="5AC2B354" w14:textId="2BFB4300" w:rsidR="00617AD9" w:rsidRPr="00617AD9" w:rsidRDefault="00617AD9" w:rsidP="00617AD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17AD9">
        <w:rPr>
          <w:rFonts w:ascii="Book Antiqua" w:eastAsia="Calibri" w:hAnsi="Book Antiqua" w:cs="Arial"/>
          <w:b/>
          <w:bCs/>
          <w:color w:val="1F497D"/>
          <w:szCs w:val="24"/>
          <w:lang w:val="es-ES" w:eastAsia="es-ES"/>
        </w:rPr>
        <w:lastRenderedPageBreak/>
        <w:t xml:space="preserve">Cuadro </w:t>
      </w:r>
      <w:r w:rsidRPr="00E83ED2">
        <w:rPr>
          <w:rFonts w:ascii="Book Antiqua" w:eastAsia="Calibri" w:hAnsi="Book Antiqua" w:cs="Arial"/>
          <w:b/>
          <w:bCs/>
          <w:color w:val="1F497D"/>
          <w:szCs w:val="24"/>
          <w:lang w:val="es-ES" w:eastAsia="es-ES"/>
        </w:rPr>
        <w:fldChar w:fldCharType="begin"/>
      </w:r>
      <w:r w:rsidRPr="00E83ED2">
        <w:rPr>
          <w:rFonts w:ascii="Book Antiqua" w:eastAsia="Calibri" w:hAnsi="Book Antiqua" w:cs="Arial"/>
          <w:b/>
          <w:bCs/>
          <w:color w:val="1F497D"/>
          <w:szCs w:val="24"/>
          <w:lang w:val="es-ES" w:eastAsia="es-ES"/>
        </w:rPr>
        <w:instrText xml:space="preserve"> SEQ Cuadro \* ARABIC </w:instrText>
      </w:r>
      <w:r w:rsidRPr="00E83ED2">
        <w:rPr>
          <w:rFonts w:ascii="Book Antiqua" w:eastAsia="Calibri" w:hAnsi="Book Antiqua" w:cs="Arial"/>
          <w:b/>
          <w:bCs/>
          <w:color w:val="1F497D"/>
          <w:szCs w:val="24"/>
          <w:lang w:val="es-ES" w:eastAsia="es-ES"/>
        </w:rPr>
        <w:fldChar w:fldCharType="separate"/>
      </w:r>
      <w:r w:rsidR="009B739E" w:rsidRPr="00E83ED2">
        <w:rPr>
          <w:rFonts w:ascii="Book Antiqua" w:eastAsia="Calibri" w:hAnsi="Book Antiqua" w:cs="Arial"/>
          <w:b/>
          <w:bCs/>
          <w:color w:val="1F497D"/>
          <w:szCs w:val="24"/>
          <w:lang w:val="es-ES" w:eastAsia="es-ES"/>
        </w:rPr>
        <w:t>4</w:t>
      </w:r>
      <w:r w:rsidRPr="00E83ED2">
        <w:rPr>
          <w:rFonts w:ascii="Book Antiqua" w:eastAsia="Calibri" w:hAnsi="Book Antiqua" w:cs="Arial"/>
          <w:b/>
          <w:bCs/>
          <w:color w:val="1F497D"/>
          <w:szCs w:val="24"/>
          <w:lang w:val="es-ES" w:eastAsia="es-ES"/>
        </w:rPr>
        <w:fldChar w:fldCharType="end"/>
      </w:r>
    </w:p>
    <w:p w14:paraId="7A668181" w14:textId="0AF86047" w:rsidR="00617AD9" w:rsidRPr="00617AD9" w:rsidRDefault="00617AD9" w:rsidP="00617AD9">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617AD9">
        <w:rPr>
          <w:rFonts w:ascii="Book Antiqua" w:eastAsia="Times New Roman" w:hAnsi="Book Antiqua" w:cs="Arial"/>
          <w:b/>
          <w:bCs/>
          <w:color w:val="1F497D"/>
          <w:sz w:val="24"/>
          <w:szCs w:val="24"/>
          <w:lang w:eastAsia="es-ES"/>
        </w:rPr>
        <w:t>Movimiento histórico de la entrada por persona juzgadora en los Juzgados Especializados de la materia de Familia, del 201</w:t>
      </w:r>
      <w:r w:rsidR="00761C1F">
        <w:rPr>
          <w:rFonts w:ascii="Book Antiqua" w:eastAsia="Times New Roman" w:hAnsi="Book Antiqua" w:cs="Arial"/>
          <w:b/>
          <w:bCs/>
          <w:color w:val="1F497D"/>
          <w:sz w:val="24"/>
          <w:szCs w:val="24"/>
          <w:lang w:eastAsia="es-ES"/>
        </w:rPr>
        <w:t>7</w:t>
      </w:r>
      <w:r w:rsidRPr="00617AD9">
        <w:rPr>
          <w:rFonts w:ascii="Book Antiqua" w:eastAsia="Times New Roman" w:hAnsi="Book Antiqua" w:cs="Arial"/>
          <w:b/>
          <w:bCs/>
          <w:color w:val="1F497D"/>
          <w:sz w:val="24"/>
          <w:szCs w:val="24"/>
          <w:lang w:eastAsia="es-ES"/>
        </w:rPr>
        <w:t xml:space="preserve"> al 20</w:t>
      </w:r>
      <w:r w:rsidR="00761C1F">
        <w:rPr>
          <w:rFonts w:ascii="Book Antiqua" w:eastAsia="Times New Roman" w:hAnsi="Book Antiqua" w:cs="Arial"/>
          <w:b/>
          <w:bCs/>
          <w:color w:val="1F497D"/>
          <w:sz w:val="24"/>
          <w:szCs w:val="24"/>
          <w:lang w:eastAsia="es-ES"/>
        </w:rPr>
        <w:t>2</w:t>
      </w:r>
      <w:r w:rsidRPr="00617AD9">
        <w:rPr>
          <w:rFonts w:ascii="Book Antiqua" w:eastAsia="Times New Roman" w:hAnsi="Book Antiqua" w:cs="Arial"/>
          <w:b/>
          <w:bCs/>
          <w:color w:val="1F497D"/>
          <w:sz w:val="24"/>
          <w:szCs w:val="24"/>
          <w:lang w:eastAsia="es-ES"/>
        </w:rPr>
        <w:t>1</w:t>
      </w:r>
    </w:p>
    <w:tbl>
      <w:tblPr>
        <w:tblW w:w="5000" w:type="pct"/>
        <w:tblCellMar>
          <w:left w:w="70" w:type="dxa"/>
          <w:right w:w="70" w:type="dxa"/>
        </w:tblCellMar>
        <w:tblLook w:val="04A0" w:firstRow="1" w:lastRow="0" w:firstColumn="1" w:lastColumn="0" w:noHBand="0" w:noVBand="1"/>
      </w:tblPr>
      <w:tblGrid>
        <w:gridCol w:w="2159"/>
        <w:gridCol w:w="1908"/>
        <w:gridCol w:w="2501"/>
        <w:gridCol w:w="2250"/>
      </w:tblGrid>
      <w:tr w:rsidR="00C00A02" w:rsidRPr="00C00A02" w14:paraId="0A0F0528" w14:textId="77777777" w:rsidTr="00C00A02">
        <w:trPr>
          <w:trHeight w:val="920"/>
        </w:trPr>
        <w:tc>
          <w:tcPr>
            <w:tcW w:w="1224"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637BA33A" w14:textId="3D8ABEB3" w:rsidR="00C00A02" w:rsidRPr="00C00A02" w:rsidRDefault="00B42271" w:rsidP="00C00A02">
            <w:pPr>
              <w:spacing w:after="0" w:line="240" w:lineRule="auto"/>
              <w:jc w:val="center"/>
              <w:rPr>
                <w:rFonts w:ascii="Book Antiqua" w:eastAsia="Times New Roman" w:hAnsi="Book Antiqua" w:cs="Calibri"/>
                <w:b/>
                <w:bCs/>
                <w:color w:val="FFFFFF"/>
                <w:lang w:eastAsia="es-CR"/>
              </w:rPr>
            </w:pPr>
            <w:r w:rsidRPr="00B42271">
              <w:rPr>
                <w:rFonts w:ascii="Book Antiqua" w:eastAsia="Calibri" w:hAnsi="Book Antiqua" w:cs="Arial"/>
                <w:sz w:val="24"/>
                <w:szCs w:val="24"/>
              </w:rPr>
              <w:t xml:space="preserve"> </w:t>
            </w:r>
            <w:r w:rsidR="00C00A02" w:rsidRPr="00C00A02">
              <w:rPr>
                <w:rFonts w:ascii="Book Antiqua" w:eastAsia="Times New Roman" w:hAnsi="Book Antiqua" w:cs="Calibri"/>
                <w:b/>
                <w:bCs/>
                <w:color w:val="FFFFFF"/>
                <w:lang w:eastAsia="es-CR"/>
              </w:rPr>
              <w:t>Motivo de Entrada</w:t>
            </w:r>
          </w:p>
        </w:tc>
        <w:tc>
          <w:tcPr>
            <w:tcW w:w="1082" w:type="pct"/>
            <w:tcBorders>
              <w:top w:val="single" w:sz="8" w:space="0" w:color="auto"/>
              <w:left w:val="nil"/>
              <w:bottom w:val="single" w:sz="8" w:space="0" w:color="auto"/>
              <w:right w:val="single" w:sz="8" w:space="0" w:color="auto"/>
            </w:tcBorders>
            <w:shd w:val="clear" w:color="000000" w:fill="002060"/>
            <w:vAlign w:val="center"/>
            <w:hideMark/>
          </w:tcPr>
          <w:p w14:paraId="1931E26E" w14:textId="77777777" w:rsidR="00C00A02" w:rsidRPr="00C00A02" w:rsidRDefault="00C00A02" w:rsidP="00C00A02">
            <w:pPr>
              <w:spacing w:after="0" w:line="240" w:lineRule="auto"/>
              <w:jc w:val="center"/>
              <w:rPr>
                <w:rFonts w:ascii="Book Antiqua" w:eastAsia="Times New Roman" w:hAnsi="Book Antiqua" w:cs="Calibri"/>
                <w:b/>
                <w:bCs/>
                <w:color w:val="FFFFFF"/>
                <w:lang w:eastAsia="es-CR"/>
              </w:rPr>
            </w:pPr>
            <w:r w:rsidRPr="00C00A02">
              <w:rPr>
                <w:rFonts w:ascii="Book Antiqua" w:eastAsia="Times New Roman" w:hAnsi="Book Antiqua" w:cs="Calibri"/>
                <w:b/>
                <w:bCs/>
                <w:color w:val="FFFFFF"/>
                <w:lang w:eastAsia="es-CR"/>
              </w:rPr>
              <w:t>Promedio Anual</w:t>
            </w:r>
          </w:p>
        </w:tc>
        <w:tc>
          <w:tcPr>
            <w:tcW w:w="1418" w:type="pct"/>
            <w:tcBorders>
              <w:top w:val="single" w:sz="8" w:space="0" w:color="auto"/>
              <w:left w:val="nil"/>
              <w:bottom w:val="single" w:sz="8" w:space="0" w:color="auto"/>
              <w:right w:val="single" w:sz="8" w:space="0" w:color="auto"/>
            </w:tcBorders>
            <w:shd w:val="clear" w:color="000000" w:fill="002060"/>
            <w:vAlign w:val="center"/>
            <w:hideMark/>
          </w:tcPr>
          <w:p w14:paraId="29C86131" w14:textId="77777777" w:rsidR="00C00A02" w:rsidRPr="00C00A02" w:rsidRDefault="00C00A02" w:rsidP="00C00A02">
            <w:pPr>
              <w:spacing w:after="0" w:line="240" w:lineRule="auto"/>
              <w:jc w:val="center"/>
              <w:rPr>
                <w:rFonts w:ascii="Book Antiqua" w:eastAsia="Times New Roman" w:hAnsi="Book Antiqua" w:cs="Calibri"/>
                <w:b/>
                <w:bCs/>
                <w:color w:val="FFFFFF"/>
                <w:lang w:eastAsia="es-CR"/>
              </w:rPr>
            </w:pPr>
            <w:r w:rsidRPr="00C00A02">
              <w:rPr>
                <w:rFonts w:ascii="Book Antiqua" w:eastAsia="Times New Roman" w:hAnsi="Book Antiqua" w:cs="Calibri"/>
                <w:b/>
                <w:bCs/>
                <w:color w:val="FFFFFF"/>
                <w:lang w:eastAsia="es-CR"/>
              </w:rPr>
              <w:t>Porcentaje Promedio de Entrada</w:t>
            </w:r>
          </w:p>
        </w:tc>
        <w:tc>
          <w:tcPr>
            <w:tcW w:w="1276" w:type="pct"/>
            <w:tcBorders>
              <w:top w:val="single" w:sz="8" w:space="0" w:color="auto"/>
              <w:left w:val="nil"/>
              <w:bottom w:val="single" w:sz="8" w:space="0" w:color="auto"/>
              <w:right w:val="single" w:sz="8" w:space="0" w:color="auto"/>
            </w:tcBorders>
            <w:shd w:val="clear" w:color="000000" w:fill="002060"/>
            <w:vAlign w:val="center"/>
            <w:hideMark/>
          </w:tcPr>
          <w:p w14:paraId="0745565E" w14:textId="77777777" w:rsidR="00C00A02" w:rsidRPr="00C00A02" w:rsidRDefault="00C00A02" w:rsidP="00C00A02">
            <w:pPr>
              <w:spacing w:after="0" w:line="240" w:lineRule="auto"/>
              <w:jc w:val="center"/>
              <w:rPr>
                <w:rFonts w:ascii="Book Antiqua" w:eastAsia="Times New Roman" w:hAnsi="Book Antiqua" w:cs="Calibri"/>
                <w:b/>
                <w:bCs/>
                <w:color w:val="FFFFFF"/>
                <w:lang w:eastAsia="es-CR"/>
              </w:rPr>
            </w:pPr>
            <w:r w:rsidRPr="00C00A02">
              <w:rPr>
                <w:rFonts w:ascii="Book Antiqua" w:eastAsia="Times New Roman" w:hAnsi="Book Antiqua" w:cs="Calibri"/>
                <w:b/>
                <w:bCs/>
                <w:color w:val="FFFFFF"/>
                <w:lang w:eastAsia="es-CR"/>
              </w:rPr>
              <w:t xml:space="preserve">Entrada mensual por persona juzgadora </w:t>
            </w:r>
          </w:p>
        </w:tc>
      </w:tr>
      <w:tr w:rsidR="00A13485" w:rsidRPr="00C00A02" w14:paraId="3073C417" w14:textId="77777777" w:rsidTr="00306313">
        <w:trPr>
          <w:trHeight w:val="290"/>
        </w:trPr>
        <w:tc>
          <w:tcPr>
            <w:tcW w:w="12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57B10" w14:textId="77777777" w:rsidR="00A13485" w:rsidRPr="00C00A02" w:rsidRDefault="00A13485" w:rsidP="00A13485">
            <w:pPr>
              <w:spacing w:after="0" w:line="240" w:lineRule="auto"/>
              <w:jc w:val="both"/>
              <w:rPr>
                <w:rFonts w:ascii="Book Antiqua" w:eastAsia="Times New Roman" w:hAnsi="Book Antiqua" w:cs="Calibri"/>
                <w:color w:val="000000"/>
                <w:lang w:eastAsia="es-CR"/>
              </w:rPr>
            </w:pPr>
            <w:r w:rsidRPr="00C00A02">
              <w:rPr>
                <w:rFonts w:ascii="Book Antiqua" w:eastAsia="Times New Roman" w:hAnsi="Book Antiqua" w:cs="Calibri"/>
                <w:color w:val="000000"/>
                <w:lang w:eastAsia="es-CR"/>
              </w:rPr>
              <w:t>Principal</w:t>
            </w:r>
          </w:p>
        </w:tc>
        <w:tc>
          <w:tcPr>
            <w:tcW w:w="108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8F031B" w14:textId="1898EB33"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2059</w:t>
            </w:r>
          </w:p>
        </w:tc>
        <w:tc>
          <w:tcPr>
            <w:tcW w:w="1418" w:type="pct"/>
            <w:tcBorders>
              <w:top w:val="single" w:sz="4" w:space="0" w:color="auto"/>
              <w:left w:val="nil"/>
              <w:bottom w:val="single" w:sz="4" w:space="0" w:color="auto"/>
              <w:right w:val="single" w:sz="4" w:space="0" w:color="auto"/>
            </w:tcBorders>
            <w:shd w:val="clear" w:color="auto" w:fill="auto"/>
            <w:noWrap/>
            <w:vAlign w:val="bottom"/>
            <w:hideMark/>
          </w:tcPr>
          <w:p w14:paraId="22770B09" w14:textId="04A569C9"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78%</w:t>
            </w:r>
          </w:p>
        </w:tc>
        <w:tc>
          <w:tcPr>
            <w:tcW w:w="1276" w:type="pct"/>
            <w:tcBorders>
              <w:top w:val="single" w:sz="4" w:space="0" w:color="auto"/>
              <w:left w:val="nil"/>
              <w:bottom w:val="single" w:sz="4" w:space="0" w:color="auto"/>
              <w:right w:val="single" w:sz="4" w:space="0" w:color="auto"/>
            </w:tcBorders>
            <w:shd w:val="clear" w:color="auto" w:fill="auto"/>
            <w:noWrap/>
            <w:vAlign w:val="bottom"/>
            <w:hideMark/>
          </w:tcPr>
          <w:p w14:paraId="4BEF2538" w14:textId="6EA3874D"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65,36</w:t>
            </w:r>
          </w:p>
        </w:tc>
      </w:tr>
      <w:tr w:rsidR="00A13485" w:rsidRPr="00C00A02" w14:paraId="1580926B" w14:textId="77777777" w:rsidTr="00306313">
        <w:trPr>
          <w:trHeight w:val="290"/>
        </w:trPr>
        <w:tc>
          <w:tcPr>
            <w:tcW w:w="1224" w:type="pct"/>
            <w:tcBorders>
              <w:top w:val="nil"/>
              <w:left w:val="single" w:sz="4" w:space="0" w:color="auto"/>
              <w:bottom w:val="single" w:sz="4" w:space="0" w:color="auto"/>
              <w:right w:val="single" w:sz="4" w:space="0" w:color="auto"/>
            </w:tcBorders>
            <w:shd w:val="clear" w:color="auto" w:fill="auto"/>
            <w:noWrap/>
            <w:vAlign w:val="center"/>
            <w:hideMark/>
          </w:tcPr>
          <w:p w14:paraId="64366BAA" w14:textId="77777777" w:rsidR="00A13485" w:rsidRPr="00C00A02" w:rsidRDefault="00A13485" w:rsidP="00A13485">
            <w:pPr>
              <w:spacing w:after="0" w:line="240" w:lineRule="auto"/>
              <w:jc w:val="both"/>
              <w:rPr>
                <w:rFonts w:ascii="Book Antiqua" w:eastAsia="Times New Roman" w:hAnsi="Book Antiqua" w:cs="Calibri"/>
                <w:color w:val="000000"/>
                <w:lang w:eastAsia="es-CR"/>
              </w:rPr>
            </w:pPr>
            <w:r w:rsidRPr="00C00A02">
              <w:rPr>
                <w:rFonts w:ascii="Book Antiqua" w:eastAsia="Times New Roman" w:hAnsi="Book Antiqua" w:cs="Calibri"/>
                <w:color w:val="000000"/>
                <w:lang w:eastAsia="es-CR"/>
              </w:rPr>
              <w:t>Segunda Instancia</w:t>
            </w:r>
          </w:p>
        </w:tc>
        <w:tc>
          <w:tcPr>
            <w:tcW w:w="1082" w:type="pct"/>
            <w:tcBorders>
              <w:top w:val="nil"/>
              <w:left w:val="single" w:sz="4" w:space="0" w:color="auto"/>
              <w:bottom w:val="single" w:sz="4" w:space="0" w:color="auto"/>
              <w:right w:val="single" w:sz="4" w:space="0" w:color="auto"/>
            </w:tcBorders>
            <w:shd w:val="clear" w:color="auto" w:fill="auto"/>
            <w:noWrap/>
            <w:vAlign w:val="bottom"/>
            <w:hideMark/>
          </w:tcPr>
          <w:p w14:paraId="16CD3346" w14:textId="65CC7C3C"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410</w:t>
            </w:r>
          </w:p>
        </w:tc>
        <w:tc>
          <w:tcPr>
            <w:tcW w:w="1418" w:type="pct"/>
            <w:tcBorders>
              <w:top w:val="nil"/>
              <w:left w:val="nil"/>
              <w:bottom w:val="single" w:sz="4" w:space="0" w:color="auto"/>
              <w:right w:val="single" w:sz="4" w:space="0" w:color="auto"/>
            </w:tcBorders>
            <w:shd w:val="clear" w:color="auto" w:fill="auto"/>
            <w:noWrap/>
            <w:vAlign w:val="bottom"/>
            <w:hideMark/>
          </w:tcPr>
          <w:p w14:paraId="5934C817" w14:textId="19CCCDBE"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16%</w:t>
            </w:r>
          </w:p>
        </w:tc>
        <w:tc>
          <w:tcPr>
            <w:tcW w:w="1276" w:type="pct"/>
            <w:tcBorders>
              <w:top w:val="nil"/>
              <w:left w:val="nil"/>
              <w:bottom w:val="single" w:sz="4" w:space="0" w:color="auto"/>
              <w:right w:val="single" w:sz="4" w:space="0" w:color="auto"/>
            </w:tcBorders>
            <w:shd w:val="clear" w:color="auto" w:fill="auto"/>
            <w:noWrap/>
            <w:vAlign w:val="bottom"/>
            <w:hideMark/>
          </w:tcPr>
          <w:p w14:paraId="58ECF504" w14:textId="7F0AA26D"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13,02</w:t>
            </w:r>
          </w:p>
        </w:tc>
      </w:tr>
      <w:tr w:rsidR="00A13485" w:rsidRPr="00C00A02" w14:paraId="62F86EE9" w14:textId="77777777" w:rsidTr="00306313">
        <w:trPr>
          <w:trHeight w:val="290"/>
        </w:trPr>
        <w:tc>
          <w:tcPr>
            <w:tcW w:w="1224" w:type="pct"/>
            <w:tcBorders>
              <w:top w:val="nil"/>
              <w:left w:val="single" w:sz="4" w:space="0" w:color="auto"/>
              <w:bottom w:val="single" w:sz="4" w:space="0" w:color="auto"/>
              <w:right w:val="single" w:sz="4" w:space="0" w:color="auto"/>
            </w:tcBorders>
            <w:shd w:val="clear" w:color="auto" w:fill="auto"/>
            <w:noWrap/>
            <w:vAlign w:val="center"/>
            <w:hideMark/>
          </w:tcPr>
          <w:p w14:paraId="007DBEEF" w14:textId="77777777" w:rsidR="00A13485" w:rsidRPr="00C00A02" w:rsidRDefault="00A13485" w:rsidP="00A13485">
            <w:pPr>
              <w:spacing w:after="0" w:line="240" w:lineRule="auto"/>
              <w:jc w:val="both"/>
              <w:rPr>
                <w:rFonts w:ascii="Book Antiqua" w:eastAsia="Times New Roman" w:hAnsi="Book Antiqua" w:cs="Calibri"/>
                <w:color w:val="000000"/>
                <w:lang w:eastAsia="es-CR"/>
              </w:rPr>
            </w:pPr>
            <w:r w:rsidRPr="00C00A02">
              <w:rPr>
                <w:rFonts w:ascii="Book Antiqua" w:eastAsia="Times New Roman" w:hAnsi="Book Antiqua" w:cs="Calibri"/>
                <w:color w:val="000000"/>
                <w:lang w:eastAsia="es-CR"/>
              </w:rPr>
              <w:t>Reentrados</w:t>
            </w:r>
          </w:p>
        </w:tc>
        <w:tc>
          <w:tcPr>
            <w:tcW w:w="1082" w:type="pct"/>
            <w:tcBorders>
              <w:top w:val="nil"/>
              <w:left w:val="single" w:sz="4" w:space="0" w:color="auto"/>
              <w:bottom w:val="single" w:sz="4" w:space="0" w:color="auto"/>
              <w:right w:val="single" w:sz="4" w:space="0" w:color="auto"/>
            </w:tcBorders>
            <w:shd w:val="clear" w:color="auto" w:fill="auto"/>
            <w:noWrap/>
            <w:vAlign w:val="bottom"/>
            <w:hideMark/>
          </w:tcPr>
          <w:p w14:paraId="731282CE" w14:textId="44E92E4A"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125</w:t>
            </w:r>
          </w:p>
        </w:tc>
        <w:tc>
          <w:tcPr>
            <w:tcW w:w="1418" w:type="pct"/>
            <w:tcBorders>
              <w:top w:val="nil"/>
              <w:left w:val="nil"/>
              <w:bottom w:val="single" w:sz="4" w:space="0" w:color="auto"/>
              <w:right w:val="single" w:sz="4" w:space="0" w:color="auto"/>
            </w:tcBorders>
            <w:shd w:val="clear" w:color="auto" w:fill="auto"/>
            <w:noWrap/>
            <w:vAlign w:val="bottom"/>
            <w:hideMark/>
          </w:tcPr>
          <w:p w14:paraId="28310A94" w14:textId="168861BB"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5%</w:t>
            </w:r>
          </w:p>
        </w:tc>
        <w:tc>
          <w:tcPr>
            <w:tcW w:w="1276" w:type="pct"/>
            <w:tcBorders>
              <w:top w:val="nil"/>
              <w:left w:val="nil"/>
              <w:bottom w:val="single" w:sz="4" w:space="0" w:color="auto"/>
              <w:right w:val="single" w:sz="4" w:space="0" w:color="auto"/>
            </w:tcBorders>
            <w:shd w:val="clear" w:color="auto" w:fill="auto"/>
            <w:noWrap/>
            <w:vAlign w:val="bottom"/>
            <w:hideMark/>
          </w:tcPr>
          <w:p w14:paraId="7C6FAACD" w14:textId="486D1982"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3,97</w:t>
            </w:r>
          </w:p>
        </w:tc>
      </w:tr>
      <w:tr w:rsidR="00A13485" w:rsidRPr="00C00A02" w14:paraId="492A0D86" w14:textId="77777777" w:rsidTr="00306313">
        <w:trPr>
          <w:trHeight w:val="290"/>
        </w:trPr>
        <w:tc>
          <w:tcPr>
            <w:tcW w:w="1224" w:type="pct"/>
            <w:tcBorders>
              <w:top w:val="nil"/>
              <w:left w:val="single" w:sz="4" w:space="0" w:color="auto"/>
              <w:bottom w:val="single" w:sz="4" w:space="0" w:color="auto"/>
              <w:right w:val="single" w:sz="4" w:space="0" w:color="auto"/>
            </w:tcBorders>
            <w:shd w:val="clear" w:color="auto" w:fill="auto"/>
            <w:noWrap/>
            <w:vAlign w:val="center"/>
            <w:hideMark/>
          </w:tcPr>
          <w:p w14:paraId="6FC3C4F9" w14:textId="77777777" w:rsidR="00A13485" w:rsidRPr="00C00A02" w:rsidRDefault="00A13485" w:rsidP="00A13485">
            <w:pPr>
              <w:spacing w:after="0" w:line="240" w:lineRule="auto"/>
              <w:jc w:val="both"/>
              <w:rPr>
                <w:rFonts w:ascii="Book Antiqua" w:eastAsia="Times New Roman" w:hAnsi="Book Antiqua" w:cs="Calibri"/>
                <w:color w:val="000000"/>
                <w:lang w:eastAsia="es-CR"/>
              </w:rPr>
            </w:pPr>
            <w:r w:rsidRPr="00C00A02">
              <w:rPr>
                <w:rFonts w:ascii="Book Antiqua" w:eastAsia="Times New Roman" w:hAnsi="Book Antiqua" w:cs="Calibri"/>
                <w:color w:val="000000"/>
                <w:lang w:eastAsia="es-CR"/>
              </w:rPr>
              <w:t>Incidentes</w:t>
            </w:r>
          </w:p>
        </w:tc>
        <w:tc>
          <w:tcPr>
            <w:tcW w:w="1082" w:type="pct"/>
            <w:tcBorders>
              <w:top w:val="nil"/>
              <w:left w:val="single" w:sz="4" w:space="0" w:color="auto"/>
              <w:bottom w:val="single" w:sz="4" w:space="0" w:color="auto"/>
              <w:right w:val="single" w:sz="4" w:space="0" w:color="auto"/>
            </w:tcBorders>
            <w:shd w:val="clear" w:color="auto" w:fill="auto"/>
            <w:noWrap/>
            <w:vAlign w:val="bottom"/>
            <w:hideMark/>
          </w:tcPr>
          <w:p w14:paraId="4468669D" w14:textId="53B1F287"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47</w:t>
            </w:r>
          </w:p>
        </w:tc>
        <w:tc>
          <w:tcPr>
            <w:tcW w:w="1418" w:type="pct"/>
            <w:tcBorders>
              <w:top w:val="nil"/>
              <w:left w:val="nil"/>
              <w:bottom w:val="single" w:sz="4" w:space="0" w:color="auto"/>
              <w:right w:val="single" w:sz="4" w:space="0" w:color="auto"/>
            </w:tcBorders>
            <w:shd w:val="clear" w:color="auto" w:fill="auto"/>
            <w:noWrap/>
            <w:vAlign w:val="bottom"/>
            <w:hideMark/>
          </w:tcPr>
          <w:p w14:paraId="74356D13" w14:textId="031BDAD2"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2%</w:t>
            </w:r>
          </w:p>
        </w:tc>
        <w:tc>
          <w:tcPr>
            <w:tcW w:w="1276" w:type="pct"/>
            <w:tcBorders>
              <w:top w:val="nil"/>
              <w:left w:val="nil"/>
              <w:bottom w:val="single" w:sz="4" w:space="0" w:color="auto"/>
              <w:right w:val="single" w:sz="4" w:space="0" w:color="auto"/>
            </w:tcBorders>
            <w:shd w:val="clear" w:color="auto" w:fill="auto"/>
            <w:noWrap/>
            <w:vAlign w:val="bottom"/>
            <w:hideMark/>
          </w:tcPr>
          <w:p w14:paraId="40A65C27" w14:textId="30706DFB" w:rsidR="00A13485" w:rsidRPr="00C00A02" w:rsidRDefault="00A13485" w:rsidP="00A13485">
            <w:pPr>
              <w:spacing w:after="0" w:line="240" w:lineRule="auto"/>
              <w:jc w:val="center"/>
              <w:rPr>
                <w:rFonts w:ascii="Calibri" w:eastAsia="Times New Roman" w:hAnsi="Calibri" w:cs="Calibri"/>
                <w:color w:val="000000"/>
                <w:lang w:eastAsia="es-CR"/>
              </w:rPr>
            </w:pPr>
            <w:r>
              <w:rPr>
                <w:rFonts w:ascii="Calibri" w:hAnsi="Calibri" w:cs="Calibri"/>
                <w:color w:val="000000"/>
              </w:rPr>
              <w:t>1,48</w:t>
            </w:r>
          </w:p>
        </w:tc>
      </w:tr>
      <w:tr w:rsidR="00A13485" w:rsidRPr="00C00A02" w14:paraId="25241F55" w14:textId="77777777" w:rsidTr="00C00A02">
        <w:trPr>
          <w:trHeight w:val="300"/>
        </w:trPr>
        <w:tc>
          <w:tcPr>
            <w:tcW w:w="1224" w:type="pct"/>
            <w:tcBorders>
              <w:top w:val="nil"/>
              <w:left w:val="single" w:sz="8" w:space="0" w:color="auto"/>
              <w:bottom w:val="single" w:sz="8" w:space="0" w:color="auto"/>
              <w:right w:val="single" w:sz="8" w:space="0" w:color="auto"/>
            </w:tcBorders>
            <w:shd w:val="clear" w:color="000000" w:fill="808080"/>
            <w:noWrap/>
            <w:vAlign w:val="center"/>
            <w:hideMark/>
          </w:tcPr>
          <w:p w14:paraId="6D55A0D9" w14:textId="77777777" w:rsidR="00A13485" w:rsidRPr="00C00A02" w:rsidRDefault="00A13485" w:rsidP="00A13485">
            <w:pPr>
              <w:spacing w:after="0" w:line="240" w:lineRule="auto"/>
              <w:jc w:val="right"/>
              <w:rPr>
                <w:rFonts w:ascii="Book Antiqua" w:eastAsia="Times New Roman" w:hAnsi="Book Antiqua" w:cs="Calibri"/>
                <w:b/>
                <w:bCs/>
                <w:color w:val="FFFFFF"/>
                <w:lang w:eastAsia="es-CR"/>
              </w:rPr>
            </w:pPr>
            <w:r w:rsidRPr="00C00A02">
              <w:rPr>
                <w:rFonts w:ascii="Book Antiqua" w:eastAsia="Times New Roman" w:hAnsi="Book Antiqua" w:cs="Calibri"/>
                <w:b/>
                <w:bCs/>
                <w:color w:val="FFFFFF"/>
                <w:lang w:eastAsia="es-CR"/>
              </w:rPr>
              <w:t>Total</w:t>
            </w:r>
          </w:p>
        </w:tc>
        <w:tc>
          <w:tcPr>
            <w:tcW w:w="1082" w:type="pct"/>
            <w:tcBorders>
              <w:top w:val="nil"/>
              <w:left w:val="nil"/>
              <w:bottom w:val="single" w:sz="8" w:space="0" w:color="auto"/>
              <w:right w:val="single" w:sz="8" w:space="0" w:color="auto"/>
            </w:tcBorders>
            <w:shd w:val="clear" w:color="000000" w:fill="808080"/>
            <w:noWrap/>
            <w:vAlign w:val="center"/>
            <w:hideMark/>
          </w:tcPr>
          <w:p w14:paraId="09089680" w14:textId="54197B61" w:rsidR="00A13485" w:rsidRPr="00C00A02" w:rsidRDefault="00A13485" w:rsidP="00A13485">
            <w:pPr>
              <w:spacing w:after="0" w:line="240" w:lineRule="auto"/>
              <w:jc w:val="center"/>
              <w:rPr>
                <w:rFonts w:ascii="Book Antiqua" w:eastAsia="Times New Roman" w:hAnsi="Book Antiqua" w:cs="Calibri"/>
                <w:b/>
                <w:bCs/>
                <w:color w:val="FFFFFF"/>
                <w:lang w:eastAsia="es-CR"/>
              </w:rPr>
            </w:pPr>
            <w:r>
              <w:rPr>
                <w:rFonts w:ascii="Book Antiqua" w:hAnsi="Book Antiqua" w:cs="Calibri"/>
                <w:b/>
                <w:bCs/>
                <w:color w:val="FFFFFF"/>
              </w:rPr>
              <w:t>2640</w:t>
            </w:r>
          </w:p>
        </w:tc>
        <w:tc>
          <w:tcPr>
            <w:tcW w:w="1418" w:type="pct"/>
            <w:tcBorders>
              <w:top w:val="nil"/>
              <w:left w:val="nil"/>
              <w:bottom w:val="single" w:sz="8" w:space="0" w:color="auto"/>
              <w:right w:val="single" w:sz="8" w:space="0" w:color="auto"/>
            </w:tcBorders>
            <w:shd w:val="clear" w:color="000000" w:fill="808080"/>
            <w:noWrap/>
            <w:vAlign w:val="center"/>
            <w:hideMark/>
          </w:tcPr>
          <w:p w14:paraId="2982751B" w14:textId="22B8ED1A" w:rsidR="00A13485" w:rsidRPr="00C00A02" w:rsidRDefault="00A13485" w:rsidP="00A13485">
            <w:pPr>
              <w:spacing w:after="0" w:line="240" w:lineRule="auto"/>
              <w:jc w:val="center"/>
              <w:rPr>
                <w:rFonts w:ascii="Book Antiqua" w:eastAsia="Times New Roman" w:hAnsi="Book Antiqua" w:cs="Calibri"/>
                <w:b/>
                <w:bCs/>
                <w:color w:val="FFFFFF"/>
                <w:lang w:eastAsia="es-CR"/>
              </w:rPr>
            </w:pPr>
            <w:r>
              <w:rPr>
                <w:rFonts w:ascii="Book Antiqua" w:hAnsi="Book Antiqua" w:cs="Calibri"/>
                <w:b/>
                <w:bCs/>
                <w:color w:val="FFFFFF"/>
              </w:rPr>
              <w:t>100%</w:t>
            </w:r>
          </w:p>
        </w:tc>
        <w:tc>
          <w:tcPr>
            <w:tcW w:w="1276" w:type="pct"/>
            <w:tcBorders>
              <w:top w:val="nil"/>
              <w:left w:val="nil"/>
              <w:bottom w:val="single" w:sz="8" w:space="0" w:color="auto"/>
              <w:right w:val="single" w:sz="8" w:space="0" w:color="auto"/>
            </w:tcBorders>
            <w:shd w:val="clear" w:color="000000" w:fill="808080"/>
            <w:noWrap/>
            <w:vAlign w:val="center"/>
            <w:hideMark/>
          </w:tcPr>
          <w:p w14:paraId="0CD36707" w14:textId="06CC9B90" w:rsidR="00A13485" w:rsidRPr="00C00A02" w:rsidRDefault="00A13485" w:rsidP="00A13485">
            <w:pPr>
              <w:spacing w:after="0" w:line="240" w:lineRule="auto"/>
              <w:jc w:val="center"/>
              <w:rPr>
                <w:rFonts w:ascii="Book Antiqua" w:eastAsia="Times New Roman" w:hAnsi="Book Antiqua" w:cs="Calibri"/>
                <w:b/>
                <w:bCs/>
                <w:color w:val="FFFFFF"/>
                <w:lang w:eastAsia="es-CR"/>
              </w:rPr>
            </w:pPr>
            <w:r>
              <w:rPr>
                <w:rFonts w:ascii="Book Antiqua" w:hAnsi="Book Antiqua" w:cs="Calibri"/>
                <w:b/>
                <w:bCs/>
                <w:color w:val="FFFFFF"/>
              </w:rPr>
              <w:t>84</w:t>
            </w:r>
          </w:p>
        </w:tc>
      </w:tr>
    </w:tbl>
    <w:p w14:paraId="56ED7BE8" w14:textId="5FA201EC" w:rsidR="00294936" w:rsidRPr="00C00A02" w:rsidRDefault="00C00A02" w:rsidP="009C01E1">
      <w:pPr>
        <w:spacing w:line="276" w:lineRule="auto"/>
        <w:jc w:val="both"/>
        <w:rPr>
          <w:rFonts w:ascii="Book Antiqua" w:hAnsi="Book Antiqua"/>
          <w:i/>
          <w:iCs/>
          <w:sz w:val="20"/>
          <w:szCs w:val="20"/>
        </w:rPr>
      </w:pPr>
      <w:bookmarkStart w:id="16" w:name="_Hlk95567173"/>
      <w:r w:rsidRPr="00C00A02">
        <w:rPr>
          <w:rFonts w:ascii="Book Antiqua" w:hAnsi="Book Antiqua"/>
          <w:i/>
          <w:iCs/>
          <w:sz w:val="20"/>
          <w:szCs w:val="20"/>
        </w:rPr>
        <w:t>Fuente: Subproceso de Modernización Institucional, con datos del Subproceso de Estadística del 201</w:t>
      </w:r>
      <w:r>
        <w:rPr>
          <w:rFonts w:ascii="Book Antiqua" w:hAnsi="Book Antiqua"/>
          <w:i/>
          <w:iCs/>
          <w:sz w:val="20"/>
          <w:szCs w:val="20"/>
        </w:rPr>
        <w:t>7</w:t>
      </w:r>
      <w:r w:rsidRPr="00C00A02">
        <w:rPr>
          <w:rFonts w:ascii="Book Antiqua" w:hAnsi="Book Antiqua"/>
          <w:i/>
          <w:iCs/>
          <w:sz w:val="20"/>
          <w:szCs w:val="20"/>
        </w:rPr>
        <w:t xml:space="preserve"> al 20</w:t>
      </w:r>
      <w:r>
        <w:rPr>
          <w:rFonts w:ascii="Book Antiqua" w:hAnsi="Book Antiqua"/>
          <w:i/>
          <w:iCs/>
          <w:sz w:val="20"/>
          <w:szCs w:val="20"/>
        </w:rPr>
        <w:t>2</w:t>
      </w:r>
      <w:r w:rsidRPr="00C00A02">
        <w:rPr>
          <w:rFonts w:ascii="Book Antiqua" w:hAnsi="Book Antiqua"/>
          <w:i/>
          <w:iCs/>
          <w:sz w:val="20"/>
          <w:szCs w:val="20"/>
        </w:rPr>
        <w:t>1 (los datos de incidentes y segunda instancia se registran a partir del 2018</w:t>
      </w:r>
      <w:r w:rsidR="009C20C5">
        <w:rPr>
          <w:rFonts w:ascii="Book Antiqua" w:hAnsi="Book Antiqua"/>
          <w:i/>
          <w:iCs/>
          <w:sz w:val="20"/>
          <w:szCs w:val="20"/>
        </w:rPr>
        <w:t xml:space="preserve">. Los datos de entrada de incidentes para </w:t>
      </w:r>
      <w:r>
        <w:rPr>
          <w:rFonts w:ascii="Book Antiqua" w:hAnsi="Book Antiqua"/>
          <w:i/>
          <w:iCs/>
          <w:sz w:val="20"/>
          <w:szCs w:val="20"/>
        </w:rPr>
        <w:t>2021 corresponden a 9 meses</w:t>
      </w:r>
      <w:r w:rsidR="009C20C5">
        <w:rPr>
          <w:rFonts w:ascii="Book Antiqua" w:hAnsi="Book Antiqua"/>
          <w:i/>
          <w:iCs/>
          <w:sz w:val="20"/>
          <w:szCs w:val="20"/>
        </w:rPr>
        <w:t xml:space="preserve"> por lo que se revisó el promedio mensual para ese año</w:t>
      </w:r>
      <w:r w:rsidRPr="00C00A02">
        <w:rPr>
          <w:rFonts w:ascii="Book Antiqua" w:hAnsi="Book Antiqua"/>
          <w:i/>
          <w:iCs/>
          <w:sz w:val="20"/>
          <w:szCs w:val="20"/>
        </w:rPr>
        <w:t>).</w:t>
      </w:r>
    </w:p>
    <w:bookmarkEnd w:id="16"/>
    <w:p w14:paraId="560FEB3A" w14:textId="6D4A4D45" w:rsidR="009E2EC5" w:rsidRDefault="00C44CEE" w:rsidP="009C01E1">
      <w:pPr>
        <w:spacing w:line="276" w:lineRule="auto"/>
        <w:jc w:val="both"/>
        <w:rPr>
          <w:rFonts w:ascii="Book Antiqua" w:eastAsia="Calibri" w:hAnsi="Book Antiqua" w:cs="Arial"/>
          <w:sz w:val="24"/>
          <w:szCs w:val="24"/>
        </w:rPr>
      </w:pPr>
      <w:r w:rsidRPr="00C44CEE">
        <w:rPr>
          <w:rFonts w:ascii="Book Antiqua" w:eastAsia="Calibri" w:hAnsi="Book Antiqua" w:cs="Arial"/>
          <w:sz w:val="24"/>
          <w:szCs w:val="24"/>
        </w:rPr>
        <w:t xml:space="preserve">De la información del cuadro anterior, durante el periodo en análisis, se tiene un promedio anual de ingreso </w:t>
      </w:r>
      <w:r w:rsidRPr="00C00A02">
        <w:rPr>
          <w:rFonts w:ascii="Book Antiqua" w:eastAsia="Calibri" w:hAnsi="Book Antiqua" w:cs="Arial"/>
          <w:sz w:val="24"/>
          <w:szCs w:val="24"/>
        </w:rPr>
        <w:t xml:space="preserve">de 2 </w:t>
      </w:r>
      <w:r w:rsidR="00A13485">
        <w:rPr>
          <w:rFonts w:ascii="Book Antiqua" w:eastAsia="Calibri" w:hAnsi="Book Antiqua" w:cs="Arial"/>
          <w:sz w:val="24"/>
          <w:szCs w:val="24"/>
        </w:rPr>
        <w:t>640</w:t>
      </w:r>
      <w:r w:rsidRPr="00C00A02">
        <w:rPr>
          <w:rFonts w:ascii="Book Antiqua" w:eastAsia="Calibri" w:hAnsi="Book Antiqua" w:cs="Arial"/>
          <w:sz w:val="24"/>
          <w:szCs w:val="24"/>
        </w:rPr>
        <w:t xml:space="preserve"> asuntos, de los cuales un </w:t>
      </w:r>
      <w:r w:rsidR="00A13485">
        <w:rPr>
          <w:rFonts w:ascii="Book Antiqua" w:eastAsia="Calibri" w:hAnsi="Book Antiqua" w:cs="Arial"/>
          <w:sz w:val="24"/>
          <w:szCs w:val="24"/>
        </w:rPr>
        <w:t>7</w:t>
      </w:r>
      <w:r w:rsidR="0070358F" w:rsidRPr="00C00A02">
        <w:rPr>
          <w:rFonts w:ascii="Book Antiqua" w:eastAsia="Calibri" w:hAnsi="Book Antiqua" w:cs="Arial"/>
          <w:sz w:val="24"/>
          <w:szCs w:val="24"/>
        </w:rPr>
        <w:t>8</w:t>
      </w:r>
      <w:r w:rsidRPr="00C00A02">
        <w:rPr>
          <w:rFonts w:ascii="Book Antiqua" w:eastAsia="Calibri" w:hAnsi="Book Antiqua" w:cs="Arial"/>
          <w:sz w:val="24"/>
          <w:szCs w:val="24"/>
        </w:rPr>
        <w:t>% corresponde a la entrada de asuntos nuevos, seguido de un 1</w:t>
      </w:r>
      <w:r w:rsidR="00A13485">
        <w:rPr>
          <w:rFonts w:ascii="Book Antiqua" w:eastAsia="Calibri" w:hAnsi="Book Antiqua" w:cs="Arial"/>
          <w:sz w:val="24"/>
          <w:szCs w:val="24"/>
        </w:rPr>
        <w:t>6</w:t>
      </w:r>
      <w:r w:rsidRPr="00C00A02">
        <w:rPr>
          <w:rFonts w:ascii="Book Antiqua" w:eastAsia="Calibri" w:hAnsi="Book Antiqua" w:cs="Arial"/>
          <w:sz w:val="24"/>
          <w:szCs w:val="24"/>
        </w:rPr>
        <w:t xml:space="preserve">% de los asuntos de segunda instancia, un 5% son expedientes reentrados y por último, un </w:t>
      </w:r>
      <w:r w:rsidR="00A13485">
        <w:rPr>
          <w:rFonts w:ascii="Book Antiqua" w:eastAsia="Calibri" w:hAnsi="Book Antiqua" w:cs="Arial"/>
          <w:sz w:val="24"/>
          <w:szCs w:val="24"/>
        </w:rPr>
        <w:t>2</w:t>
      </w:r>
      <w:r w:rsidRPr="00C00A02">
        <w:rPr>
          <w:rFonts w:ascii="Book Antiqua" w:eastAsia="Calibri" w:hAnsi="Book Antiqua" w:cs="Arial"/>
          <w:sz w:val="24"/>
          <w:szCs w:val="24"/>
        </w:rPr>
        <w:t xml:space="preserve">% de incidentes; para un ingreso por persona juzgadora de </w:t>
      </w:r>
      <w:r w:rsidR="00C00A02" w:rsidRPr="00C00A02">
        <w:rPr>
          <w:rFonts w:ascii="Book Antiqua" w:eastAsia="Calibri" w:hAnsi="Book Antiqua" w:cs="Arial"/>
          <w:sz w:val="24"/>
          <w:szCs w:val="24"/>
        </w:rPr>
        <w:t>8</w:t>
      </w:r>
      <w:r w:rsidR="00A13485">
        <w:rPr>
          <w:rFonts w:ascii="Book Antiqua" w:eastAsia="Calibri" w:hAnsi="Book Antiqua" w:cs="Arial"/>
          <w:sz w:val="24"/>
          <w:szCs w:val="24"/>
        </w:rPr>
        <w:t>4</w:t>
      </w:r>
      <w:r w:rsidRPr="00C00A02">
        <w:rPr>
          <w:rFonts w:ascii="Book Antiqua" w:eastAsia="Calibri" w:hAnsi="Book Antiqua" w:cs="Arial"/>
          <w:sz w:val="24"/>
          <w:szCs w:val="24"/>
        </w:rPr>
        <w:t xml:space="preserve"> expedientes mensuales, donde se contabilizó </w:t>
      </w:r>
      <w:r w:rsidR="00C00A02" w:rsidRPr="00C00A02">
        <w:rPr>
          <w:rFonts w:ascii="Book Antiqua" w:eastAsia="Calibri" w:hAnsi="Book Antiqua" w:cs="Arial"/>
          <w:sz w:val="24"/>
          <w:szCs w:val="24"/>
        </w:rPr>
        <w:t>35</w:t>
      </w:r>
      <w:r w:rsidRPr="00C00A02">
        <w:rPr>
          <w:rFonts w:ascii="Book Antiqua" w:eastAsia="Calibri" w:hAnsi="Book Antiqua" w:cs="Arial"/>
          <w:sz w:val="24"/>
          <w:szCs w:val="24"/>
        </w:rPr>
        <w:t xml:space="preserve"> personas juzgadoras destacas en despachos especializados</w:t>
      </w:r>
      <w:r w:rsidRPr="00C44CEE">
        <w:rPr>
          <w:rFonts w:ascii="Book Antiqua" w:eastAsia="Calibri" w:hAnsi="Book Antiqua" w:cs="Arial"/>
          <w:sz w:val="24"/>
          <w:szCs w:val="24"/>
        </w:rPr>
        <w:t xml:space="preserve"> en materia de Familia</w:t>
      </w:r>
      <w:r w:rsidR="00350A95">
        <w:rPr>
          <w:rFonts w:ascii="Book Antiqua" w:eastAsia="Calibri" w:hAnsi="Book Antiqua" w:cs="Arial"/>
          <w:sz w:val="24"/>
          <w:szCs w:val="24"/>
        </w:rPr>
        <w:t>.</w:t>
      </w:r>
    </w:p>
    <w:p w14:paraId="6A440042" w14:textId="77777777" w:rsidR="00C00A02" w:rsidRDefault="00C00A02" w:rsidP="009C01E1">
      <w:pPr>
        <w:spacing w:line="276" w:lineRule="auto"/>
        <w:jc w:val="both"/>
        <w:rPr>
          <w:rFonts w:ascii="Book Antiqua" w:eastAsia="Calibri" w:hAnsi="Book Antiqua" w:cs="Arial"/>
          <w:sz w:val="24"/>
          <w:szCs w:val="24"/>
        </w:rPr>
      </w:pPr>
    </w:p>
    <w:p w14:paraId="7F13F307" w14:textId="77777777" w:rsidR="00C00A02" w:rsidRPr="008D6799" w:rsidRDefault="00C00A02"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Distribución de la entrada por tipo de Proceso</w:t>
      </w:r>
    </w:p>
    <w:p w14:paraId="1F891D05" w14:textId="77777777" w:rsidR="00815332" w:rsidRDefault="00815332" w:rsidP="006D7016">
      <w:pPr>
        <w:spacing w:after="0" w:line="276" w:lineRule="auto"/>
        <w:jc w:val="both"/>
        <w:rPr>
          <w:rFonts w:ascii="Book Antiqua" w:eastAsia="Calibri" w:hAnsi="Book Antiqua" w:cs="Arial"/>
          <w:sz w:val="24"/>
          <w:szCs w:val="24"/>
        </w:rPr>
      </w:pPr>
    </w:p>
    <w:p w14:paraId="2745D05E" w14:textId="555B02D9" w:rsidR="006D7016" w:rsidRPr="006D7016" w:rsidRDefault="006D7016" w:rsidP="006D7016">
      <w:pPr>
        <w:spacing w:after="0" w:line="276" w:lineRule="auto"/>
        <w:jc w:val="both"/>
        <w:rPr>
          <w:rFonts w:ascii="Book Antiqua" w:eastAsia="Calibri" w:hAnsi="Book Antiqua" w:cs="Arial"/>
          <w:sz w:val="24"/>
          <w:szCs w:val="24"/>
        </w:rPr>
      </w:pPr>
      <w:r w:rsidRPr="006D7016">
        <w:rPr>
          <w:rFonts w:ascii="Book Antiqua" w:eastAsia="Calibri" w:hAnsi="Book Antiqua" w:cs="Arial"/>
          <w:sz w:val="24"/>
          <w:szCs w:val="24"/>
        </w:rPr>
        <w:t>En el siguiente gráfico se muestra la distribución de la entrada por el tipo de proceso en los Juzgados Especializados de Familia, durante el periodo del 201</w:t>
      </w:r>
      <w:r w:rsidR="001F2C57">
        <w:rPr>
          <w:rFonts w:ascii="Book Antiqua" w:eastAsia="Calibri" w:hAnsi="Book Antiqua" w:cs="Arial"/>
          <w:sz w:val="24"/>
          <w:szCs w:val="24"/>
        </w:rPr>
        <w:t>7</w:t>
      </w:r>
      <w:r w:rsidRPr="006D7016">
        <w:rPr>
          <w:rFonts w:ascii="Book Antiqua" w:eastAsia="Calibri" w:hAnsi="Book Antiqua" w:cs="Arial"/>
          <w:sz w:val="24"/>
          <w:szCs w:val="24"/>
        </w:rPr>
        <w:t xml:space="preserve"> al 20</w:t>
      </w:r>
      <w:r w:rsidR="00B817CB">
        <w:rPr>
          <w:rFonts w:ascii="Book Antiqua" w:eastAsia="Calibri" w:hAnsi="Book Antiqua" w:cs="Arial"/>
          <w:sz w:val="24"/>
          <w:szCs w:val="24"/>
        </w:rPr>
        <w:t>2</w:t>
      </w:r>
      <w:r w:rsidRPr="006D7016">
        <w:rPr>
          <w:rFonts w:ascii="Book Antiqua" w:eastAsia="Calibri" w:hAnsi="Book Antiqua" w:cs="Arial"/>
          <w:sz w:val="24"/>
          <w:szCs w:val="24"/>
        </w:rPr>
        <w:t>1.</w:t>
      </w:r>
    </w:p>
    <w:p w14:paraId="00048A8F" w14:textId="77777777" w:rsidR="006D7016" w:rsidRPr="006D7016" w:rsidRDefault="006D7016" w:rsidP="006D7016">
      <w:pPr>
        <w:spacing w:after="0" w:line="276" w:lineRule="auto"/>
        <w:jc w:val="both"/>
        <w:rPr>
          <w:rFonts w:ascii="Book Antiqua" w:eastAsia="Calibri" w:hAnsi="Book Antiqua" w:cs="Arial"/>
          <w:sz w:val="24"/>
          <w:szCs w:val="24"/>
        </w:rPr>
      </w:pPr>
    </w:p>
    <w:p w14:paraId="494430B1" w14:textId="6146206E" w:rsidR="006D7016" w:rsidRPr="006D7016" w:rsidRDefault="006D7016" w:rsidP="006D701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D7016">
        <w:rPr>
          <w:rFonts w:ascii="Book Antiqua" w:eastAsia="Calibri" w:hAnsi="Book Antiqua" w:cs="Arial"/>
          <w:b/>
          <w:bCs/>
          <w:color w:val="1F497D"/>
          <w:szCs w:val="24"/>
          <w:lang w:val="es-ES" w:eastAsia="es-ES"/>
        </w:rPr>
        <w:t xml:space="preserve">Cuadro </w:t>
      </w:r>
      <w:r w:rsidRPr="006D7016">
        <w:rPr>
          <w:rFonts w:ascii="Book Antiqua" w:eastAsia="Calibri" w:hAnsi="Book Antiqua" w:cs="Arial"/>
          <w:b/>
          <w:bCs/>
          <w:color w:val="1F497D"/>
          <w:szCs w:val="24"/>
          <w:lang w:val="es-ES" w:eastAsia="es-ES"/>
        </w:rPr>
        <w:fldChar w:fldCharType="begin"/>
      </w:r>
      <w:r w:rsidRPr="006D7016">
        <w:rPr>
          <w:rFonts w:ascii="Book Antiqua" w:eastAsia="Calibri" w:hAnsi="Book Antiqua" w:cs="Arial"/>
          <w:b/>
          <w:bCs/>
          <w:color w:val="1F497D"/>
          <w:szCs w:val="24"/>
          <w:lang w:val="es-ES" w:eastAsia="es-ES"/>
        </w:rPr>
        <w:instrText xml:space="preserve"> SEQ Cuadro \* ARABIC </w:instrText>
      </w:r>
      <w:r w:rsidRPr="006D701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w:t>
      </w:r>
      <w:r w:rsidRPr="006D7016">
        <w:rPr>
          <w:rFonts w:ascii="Book Antiqua" w:eastAsia="Calibri" w:hAnsi="Book Antiqua" w:cs="Arial"/>
          <w:b/>
          <w:bCs/>
          <w:color w:val="1F497D"/>
          <w:szCs w:val="24"/>
          <w:lang w:val="es-ES" w:eastAsia="es-ES"/>
        </w:rPr>
        <w:fldChar w:fldCharType="end"/>
      </w:r>
      <w:r w:rsidRPr="006D7016">
        <w:rPr>
          <w:rFonts w:ascii="Book Antiqua" w:eastAsia="Calibri" w:hAnsi="Book Antiqua" w:cs="Arial"/>
          <w:b/>
          <w:bCs/>
          <w:color w:val="1F497D"/>
          <w:szCs w:val="24"/>
          <w:lang w:val="es-ES" w:eastAsia="es-ES"/>
        </w:rPr>
        <w:t xml:space="preserve"> </w:t>
      </w:r>
    </w:p>
    <w:p w14:paraId="580CDE9A" w14:textId="77777777" w:rsidR="006D7016" w:rsidRPr="006D7016" w:rsidRDefault="006D7016" w:rsidP="006D701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D7016">
        <w:rPr>
          <w:rFonts w:ascii="Book Antiqua" w:eastAsia="Calibri" w:hAnsi="Book Antiqua" w:cs="Arial"/>
          <w:b/>
          <w:bCs/>
          <w:color w:val="1F497D"/>
          <w:szCs w:val="24"/>
          <w:lang w:val="es-ES" w:eastAsia="es-ES"/>
        </w:rPr>
        <w:t xml:space="preserve">Distribución de la entrada promedio por tipo de asunto en </w:t>
      </w:r>
    </w:p>
    <w:p w14:paraId="00C49BA8" w14:textId="7B54CF00" w:rsidR="006D7016" w:rsidRPr="006D7016" w:rsidRDefault="006D7016" w:rsidP="006D701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D7016">
        <w:rPr>
          <w:rFonts w:ascii="Book Antiqua" w:eastAsia="Calibri" w:hAnsi="Book Antiqua" w:cs="Arial"/>
          <w:b/>
          <w:bCs/>
          <w:color w:val="1F497D"/>
          <w:szCs w:val="24"/>
          <w:lang w:val="es-ES" w:eastAsia="es-ES"/>
        </w:rPr>
        <w:t>los Juzgados Especializados de la materia de Familia, del 201</w:t>
      </w:r>
      <w:r w:rsidR="00733D6D">
        <w:rPr>
          <w:rFonts w:ascii="Book Antiqua" w:eastAsia="Calibri" w:hAnsi="Book Antiqua" w:cs="Arial"/>
          <w:b/>
          <w:bCs/>
          <w:color w:val="1F497D"/>
          <w:szCs w:val="24"/>
          <w:lang w:val="es-ES" w:eastAsia="es-ES"/>
        </w:rPr>
        <w:t>7</w:t>
      </w:r>
      <w:r w:rsidRPr="006D7016">
        <w:rPr>
          <w:rFonts w:ascii="Book Antiqua" w:eastAsia="Calibri" w:hAnsi="Book Antiqua" w:cs="Arial"/>
          <w:b/>
          <w:bCs/>
          <w:color w:val="1F497D"/>
          <w:szCs w:val="24"/>
          <w:lang w:val="es-ES" w:eastAsia="es-ES"/>
        </w:rPr>
        <w:t xml:space="preserve"> al 20</w:t>
      </w:r>
      <w:r w:rsidR="00733D6D">
        <w:rPr>
          <w:rFonts w:ascii="Book Antiqua" w:eastAsia="Calibri" w:hAnsi="Book Antiqua" w:cs="Arial"/>
          <w:b/>
          <w:bCs/>
          <w:color w:val="1F497D"/>
          <w:szCs w:val="24"/>
          <w:lang w:val="es-ES" w:eastAsia="es-ES"/>
        </w:rPr>
        <w:t>2</w:t>
      </w:r>
      <w:r w:rsidRPr="006D7016">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6503"/>
        <w:gridCol w:w="1130"/>
        <w:gridCol w:w="1185"/>
      </w:tblGrid>
      <w:tr w:rsidR="00815332" w:rsidRPr="00815332" w14:paraId="448A7ED3" w14:textId="77777777" w:rsidTr="00815332">
        <w:trPr>
          <w:trHeight w:val="1170"/>
        </w:trPr>
        <w:tc>
          <w:tcPr>
            <w:tcW w:w="3687"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730D3D90" w14:textId="77777777" w:rsidR="00815332" w:rsidRPr="00815332" w:rsidRDefault="00815332" w:rsidP="00815332">
            <w:pPr>
              <w:spacing w:after="0" w:line="240" w:lineRule="auto"/>
              <w:jc w:val="center"/>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Tipo de casos entrados</w:t>
            </w:r>
          </w:p>
        </w:tc>
        <w:tc>
          <w:tcPr>
            <w:tcW w:w="641" w:type="pct"/>
            <w:tcBorders>
              <w:top w:val="single" w:sz="8" w:space="0" w:color="auto"/>
              <w:left w:val="nil"/>
              <w:bottom w:val="single" w:sz="8" w:space="0" w:color="auto"/>
              <w:right w:val="single" w:sz="8" w:space="0" w:color="auto"/>
            </w:tcBorders>
            <w:shd w:val="clear" w:color="000000" w:fill="002060"/>
            <w:vAlign w:val="center"/>
            <w:hideMark/>
          </w:tcPr>
          <w:p w14:paraId="5DFFC202" w14:textId="77777777" w:rsidR="00815332" w:rsidRPr="00815332" w:rsidRDefault="00815332" w:rsidP="00815332">
            <w:pPr>
              <w:spacing w:after="0" w:line="240" w:lineRule="auto"/>
              <w:jc w:val="center"/>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Promedio anual de entrada 2017 a 2021</w:t>
            </w:r>
          </w:p>
        </w:tc>
        <w:tc>
          <w:tcPr>
            <w:tcW w:w="672" w:type="pct"/>
            <w:tcBorders>
              <w:top w:val="single" w:sz="8" w:space="0" w:color="auto"/>
              <w:left w:val="nil"/>
              <w:bottom w:val="single" w:sz="8" w:space="0" w:color="auto"/>
              <w:right w:val="single" w:sz="8" w:space="0" w:color="auto"/>
            </w:tcBorders>
            <w:shd w:val="clear" w:color="000000" w:fill="002060"/>
            <w:vAlign w:val="center"/>
            <w:hideMark/>
          </w:tcPr>
          <w:p w14:paraId="37C2BAF1" w14:textId="77777777" w:rsidR="00815332" w:rsidRPr="00815332" w:rsidRDefault="00815332" w:rsidP="00815332">
            <w:pPr>
              <w:spacing w:after="0" w:line="240" w:lineRule="auto"/>
              <w:jc w:val="center"/>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Porcentaje</w:t>
            </w:r>
          </w:p>
        </w:tc>
      </w:tr>
      <w:tr w:rsidR="00815332" w:rsidRPr="00815332" w14:paraId="6A9F164F"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1030453D"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Divorcio o separación judicial por mutuo acuerdo</w:t>
            </w:r>
          </w:p>
        </w:tc>
        <w:tc>
          <w:tcPr>
            <w:tcW w:w="641" w:type="pct"/>
            <w:tcBorders>
              <w:top w:val="nil"/>
              <w:left w:val="nil"/>
              <w:bottom w:val="single" w:sz="8" w:space="0" w:color="auto"/>
              <w:right w:val="single" w:sz="8" w:space="0" w:color="auto"/>
            </w:tcBorders>
            <w:shd w:val="clear" w:color="auto" w:fill="auto"/>
            <w:noWrap/>
            <w:vAlign w:val="center"/>
            <w:hideMark/>
          </w:tcPr>
          <w:p w14:paraId="26DCEDC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8696</w:t>
            </w:r>
          </w:p>
        </w:tc>
        <w:tc>
          <w:tcPr>
            <w:tcW w:w="672" w:type="pct"/>
            <w:tcBorders>
              <w:top w:val="nil"/>
              <w:left w:val="nil"/>
              <w:bottom w:val="single" w:sz="8" w:space="0" w:color="auto"/>
              <w:right w:val="single" w:sz="8" w:space="0" w:color="auto"/>
            </w:tcBorders>
            <w:shd w:val="clear" w:color="auto" w:fill="auto"/>
            <w:noWrap/>
            <w:vAlign w:val="center"/>
            <w:hideMark/>
          </w:tcPr>
          <w:p w14:paraId="049BDDF8"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35,31%</w:t>
            </w:r>
          </w:p>
        </w:tc>
      </w:tr>
      <w:tr w:rsidR="00815332" w:rsidRPr="00815332" w14:paraId="61B0FAD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7427BCC6"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Divorcio</w:t>
            </w:r>
          </w:p>
        </w:tc>
        <w:tc>
          <w:tcPr>
            <w:tcW w:w="641" w:type="pct"/>
            <w:tcBorders>
              <w:top w:val="nil"/>
              <w:left w:val="nil"/>
              <w:bottom w:val="single" w:sz="8" w:space="0" w:color="auto"/>
              <w:right w:val="single" w:sz="8" w:space="0" w:color="auto"/>
            </w:tcBorders>
            <w:shd w:val="clear" w:color="auto" w:fill="auto"/>
            <w:noWrap/>
            <w:vAlign w:val="center"/>
            <w:hideMark/>
          </w:tcPr>
          <w:p w14:paraId="3381DD3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2450</w:t>
            </w:r>
          </w:p>
        </w:tc>
        <w:tc>
          <w:tcPr>
            <w:tcW w:w="672" w:type="pct"/>
            <w:tcBorders>
              <w:top w:val="nil"/>
              <w:left w:val="nil"/>
              <w:bottom w:val="single" w:sz="8" w:space="0" w:color="auto"/>
              <w:right w:val="single" w:sz="8" w:space="0" w:color="auto"/>
            </w:tcBorders>
            <w:shd w:val="clear" w:color="auto" w:fill="auto"/>
            <w:noWrap/>
            <w:vAlign w:val="center"/>
            <w:hideMark/>
          </w:tcPr>
          <w:p w14:paraId="18111074"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9,95%</w:t>
            </w:r>
          </w:p>
        </w:tc>
      </w:tr>
      <w:tr w:rsidR="00815332" w:rsidRPr="00815332" w14:paraId="34B06C31"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5D932B78"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lastRenderedPageBreak/>
              <w:t>Interrelación familiar (régimen de visitas)</w:t>
            </w:r>
          </w:p>
        </w:tc>
        <w:tc>
          <w:tcPr>
            <w:tcW w:w="641" w:type="pct"/>
            <w:tcBorders>
              <w:top w:val="nil"/>
              <w:left w:val="nil"/>
              <w:bottom w:val="single" w:sz="8" w:space="0" w:color="auto"/>
              <w:right w:val="single" w:sz="8" w:space="0" w:color="auto"/>
            </w:tcBorders>
            <w:shd w:val="clear" w:color="auto" w:fill="auto"/>
            <w:noWrap/>
            <w:vAlign w:val="center"/>
            <w:hideMark/>
          </w:tcPr>
          <w:p w14:paraId="71F78AF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1680</w:t>
            </w:r>
          </w:p>
        </w:tc>
        <w:tc>
          <w:tcPr>
            <w:tcW w:w="672" w:type="pct"/>
            <w:tcBorders>
              <w:top w:val="nil"/>
              <w:left w:val="nil"/>
              <w:bottom w:val="single" w:sz="8" w:space="0" w:color="auto"/>
              <w:right w:val="single" w:sz="8" w:space="0" w:color="auto"/>
            </w:tcBorders>
            <w:shd w:val="clear" w:color="auto" w:fill="auto"/>
            <w:noWrap/>
            <w:vAlign w:val="center"/>
            <w:hideMark/>
          </w:tcPr>
          <w:p w14:paraId="409BD112"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6,82%</w:t>
            </w:r>
          </w:p>
        </w:tc>
      </w:tr>
      <w:tr w:rsidR="00815332" w:rsidRPr="00815332" w14:paraId="0B4C3CD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6F3366AB"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Solicitud de matrimonio</w:t>
            </w:r>
          </w:p>
        </w:tc>
        <w:tc>
          <w:tcPr>
            <w:tcW w:w="641" w:type="pct"/>
            <w:tcBorders>
              <w:top w:val="nil"/>
              <w:left w:val="nil"/>
              <w:bottom w:val="single" w:sz="8" w:space="0" w:color="auto"/>
              <w:right w:val="single" w:sz="8" w:space="0" w:color="auto"/>
            </w:tcBorders>
            <w:shd w:val="clear" w:color="auto" w:fill="auto"/>
            <w:noWrap/>
            <w:vAlign w:val="center"/>
            <w:hideMark/>
          </w:tcPr>
          <w:p w14:paraId="21F6AA48"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274</w:t>
            </w:r>
          </w:p>
        </w:tc>
        <w:tc>
          <w:tcPr>
            <w:tcW w:w="672" w:type="pct"/>
            <w:tcBorders>
              <w:top w:val="nil"/>
              <w:left w:val="nil"/>
              <w:bottom w:val="single" w:sz="8" w:space="0" w:color="auto"/>
              <w:right w:val="single" w:sz="8" w:space="0" w:color="auto"/>
            </w:tcBorders>
            <w:shd w:val="clear" w:color="auto" w:fill="auto"/>
            <w:noWrap/>
            <w:vAlign w:val="center"/>
            <w:hideMark/>
          </w:tcPr>
          <w:p w14:paraId="0EEF3EE3"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1,11%</w:t>
            </w:r>
          </w:p>
        </w:tc>
      </w:tr>
      <w:tr w:rsidR="00815332" w:rsidRPr="00815332" w14:paraId="71B238FD"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06C5FA2B"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Otros (otros + asuntos con menos de 100 casos por año)</w:t>
            </w:r>
          </w:p>
        </w:tc>
        <w:tc>
          <w:tcPr>
            <w:tcW w:w="641" w:type="pct"/>
            <w:tcBorders>
              <w:top w:val="nil"/>
              <w:left w:val="nil"/>
              <w:bottom w:val="single" w:sz="8" w:space="0" w:color="auto"/>
              <w:right w:val="single" w:sz="8" w:space="0" w:color="auto"/>
            </w:tcBorders>
            <w:shd w:val="clear" w:color="auto" w:fill="auto"/>
            <w:noWrap/>
            <w:vAlign w:val="center"/>
            <w:hideMark/>
          </w:tcPr>
          <w:p w14:paraId="741AE7B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886</w:t>
            </w:r>
          </w:p>
        </w:tc>
        <w:tc>
          <w:tcPr>
            <w:tcW w:w="672" w:type="pct"/>
            <w:tcBorders>
              <w:top w:val="nil"/>
              <w:left w:val="nil"/>
              <w:bottom w:val="single" w:sz="8" w:space="0" w:color="auto"/>
              <w:right w:val="single" w:sz="8" w:space="0" w:color="auto"/>
            </w:tcBorders>
            <w:shd w:val="clear" w:color="auto" w:fill="auto"/>
            <w:noWrap/>
            <w:vAlign w:val="center"/>
            <w:hideMark/>
          </w:tcPr>
          <w:p w14:paraId="47390644"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3,60%</w:t>
            </w:r>
          </w:p>
        </w:tc>
      </w:tr>
      <w:tr w:rsidR="00815332" w:rsidRPr="00815332" w14:paraId="2E397165"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5D413D64"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Reconocimiento de hija o de hijo de mujer casada no contencioso</w:t>
            </w:r>
          </w:p>
        </w:tc>
        <w:tc>
          <w:tcPr>
            <w:tcW w:w="641" w:type="pct"/>
            <w:tcBorders>
              <w:top w:val="nil"/>
              <w:left w:val="nil"/>
              <w:bottom w:val="single" w:sz="8" w:space="0" w:color="auto"/>
              <w:right w:val="single" w:sz="8" w:space="0" w:color="auto"/>
            </w:tcBorders>
            <w:shd w:val="clear" w:color="auto" w:fill="auto"/>
            <w:noWrap/>
            <w:vAlign w:val="center"/>
            <w:hideMark/>
          </w:tcPr>
          <w:p w14:paraId="2ADD0C5B"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745</w:t>
            </w:r>
          </w:p>
        </w:tc>
        <w:tc>
          <w:tcPr>
            <w:tcW w:w="672" w:type="pct"/>
            <w:tcBorders>
              <w:top w:val="nil"/>
              <w:left w:val="nil"/>
              <w:bottom w:val="single" w:sz="8" w:space="0" w:color="auto"/>
              <w:right w:val="single" w:sz="8" w:space="0" w:color="auto"/>
            </w:tcBorders>
            <w:shd w:val="clear" w:color="auto" w:fill="auto"/>
            <w:noWrap/>
            <w:vAlign w:val="center"/>
            <w:hideMark/>
          </w:tcPr>
          <w:p w14:paraId="7D2FCF87"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3,02%</w:t>
            </w:r>
          </w:p>
        </w:tc>
      </w:tr>
      <w:tr w:rsidR="00815332" w:rsidRPr="00815332" w14:paraId="61A24ED5"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6CBFF333"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Guarda crianza y educación</w:t>
            </w:r>
          </w:p>
        </w:tc>
        <w:tc>
          <w:tcPr>
            <w:tcW w:w="641" w:type="pct"/>
            <w:tcBorders>
              <w:top w:val="nil"/>
              <w:left w:val="nil"/>
              <w:bottom w:val="single" w:sz="8" w:space="0" w:color="auto"/>
              <w:right w:val="single" w:sz="8" w:space="0" w:color="auto"/>
            </w:tcBorders>
            <w:shd w:val="clear" w:color="auto" w:fill="auto"/>
            <w:noWrap/>
            <w:vAlign w:val="center"/>
            <w:hideMark/>
          </w:tcPr>
          <w:p w14:paraId="1AE1DE9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713</w:t>
            </w:r>
          </w:p>
        </w:tc>
        <w:tc>
          <w:tcPr>
            <w:tcW w:w="672" w:type="pct"/>
            <w:tcBorders>
              <w:top w:val="nil"/>
              <w:left w:val="nil"/>
              <w:bottom w:val="single" w:sz="8" w:space="0" w:color="auto"/>
              <w:right w:val="single" w:sz="8" w:space="0" w:color="auto"/>
            </w:tcBorders>
            <w:shd w:val="clear" w:color="auto" w:fill="auto"/>
            <w:noWrap/>
            <w:vAlign w:val="center"/>
            <w:hideMark/>
          </w:tcPr>
          <w:p w14:paraId="66262D3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2,90%</w:t>
            </w:r>
          </w:p>
        </w:tc>
      </w:tr>
      <w:tr w:rsidR="00815332" w:rsidRPr="00815332" w14:paraId="3462A27A" w14:textId="77777777" w:rsidTr="00815332">
        <w:trPr>
          <w:trHeight w:val="300"/>
        </w:trPr>
        <w:tc>
          <w:tcPr>
            <w:tcW w:w="3687" w:type="pct"/>
            <w:tcBorders>
              <w:top w:val="nil"/>
              <w:left w:val="single" w:sz="8" w:space="0" w:color="auto"/>
              <w:bottom w:val="single" w:sz="8" w:space="0" w:color="auto"/>
              <w:right w:val="single" w:sz="8" w:space="0" w:color="auto"/>
            </w:tcBorders>
            <w:shd w:val="clear" w:color="000000" w:fill="FFFFFF"/>
            <w:noWrap/>
            <w:vAlign w:val="center"/>
            <w:hideMark/>
          </w:tcPr>
          <w:p w14:paraId="2AB71AC5"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Celebración de matrimonio</w:t>
            </w:r>
          </w:p>
        </w:tc>
        <w:tc>
          <w:tcPr>
            <w:tcW w:w="641" w:type="pct"/>
            <w:tcBorders>
              <w:top w:val="nil"/>
              <w:left w:val="nil"/>
              <w:bottom w:val="single" w:sz="8" w:space="0" w:color="auto"/>
              <w:right w:val="single" w:sz="8" w:space="0" w:color="auto"/>
            </w:tcBorders>
            <w:shd w:val="clear" w:color="auto" w:fill="auto"/>
            <w:noWrap/>
            <w:vAlign w:val="center"/>
            <w:hideMark/>
          </w:tcPr>
          <w:p w14:paraId="4D8AC5CB"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854</w:t>
            </w:r>
          </w:p>
        </w:tc>
        <w:tc>
          <w:tcPr>
            <w:tcW w:w="672" w:type="pct"/>
            <w:tcBorders>
              <w:top w:val="nil"/>
              <w:left w:val="nil"/>
              <w:bottom w:val="single" w:sz="8" w:space="0" w:color="auto"/>
              <w:right w:val="single" w:sz="8" w:space="0" w:color="auto"/>
            </w:tcBorders>
            <w:shd w:val="clear" w:color="auto" w:fill="auto"/>
            <w:noWrap/>
            <w:vAlign w:val="center"/>
            <w:hideMark/>
          </w:tcPr>
          <w:p w14:paraId="5FD2C87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3,47%</w:t>
            </w:r>
          </w:p>
        </w:tc>
      </w:tr>
      <w:tr w:rsidR="00815332" w:rsidRPr="00815332" w14:paraId="2DFDA376" w14:textId="77777777" w:rsidTr="00815332">
        <w:trPr>
          <w:trHeight w:val="300"/>
        </w:trPr>
        <w:tc>
          <w:tcPr>
            <w:tcW w:w="3687" w:type="pct"/>
            <w:tcBorders>
              <w:top w:val="nil"/>
              <w:left w:val="single" w:sz="8" w:space="0" w:color="auto"/>
              <w:bottom w:val="single" w:sz="8" w:space="0" w:color="auto"/>
              <w:right w:val="single" w:sz="8" w:space="0" w:color="auto"/>
            </w:tcBorders>
            <w:shd w:val="clear" w:color="000000" w:fill="FFFFFF"/>
            <w:noWrap/>
            <w:vAlign w:val="center"/>
            <w:hideMark/>
          </w:tcPr>
          <w:p w14:paraId="47000334"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Depósito judicial</w:t>
            </w:r>
          </w:p>
        </w:tc>
        <w:tc>
          <w:tcPr>
            <w:tcW w:w="641" w:type="pct"/>
            <w:tcBorders>
              <w:top w:val="nil"/>
              <w:left w:val="nil"/>
              <w:bottom w:val="single" w:sz="8" w:space="0" w:color="auto"/>
              <w:right w:val="single" w:sz="8" w:space="0" w:color="auto"/>
            </w:tcBorders>
            <w:shd w:val="clear" w:color="auto" w:fill="auto"/>
            <w:noWrap/>
            <w:vAlign w:val="center"/>
            <w:hideMark/>
          </w:tcPr>
          <w:p w14:paraId="6687B668"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854</w:t>
            </w:r>
          </w:p>
        </w:tc>
        <w:tc>
          <w:tcPr>
            <w:tcW w:w="672" w:type="pct"/>
            <w:tcBorders>
              <w:top w:val="nil"/>
              <w:left w:val="nil"/>
              <w:bottom w:val="single" w:sz="8" w:space="0" w:color="auto"/>
              <w:right w:val="single" w:sz="8" w:space="0" w:color="auto"/>
            </w:tcBorders>
            <w:shd w:val="clear" w:color="auto" w:fill="auto"/>
            <w:noWrap/>
            <w:vAlign w:val="center"/>
            <w:hideMark/>
          </w:tcPr>
          <w:p w14:paraId="7F6DAFC9"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3,47%</w:t>
            </w:r>
          </w:p>
        </w:tc>
      </w:tr>
      <w:tr w:rsidR="00815332" w:rsidRPr="00815332" w14:paraId="67A062C3" w14:textId="77777777" w:rsidTr="00815332">
        <w:trPr>
          <w:trHeight w:val="300"/>
        </w:trPr>
        <w:tc>
          <w:tcPr>
            <w:tcW w:w="3687" w:type="pct"/>
            <w:tcBorders>
              <w:top w:val="nil"/>
              <w:left w:val="single" w:sz="8" w:space="0" w:color="auto"/>
              <w:bottom w:val="single" w:sz="8" w:space="0" w:color="auto"/>
              <w:right w:val="single" w:sz="8" w:space="0" w:color="auto"/>
            </w:tcBorders>
            <w:shd w:val="clear" w:color="000000" w:fill="FFFFFF"/>
            <w:noWrap/>
            <w:vAlign w:val="center"/>
            <w:hideMark/>
          </w:tcPr>
          <w:p w14:paraId="7674C001"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Autorización salida del país</w:t>
            </w:r>
          </w:p>
        </w:tc>
        <w:tc>
          <w:tcPr>
            <w:tcW w:w="641" w:type="pct"/>
            <w:tcBorders>
              <w:top w:val="nil"/>
              <w:left w:val="nil"/>
              <w:bottom w:val="single" w:sz="8" w:space="0" w:color="auto"/>
              <w:right w:val="single" w:sz="8" w:space="0" w:color="auto"/>
            </w:tcBorders>
            <w:shd w:val="clear" w:color="auto" w:fill="auto"/>
            <w:noWrap/>
            <w:vAlign w:val="center"/>
            <w:hideMark/>
          </w:tcPr>
          <w:p w14:paraId="77F6D3E8"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424</w:t>
            </w:r>
          </w:p>
        </w:tc>
        <w:tc>
          <w:tcPr>
            <w:tcW w:w="672" w:type="pct"/>
            <w:tcBorders>
              <w:top w:val="nil"/>
              <w:left w:val="nil"/>
              <w:bottom w:val="single" w:sz="8" w:space="0" w:color="auto"/>
              <w:right w:val="single" w:sz="8" w:space="0" w:color="auto"/>
            </w:tcBorders>
            <w:shd w:val="clear" w:color="auto" w:fill="auto"/>
            <w:noWrap/>
            <w:vAlign w:val="center"/>
            <w:hideMark/>
          </w:tcPr>
          <w:p w14:paraId="532C5AB3"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1,72%</w:t>
            </w:r>
          </w:p>
        </w:tc>
      </w:tr>
      <w:tr w:rsidR="00815332" w:rsidRPr="00815332" w14:paraId="33D8D321" w14:textId="77777777" w:rsidTr="00815332">
        <w:trPr>
          <w:trHeight w:val="300"/>
        </w:trPr>
        <w:tc>
          <w:tcPr>
            <w:tcW w:w="3687" w:type="pct"/>
            <w:tcBorders>
              <w:top w:val="nil"/>
              <w:left w:val="single" w:sz="8" w:space="0" w:color="auto"/>
              <w:bottom w:val="single" w:sz="8" w:space="0" w:color="auto"/>
              <w:right w:val="single" w:sz="8" w:space="0" w:color="auto"/>
            </w:tcBorders>
            <w:shd w:val="clear" w:color="000000" w:fill="FFFFFF"/>
            <w:noWrap/>
            <w:vAlign w:val="center"/>
            <w:hideMark/>
          </w:tcPr>
          <w:p w14:paraId="0EF9B599"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Salvaguardia</w:t>
            </w:r>
          </w:p>
        </w:tc>
        <w:tc>
          <w:tcPr>
            <w:tcW w:w="641" w:type="pct"/>
            <w:tcBorders>
              <w:top w:val="nil"/>
              <w:left w:val="nil"/>
              <w:bottom w:val="single" w:sz="8" w:space="0" w:color="auto"/>
              <w:right w:val="single" w:sz="8" w:space="0" w:color="auto"/>
            </w:tcBorders>
            <w:shd w:val="clear" w:color="auto" w:fill="auto"/>
            <w:noWrap/>
            <w:vAlign w:val="center"/>
            <w:hideMark/>
          </w:tcPr>
          <w:p w14:paraId="1CB8717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829</w:t>
            </w:r>
          </w:p>
        </w:tc>
        <w:tc>
          <w:tcPr>
            <w:tcW w:w="672" w:type="pct"/>
            <w:tcBorders>
              <w:top w:val="nil"/>
              <w:left w:val="nil"/>
              <w:bottom w:val="single" w:sz="8" w:space="0" w:color="auto"/>
              <w:right w:val="single" w:sz="8" w:space="0" w:color="auto"/>
            </w:tcBorders>
            <w:shd w:val="clear" w:color="auto" w:fill="auto"/>
            <w:noWrap/>
            <w:vAlign w:val="center"/>
            <w:hideMark/>
          </w:tcPr>
          <w:p w14:paraId="6AE6D07A"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3,37%</w:t>
            </w:r>
          </w:p>
        </w:tc>
      </w:tr>
      <w:tr w:rsidR="00815332" w:rsidRPr="00815332" w14:paraId="3D4ABBBB"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02867BD"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Impugnación de paternidad</w:t>
            </w:r>
          </w:p>
        </w:tc>
        <w:tc>
          <w:tcPr>
            <w:tcW w:w="641" w:type="pct"/>
            <w:tcBorders>
              <w:top w:val="nil"/>
              <w:left w:val="nil"/>
              <w:bottom w:val="single" w:sz="8" w:space="0" w:color="auto"/>
              <w:right w:val="single" w:sz="8" w:space="0" w:color="auto"/>
            </w:tcBorders>
            <w:shd w:val="clear" w:color="auto" w:fill="auto"/>
            <w:noWrap/>
            <w:vAlign w:val="center"/>
            <w:hideMark/>
          </w:tcPr>
          <w:p w14:paraId="492093D4"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394</w:t>
            </w:r>
          </w:p>
        </w:tc>
        <w:tc>
          <w:tcPr>
            <w:tcW w:w="672" w:type="pct"/>
            <w:tcBorders>
              <w:top w:val="nil"/>
              <w:left w:val="nil"/>
              <w:bottom w:val="single" w:sz="8" w:space="0" w:color="auto"/>
              <w:right w:val="single" w:sz="8" w:space="0" w:color="auto"/>
            </w:tcBorders>
            <w:shd w:val="clear" w:color="auto" w:fill="auto"/>
            <w:noWrap/>
            <w:vAlign w:val="center"/>
            <w:hideMark/>
          </w:tcPr>
          <w:p w14:paraId="01D40183"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1,60%</w:t>
            </w:r>
          </w:p>
        </w:tc>
      </w:tr>
      <w:tr w:rsidR="00815332" w:rsidRPr="00815332" w14:paraId="3014E87C"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7710D72A"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Reconocimiento unión de hecho</w:t>
            </w:r>
          </w:p>
        </w:tc>
        <w:tc>
          <w:tcPr>
            <w:tcW w:w="641" w:type="pct"/>
            <w:tcBorders>
              <w:top w:val="nil"/>
              <w:left w:val="nil"/>
              <w:bottom w:val="single" w:sz="8" w:space="0" w:color="auto"/>
              <w:right w:val="single" w:sz="8" w:space="0" w:color="auto"/>
            </w:tcBorders>
            <w:shd w:val="clear" w:color="auto" w:fill="auto"/>
            <w:noWrap/>
            <w:vAlign w:val="center"/>
            <w:hideMark/>
          </w:tcPr>
          <w:p w14:paraId="5C1B5C1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416</w:t>
            </w:r>
          </w:p>
        </w:tc>
        <w:tc>
          <w:tcPr>
            <w:tcW w:w="672" w:type="pct"/>
            <w:tcBorders>
              <w:top w:val="nil"/>
              <w:left w:val="nil"/>
              <w:bottom w:val="single" w:sz="8" w:space="0" w:color="auto"/>
              <w:right w:val="single" w:sz="8" w:space="0" w:color="auto"/>
            </w:tcBorders>
            <w:shd w:val="clear" w:color="auto" w:fill="auto"/>
            <w:noWrap/>
            <w:vAlign w:val="center"/>
            <w:hideMark/>
          </w:tcPr>
          <w:p w14:paraId="20A9E077"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1,69%</w:t>
            </w:r>
          </w:p>
        </w:tc>
      </w:tr>
      <w:tr w:rsidR="00815332" w:rsidRPr="00815332" w14:paraId="2044975D"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D2799D1"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Impugnación de reconocimiento</w:t>
            </w:r>
          </w:p>
        </w:tc>
        <w:tc>
          <w:tcPr>
            <w:tcW w:w="641" w:type="pct"/>
            <w:tcBorders>
              <w:top w:val="nil"/>
              <w:left w:val="nil"/>
              <w:bottom w:val="single" w:sz="8" w:space="0" w:color="auto"/>
              <w:right w:val="single" w:sz="8" w:space="0" w:color="auto"/>
            </w:tcBorders>
            <w:shd w:val="clear" w:color="auto" w:fill="auto"/>
            <w:noWrap/>
            <w:vAlign w:val="center"/>
            <w:hideMark/>
          </w:tcPr>
          <w:p w14:paraId="6344A650"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327</w:t>
            </w:r>
          </w:p>
        </w:tc>
        <w:tc>
          <w:tcPr>
            <w:tcW w:w="672" w:type="pct"/>
            <w:tcBorders>
              <w:top w:val="nil"/>
              <w:left w:val="nil"/>
              <w:bottom w:val="single" w:sz="8" w:space="0" w:color="auto"/>
              <w:right w:val="single" w:sz="8" w:space="0" w:color="auto"/>
            </w:tcBorders>
            <w:shd w:val="clear" w:color="auto" w:fill="auto"/>
            <w:noWrap/>
            <w:vAlign w:val="center"/>
            <w:hideMark/>
          </w:tcPr>
          <w:p w14:paraId="5BAD3E87"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1,33%</w:t>
            </w:r>
          </w:p>
        </w:tc>
      </w:tr>
      <w:tr w:rsidR="00815332" w:rsidRPr="00815332" w14:paraId="58603BDB"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026F87DB"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Investigación de paternidad</w:t>
            </w:r>
          </w:p>
        </w:tc>
        <w:tc>
          <w:tcPr>
            <w:tcW w:w="641" w:type="pct"/>
            <w:tcBorders>
              <w:top w:val="nil"/>
              <w:left w:val="nil"/>
              <w:bottom w:val="single" w:sz="8" w:space="0" w:color="auto"/>
              <w:right w:val="single" w:sz="8" w:space="0" w:color="auto"/>
            </w:tcBorders>
            <w:shd w:val="clear" w:color="auto" w:fill="auto"/>
            <w:noWrap/>
            <w:vAlign w:val="center"/>
            <w:hideMark/>
          </w:tcPr>
          <w:p w14:paraId="0BBB9176"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316</w:t>
            </w:r>
          </w:p>
        </w:tc>
        <w:tc>
          <w:tcPr>
            <w:tcW w:w="672" w:type="pct"/>
            <w:tcBorders>
              <w:top w:val="nil"/>
              <w:left w:val="nil"/>
              <w:bottom w:val="single" w:sz="8" w:space="0" w:color="auto"/>
              <w:right w:val="single" w:sz="8" w:space="0" w:color="auto"/>
            </w:tcBorders>
            <w:shd w:val="clear" w:color="auto" w:fill="auto"/>
            <w:noWrap/>
            <w:vAlign w:val="center"/>
            <w:hideMark/>
          </w:tcPr>
          <w:p w14:paraId="35C8187D"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1,28%</w:t>
            </w:r>
          </w:p>
        </w:tc>
      </w:tr>
      <w:tr w:rsidR="00815332" w:rsidRPr="00815332" w14:paraId="7A371936"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7EE523E9"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Declaratoria judicial de abandono</w:t>
            </w:r>
          </w:p>
        </w:tc>
        <w:tc>
          <w:tcPr>
            <w:tcW w:w="641" w:type="pct"/>
            <w:tcBorders>
              <w:top w:val="nil"/>
              <w:left w:val="nil"/>
              <w:bottom w:val="single" w:sz="8" w:space="0" w:color="auto"/>
              <w:right w:val="single" w:sz="8" w:space="0" w:color="auto"/>
            </w:tcBorders>
            <w:shd w:val="clear" w:color="auto" w:fill="auto"/>
            <w:noWrap/>
            <w:vAlign w:val="center"/>
            <w:hideMark/>
          </w:tcPr>
          <w:p w14:paraId="379F9C4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314</w:t>
            </w:r>
          </w:p>
        </w:tc>
        <w:tc>
          <w:tcPr>
            <w:tcW w:w="672" w:type="pct"/>
            <w:tcBorders>
              <w:top w:val="nil"/>
              <w:left w:val="nil"/>
              <w:bottom w:val="single" w:sz="8" w:space="0" w:color="auto"/>
              <w:right w:val="single" w:sz="8" w:space="0" w:color="auto"/>
            </w:tcBorders>
            <w:shd w:val="clear" w:color="auto" w:fill="auto"/>
            <w:noWrap/>
            <w:vAlign w:val="center"/>
            <w:hideMark/>
          </w:tcPr>
          <w:p w14:paraId="013C1D27"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1,28%</w:t>
            </w:r>
          </w:p>
        </w:tc>
      </w:tr>
      <w:tr w:rsidR="00815332" w:rsidRPr="00815332" w14:paraId="48AFFAF7"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ECF27BA"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Diligencia utilidad y necesidad</w:t>
            </w:r>
          </w:p>
        </w:tc>
        <w:tc>
          <w:tcPr>
            <w:tcW w:w="641" w:type="pct"/>
            <w:tcBorders>
              <w:top w:val="nil"/>
              <w:left w:val="nil"/>
              <w:bottom w:val="single" w:sz="8" w:space="0" w:color="auto"/>
              <w:right w:val="single" w:sz="8" w:space="0" w:color="auto"/>
            </w:tcBorders>
            <w:shd w:val="clear" w:color="auto" w:fill="auto"/>
            <w:noWrap/>
            <w:vAlign w:val="center"/>
            <w:hideMark/>
          </w:tcPr>
          <w:p w14:paraId="5C33DA5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323</w:t>
            </w:r>
          </w:p>
        </w:tc>
        <w:tc>
          <w:tcPr>
            <w:tcW w:w="672" w:type="pct"/>
            <w:tcBorders>
              <w:top w:val="nil"/>
              <w:left w:val="nil"/>
              <w:bottom w:val="single" w:sz="8" w:space="0" w:color="auto"/>
              <w:right w:val="single" w:sz="8" w:space="0" w:color="auto"/>
            </w:tcBorders>
            <w:shd w:val="clear" w:color="auto" w:fill="auto"/>
            <w:noWrap/>
            <w:vAlign w:val="center"/>
            <w:hideMark/>
          </w:tcPr>
          <w:p w14:paraId="4C4D3325"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1,31%</w:t>
            </w:r>
          </w:p>
        </w:tc>
      </w:tr>
      <w:tr w:rsidR="00815332" w:rsidRPr="00815332" w14:paraId="402A11CD"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23BBE7B"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Declaratoria de extramatrimonialidad</w:t>
            </w:r>
          </w:p>
        </w:tc>
        <w:tc>
          <w:tcPr>
            <w:tcW w:w="641" w:type="pct"/>
            <w:tcBorders>
              <w:top w:val="nil"/>
              <w:left w:val="nil"/>
              <w:bottom w:val="single" w:sz="8" w:space="0" w:color="auto"/>
              <w:right w:val="single" w:sz="8" w:space="0" w:color="auto"/>
            </w:tcBorders>
            <w:shd w:val="clear" w:color="auto" w:fill="auto"/>
            <w:noWrap/>
            <w:vAlign w:val="center"/>
            <w:hideMark/>
          </w:tcPr>
          <w:p w14:paraId="69074BF9"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222</w:t>
            </w:r>
          </w:p>
        </w:tc>
        <w:tc>
          <w:tcPr>
            <w:tcW w:w="672" w:type="pct"/>
            <w:tcBorders>
              <w:top w:val="nil"/>
              <w:left w:val="nil"/>
              <w:bottom w:val="single" w:sz="8" w:space="0" w:color="auto"/>
              <w:right w:val="single" w:sz="8" w:space="0" w:color="auto"/>
            </w:tcBorders>
            <w:shd w:val="clear" w:color="auto" w:fill="auto"/>
            <w:noWrap/>
            <w:vAlign w:val="center"/>
            <w:hideMark/>
          </w:tcPr>
          <w:p w14:paraId="57FA80B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0,90%</w:t>
            </w:r>
          </w:p>
        </w:tc>
      </w:tr>
      <w:tr w:rsidR="00815332" w:rsidRPr="00815332" w14:paraId="18330E15"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8F9CD53"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Proceso Especial de Protección</w:t>
            </w:r>
          </w:p>
        </w:tc>
        <w:tc>
          <w:tcPr>
            <w:tcW w:w="641" w:type="pct"/>
            <w:tcBorders>
              <w:top w:val="nil"/>
              <w:left w:val="nil"/>
              <w:bottom w:val="single" w:sz="8" w:space="0" w:color="auto"/>
              <w:right w:val="single" w:sz="8" w:space="0" w:color="auto"/>
            </w:tcBorders>
            <w:shd w:val="clear" w:color="auto" w:fill="auto"/>
            <w:noWrap/>
            <w:vAlign w:val="center"/>
            <w:hideMark/>
          </w:tcPr>
          <w:p w14:paraId="1246B98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304</w:t>
            </w:r>
          </w:p>
        </w:tc>
        <w:tc>
          <w:tcPr>
            <w:tcW w:w="672" w:type="pct"/>
            <w:tcBorders>
              <w:top w:val="nil"/>
              <w:left w:val="nil"/>
              <w:bottom w:val="single" w:sz="8" w:space="0" w:color="auto"/>
              <w:right w:val="single" w:sz="8" w:space="0" w:color="auto"/>
            </w:tcBorders>
            <w:shd w:val="clear" w:color="auto" w:fill="auto"/>
            <w:noWrap/>
            <w:vAlign w:val="center"/>
            <w:hideMark/>
          </w:tcPr>
          <w:p w14:paraId="3E492C3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1,23%</w:t>
            </w:r>
          </w:p>
        </w:tc>
      </w:tr>
      <w:tr w:rsidR="00815332" w:rsidRPr="00815332" w14:paraId="14ECBF8A"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79B00102"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Adopción</w:t>
            </w:r>
          </w:p>
        </w:tc>
        <w:tc>
          <w:tcPr>
            <w:tcW w:w="641" w:type="pct"/>
            <w:tcBorders>
              <w:top w:val="nil"/>
              <w:left w:val="nil"/>
              <w:bottom w:val="single" w:sz="8" w:space="0" w:color="auto"/>
              <w:right w:val="single" w:sz="8" w:space="0" w:color="auto"/>
            </w:tcBorders>
            <w:shd w:val="clear" w:color="auto" w:fill="auto"/>
            <w:noWrap/>
            <w:vAlign w:val="center"/>
            <w:hideMark/>
          </w:tcPr>
          <w:p w14:paraId="7023B192"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235</w:t>
            </w:r>
          </w:p>
        </w:tc>
        <w:tc>
          <w:tcPr>
            <w:tcW w:w="672" w:type="pct"/>
            <w:tcBorders>
              <w:top w:val="nil"/>
              <w:left w:val="nil"/>
              <w:bottom w:val="single" w:sz="8" w:space="0" w:color="auto"/>
              <w:right w:val="single" w:sz="8" w:space="0" w:color="auto"/>
            </w:tcBorders>
            <w:shd w:val="clear" w:color="auto" w:fill="auto"/>
            <w:noWrap/>
            <w:vAlign w:val="center"/>
            <w:hideMark/>
          </w:tcPr>
          <w:p w14:paraId="24601405"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0,96%</w:t>
            </w:r>
          </w:p>
        </w:tc>
      </w:tr>
      <w:tr w:rsidR="00815332" w:rsidRPr="00815332" w14:paraId="6351AA84"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597CBBB1"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Suspensión de responsabilidad parental</w:t>
            </w:r>
          </w:p>
        </w:tc>
        <w:tc>
          <w:tcPr>
            <w:tcW w:w="641" w:type="pct"/>
            <w:tcBorders>
              <w:top w:val="nil"/>
              <w:left w:val="nil"/>
              <w:bottom w:val="single" w:sz="8" w:space="0" w:color="auto"/>
              <w:right w:val="single" w:sz="8" w:space="0" w:color="auto"/>
            </w:tcBorders>
            <w:shd w:val="clear" w:color="auto" w:fill="auto"/>
            <w:noWrap/>
            <w:vAlign w:val="center"/>
            <w:hideMark/>
          </w:tcPr>
          <w:p w14:paraId="213955B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358</w:t>
            </w:r>
          </w:p>
        </w:tc>
        <w:tc>
          <w:tcPr>
            <w:tcW w:w="672" w:type="pct"/>
            <w:tcBorders>
              <w:top w:val="nil"/>
              <w:left w:val="nil"/>
              <w:bottom w:val="single" w:sz="8" w:space="0" w:color="auto"/>
              <w:right w:val="single" w:sz="8" w:space="0" w:color="auto"/>
            </w:tcBorders>
            <w:shd w:val="clear" w:color="auto" w:fill="auto"/>
            <w:noWrap/>
            <w:vAlign w:val="center"/>
            <w:hideMark/>
          </w:tcPr>
          <w:p w14:paraId="2F9ADE5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1,45%</w:t>
            </w:r>
          </w:p>
        </w:tc>
      </w:tr>
      <w:tr w:rsidR="00815332" w:rsidRPr="00815332" w14:paraId="178F108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4F077925"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Separación Judicial</w:t>
            </w:r>
          </w:p>
        </w:tc>
        <w:tc>
          <w:tcPr>
            <w:tcW w:w="641" w:type="pct"/>
            <w:tcBorders>
              <w:top w:val="nil"/>
              <w:left w:val="nil"/>
              <w:bottom w:val="single" w:sz="8" w:space="0" w:color="auto"/>
              <w:right w:val="single" w:sz="8" w:space="0" w:color="auto"/>
            </w:tcBorders>
            <w:shd w:val="clear" w:color="auto" w:fill="auto"/>
            <w:noWrap/>
            <w:vAlign w:val="center"/>
            <w:hideMark/>
          </w:tcPr>
          <w:p w14:paraId="6CBF6F8F"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151</w:t>
            </w:r>
          </w:p>
        </w:tc>
        <w:tc>
          <w:tcPr>
            <w:tcW w:w="672" w:type="pct"/>
            <w:tcBorders>
              <w:top w:val="nil"/>
              <w:left w:val="nil"/>
              <w:bottom w:val="single" w:sz="8" w:space="0" w:color="auto"/>
              <w:right w:val="single" w:sz="8" w:space="0" w:color="auto"/>
            </w:tcBorders>
            <w:shd w:val="clear" w:color="auto" w:fill="auto"/>
            <w:noWrap/>
            <w:vAlign w:val="center"/>
            <w:hideMark/>
          </w:tcPr>
          <w:p w14:paraId="0727A91A"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0,61%</w:t>
            </w:r>
          </w:p>
        </w:tc>
      </w:tr>
      <w:tr w:rsidR="00815332" w:rsidRPr="00815332" w14:paraId="238C33E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6678F855"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Modificaciones de fallo (Patria Potestad)</w:t>
            </w:r>
          </w:p>
        </w:tc>
        <w:tc>
          <w:tcPr>
            <w:tcW w:w="641" w:type="pct"/>
            <w:tcBorders>
              <w:top w:val="nil"/>
              <w:left w:val="nil"/>
              <w:bottom w:val="single" w:sz="8" w:space="0" w:color="auto"/>
              <w:right w:val="single" w:sz="8" w:space="0" w:color="auto"/>
            </w:tcBorders>
            <w:shd w:val="clear" w:color="auto" w:fill="auto"/>
            <w:noWrap/>
            <w:vAlign w:val="center"/>
            <w:hideMark/>
          </w:tcPr>
          <w:p w14:paraId="49DBBC0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370</w:t>
            </w:r>
          </w:p>
        </w:tc>
        <w:tc>
          <w:tcPr>
            <w:tcW w:w="672" w:type="pct"/>
            <w:tcBorders>
              <w:top w:val="nil"/>
              <w:left w:val="nil"/>
              <w:bottom w:val="single" w:sz="8" w:space="0" w:color="auto"/>
              <w:right w:val="single" w:sz="8" w:space="0" w:color="auto"/>
            </w:tcBorders>
            <w:shd w:val="clear" w:color="auto" w:fill="auto"/>
            <w:noWrap/>
            <w:vAlign w:val="center"/>
            <w:hideMark/>
          </w:tcPr>
          <w:p w14:paraId="0DCA4380"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1,50%</w:t>
            </w:r>
          </w:p>
        </w:tc>
      </w:tr>
      <w:tr w:rsidR="00815332" w:rsidRPr="00815332" w14:paraId="5A4233B5"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54AF2949"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Actividades de sedes extrajudiciales</w:t>
            </w:r>
          </w:p>
        </w:tc>
        <w:tc>
          <w:tcPr>
            <w:tcW w:w="641" w:type="pct"/>
            <w:tcBorders>
              <w:top w:val="nil"/>
              <w:left w:val="nil"/>
              <w:bottom w:val="single" w:sz="8" w:space="0" w:color="auto"/>
              <w:right w:val="single" w:sz="8" w:space="0" w:color="auto"/>
            </w:tcBorders>
            <w:shd w:val="clear" w:color="auto" w:fill="auto"/>
            <w:noWrap/>
            <w:vAlign w:val="center"/>
            <w:hideMark/>
          </w:tcPr>
          <w:p w14:paraId="5ECFBA99"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176</w:t>
            </w:r>
          </w:p>
        </w:tc>
        <w:tc>
          <w:tcPr>
            <w:tcW w:w="672" w:type="pct"/>
            <w:tcBorders>
              <w:top w:val="nil"/>
              <w:left w:val="nil"/>
              <w:bottom w:val="single" w:sz="8" w:space="0" w:color="auto"/>
              <w:right w:val="single" w:sz="8" w:space="0" w:color="auto"/>
            </w:tcBorders>
            <w:shd w:val="clear" w:color="auto" w:fill="auto"/>
            <w:noWrap/>
            <w:vAlign w:val="center"/>
            <w:hideMark/>
          </w:tcPr>
          <w:p w14:paraId="62365AB1"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0,71%</w:t>
            </w:r>
          </w:p>
        </w:tc>
      </w:tr>
      <w:tr w:rsidR="00815332" w:rsidRPr="00815332" w14:paraId="358A7F66"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38C686D0"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Comunic. Art.32 CDNA (P.A.N.I.)</w:t>
            </w:r>
          </w:p>
        </w:tc>
        <w:tc>
          <w:tcPr>
            <w:tcW w:w="641" w:type="pct"/>
            <w:tcBorders>
              <w:top w:val="nil"/>
              <w:left w:val="nil"/>
              <w:bottom w:val="single" w:sz="8" w:space="0" w:color="auto"/>
              <w:right w:val="single" w:sz="8" w:space="0" w:color="auto"/>
            </w:tcBorders>
            <w:shd w:val="clear" w:color="auto" w:fill="auto"/>
            <w:noWrap/>
            <w:vAlign w:val="center"/>
            <w:hideMark/>
          </w:tcPr>
          <w:p w14:paraId="332EAE28"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319</w:t>
            </w:r>
          </w:p>
        </w:tc>
        <w:tc>
          <w:tcPr>
            <w:tcW w:w="672" w:type="pct"/>
            <w:tcBorders>
              <w:top w:val="nil"/>
              <w:left w:val="nil"/>
              <w:bottom w:val="single" w:sz="8" w:space="0" w:color="auto"/>
              <w:right w:val="single" w:sz="8" w:space="0" w:color="auto"/>
            </w:tcBorders>
            <w:shd w:val="clear" w:color="auto" w:fill="auto"/>
            <w:noWrap/>
            <w:vAlign w:val="center"/>
            <w:hideMark/>
          </w:tcPr>
          <w:p w14:paraId="20DC1125"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1,30%</w:t>
            </w:r>
          </w:p>
        </w:tc>
      </w:tr>
      <w:tr w:rsidR="00815332" w:rsidRPr="00815332" w14:paraId="3DFCB27E"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1D46466C"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Nulidad de matrimonio</w:t>
            </w:r>
          </w:p>
        </w:tc>
        <w:tc>
          <w:tcPr>
            <w:tcW w:w="641" w:type="pct"/>
            <w:tcBorders>
              <w:top w:val="nil"/>
              <w:left w:val="nil"/>
              <w:bottom w:val="single" w:sz="8" w:space="0" w:color="auto"/>
              <w:right w:val="single" w:sz="8" w:space="0" w:color="auto"/>
            </w:tcBorders>
            <w:shd w:val="clear" w:color="auto" w:fill="auto"/>
            <w:noWrap/>
            <w:vAlign w:val="center"/>
            <w:hideMark/>
          </w:tcPr>
          <w:p w14:paraId="2C0852F6"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171</w:t>
            </w:r>
          </w:p>
        </w:tc>
        <w:tc>
          <w:tcPr>
            <w:tcW w:w="672" w:type="pct"/>
            <w:tcBorders>
              <w:top w:val="nil"/>
              <w:left w:val="nil"/>
              <w:bottom w:val="single" w:sz="8" w:space="0" w:color="auto"/>
              <w:right w:val="single" w:sz="8" w:space="0" w:color="auto"/>
            </w:tcBorders>
            <w:shd w:val="clear" w:color="auto" w:fill="auto"/>
            <w:noWrap/>
            <w:vAlign w:val="center"/>
            <w:hideMark/>
          </w:tcPr>
          <w:p w14:paraId="566363E9"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0,69%</w:t>
            </w:r>
          </w:p>
        </w:tc>
      </w:tr>
      <w:tr w:rsidR="00815332" w:rsidRPr="00815332" w14:paraId="1D334EA8"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258653D"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Liquidación anticipada de bienes gananciales</w:t>
            </w:r>
          </w:p>
        </w:tc>
        <w:tc>
          <w:tcPr>
            <w:tcW w:w="641" w:type="pct"/>
            <w:tcBorders>
              <w:top w:val="nil"/>
              <w:left w:val="nil"/>
              <w:bottom w:val="single" w:sz="8" w:space="0" w:color="auto"/>
              <w:right w:val="single" w:sz="8" w:space="0" w:color="auto"/>
            </w:tcBorders>
            <w:shd w:val="clear" w:color="auto" w:fill="auto"/>
            <w:noWrap/>
            <w:vAlign w:val="center"/>
            <w:hideMark/>
          </w:tcPr>
          <w:p w14:paraId="3430AA5B"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136</w:t>
            </w:r>
          </w:p>
        </w:tc>
        <w:tc>
          <w:tcPr>
            <w:tcW w:w="672" w:type="pct"/>
            <w:tcBorders>
              <w:top w:val="nil"/>
              <w:left w:val="nil"/>
              <w:bottom w:val="single" w:sz="8" w:space="0" w:color="auto"/>
              <w:right w:val="single" w:sz="8" w:space="0" w:color="auto"/>
            </w:tcBorders>
            <w:shd w:val="clear" w:color="auto" w:fill="auto"/>
            <w:noWrap/>
            <w:vAlign w:val="center"/>
            <w:hideMark/>
          </w:tcPr>
          <w:p w14:paraId="4A042CB1"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0,55%</w:t>
            </w:r>
          </w:p>
        </w:tc>
      </w:tr>
      <w:tr w:rsidR="00815332" w:rsidRPr="00815332" w14:paraId="6EBD95AB"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545D3A07"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Otros Ordinarios</w:t>
            </w:r>
          </w:p>
        </w:tc>
        <w:tc>
          <w:tcPr>
            <w:tcW w:w="641" w:type="pct"/>
            <w:tcBorders>
              <w:top w:val="nil"/>
              <w:left w:val="nil"/>
              <w:bottom w:val="single" w:sz="8" w:space="0" w:color="auto"/>
              <w:right w:val="single" w:sz="8" w:space="0" w:color="auto"/>
            </w:tcBorders>
            <w:shd w:val="clear" w:color="auto" w:fill="auto"/>
            <w:noWrap/>
            <w:vAlign w:val="center"/>
            <w:hideMark/>
          </w:tcPr>
          <w:p w14:paraId="178804D3"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165</w:t>
            </w:r>
          </w:p>
        </w:tc>
        <w:tc>
          <w:tcPr>
            <w:tcW w:w="672" w:type="pct"/>
            <w:tcBorders>
              <w:top w:val="nil"/>
              <w:left w:val="nil"/>
              <w:bottom w:val="single" w:sz="8" w:space="0" w:color="auto"/>
              <w:right w:val="single" w:sz="8" w:space="0" w:color="auto"/>
            </w:tcBorders>
            <w:shd w:val="clear" w:color="auto" w:fill="auto"/>
            <w:noWrap/>
            <w:vAlign w:val="center"/>
            <w:hideMark/>
          </w:tcPr>
          <w:p w14:paraId="582DC3C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0,67%</w:t>
            </w:r>
          </w:p>
        </w:tc>
      </w:tr>
      <w:tr w:rsidR="00815332" w:rsidRPr="00815332" w14:paraId="40D8371C"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7A23A72C"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Suspensión Patria Potestad</w:t>
            </w:r>
          </w:p>
        </w:tc>
        <w:tc>
          <w:tcPr>
            <w:tcW w:w="641" w:type="pct"/>
            <w:tcBorders>
              <w:top w:val="nil"/>
              <w:left w:val="nil"/>
              <w:bottom w:val="single" w:sz="8" w:space="0" w:color="auto"/>
              <w:right w:val="single" w:sz="8" w:space="0" w:color="auto"/>
            </w:tcBorders>
            <w:shd w:val="clear" w:color="auto" w:fill="auto"/>
            <w:noWrap/>
            <w:vAlign w:val="center"/>
            <w:hideMark/>
          </w:tcPr>
          <w:p w14:paraId="44D12C1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297</w:t>
            </w:r>
          </w:p>
        </w:tc>
        <w:tc>
          <w:tcPr>
            <w:tcW w:w="672" w:type="pct"/>
            <w:tcBorders>
              <w:top w:val="nil"/>
              <w:left w:val="nil"/>
              <w:bottom w:val="single" w:sz="8" w:space="0" w:color="auto"/>
              <w:right w:val="single" w:sz="8" w:space="0" w:color="auto"/>
            </w:tcBorders>
            <w:shd w:val="clear" w:color="auto" w:fill="auto"/>
            <w:noWrap/>
            <w:vAlign w:val="center"/>
            <w:hideMark/>
          </w:tcPr>
          <w:p w14:paraId="27960205"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1,20%</w:t>
            </w:r>
          </w:p>
        </w:tc>
      </w:tr>
      <w:tr w:rsidR="00815332" w:rsidRPr="00815332" w14:paraId="4638AB44"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41C6F6FA"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Divorcio por mutuo consentimiento de casa de justicia</w:t>
            </w:r>
          </w:p>
        </w:tc>
        <w:tc>
          <w:tcPr>
            <w:tcW w:w="641" w:type="pct"/>
            <w:tcBorders>
              <w:top w:val="nil"/>
              <w:left w:val="nil"/>
              <w:bottom w:val="single" w:sz="8" w:space="0" w:color="auto"/>
              <w:right w:val="single" w:sz="8" w:space="0" w:color="auto"/>
            </w:tcBorders>
            <w:shd w:val="clear" w:color="auto" w:fill="auto"/>
            <w:noWrap/>
            <w:vAlign w:val="center"/>
            <w:hideMark/>
          </w:tcPr>
          <w:p w14:paraId="08FDAB71"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354</w:t>
            </w:r>
          </w:p>
        </w:tc>
        <w:tc>
          <w:tcPr>
            <w:tcW w:w="672" w:type="pct"/>
            <w:tcBorders>
              <w:top w:val="nil"/>
              <w:left w:val="nil"/>
              <w:bottom w:val="single" w:sz="8" w:space="0" w:color="auto"/>
              <w:right w:val="single" w:sz="8" w:space="0" w:color="auto"/>
            </w:tcBorders>
            <w:shd w:val="clear" w:color="auto" w:fill="auto"/>
            <w:noWrap/>
            <w:vAlign w:val="center"/>
            <w:hideMark/>
          </w:tcPr>
          <w:p w14:paraId="06A6C0A2"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1,44%</w:t>
            </w:r>
          </w:p>
        </w:tc>
      </w:tr>
      <w:tr w:rsidR="00815332" w:rsidRPr="00815332" w14:paraId="67D3202E"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070F3430"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Declaratoria de paternidad / maternidad</w:t>
            </w:r>
          </w:p>
        </w:tc>
        <w:tc>
          <w:tcPr>
            <w:tcW w:w="641" w:type="pct"/>
            <w:tcBorders>
              <w:top w:val="nil"/>
              <w:left w:val="nil"/>
              <w:bottom w:val="single" w:sz="8" w:space="0" w:color="auto"/>
              <w:right w:val="single" w:sz="8" w:space="0" w:color="auto"/>
            </w:tcBorders>
            <w:shd w:val="clear" w:color="auto" w:fill="auto"/>
            <w:noWrap/>
            <w:vAlign w:val="center"/>
            <w:hideMark/>
          </w:tcPr>
          <w:p w14:paraId="6D51B8CD"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138</w:t>
            </w:r>
          </w:p>
        </w:tc>
        <w:tc>
          <w:tcPr>
            <w:tcW w:w="672" w:type="pct"/>
            <w:tcBorders>
              <w:top w:val="nil"/>
              <w:left w:val="nil"/>
              <w:bottom w:val="single" w:sz="8" w:space="0" w:color="auto"/>
              <w:right w:val="single" w:sz="8" w:space="0" w:color="auto"/>
            </w:tcBorders>
            <w:shd w:val="clear" w:color="auto" w:fill="auto"/>
            <w:noWrap/>
            <w:vAlign w:val="center"/>
            <w:hideMark/>
          </w:tcPr>
          <w:p w14:paraId="732B867B"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0,56%</w:t>
            </w:r>
          </w:p>
        </w:tc>
      </w:tr>
      <w:tr w:rsidR="00815332" w:rsidRPr="00815332" w14:paraId="511F8D76"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9867C86"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Conflicto de responsabilidad parental (art 151 CF)</w:t>
            </w:r>
          </w:p>
        </w:tc>
        <w:tc>
          <w:tcPr>
            <w:tcW w:w="641" w:type="pct"/>
            <w:tcBorders>
              <w:top w:val="nil"/>
              <w:left w:val="nil"/>
              <w:bottom w:val="single" w:sz="8" w:space="0" w:color="auto"/>
              <w:right w:val="single" w:sz="8" w:space="0" w:color="auto"/>
            </w:tcBorders>
            <w:shd w:val="clear" w:color="auto" w:fill="auto"/>
            <w:noWrap/>
            <w:vAlign w:val="center"/>
            <w:hideMark/>
          </w:tcPr>
          <w:p w14:paraId="2763E52A"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204</w:t>
            </w:r>
          </w:p>
        </w:tc>
        <w:tc>
          <w:tcPr>
            <w:tcW w:w="672" w:type="pct"/>
            <w:tcBorders>
              <w:top w:val="nil"/>
              <w:left w:val="nil"/>
              <w:bottom w:val="single" w:sz="8" w:space="0" w:color="auto"/>
              <w:right w:val="single" w:sz="8" w:space="0" w:color="auto"/>
            </w:tcBorders>
            <w:shd w:val="clear" w:color="auto" w:fill="auto"/>
            <w:noWrap/>
            <w:vAlign w:val="center"/>
            <w:hideMark/>
          </w:tcPr>
          <w:p w14:paraId="3E5B56D9"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0,83%</w:t>
            </w:r>
          </w:p>
        </w:tc>
      </w:tr>
      <w:tr w:rsidR="00815332" w:rsidRPr="00815332" w14:paraId="5D21A336"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4282BE69"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Declaratoria de hijo extramatrimonial</w:t>
            </w:r>
          </w:p>
        </w:tc>
        <w:tc>
          <w:tcPr>
            <w:tcW w:w="641" w:type="pct"/>
            <w:tcBorders>
              <w:top w:val="nil"/>
              <w:left w:val="nil"/>
              <w:bottom w:val="single" w:sz="8" w:space="0" w:color="auto"/>
              <w:right w:val="single" w:sz="8" w:space="0" w:color="auto"/>
            </w:tcBorders>
            <w:shd w:val="clear" w:color="auto" w:fill="auto"/>
            <w:noWrap/>
            <w:vAlign w:val="center"/>
            <w:hideMark/>
          </w:tcPr>
          <w:p w14:paraId="2CCF941E"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162</w:t>
            </w:r>
          </w:p>
        </w:tc>
        <w:tc>
          <w:tcPr>
            <w:tcW w:w="672" w:type="pct"/>
            <w:tcBorders>
              <w:top w:val="nil"/>
              <w:left w:val="nil"/>
              <w:bottom w:val="single" w:sz="8" w:space="0" w:color="auto"/>
              <w:right w:val="single" w:sz="8" w:space="0" w:color="auto"/>
            </w:tcBorders>
            <w:shd w:val="clear" w:color="auto" w:fill="auto"/>
            <w:noWrap/>
            <w:vAlign w:val="center"/>
            <w:hideMark/>
          </w:tcPr>
          <w:p w14:paraId="327211CD"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0,66%</w:t>
            </w:r>
          </w:p>
        </w:tc>
      </w:tr>
      <w:tr w:rsidR="00815332" w:rsidRPr="00815332" w14:paraId="1944F36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6E7F423B"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Afirmación de paternidad</w:t>
            </w:r>
          </w:p>
        </w:tc>
        <w:tc>
          <w:tcPr>
            <w:tcW w:w="641" w:type="pct"/>
            <w:tcBorders>
              <w:top w:val="nil"/>
              <w:left w:val="nil"/>
              <w:bottom w:val="single" w:sz="8" w:space="0" w:color="auto"/>
              <w:right w:val="single" w:sz="8" w:space="0" w:color="auto"/>
            </w:tcBorders>
            <w:shd w:val="clear" w:color="auto" w:fill="auto"/>
            <w:noWrap/>
            <w:vAlign w:val="center"/>
            <w:hideMark/>
          </w:tcPr>
          <w:p w14:paraId="231CB5B1"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143</w:t>
            </w:r>
          </w:p>
        </w:tc>
        <w:tc>
          <w:tcPr>
            <w:tcW w:w="672" w:type="pct"/>
            <w:tcBorders>
              <w:top w:val="nil"/>
              <w:left w:val="nil"/>
              <w:bottom w:val="single" w:sz="8" w:space="0" w:color="auto"/>
              <w:right w:val="single" w:sz="8" w:space="0" w:color="auto"/>
            </w:tcBorders>
            <w:shd w:val="clear" w:color="auto" w:fill="auto"/>
            <w:noWrap/>
            <w:vAlign w:val="center"/>
            <w:hideMark/>
          </w:tcPr>
          <w:p w14:paraId="1F72FC47"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0,58%</w:t>
            </w:r>
          </w:p>
        </w:tc>
      </w:tr>
      <w:tr w:rsidR="00815332" w:rsidRPr="00815332" w14:paraId="0D377D5E"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0539A3F0"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Ejecución de Sentencia No Clasificada</w:t>
            </w:r>
          </w:p>
        </w:tc>
        <w:tc>
          <w:tcPr>
            <w:tcW w:w="641" w:type="pct"/>
            <w:tcBorders>
              <w:top w:val="nil"/>
              <w:left w:val="nil"/>
              <w:bottom w:val="single" w:sz="8" w:space="0" w:color="auto"/>
              <w:right w:val="single" w:sz="8" w:space="0" w:color="auto"/>
            </w:tcBorders>
            <w:shd w:val="clear" w:color="auto" w:fill="auto"/>
            <w:noWrap/>
            <w:vAlign w:val="center"/>
            <w:hideMark/>
          </w:tcPr>
          <w:p w14:paraId="0F52DD8C"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113</w:t>
            </w:r>
          </w:p>
        </w:tc>
        <w:tc>
          <w:tcPr>
            <w:tcW w:w="672" w:type="pct"/>
            <w:tcBorders>
              <w:top w:val="nil"/>
              <w:left w:val="nil"/>
              <w:bottom w:val="single" w:sz="8" w:space="0" w:color="auto"/>
              <w:right w:val="single" w:sz="8" w:space="0" w:color="auto"/>
            </w:tcBorders>
            <w:shd w:val="clear" w:color="auto" w:fill="auto"/>
            <w:noWrap/>
            <w:vAlign w:val="center"/>
            <w:hideMark/>
          </w:tcPr>
          <w:p w14:paraId="7909EF8A"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0,46%</w:t>
            </w:r>
          </w:p>
        </w:tc>
      </w:tr>
      <w:tr w:rsidR="00815332" w:rsidRPr="00815332" w14:paraId="4CBA89C2" w14:textId="77777777" w:rsidTr="00815332">
        <w:trPr>
          <w:trHeight w:val="300"/>
        </w:trPr>
        <w:tc>
          <w:tcPr>
            <w:tcW w:w="3687" w:type="pct"/>
            <w:tcBorders>
              <w:top w:val="nil"/>
              <w:left w:val="single" w:sz="8" w:space="0" w:color="auto"/>
              <w:bottom w:val="single" w:sz="8" w:space="0" w:color="auto"/>
              <w:right w:val="single" w:sz="8" w:space="0" w:color="auto"/>
            </w:tcBorders>
            <w:shd w:val="clear" w:color="auto" w:fill="auto"/>
            <w:noWrap/>
            <w:vAlign w:val="center"/>
            <w:hideMark/>
          </w:tcPr>
          <w:p w14:paraId="24D138EC" w14:textId="77777777" w:rsidR="00815332" w:rsidRPr="00815332" w:rsidRDefault="00815332" w:rsidP="00815332">
            <w:pPr>
              <w:spacing w:after="0" w:line="240" w:lineRule="auto"/>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Ejecución del Derecho de Ganancialidad</w:t>
            </w:r>
          </w:p>
        </w:tc>
        <w:tc>
          <w:tcPr>
            <w:tcW w:w="641" w:type="pct"/>
            <w:tcBorders>
              <w:top w:val="nil"/>
              <w:left w:val="nil"/>
              <w:bottom w:val="single" w:sz="8" w:space="0" w:color="auto"/>
              <w:right w:val="single" w:sz="8" w:space="0" w:color="auto"/>
            </w:tcBorders>
            <w:shd w:val="clear" w:color="auto" w:fill="auto"/>
            <w:noWrap/>
            <w:vAlign w:val="center"/>
            <w:hideMark/>
          </w:tcPr>
          <w:p w14:paraId="09816AF0"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116</w:t>
            </w:r>
          </w:p>
        </w:tc>
        <w:tc>
          <w:tcPr>
            <w:tcW w:w="672" w:type="pct"/>
            <w:tcBorders>
              <w:top w:val="nil"/>
              <w:left w:val="nil"/>
              <w:bottom w:val="single" w:sz="8" w:space="0" w:color="auto"/>
              <w:right w:val="single" w:sz="8" w:space="0" w:color="auto"/>
            </w:tcBorders>
            <w:shd w:val="clear" w:color="auto" w:fill="auto"/>
            <w:noWrap/>
            <w:vAlign w:val="center"/>
            <w:hideMark/>
          </w:tcPr>
          <w:p w14:paraId="44F02B51" w14:textId="77777777" w:rsidR="00815332" w:rsidRPr="00815332" w:rsidRDefault="00815332" w:rsidP="00815332">
            <w:pPr>
              <w:spacing w:after="0" w:line="240" w:lineRule="auto"/>
              <w:jc w:val="center"/>
              <w:rPr>
                <w:rFonts w:ascii="Book Antiqua" w:eastAsia="Times New Roman" w:hAnsi="Book Antiqua" w:cs="Calibri"/>
                <w:color w:val="000000"/>
                <w:lang w:eastAsia="es-CR"/>
              </w:rPr>
            </w:pPr>
            <w:r w:rsidRPr="00815332">
              <w:rPr>
                <w:rFonts w:ascii="Book Antiqua" w:eastAsia="Times New Roman" w:hAnsi="Book Antiqua" w:cs="Calibri"/>
                <w:color w:val="000000"/>
                <w:lang w:eastAsia="es-CR"/>
              </w:rPr>
              <w:t>0,47%</w:t>
            </w:r>
          </w:p>
        </w:tc>
      </w:tr>
      <w:tr w:rsidR="00815332" w:rsidRPr="00815332" w14:paraId="7EDD7211" w14:textId="77777777" w:rsidTr="00815332">
        <w:trPr>
          <w:trHeight w:val="300"/>
        </w:trPr>
        <w:tc>
          <w:tcPr>
            <w:tcW w:w="3687" w:type="pct"/>
            <w:tcBorders>
              <w:top w:val="nil"/>
              <w:left w:val="single" w:sz="8" w:space="0" w:color="auto"/>
              <w:bottom w:val="single" w:sz="8" w:space="0" w:color="auto"/>
              <w:right w:val="single" w:sz="8" w:space="0" w:color="auto"/>
            </w:tcBorders>
            <w:shd w:val="clear" w:color="000000" w:fill="808080"/>
            <w:noWrap/>
            <w:vAlign w:val="center"/>
            <w:hideMark/>
          </w:tcPr>
          <w:p w14:paraId="2B43AE52" w14:textId="77777777" w:rsidR="00815332" w:rsidRPr="00815332" w:rsidRDefault="00815332" w:rsidP="00815332">
            <w:pPr>
              <w:spacing w:after="0" w:line="240" w:lineRule="auto"/>
              <w:jc w:val="right"/>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Total</w:t>
            </w:r>
          </w:p>
        </w:tc>
        <w:tc>
          <w:tcPr>
            <w:tcW w:w="641" w:type="pct"/>
            <w:tcBorders>
              <w:top w:val="nil"/>
              <w:left w:val="nil"/>
              <w:bottom w:val="single" w:sz="8" w:space="0" w:color="auto"/>
              <w:right w:val="single" w:sz="8" w:space="0" w:color="auto"/>
            </w:tcBorders>
            <w:shd w:val="clear" w:color="000000" w:fill="808080"/>
            <w:noWrap/>
            <w:vAlign w:val="center"/>
            <w:hideMark/>
          </w:tcPr>
          <w:p w14:paraId="5E834745" w14:textId="77777777" w:rsidR="00815332" w:rsidRPr="00815332" w:rsidRDefault="00815332" w:rsidP="00815332">
            <w:pPr>
              <w:spacing w:after="0" w:line="240" w:lineRule="auto"/>
              <w:jc w:val="center"/>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24626</w:t>
            </w:r>
          </w:p>
        </w:tc>
        <w:tc>
          <w:tcPr>
            <w:tcW w:w="672" w:type="pct"/>
            <w:tcBorders>
              <w:top w:val="nil"/>
              <w:left w:val="nil"/>
              <w:bottom w:val="single" w:sz="8" w:space="0" w:color="auto"/>
              <w:right w:val="single" w:sz="8" w:space="0" w:color="auto"/>
            </w:tcBorders>
            <w:shd w:val="clear" w:color="000000" w:fill="808080"/>
            <w:noWrap/>
            <w:vAlign w:val="center"/>
            <w:hideMark/>
          </w:tcPr>
          <w:p w14:paraId="6D5206D8" w14:textId="77777777" w:rsidR="00815332" w:rsidRPr="00815332" w:rsidRDefault="00815332" w:rsidP="00815332">
            <w:pPr>
              <w:spacing w:after="0" w:line="240" w:lineRule="auto"/>
              <w:jc w:val="center"/>
              <w:rPr>
                <w:rFonts w:ascii="Book Antiqua" w:eastAsia="Times New Roman" w:hAnsi="Book Antiqua" w:cs="Calibri"/>
                <w:color w:val="FFFFFF"/>
                <w:lang w:eastAsia="es-CR"/>
              </w:rPr>
            </w:pPr>
            <w:r w:rsidRPr="00815332">
              <w:rPr>
                <w:rFonts w:ascii="Book Antiqua" w:eastAsia="Times New Roman" w:hAnsi="Book Antiqua" w:cs="Calibri"/>
                <w:color w:val="FFFFFF"/>
                <w:lang w:eastAsia="es-CR"/>
              </w:rPr>
              <w:t>100%</w:t>
            </w:r>
          </w:p>
        </w:tc>
      </w:tr>
    </w:tbl>
    <w:p w14:paraId="3E4105D1" w14:textId="079D665C" w:rsidR="009E2EC5" w:rsidRPr="00815332" w:rsidRDefault="00815332" w:rsidP="009C01E1">
      <w:pPr>
        <w:spacing w:line="276" w:lineRule="auto"/>
        <w:jc w:val="both"/>
        <w:rPr>
          <w:rFonts w:ascii="Book Antiqua" w:hAnsi="Book Antiqua"/>
          <w:i/>
          <w:iCs/>
          <w:sz w:val="20"/>
          <w:szCs w:val="20"/>
        </w:rPr>
      </w:pPr>
      <w:r w:rsidRPr="00815332">
        <w:rPr>
          <w:rFonts w:ascii="Book Antiqua" w:hAnsi="Book Antiqua"/>
          <w:i/>
          <w:iCs/>
          <w:sz w:val="20"/>
          <w:szCs w:val="20"/>
        </w:rPr>
        <w:t>Fuente: Subproceso de Modernización Institucional, con datos del Subproceso de Estadística del 201</w:t>
      </w:r>
      <w:r>
        <w:rPr>
          <w:rFonts w:ascii="Book Antiqua" w:hAnsi="Book Antiqua"/>
          <w:i/>
          <w:iCs/>
          <w:sz w:val="20"/>
          <w:szCs w:val="20"/>
        </w:rPr>
        <w:t>7</w:t>
      </w:r>
      <w:r w:rsidRPr="00815332">
        <w:rPr>
          <w:rFonts w:ascii="Book Antiqua" w:hAnsi="Book Antiqua"/>
          <w:i/>
          <w:iCs/>
          <w:sz w:val="20"/>
          <w:szCs w:val="20"/>
        </w:rPr>
        <w:t xml:space="preserve"> al 20</w:t>
      </w:r>
      <w:r>
        <w:rPr>
          <w:rFonts w:ascii="Book Antiqua" w:hAnsi="Book Antiqua"/>
          <w:i/>
          <w:iCs/>
          <w:sz w:val="20"/>
          <w:szCs w:val="20"/>
        </w:rPr>
        <w:t>2</w:t>
      </w:r>
      <w:r w:rsidRPr="00815332">
        <w:rPr>
          <w:rFonts w:ascii="Book Antiqua" w:hAnsi="Book Antiqua"/>
          <w:i/>
          <w:iCs/>
          <w:sz w:val="20"/>
          <w:szCs w:val="20"/>
        </w:rPr>
        <w:t>1.</w:t>
      </w:r>
    </w:p>
    <w:p w14:paraId="29E78687" w14:textId="5F7DE8E6" w:rsidR="00B34616" w:rsidRPr="00B34616" w:rsidRDefault="00B34616" w:rsidP="00B34616">
      <w:pPr>
        <w:spacing w:after="0" w:line="276" w:lineRule="auto"/>
        <w:jc w:val="both"/>
        <w:rPr>
          <w:rFonts w:ascii="Book Antiqua" w:eastAsia="Calibri" w:hAnsi="Book Antiqua" w:cs="Arial"/>
          <w:sz w:val="24"/>
          <w:szCs w:val="24"/>
        </w:rPr>
      </w:pPr>
      <w:r w:rsidRPr="00B34616">
        <w:rPr>
          <w:rFonts w:ascii="Book Antiqua" w:eastAsia="Calibri" w:hAnsi="Book Antiqua" w:cs="Arial"/>
          <w:sz w:val="24"/>
          <w:szCs w:val="24"/>
        </w:rPr>
        <w:lastRenderedPageBreak/>
        <w:t xml:space="preserve">El cuadro anterior resume la distribución promedio de la entrada de los casos por tipo de asunto durante los últimos cinco años en la materia de Familia; se visualiza que el tipo de asunto con mayor cantidad es el Divorcio por mutuo acuerdo o separación judicial por mutuo acuerdo con </w:t>
      </w:r>
      <w:r w:rsidRPr="00815332">
        <w:rPr>
          <w:rFonts w:ascii="Book Antiqua" w:eastAsia="Calibri" w:hAnsi="Book Antiqua" w:cs="Arial"/>
          <w:sz w:val="24"/>
          <w:szCs w:val="24"/>
        </w:rPr>
        <w:t>8</w:t>
      </w:r>
      <w:r w:rsidR="00815332">
        <w:rPr>
          <w:rFonts w:ascii="Book Antiqua" w:eastAsia="Calibri" w:hAnsi="Book Antiqua" w:cs="Arial"/>
          <w:sz w:val="24"/>
          <w:szCs w:val="24"/>
        </w:rPr>
        <w:t xml:space="preserve"> </w:t>
      </w:r>
      <w:r w:rsidR="00815332" w:rsidRPr="00815332">
        <w:rPr>
          <w:rFonts w:ascii="Book Antiqua" w:eastAsia="Calibri" w:hAnsi="Book Antiqua" w:cs="Arial"/>
          <w:sz w:val="24"/>
          <w:szCs w:val="24"/>
        </w:rPr>
        <w:t>696</w:t>
      </w:r>
      <w:r w:rsidRPr="00815332">
        <w:rPr>
          <w:rFonts w:ascii="Book Antiqua" w:eastAsia="Calibri" w:hAnsi="Book Antiqua" w:cs="Arial"/>
          <w:sz w:val="24"/>
          <w:szCs w:val="24"/>
        </w:rPr>
        <w:t xml:space="preserve"> c</w:t>
      </w:r>
      <w:r w:rsidRPr="00B34616">
        <w:rPr>
          <w:rFonts w:ascii="Book Antiqua" w:eastAsia="Calibri" w:hAnsi="Book Antiqua" w:cs="Arial"/>
          <w:sz w:val="24"/>
          <w:szCs w:val="24"/>
        </w:rPr>
        <w:t xml:space="preserve">asos, lo que representa un </w:t>
      </w:r>
      <w:r w:rsidRPr="00815332">
        <w:rPr>
          <w:rFonts w:ascii="Book Antiqua" w:eastAsia="Calibri" w:hAnsi="Book Antiqua" w:cs="Arial"/>
          <w:sz w:val="24"/>
          <w:szCs w:val="24"/>
        </w:rPr>
        <w:t>3</w:t>
      </w:r>
      <w:r w:rsidR="00815332" w:rsidRPr="00815332">
        <w:rPr>
          <w:rFonts w:ascii="Book Antiqua" w:eastAsia="Calibri" w:hAnsi="Book Antiqua" w:cs="Arial"/>
          <w:sz w:val="24"/>
          <w:szCs w:val="24"/>
        </w:rPr>
        <w:t>5</w:t>
      </w:r>
      <w:r w:rsidRPr="00815332">
        <w:rPr>
          <w:rFonts w:ascii="Book Antiqua" w:eastAsia="Calibri" w:hAnsi="Book Antiqua" w:cs="Arial"/>
          <w:sz w:val="24"/>
          <w:szCs w:val="24"/>
        </w:rPr>
        <w:t>,</w:t>
      </w:r>
      <w:r w:rsidR="00815332" w:rsidRPr="00815332">
        <w:rPr>
          <w:rFonts w:ascii="Book Antiqua" w:eastAsia="Calibri" w:hAnsi="Book Antiqua" w:cs="Arial"/>
          <w:sz w:val="24"/>
          <w:szCs w:val="24"/>
        </w:rPr>
        <w:t>3</w:t>
      </w:r>
      <w:r w:rsidR="00815332">
        <w:rPr>
          <w:rFonts w:ascii="Book Antiqua" w:eastAsia="Calibri" w:hAnsi="Book Antiqua" w:cs="Arial"/>
          <w:sz w:val="24"/>
          <w:szCs w:val="24"/>
        </w:rPr>
        <w:t>1</w:t>
      </w:r>
      <w:r w:rsidRPr="00815332">
        <w:rPr>
          <w:rFonts w:ascii="Book Antiqua" w:eastAsia="Calibri" w:hAnsi="Book Antiqua" w:cs="Arial"/>
          <w:sz w:val="24"/>
          <w:szCs w:val="24"/>
        </w:rPr>
        <w:t>%,</w:t>
      </w:r>
      <w:r w:rsidRPr="00B34616">
        <w:rPr>
          <w:rFonts w:ascii="Book Antiqua" w:eastAsia="Calibri" w:hAnsi="Book Antiqua" w:cs="Arial"/>
          <w:sz w:val="24"/>
          <w:szCs w:val="24"/>
        </w:rPr>
        <w:t xml:space="preserve"> seguido del Divorcio </w:t>
      </w:r>
      <w:r w:rsidRPr="00815332">
        <w:rPr>
          <w:rFonts w:ascii="Book Antiqua" w:eastAsia="Calibri" w:hAnsi="Book Antiqua" w:cs="Arial"/>
          <w:sz w:val="24"/>
          <w:szCs w:val="24"/>
        </w:rPr>
        <w:t>con 2</w:t>
      </w:r>
      <w:r w:rsidR="00815332" w:rsidRPr="00815332">
        <w:rPr>
          <w:rFonts w:ascii="Book Antiqua" w:eastAsia="Calibri" w:hAnsi="Book Antiqua" w:cs="Arial"/>
          <w:sz w:val="24"/>
          <w:szCs w:val="24"/>
        </w:rPr>
        <w:t xml:space="preserve"> </w:t>
      </w:r>
      <w:r w:rsidRPr="00815332">
        <w:rPr>
          <w:rFonts w:ascii="Book Antiqua" w:eastAsia="Calibri" w:hAnsi="Book Antiqua" w:cs="Arial"/>
          <w:sz w:val="24"/>
          <w:szCs w:val="24"/>
        </w:rPr>
        <w:t>4</w:t>
      </w:r>
      <w:r w:rsidR="00815332" w:rsidRPr="00815332">
        <w:rPr>
          <w:rFonts w:ascii="Book Antiqua" w:eastAsia="Calibri" w:hAnsi="Book Antiqua" w:cs="Arial"/>
          <w:sz w:val="24"/>
          <w:szCs w:val="24"/>
        </w:rPr>
        <w:t>50</w:t>
      </w:r>
      <w:r w:rsidRPr="00815332">
        <w:rPr>
          <w:rFonts w:ascii="Book Antiqua" w:eastAsia="Calibri" w:hAnsi="Book Antiqua" w:cs="Arial"/>
          <w:sz w:val="24"/>
          <w:szCs w:val="24"/>
        </w:rPr>
        <w:t xml:space="preserve"> exp</w:t>
      </w:r>
      <w:r w:rsidRPr="00B34616">
        <w:rPr>
          <w:rFonts w:ascii="Book Antiqua" w:eastAsia="Calibri" w:hAnsi="Book Antiqua" w:cs="Arial"/>
          <w:sz w:val="24"/>
          <w:szCs w:val="24"/>
        </w:rPr>
        <w:t xml:space="preserve">edientes equivalentes a un </w:t>
      </w:r>
      <w:r w:rsidR="00815332">
        <w:rPr>
          <w:rFonts w:ascii="Book Antiqua" w:eastAsia="Calibri" w:hAnsi="Book Antiqua" w:cs="Arial"/>
          <w:sz w:val="24"/>
          <w:szCs w:val="24"/>
        </w:rPr>
        <w:t>9,95</w:t>
      </w:r>
      <w:r w:rsidRPr="00B34616">
        <w:rPr>
          <w:rFonts w:ascii="Book Antiqua" w:eastAsia="Calibri" w:hAnsi="Book Antiqua" w:cs="Arial"/>
          <w:sz w:val="24"/>
          <w:szCs w:val="24"/>
        </w:rPr>
        <w:t xml:space="preserve">%, en tercer lugar están los asuntos de Interrelación familiar (régimen de visitas) con </w:t>
      </w:r>
      <w:r w:rsidRPr="00815332">
        <w:rPr>
          <w:rFonts w:ascii="Book Antiqua" w:eastAsia="Calibri" w:hAnsi="Book Antiqua" w:cs="Arial"/>
          <w:sz w:val="24"/>
          <w:szCs w:val="24"/>
        </w:rPr>
        <w:t>1</w:t>
      </w:r>
      <w:r w:rsidR="00815332" w:rsidRPr="00815332">
        <w:rPr>
          <w:rFonts w:ascii="Book Antiqua" w:eastAsia="Calibri" w:hAnsi="Book Antiqua" w:cs="Arial"/>
          <w:sz w:val="24"/>
          <w:szCs w:val="24"/>
        </w:rPr>
        <w:t xml:space="preserve"> 6</w:t>
      </w:r>
      <w:r w:rsidRPr="00815332">
        <w:rPr>
          <w:rFonts w:ascii="Book Antiqua" w:eastAsia="Calibri" w:hAnsi="Book Antiqua" w:cs="Arial"/>
          <w:sz w:val="24"/>
          <w:szCs w:val="24"/>
        </w:rPr>
        <w:t>8</w:t>
      </w:r>
      <w:r w:rsidR="00815332" w:rsidRPr="00815332">
        <w:rPr>
          <w:rFonts w:ascii="Book Antiqua" w:eastAsia="Calibri" w:hAnsi="Book Antiqua" w:cs="Arial"/>
          <w:sz w:val="24"/>
          <w:szCs w:val="24"/>
        </w:rPr>
        <w:t>0</w:t>
      </w:r>
      <w:r w:rsidRPr="00815332">
        <w:rPr>
          <w:rFonts w:ascii="Book Antiqua" w:eastAsia="Calibri" w:hAnsi="Book Antiqua" w:cs="Arial"/>
          <w:sz w:val="24"/>
          <w:szCs w:val="24"/>
        </w:rPr>
        <w:t xml:space="preserve"> expedientes</w:t>
      </w:r>
      <w:r w:rsidRPr="00B34616">
        <w:rPr>
          <w:rFonts w:ascii="Book Antiqua" w:eastAsia="Calibri" w:hAnsi="Book Antiqua" w:cs="Arial"/>
          <w:sz w:val="24"/>
          <w:szCs w:val="24"/>
        </w:rPr>
        <w:t xml:space="preserve"> para un </w:t>
      </w:r>
      <w:r w:rsidR="00815332">
        <w:rPr>
          <w:rFonts w:ascii="Book Antiqua" w:eastAsia="Calibri" w:hAnsi="Book Antiqua" w:cs="Arial"/>
          <w:sz w:val="24"/>
          <w:szCs w:val="24"/>
        </w:rPr>
        <w:t>6</w:t>
      </w:r>
      <w:r w:rsidRPr="00B34616">
        <w:rPr>
          <w:rFonts w:ascii="Book Antiqua" w:eastAsia="Calibri" w:hAnsi="Book Antiqua" w:cs="Arial"/>
          <w:sz w:val="24"/>
          <w:szCs w:val="24"/>
        </w:rPr>
        <w:t>,</w:t>
      </w:r>
      <w:r w:rsidR="00815332">
        <w:rPr>
          <w:rFonts w:ascii="Book Antiqua" w:eastAsia="Calibri" w:hAnsi="Book Antiqua" w:cs="Arial"/>
          <w:sz w:val="24"/>
          <w:szCs w:val="24"/>
        </w:rPr>
        <w:t>82</w:t>
      </w:r>
      <w:r w:rsidRPr="00B34616">
        <w:rPr>
          <w:rFonts w:ascii="Book Antiqua" w:eastAsia="Calibri" w:hAnsi="Book Antiqua" w:cs="Arial"/>
          <w:sz w:val="24"/>
          <w:szCs w:val="24"/>
        </w:rPr>
        <w:t xml:space="preserve">%, y por último, se tienen todos los demás procesos como: </w:t>
      </w:r>
      <w:r w:rsidR="00815332">
        <w:rPr>
          <w:rFonts w:ascii="Book Antiqua" w:eastAsia="Calibri" w:hAnsi="Book Antiqua" w:cs="Arial"/>
          <w:sz w:val="24"/>
          <w:szCs w:val="24"/>
        </w:rPr>
        <w:t>depósito judicial (3,47%), celebración de matrimonio (3,47%), salvaguardia (3,37</w:t>
      </w:r>
      <w:r w:rsidR="005A2CCC">
        <w:rPr>
          <w:rFonts w:ascii="Book Antiqua" w:eastAsia="Calibri" w:hAnsi="Book Antiqua" w:cs="Arial"/>
          <w:sz w:val="24"/>
          <w:szCs w:val="24"/>
        </w:rPr>
        <w:t>%</w:t>
      </w:r>
      <w:r w:rsidR="00815332">
        <w:rPr>
          <w:rFonts w:ascii="Book Antiqua" w:eastAsia="Calibri" w:hAnsi="Book Antiqua" w:cs="Arial"/>
          <w:sz w:val="24"/>
          <w:szCs w:val="24"/>
        </w:rPr>
        <w:t xml:space="preserve">), </w:t>
      </w:r>
      <w:r w:rsidRPr="00815332">
        <w:rPr>
          <w:rFonts w:ascii="Book Antiqua" w:eastAsia="Calibri" w:hAnsi="Book Antiqua" w:cs="Arial"/>
          <w:sz w:val="24"/>
          <w:szCs w:val="24"/>
        </w:rPr>
        <w:t>reconocimiento de hija o de hijo de mujer casada no contencioso (3,</w:t>
      </w:r>
      <w:r w:rsidR="00815332" w:rsidRPr="00815332">
        <w:rPr>
          <w:rFonts w:ascii="Book Antiqua" w:eastAsia="Calibri" w:hAnsi="Book Antiqua" w:cs="Arial"/>
          <w:sz w:val="24"/>
          <w:szCs w:val="24"/>
        </w:rPr>
        <w:t>02</w:t>
      </w:r>
      <w:r w:rsidRPr="00815332">
        <w:rPr>
          <w:rFonts w:ascii="Book Antiqua" w:eastAsia="Calibri" w:hAnsi="Book Antiqua" w:cs="Arial"/>
          <w:sz w:val="24"/>
          <w:szCs w:val="24"/>
        </w:rPr>
        <w:t>%); entre</w:t>
      </w:r>
      <w:r w:rsidRPr="00B34616">
        <w:rPr>
          <w:rFonts w:ascii="Book Antiqua" w:eastAsia="Calibri" w:hAnsi="Book Antiqua" w:cs="Arial"/>
          <w:sz w:val="24"/>
          <w:szCs w:val="24"/>
        </w:rPr>
        <w:t xml:space="preserve"> otros, se agruparon en un solo dato los demás procesos que corresponde a “Otros asuntos” o que su entrada anual es menor de 100 casos, para un total de </w:t>
      </w:r>
      <w:r w:rsidR="005A2CCC">
        <w:rPr>
          <w:rFonts w:ascii="Book Antiqua" w:eastAsia="Calibri" w:hAnsi="Book Antiqua" w:cs="Arial"/>
          <w:sz w:val="24"/>
          <w:szCs w:val="24"/>
        </w:rPr>
        <w:t>886</w:t>
      </w:r>
      <w:r w:rsidRPr="00B34616">
        <w:rPr>
          <w:rFonts w:ascii="Book Antiqua" w:eastAsia="Calibri" w:hAnsi="Book Antiqua" w:cs="Arial"/>
          <w:sz w:val="24"/>
          <w:szCs w:val="24"/>
        </w:rPr>
        <w:t xml:space="preserve"> asuntos que sumados representan un </w:t>
      </w:r>
      <w:r w:rsidR="005A2CCC">
        <w:rPr>
          <w:rFonts w:ascii="Book Antiqua" w:eastAsia="Calibri" w:hAnsi="Book Antiqua" w:cs="Arial"/>
          <w:sz w:val="24"/>
          <w:szCs w:val="24"/>
        </w:rPr>
        <w:t>3</w:t>
      </w:r>
      <w:r w:rsidRPr="00B34616">
        <w:rPr>
          <w:rFonts w:ascii="Book Antiqua" w:eastAsia="Calibri" w:hAnsi="Book Antiqua" w:cs="Arial"/>
          <w:sz w:val="24"/>
          <w:szCs w:val="24"/>
        </w:rPr>
        <w:t>,</w:t>
      </w:r>
      <w:r w:rsidR="005A2CCC">
        <w:rPr>
          <w:rFonts w:ascii="Book Antiqua" w:eastAsia="Calibri" w:hAnsi="Book Antiqua" w:cs="Arial"/>
          <w:sz w:val="24"/>
          <w:szCs w:val="24"/>
        </w:rPr>
        <w:t>60</w:t>
      </w:r>
      <w:r w:rsidRPr="00B34616">
        <w:rPr>
          <w:rFonts w:ascii="Book Antiqua" w:eastAsia="Calibri" w:hAnsi="Book Antiqua" w:cs="Arial"/>
          <w:sz w:val="24"/>
          <w:szCs w:val="24"/>
        </w:rPr>
        <w:t>% de la entrada según el tipo de asunto.</w:t>
      </w:r>
    </w:p>
    <w:p w14:paraId="3220C44F" w14:textId="77777777" w:rsidR="00B34616" w:rsidRPr="00B34616" w:rsidRDefault="00B34616" w:rsidP="00B34616">
      <w:pPr>
        <w:spacing w:after="0" w:line="276" w:lineRule="auto"/>
        <w:jc w:val="both"/>
        <w:rPr>
          <w:rFonts w:ascii="Book Antiqua" w:eastAsia="Calibri" w:hAnsi="Book Antiqua" w:cs="Arial"/>
          <w:sz w:val="24"/>
          <w:szCs w:val="24"/>
        </w:rPr>
      </w:pPr>
    </w:p>
    <w:p w14:paraId="2E17C751" w14:textId="239E808F" w:rsidR="00B34616" w:rsidRPr="00B34616" w:rsidRDefault="00B34616" w:rsidP="00B34616">
      <w:pPr>
        <w:spacing w:after="0" w:line="276" w:lineRule="auto"/>
        <w:jc w:val="both"/>
        <w:rPr>
          <w:rFonts w:ascii="Book Antiqua" w:eastAsia="Calibri" w:hAnsi="Book Antiqua" w:cs="Arial"/>
          <w:sz w:val="24"/>
          <w:szCs w:val="24"/>
          <w:highlight w:val="yellow"/>
        </w:rPr>
      </w:pPr>
      <w:r w:rsidRPr="00B34616">
        <w:rPr>
          <w:rFonts w:ascii="Book Antiqua" w:eastAsia="Calibri" w:hAnsi="Book Antiqua" w:cs="Arial"/>
          <w:sz w:val="24"/>
          <w:szCs w:val="24"/>
        </w:rPr>
        <w:t xml:space="preserve">Es importante mencionar que a partir del 28 de mayo de 2020 se previó un aumento en los matrimonios registrados y divorcios por la posibilidad legal de realizar uniones de personas del mismo sexo, sin embargo, al revisar la estadística de 2020 no se hace una diferenciación en estos matrimonios, por lo tanto, no es posible contabilizarlos, sin embargo, se consultó al Juez Gestor en la materia el Licenciado Cristian </w:t>
      </w:r>
      <w:r w:rsidR="001741E7" w:rsidRPr="00B34616">
        <w:rPr>
          <w:rFonts w:ascii="Book Antiqua" w:eastAsia="Calibri" w:hAnsi="Book Antiqua" w:cs="Arial"/>
          <w:sz w:val="24"/>
          <w:szCs w:val="24"/>
        </w:rPr>
        <w:t>Martíne</w:t>
      </w:r>
      <w:r w:rsidR="001741E7">
        <w:rPr>
          <w:rFonts w:ascii="Book Antiqua" w:eastAsia="Calibri" w:hAnsi="Book Antiqua" w:cs="Arial"/>
          <w:sz w:val="24"/>
          <w:szCs w:val="24"/>
        </w:rPr>
        <w:t>z</w:t>
      </w:r>
      <w:r w:rsidRPr="00B34616">
        <w:rPr>
          <w:rFonts w:ascii="Book Antiqua" w:eastAsia="Calibri" w:hAnsi="Book Antiqua" w:cs="Arial"/>
          <w:sz w:val="24"/>
          <w:szCs w:val="24"/>
        </w:rPr>
        <w:t xml:space="preserve"> Hernández quién indic</w:t>
      </w:r>
      <w:r w:rsidR="003137B7">
        <w:rPr>
          <w:rFonts w:ascii="Book Antiqua" w:eastAsia="Calibri" w:hAnsi="Book Antiqua" w:cs="Arial"/>
          <w:sz w:val="24"/>
          <w:szCs w:val="24"/>
        </w:rPr>
        <w:t>ó que</w:t>
      </w:r>
      <w:r w:rsidRPr="00B34616">
        <w:rPr>
          <w:rFonts w:ascii="Book Antiqua" w:eastAsia="Calibri" w:hAnsi="Book Antiqua" w:cs="Arial"/>
          <w:sz w:val="24"/>
          <w:szCs w:val="24"/>
        </w:rPr>
        <w:t xml:space="preserve"> la cantidad de matrimonios celebrados en los Juzgados de Familia entre personas del mismo sexo es mínima, y que a partir de la entrada en vigencia de la Ley 9747</w:t>
      </w:r>
      <w:r w:rsidR="009C20C5">
        <w:rPr>
          <w:rFonts w:ascii="Book Antiqua" w:eastAsia="Calibri" w:hAnsi="Book Antiqua" w:cs="Arial"/>
          <w:sz w:val="24"/>
          <w:szCs w:val="24"/>
        </w:rPr>
        <w:t>,</w:t>
      </w:r>
      <w:r w:rsidRPr="00B34616">
        <w:rPr>
          <w:rFonts w:ascii="Book Antiqua" w:eastAsia="Calibri" w:hAnsi="Book Antiqua" w:cs="Arial"/>
          <w:sz w:val="24"/>
          <w:szCs w:val="24"/>
        </w:rPr>
        <w:t xml:space="preserve"> los matrimonios ya no se celebrarían en instancia judicial.</w:t>
      </w:r>
    </w:p>
    <w:p w14:paraId="230B5742" w14:textId="6E0F87D0" w:rsidR="009E2EC5" w:rsidRDefault="009E2EC5" w:rsidP="009C01E1">
      <w:pPr>
        <w:spacing w:line="276" w:lineRule="auto"/>
        <w:jc w:val="both"/>
        <w:rPr>
          <w:rFonts w:ascii="Book Antiqua" w:hAnsi="Book Antiqua"/>
          <w:sz w:val="24"/>
          <w:szCs w:val="24"/>
        </w:rPr>
      </w:pPr>
    </w:p>
    <w:p w14:paraId="7D720DCB" w14:textId="77777777" w:rsidR="00B568E2" w:rsidRPr="008D6799" w:rsidRDefault="00B568E2"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Desglose de terminados</w:t>
      </w:r>
    </w:p>
    <w:p w14:paraId="64DA33FE" w14:textId="485519DD" w:rsidR="00931C46" w:rsidRDefault="00931C46" w:rsidP="009C01E1">
      <w:pPr>
        <w:spacing w:line="276" w:lineRule="auto"/>
        <w:jc w:val="both"/>
        <w:rPr>
          <w:rFonts w:ascii="Book Antiqua" w:hAnsi="Book Antiqua"/>
          <w:sz w:val="24"/>
          <w:szCs w:val="24"/>
        </w:rPr>
      </w:pPr>
    </w:p>
    <w:p w14:paraId="4E82B114" w14:textId="269FB225" w:rsidR="00727B0C" w:rsidRPr="00727B0C" w:rsidRDefault="00727B0C" w:rsidP="00727B0C">
      <w:pPr>
        <w:spacing w:after="0" w:line="276" w:lineRule="auto"/>
        <w:jc w:val="both"/>
        <w:rPr>
          <w:rFonts w:ascii="Book Antiqua" w:eastAsia="Calibri" w:hAnsi="Book Antiqua" w:cs="Arial"/>
          <w:sz w:val="24"/>
          <w:szCs w:val="24"/>
        </w:rPr>
      </w:pPr>
      <w:r w:rsidRPr="00727B0C">
        <w:rPr>
          <w:rFonts w:ascii="Book Antiqua" w:eastAsia="Calibri" w:hAnsi="Book Antiqua" w:cs="Arial"/>
          <w:sz w:val="24"/>
          <w:szCs w:val="24"/>
        </w:rPr>
        <w:t>Seguidamente se muestra el desglose de los asuntos terminados en los Juzgados Especializados de Familia, durante el periodo del 201</w:t>
      </w:r>
      <w:r w:rsidR="00EA782F">
        <w:rPr>
          <w:rFonts w:ascii="Book Antiqua" w:eastAsia="Calibri" w:hAnsi="Book Antiqua" w:cs="Arial"/>
          <w:sz w:val="24"/>
          <w:szCs w:val="24"/>
        </w:rPr>
        <w:t>7</w:t>
      </w:r>
      <w:r w:rsidRPr="00727B0C">
        <w:rPr>
          <w:rFonts w:ascii="Book Antiqua" w:eastAsia="Calibri" w:hAnsi="Book Antiqua" w:cs="Arial"/>
          <w:sz w:val="24"/>
          <w:szCs w:val="24"/>
        </w:rPr>
        <w:t xml:space="preserve"> al 20</w:t>
      </w:r>
      <w:r w:rsidR="00EA782F">
        <w:rPr>
          <w:rFonts w:ascii="Book Antiqua" w:eastAsia="Calibri" w:hAnsi="Book Antiqua" w:cs="Arial"/>
          <w:sz w:val="24"/>
          <w:szCs w:val="24"/>
        </w:rPr>
        <w:t>21</w:t>
      </w:r>
      <w:r w:rsidRPr="00727B0C">
        <w:rPr>
          <w:rFonts w:ascii="Book Antiqua" w:eastAsia="Calibri" w:hAnsi="Book Antiqua" w:cs="Arial"/>
          <w:sz w:val="24"/>
          <w:szCs w:val="24"/>
        </w:rPr>
        <w:t>.</w:t>
      </w:r>
    </w:p>
    <w:p w14:paraId="06D027E8" w14:textId="2DBC9232" w:rsidR="00727B0C" w:rsidRDefault="00727B0C" w:rsidP="00727B0C">
      <w:pPr>
        <w:spacing w:after="0" w:line="276" w:lineRule="auto"/>
        <w:jc w:val="both"/>
        <w:rPr>
          <w:rFonts w:ascii="Book Antiqua" w:eastAsia="Calibri" w:hAnsi="Book Antiqua" w:cs="Arial"/>
          <w:sz w:val="24"/>
          <w:szCs w:val="24"/>
        </w:rPr>
      </w:pPr>
    </w:p>
    <w:p w14:paraId="36415258" w14:textId="0300CD11" w:rsidR="0054258A" w:rsidRDefault="0054258A" w:rsidP="00727B0C">
      <w:pPr>
        <w:spacing w:after="0" w:line="276" w:lineRule="auto"/>
        <w:jc w:val="both"/>
        <w:rPr>
          <w:rFonts w:ascii="Book Antiqua" w:eastAsia="Calibri" w:hAnsi="Book Antiqua" w:cs="Arial"/>
          <w:sz w:val="24"/>
          <w:szCs w:val="24"/>
        </w:rPr>
      </w:pPr>
    </w:p>
    <w:p w14:paraId="50C7C982" w14:textId="618044C8" w:rsidR="0054258A" w:rsidRDefault="0054258A" w:rsidP="00727B0C">
      <w:pPr>
        <w:spacing w:after="0" w:line="276" w:lineRule="auto"/>
        <w:jc w:val="both"/>
        <w:rPr>
          <w:rFonts w:ascii="Book Antiqua" w:eastAsia="Calibri" w:hAnsi="Book Antiqua" w:cs="Arial"/>
          <w:sz w:val="24"/>
          <w:szCs w:val="24"/>
        </w:rPr>
      </w:pPr>
    </w:p>
    <w:p w14:paraId="10DB8680" w14:textId="77777777" w:rsidR="0054258A" w:rsidRPr="00727B0C" w:rsidRDefault="0054258A" w:rsidP="00727B0C">
      <w:pPr>
        <w:spacing w:after="0" w:line="276" w:lineRule="auto"/>
        <w:jc w:val="both"/>
        <w:rPr>
          <w:rFonts w:ascii="Book Antiqua" w:eastAsia="Calibri" w:hAnsi="Book Antiqua" w:cs="Arial"/>
          <w:sz w:val="24"/>
          <w:szCs w:val="24"/>
        </w:rPr>
      </w:pPr>
    </w:p>
    <w:p w14:paraId="7A97A860" w14:textId="0824914C" w:rsidR="00727B0C" w:rsidRPr="00727B0C" w:rsidRDefault="00727B0C" w:rsidP="00727B0C">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17" w:name="_Hlk31786305"/>
      <w:r w:rsidRPr="00727B0C">
        <w:rPr>
          <w:rFonts w:ascii="Book Antiqua" w:eastAsia="Calibri" w:hAnsi="Book Antiqua" w:cs="Arial"/>
          <w:b/>
          <w:bCs/>
          <w:color w:val="1F497D"/>
          <w:szCs w:val="24"/>
          <w:lang w:val="es-ES" w:eastAsia="es-ES"/>
        </w:rPr>
        <w:lastRenderedPageBreak/>
        <w:t xml:space="preserve">Gráfico </w:t>
      </w:r>
      <w:r w:rsidRPr="00727B0C">
        <w:rPr>
          <w:rFonts w:ascii="Book Antiqua" w:eastAsia="Calibri" w:hAnsi="Book Antiqua" w:cs="Arial"/>
          <w:b/>
          <w:bCs/>
          <w:color w:val="1F497D"/>
          <w:szCs w:val="24"/>
          <w:lang w:val="es-ES" w:eastAsia="es-ES"/>
        </w:rPr>
        <w:fldChar w:fldCharType="begin"/>
      </w:r>
      <w:r w:rsidRPr="00727B0C">
        <w:rPr>
          <w:rFonts w:ascii="Book Antiqua" w:eastAsia="Calibri" w:hAnsi="Book Antiqua" w:cs="Arial"/>
          <w:b/>
          <w:bCs/>
          <w:color w:val="1F497D"/>
          <w:szCs w:val="24"/>
          <w:lang w:val="es-ES" w:eastAsia="es-ES"/>
        </w:rPr>
        <w:instrText xml:space="preserve"> SEQ Gráfico \* ARABIC </w:instrText>
      </w:r>
      <w:r w:rsidRPr="00727B0C">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3</w:t>
      </w:r>
      <w:r w:rsidRPr="00727B0C">
        <w:rPr>
          <w:rFonts w:ascii="Book Antiqua" w:eastAsia="Calibri" w:hAnsi="Book Antiqua" w:cs="Arial"/>
          <w:b/>
          <w:bCs/>
          <w:color w:val="1F497D"/>
          <w:szCs w:val="24"/>
          <w:lang w:val="es-ES" w:eastAsia="es-ES"/>
        </w:rPr>
        <w:fldChar w:fldCharType="end"/>
      </w:r>
    </w:p>
    <w:bookmarkEnd w:id="17"/>
    <w:p w14:paraId="27235473" w14:textId="6821FA67" w:rsidR="00727B0C" w:rsidRPr="00727B0C" w:rsidRDefault="00727B0C" w:rsidP="00727B0C">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727B0C">
        <w:rPr>
          <w:rFonts w:ascii="Book Antiqua" w:eastAsia="Times New Roman" w:hAnsi="Book Antiqua" w:cs="Arial"/>
          <w:b/>
          <w:bCs/>
          <w:color w:val="1F497D"/>
          <w:sz w:val="24"/>
          <w:szCs w:val="24"/>
          <w:lang w:eastAsia="es-ES"/>
        </w:rPr>
        <w:t>Movimiento histórico de los asuntos terminados e inactivos en los Juzgados Especializados de la materia de Familia, del 201</w:t>
      </w:r>
      <w:r w:rsidR="00EA782F">
        <w:rPr>
          <w:rFonts w:ascii="Book Antiqua" w:eastAsia="Times New Roman" w:hAnsi="Book Antiqua" w:cs="Arial"/>
          <w:b/>
          <w:bCs/>
          <w:color w:val="1F497D"/>
          <w:sz w:val="24"/>
          <w:szCs w:val="24"/>
          <w:lang w:eastAsia="es-ES"/>
        </w:rPr>
        <w:t>7</w:t>
      </w:r>
      <w:r w:rsidRPr="00727B0C">
        <w:rPr>
          <w:rFonts w:ascii="Book Antiqua" w:eastAsia="Times New Roman" w:hAnsi="Book Antiqua" w:cs="Arial"/>
          <w:b/>
          <w:bCs/>
          <w:color w:val="1F497D"/>
          <w:sz w:val="24"/>
          <w:szCs w:val="24"/>
          <w:lang w:eastAsia="es-ES"/>
        </w:rPr>
        <w:t xml:space="preserve"> al 20</w:t>
      </w:r>
      <w:r w:rsidR="00EA782F">
        <w:rPr>
          <w:rFonts w:ascii="Book Antiqua" w:eastAsia="Times New Roman" w:hAnsi="Book Antiqua" w:cs="Arial"/>
          <w:b/>
          <w:bCs/>
          <w:color w:val="1F497D"/>
          <w:sz w:val="24"/>
          <w:szCs w:val="24"/>
          <w:lang w:eastAsia="es-ES"/>
        </w:rPr>
        <w:t>2</w:t>
      </w:r>
      <w:r w:rsidRPr="00727B0C">
        <w:rPr>
          <w:rFonts w:ascii="Book Antiqua" w:eastAsia="Times New Roman" w:hAnsi="Book Antiqua" w:cs="Arial"/>
          <w:b/>
          <w:bCs/>
          <w:color w:val="1F497D"/>
          <w:sz w:val="24"/>
          <w:szCs w:val="24"/>
          <w:lang w:eastAsia="es-ES"/>
        </w:rPr>
        <w:t>1</w:t>
      </w:r>
    </w:p>
    <w:p w14:paraId="03CE0303" w14:textId="4A6778B4" w:rsidR="008A5759" w:rsidRDefault="008A5759" w:rsidP="009C01E1">
      <w:pPr>
        <w:spacing w:line="276" w:lineRule="auto"/>
        <w:jc w:val="both"/>
        <w:rPr>
          <w:rFonts w:ascii="Book Antiqua" w:hAnsi="Book Antiqua"/>
          <w:sz w:val="24"/>
          <w:szCs w:val="24"/>
        </w:rPr>
      </w:pPr>
    </w:p>
    <w:p w14:paraId="7E8E65FB" w14:textId="2E349399" w:rsidR="006E2F7F" w:rsidRDefault="004D492B" w:rsidP="008764E4">
      <w:pPr>
        <w:spacing w:line="276" w:lineRule="auto"/>
        <w:jc w:val="center"/>
        <w:rPr>
          <w:rFonts w:ascii="Book Antiqua" w:hAnsi="Book Antiqua"/>
          <w:sz w:val="24"/>
          <w:szCs w:val="24"/>
        </w:rPr>
      </w:pPr>
      <w:r>
        <w:rPr>
          <w:noProof/>
        </w:rPr>
        <w:drawing>
          <wp:inline distT="0" distB="0" distL="0" distR="0" wp14:anchorId="320F22A9" wp14:editId="09B16B37">
            <wp:extent cx="4572000" cy="3086100"/>
            <wp:effectExtent l="0" t="0" r="0" b="0"/>
            <wp:docPr id="7" name="Gráfico 7">
              <a:extLst xmlns:a="http://schemas.openxmlformats.org/drawingml/2006/main">
                <a:ext uri="{FF2B5EF4-FFF2-40B4-BE49-F238E27FC236}">
                  <a16:creationId xmlns:a16="http://schemas.microsoft.com/office/drawing/2014/main" id="{AA7C9D30-D20A-4740-8AF2-7906DA66D9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8BDEE94" w14:textId="77777777" w:rsidR="00F17584" w:rsidRDefault="00F17584" w:rsidP="00680793">
      <w:pPr>
        <w:spacing w:after="0" w:line="276" w:lineRule="auto"/>
        <w:ind w:right="284" w:firstLine="851"/>
        <w:jc w:val="both"/>
        <w:rPr>
          <w:rFonts w:ascii="Book Antiqua" w:hAnsi="Book Antiqua"/>
          <w:i/>
          <w:iCs/>
          <w:sz w:val="20"/>
          <w:szCs w:val="20"/>
        </w:rPr>
      </w:pPr>
      <w:r w:rsidRPr="003001A9">
        <w:rPr>
          <w:rFonts w:ascii="Book Antiqua" w:hAnsi="Book Antiqua"/>
          <w:i/>
          <w:iCs/>
          <w:sz w:val="20"/>
          <w:szCs w:val="20"/>
        </w:rPr>
        <w:t xml:space="preserve">Fuente: Subproceso de Modernización Institucional, con datos del </w:t>
      </w:r>
      <w:r>
        <w:rPr>
          <w:rFonts w:ascii="Book Antiqua" w:hAnsi="Book Antiqua"/>
          <w:i/>
          <w:iCs/>
          <w:sz w:val="20"/>
          <w:szCs w:val="20"/>
        </w:rPr>
        <w:t xml:space="preserve">Subproceso de Estadística </w:t>
      </w:r>
    </w:p>
    <w:p w14:paraId="49765166" w14:textId="44DEBE02" w:rsidR="00F17584" w:rsidRPr="003001A9" w:rsidRDefault="00F17584" w:rsidP="00680793">
      <w:pPr>
        <w:spacing w:after="0" w:line="276" w:lineRule="auto"/>
        <w:ind w:left="851" w:right="284"/>
        <w:jc w:val="both"/>
        <w:rPr>
          <w:rFonts w:ascii="Book Antiqua" w:hAnsi="Book Antiqua"/>
          <w:i/>
          <w:iCs/>
          <w:sz w:val="20"/>
          <w:szCs w:val="20"/>
        </w:rPr>
      </w:pPr>
      <w:r>
        <w:rPr>
          <w:rFonts w:ascii="Book Antiqua" w:hAnsi="Book Antiqua"/>
          <w:i/>
          <w:iCs/>
          <w:sz w:val="20"/>
          <w:szCs w:val="20"/>
        </w:rPr>
        <w:t xml:space="preserve"> del 2017 al 2021</w:t>
      </w:r>
      <w:r w:rsidR="00A62F28">
        <w:rPr>
          <w:rFonts w:ascii="Book Antiqua" w:hAnsi="Book Antiqua"/>
          <w:i/>
          <w:iCs/>
          <w:sz w:val="20"/>
          <w:szCs w:val="20"/>
        </w:rPr>
        <w:t>.</w:t>
      </w:r>
      <w:r w:rsidR="00A13D39">
        <w:rPr>
          <w:rFonts w:ascii="Book Antiqua" w:hAnsi="Book Antiqua"/>
          <w:i/>
          <w:iCs/>
          <w:sz w:val="20"/>
          <w:szCs w:val="20"/>
        </w:rPr>
        <w:t xml:space="preserve"> Los casos inactivos </w:t>
      </w:r>
      <w:r w:rsidR="00DE3CC3">
        <w:rPr>
          <w:rFonts w:ascii="Book Antiqua" w:hAnsi="Book Antiqua"/>
          <w:i/>
          <w:iCs/>
          <w:sz w:val="20"/>
          <w:szCs w:val="20"/>
        </w:rPr>
        <w:t xml:space="preserve">son aquellos expedientes que tengan </w:t>
      </w:r>
      <w:r w:rsidR="003334CB">
        <w:rPr>
          <w:rFonts w:ascii="Book Antiqua" w:hAnsi="Book Antiqua"/>
          <w:i/>
          <w:iCs/>
          <w:sz w:val="20"/>
          <w:szCs w:val="20"/>
        </w:rPr>
        <w:t>seis meses (</w:t>
      </w:r>
      <w:r w:rsidR="00E62B91">
        <w:rPr>
          <w:rFonts w:ascii="Book Antiqua" w:hAnsi="Book Antiqua"/>
          <w:i/>
          <w:iCs/>
          <w:sz w:val="20"/>
          <w:szCs w:val="20"/>
        </w:rPr>
        <w:t>en expedientes principales)</w:t>
      </w:r>
      <w:r w:rsidR="004274E9">
        <w:rPr>
          <w:rFonts w:ascii="Book Antiqua" w:hAnsi="Book Antiqua"/>
          <w:i/>
          <w:iCs/>
          <w:sz w:val="20"/>
          <w:szCs w:val="20"/>
        </w:rPr>
        <w:t xml:space="preserve"> o un mes </w:t>
      </w:r>
      <w:r w:rsidR="003D357B">
        <w:rPr>
          <w:rFonts w:ascii="Book Antiqua" w:hAnsi="Book Antiqua"/>
          <w:i/>
          <w:iCs/>
          <w:sz w:val="20"/>
          <w:szCs w:val="20"/>
        </w:rPr>
        <w:t>(en procesos incidentales)</w:t>
      </w:r>
      <w:r w:rsidR="00B82895">
        <w:rPr>
          <w:rFonts w:ascii="Book Antiqua" w:hAnsi="Book Antiqua"/>
          <w:i/>
          <w:iCs/>
          <w:sz w:val="20"/>
          <w:szCs w:val="20"/>
        </w:rPr>
        <w:t xml:space="preserve"> de no cumplir con las prev</w:t>
      </w:r>
      <w:r w:rsidR="0008797E">
        <w:rPr>
          <w:rFonts w:ascii="Book Antiqua" w:hAnsi="Book Antiqua"/>
          <w:i/>
          <w:iCs/>
          <w:sz w:val="20"/>
          <w:szCs w:val="20"/>
        </w:rPr>
        <w:t xml:space="preserve">enciones hechas </w:t>
      </w:r>
      <w:r w:rsidR="00C5386B">
        <w:rPr>
          <w:rFonts w:ascii="Book Antiqua" w:hAnsi="Book Antiqua"/>
          <w:i/>
          <w:iCs/>
          <w:sz w:val="20"/>
          <w:szCs w:val="20"/>
        </w:rPr>
        <w:t xml:space="preserve">a la parte promovente del proceso </w:t>
      </w:r>
      <w:r w:rsidR="00803B4E">
        <w:rPr>
          <w:rFonts w:ascii="Book Antiqua" w:hAnsi="Book Antiqua"/>
          <w:i/>
          <w:iCs/>
          <w:sz w:val="20"/>
          <w:szCs w:val="20"/>
        </w:rPr>
        <w:t>para proseguir el mismo</w:t>
      </w:r>
      <w:r>
        <w:rPr>
          <w:rFonts w:ascii="Book Antiqua" w:hAnsi="Book Antiqua"/>
          <w:i/>
          <w:iCs/>
          <w:sz w:val="20"/>
          <w:szCs w:val="20"/>
        </w:rPr>
        <w:t>.</w:t>
      </w:r>
      <w:r w:rsidR="00615AC9">
        <w:rPr>
          <w:rFonts w:ascii="Book Antiqua" w:hAnsi="Book Antiqua"/>
          <w:i/>
          <w:iCs/>
          <w:sz w:val="20"/>
          <w:szCs w:val="20"/>
        </w:rPr>
        <w:t xml:space="preserve"> Cuando la parte no impulsa el proceso </w:t>
      </w:r>
      <w:r w:rsidR="00DD3F78">
        <w:rPr>
          <w:rFonts w:ascii="Book Antiqua" w:hAnsi="Book Antiqua"/>
          <w:i/>
          <w:iCs/>
          <w:sz w:val="20"/>
          <w:szCs w:val="20"/>
        </w:rPr>
        <w:t>por más de tres meses.</w:t>
      </w:r>
    </w:p>
    <w:p w14:paraId="3F60BB86" w14:textId="77777777" w:rsidR="00AB4052" w:rsidRDefault="00AB4052" w:rsidP="00495801">
      <w:pPr>
        <w:spacing w:after="0" w:line="276" w:lineRule="auto"/>
        <w:jc w:val="both"/>
        <w:rPr>
          <w:rFonts w:ascii="Book Antiqua" w:hAnsi="Book Antiqua"/>
          <w:sz w:val="24"/>
          <w:szCs w:val="24"/>
        </w:rPr>
      </w:pPr>
    </w:p>
    <w:p w14:paraId="68F1CD07" w14:textId="6173FF3F" w:rsidR="00495801" w:rsidRPr="00495801" w:rsidRDefault="00495801" w:rsidP="00495801">
      <w:pPr>
        <w:spacing w:after="0" w:line="276" w:lineRule="auto"/>
        <w:jc w:val="both"/>
        <w:rPr>
          <w:rFonts w:ascii="Book Antiqua" w:eastAsia="Calibri" w:hAnsi="Book Antiqua" w:cs="Arial"/>
          <w:sz w:val="24"/>
          <w:szCs w:val="24"/>
        </w:rPr>
      </w:pPr>
      <w:r w:rsidRPr="00495801">
        <w:rPr>
          <w:rFonts w:ascii="Book Antiqua" w:eastAsia="Calibri" w:hAnsi="Book Antiqua" w:cs="Arial"/>
          <w:sz w:val="24"/>
          <w:szCs w:val="24"/>
        </w:rPr>
        <w:t>En cuanto a la cantidad de asuntos terminados e inactivos en los Juzgados Especializados de Familia, durante los últimos cinco años, no es constante, el 20</w:t>
      </w:r>
      <w:r w:rsidR="000530C0">
        <w:rPr>
          <w:rFonts w:ascii="Book Antiqua" w:eastAsia="Calibri" w:hAnsi="Book Antiqua" w:cs="Arial"/>
          <w:sz w:val="24"/>
          <w:szCs w:val="24"/>
        </w:rPr>
        <w:t>21</w:t>
      </w:r>
      <w:r w:rsidRPr="00495801">
        <w:rPr>
          <w:rFonts w:ascii="Book Antiqua" w:eastAsia="Calibri" w:hAnsi="Book Antiqua" w:cs="Arial"/>
          <w:sz w:val="24"/>
          <w:szCs w:val="24"/>
        </w:rPr>
        <w:t xml:space="preserve"> registró la mayor cantidad de asuntos terminados con 2</w:t>
      </w:r>
      <w:r w:rsidR="000530C0">
        <w:rPr>
          <w:rFonts w:ascii="Book Antiqua" w:eastAsia="Calibri" w:hAnsi="Book Antiqua" w:cs="Arial"/>
          <w:sz w:val="24"/>
          <w:szCs w:val="24"/>
        </w:rPr>
        <w:t>4</w:t>
      </w:r>
      <w:r w:rsidRPr="00495801">
        <w:rPr>
          <w:rFonts w:ascii="Book Antiqua" w:eastAsia="Calibri" w:hAnsi="Book Antiqua" w:cs="Arial"/>
          <w:sz w:val="24"/>
          <w:szCs w:val="24"/>
        </w:rPr>
        <w:t xml:space="preserve"> </w:t>
      </w:r>
      <w:r w:rsidR="00FF3AAD">
        <w:rPr>
          <w:rFonts w:ascii="Book Antiqua" w:eastAsia="Calibri" w:hAnsi="Book Antiqua" w:cs="Arial"/>
          <w:sz w:val="24"/>
          <w:szCs w:val="24"/>
        </w:rPr>
        <w:t>299</w:t>
      </w:r>
      <w:r w:rsidRPr="00495801">
        <w:rPr>
          <w:rFonts w:ascii="Book Antiqua" w:eastAsia="Calibri" w:hAnsi="Book Antiqua" w:cs="Arial"/>
          <w:sz w:val="24"/>
          <w:szCs w:val="24"/>
        </w:rPr>
        <w:t>; la menor producción se presentó durante el 20</w:t>
      </w:r>
      <w:r w:rsidR="003F4B76">
        <w:rPr>
          <w:rFonts w:ascii="Book Antiqua" w:eastAsia="Calibri" w:hAnsi="Book Antiqua" w:cs="Arial"/>
          <w:sz w:val="24"/>
          <w:szCs w:val="24"/>
        </w:rPr>
        <w:t>20</w:t>
      </w:r>
      <w:r w:rsidRPr="00495801">
        <w:rPr>
          <w:rFonts w:ascii="Book Antiqua" w:eastAsia="Calibri" w:hAnsi="Book Antiqua" w:cs="Arial"/>
          <w:sz w:val="24"/>
          <w:szCs w:val="24"/>
        </w:rPr>
        <w:t xml:space="preserve"> con </w:t>
      </w:r>
      <w:r w:rsidR="00FF3AAD">
        <w:rPr>
          <w:rFonts w:ascii="Book Antiqua" w:eastAsia="Calibri" w:hAnsi="Book Antiqua" w:cs="Arial"/>
          <w:sz w:val="24"/>
          <w:szCs w:val="24"/>
        </w:rPr>
        <w:t>19</w:t>
      </w:r>
      <w:r w:rsidRPr="00495801">
        <w:rPr>
          <w:rFonts w:ascii="Book Antiqua" w:eastAsia="Calibri" w:hAnsi="Book Antiqua" w:cs="Arial"/>
          <w:sz w:val="24"/>
          <w:szCs w:val="24"/>
        </w:rPr>
        <w:t xml:space="preserve"> </w:t>
      </w:r>
      <w:r w:rsidR="00FF3AAD">
        <w:rPr>
          <w:rFonts w:ascii="Book Antiqua" w:eastAsia="Calibri" w:hAnsi="Book Antiqua" w:cs="Arial"/>
          <w:sz w:val="24"/>
          <w:szCs w:val="24"/>
        </w:rPr>
        <w:t>90</w:t>
      </w:r>
      <w:r w:rsidRPr="00495801">
        <w:rPr>
          <w:rFonts w:ascii="Book Antiqua" w:eastAsia="Calibri" w:hAnsi="Book Antiqua" w:cs="Arial"/>
          <w:sz w:val="24"/>
          <w:szCs w:val="24"/>
        </w:rPr>
        <w:t>3 asuntos finalizados, o sea en el 20</w:t>
      </w:r>
      <w:r w:rsidR="00006DE2">
        <w:rPr>
          <w:rFonts w:ascii="Book Antiqua" w:eastAsia="Calibri" w:hAnsi="Book Antiqua" w:cs="Arial"/>
          <w:sz w:val="24"/>
          <w:szCs w:val="24"/>
        </w:rPr>
        <w:t>19</w:t>
      </w:r>
      <w:r w:rsidRPr="00495801">
        <w:rPr>
          <w:rFonts w:ascii="Book Antiqua" w:eastAsia="Calibri" w:hAnsi="Book Antiqua" w:cs="Arial"/>
          <w:sz w:val="24"/>
          <w:szCs w:val="24"/>
        </w:rPr>
        <w:t xml:space="preserve"> se finalizaron </w:t>
      </w:r>
      <w:r w:rsidR="006E2FBE">
        <w:rPr>
          <w:rFonts w:ascii="Book Antiqua" w:eastAsia="Calibri" w:hAnsi="Book Antiqua" w:cs="Arial"/>
          <w:sz w:val="24"/>
          <w:szCs w:val="24"/>
        </w:rPr>
        <w:t>4</w:t>
      </w:r>
      <w:r w:rsidRPr="00495801">
        <w:rPr>
          <w:rFonts w:ascii="Book Antiqua" w:eastAsia="Calibri" w:hAnsi="Book Antiqua" w:cs="Arial"/>
          <w:sz w:val="24"/>
          <w:szCs w:val="24"/>
        </w:rPr>
        <w:t xml:space="preserve"> </w:t>
      </w:r>
      <w:r w:rsidR="004D53CF">
        <w:rPr>
          <w:rFonts w:ascii="Book Antiqua" w:eastAsia="Calibri" w:hAnsi="Book Antiqua" w:cs="Arial"/>
          <w:sz w:val="24"/>
          <w:szCs w:val="24"/>
        </w:rPr>
        <w:t>39</w:t>
      </w:r>
      <w:r w:rsidRPr="00495801">
        <w:rPr>
          <w:rFonts w:ascii="Book Antiqua" w:eastAsia="Calibri" w:hAnsi="Book Antiqua" w:cs="Arial"/>
          <w:sz w:val="24"/>
          <w:szCs w:val="24"/>
        </w:rPr>
        <w:t>6 menos asuntos que en el 20</w:t>
      </w:r>
      <w:r w:rsidR="00006DE2">
        <w:rPr>
          <w:rFonts w:ascii="Book Antiqua" w:eastAsia="Calibri" w:hAnsi="Book Antiqua" w:cs="Arial"/>
          <w:sz w:val="24"/>
          <w:szCs w:val="24"/>
        </w:rPr>
        <w:t>2</w:t>
      </w:r>
      <w:r w:rsidRPr="00495801">
        <w:rPr>
          <w:rFonts w:ascii="Book Antiqua" w:eastAsia="Calibri" w:hAnsi="Book Antiqua" w:cs="Arial"/>
          <w:sz w:val="24"/>
          <w:szCs w:val="24"/>
        </w:rPr>
        <w:t>1</w:t>
      </w:r>
      <w:r w:rsidR="004D53CF">
        <w:rPr>
          <w:rFonts w:ascii="Book Antiqua" w:eastAsia="Calibri" w:hAnsi="Book Antiqua" w:cs="Arial"/>
          <w:sz w:val="24"/>
          <w:szCs w:val="24"/>
        </w:rPr>
        <w:t>; si</w:t>
      </w:r>
      <w:r w:rsidR="009909BE">
        <w:rPr>
          <w:rFonts w:ascii="Book Antiqua" w:eastAsia="Calibri" w:hAnsi="Book Antiqua" w:cs="Arial"/>
          <w:sz w:val="24"/>
          <w:szCs w:val="24"/>
        </w:rPr>
        <w:t>n</w:t>
      </w:r>
      <w:r w:rsidR="004D53CF">
        <w:rPr>
          <w:rFonts w:ascii="Book Antiqua" w:eastAsia="Calibri" w:hAnsi="Book Antiqua" w:cs="Arial"/>
          <w:sz w:val="24"/>
          <w:szCs w:val="24"/>
        </w:rPr>
        <w:t xml:space="preserve"> embargo, se reitera que para el 20</w:t>
      </w:r>
      <w:r w:rsidR="003F4B76">
        <w:rPr>
          <w:rFonts w:ascii="Book Antiqua" w:eastAsia="Calibri" w:hAnsi="Book Antiqua" w:cs="Arial"/>
          <w:sz w:val="24"/>
          <w:szCs w:val="24"/>
        </w:rPr>
        <w:t>20</w:t>
      </w:r>
      <w:r w:rsidR="004D53CF">
        <w:rPr>
          <w:rFonts w:ascii="Book Antiqua" w:eastAsia="Calibri" w:hAnsi="Book Antiqua" w:cs="Arial"/>
          <w:sz w:val="24"/>
          <w:szCs w:val="24"/>
        </w:rPr>
        <w:t xml:space="preserve"> la actividad </w:t>
      </w:r>
      <w:r w:rsidR="00EE274D">
        <w:rPr>
          <w:rFonts w:ascii="Book Antiqua" w:eastAsia="Calibri" w:hAnsi="Book Antiqua" w:cs="Arial"/>
          <w:sz w:val="24"/>
          <w:szCs w:val="24"/>
        </w:rPr>
        <w:t>judicial</w:t>
      </w:r>
      <w:r w:rsidR="004D53CF">
        <w:rPr>
          <w:rFonts w:ascii="Book Antiqua" w:eastAsia="Calibri" w:hAnsi="Book Antiqua" w:cs="Arial"/>
          <w:sz w:val="24"/>
          <w:szCs w:val="24"/>
        </w:rPr>
        <w:t xml:space="preserve"> se </w:t>
      </w:r>
      <w:r w:rsidR="00D74780">
        <w:rPr>
          <w:rFonts w:ascii="Book Antiqua" w:eastAsia="Calibri" w:hAnsi="Book Antiqua" w:cs="Arial"/>
          <w:sz w:val="24"/>
          <w:szCs w:val="24"/>
        </w:rPr>
        <w:t xml:space="preserve">puedo ver </w:t>
      </w:r>
      <w:r w:rsidR="004D53CF">
        <w:rPr>
          <w:rFonts w:ascii="Book Antiqua" w:eastAsia="Calibri" w:hAnsi="Book Antiqua" w:cs="Arial"/>
          <w:sz w:val="24"/>
          <w:szCs w:val="24"/>
        </w:rPr>
        <w:t>afectada por la pandemia del Covid-19</w:t>
      </w:r>
      <w:r w:rsidRPr="00495801">
        <w:rPr>
          <w:rFonts w:ascii="Book Antiqua" w:eastAsia="Calibri" w:hAnsi="Book Antiqua" w:cs="Arial"/>
          <w:sz w:val="24"/>
          <w:szCs w:val="24"/>
        </w:rPr>
        <w:t>.</w:t>
      </w:r>
    </w:p>
    <w:p w14:paraId="1F536D52" w14:textId="77777777" w:rsidR="00495801" w:rsidRPr="00495801" w:rsidRDefault="00495801" w:rsidP="00495801">
      <w:pPr>
        <w:spacing w:after="0" w:line="276" w:lineRule="auto"/>
        <w:jc w:val="both"/>
        <w:rPr>
          <w:rFonts w:ascii="Book Antiqua" w:eastAsia="Calibri" w:hAnsi="Book Antiqua" w:cs="Arial"/>
          <w:sz w:val="24"/>
          <w:szCs w:val="24"/>
        </w:rPr>
      </w:pPr>
    </w:p>
    <w:p w14:paraId="5E95AC38" w14:textId="72CDFDFE" w:rsidR="00495801" w:rsidRPr="00495801" w:rsidRDefault="00495801" w:rsidP="00495801">
      <w:pPr>
        <w:spacing w:after="0" w:line="276" w:lineRule="auto"/>
        <w:jc w:val="both"/>
        <w:rPr>
          <w:rFonts w:ascii="Book Antiqua" w:eastAsia="Calibri" w:hAnsi="Book Antiqua" w:cs="Arial"/>
          <w:sz w:val="24"/>
          <w:szCs w:val="24"/>
        </w:rPr>
      </w:pPr>
      <w:r w:rsidRPr="00495801">
        <w:rPr>
          <w:rFonts w:ascii="Book Antiqua" w:eastAsia="Calibri" w:hAnsi="Book Antiqua" w:cs="Arial"/>
          <w:sz w:val="24"/>
          <w:szCs w:val="24"/>
        </w:rPr>
        <w:t>En cuanto a los casos inactivos durante el 201</w:t>
      </w:r>
      <w:r w:rsidR="00D74780">
        <w:rPr>
          <w:rFonts w:ascii="Book Antiqua" w:eastAsia="Calibri" w:hAnsi="Book Antiqua" w:cs="Arial"/>
          <w:sz w:val="24"/>
          <w:szCs w:val="24"/>
        </w:rPr>
        <w:t>7</w:t>
      </w:r>
      <w:r w:rsidRPr="00495801">
        <w:rPr>
          <w:rFonts w:ascii="Book Antiqua" w:eastAsia="Calibri" w:hAnsi="Book Antiqua" w:cs="Arial"/>
          <w:sz w:val="24"/>
          <w:szCs w:val="24"/>
        </w:rPr>
        <w:t xml:space="preserve"> se registraron en total </w:t>
      </w:r>
      <w:r w:rsidR="00D74780">
        <w:rPr>
          <w:rFonts w:ascii="Book Antiqua" w:eastAsia="Calibri" w:hAnsi="Book Antiqua" w:cs="Arial"/>
          <w:sz w:val="24"/>
          <w:szCs w:val="24"/>
        </w:rPr>
        <w:t>1 858</w:t>
      </w:r>
      <w:r w:rsidRPr="00495801">
        <w:rPr>
          <w:rFonts w:ascii="Book Antiqua" w:eastAsia="Calibri" w:hAnsi="Book Antiqua" w:cs="Arial"/>
          <w:sz w:val="24"/>
          <w:szCs w:val="24"/>
        </w:rPr>
        <w:t xml:space="preserve"> expedientes y la menor cantidad se presentó en el 20</w:t>
      </w:r>
      <w:r w:rsidR="00850CDC">
        <w:rPr>
          <w:rFonts w:ascii="Book Antiqua" w:eastAsia="Calibri" w:hAnsi="Book Antiqua" w:cs="Arial"/>
          <w:sz w:val="24"/>
          <w:szCs w:val="24"/>
        </w:rPr>
        <w:t>2</w:t>
      </w:r>
      <w:r w:rsidRPr="00495801">
        <w:rPr>
          <w:rFonts w:ascii="Book Antiqua" w:eastAsia="Calibri" w:hAnsi="Book Antiqua" w:cs="Arial"/>
          <w:sz w:val="24"/>
          <w:szCs w:val="24"/>
        </w:rPr>
        <w:t xml:space="preserve">1; con </w:t>
      </w:r>
      <w:r w:rsidR="003F4B76">
        <w:rPr>
          <w:rFonts w:ascii="Book Antiqua" w:eastAsia="Calibri" w:hAnsi="Book Antiqua" w:cs="Arial"/>
          <w:sz w:val="24"/>
          <w:szCs w:val="24"/>
        </w:rPr>
        <w:t>191</w:t>
      </w:r>
      <w:r w:rsidRPr="00495801">
        <w:rPr>
          <w:rFonts w:ascii="Book Antiqua" w:eastAsia="Calibri" w:hAnsi="Book Antiqua" w:cs="Arial"/>
          <w:sz w:val="24"/>
          <w:szCs w:val="24"/>
        </w:rPr>
        <w:t xml:space="preserve"> asuntos menos en comparación con el 201</w:t>
      </w:r>
      <w:r w:rsidR="008D3DE8">
        <w:rPr>
          <w:rFonts w:ascii="Book Antiqua" w:eastAsia="Calibri" w:hAnsi="Book Antiqua" w:cs="Arial"/>
          <w:sz w:val="24"/>
          <w:szCs w:val="24"/>
        </w:rPr>
        <w:t>7</w:t>
      </w:r>
      <w:r w:rsidRPr="00495801">
        <w:rPr>
          <w:rFonts w:ascii="Book Antiqua" w:eastAsia="Calibri" w:hAnsi="Book Antiqua" w:cs="Arial"/>
          <w:sz w:val="24"/>
          <w:szCs w:val="24"/>
        </w:rPr>
        <w:t xml:space="preserve">. </w:t>
      </w:r>
    </w:p>
    <w:p w14:paraId="2EFCBA7C" w14:textId="77777777" w:rsidR="00495801" w:rsidRPr="00495801" w:rsidRDefault="00495801" w:rsidP="00495801">
      <w:pPr>
        <w:spacing w:after="0" w:line="276" w:lineRule="auto"/>
        <w:jc w:val="both"/>
        <w:rPr>
          <w:rFonts w:ascii="Book Antiqua" w:eastAsia="Calibri" w:hAnsi="Book Antiqua" w:cs="Arial"/>
          <w:sz w:val="24"/>
          <w:szCs w:val="24"/>
        </w:rPr>
      </w:pPr>
    </w:p>
    <w:p w14:paraId="0B74958C" w14:textId="769C5810" w:rsidR="00495801" w:rsidRPr="00495801" w:rsidRDefault="00495801" w:rsidP="00495801">
      <w:pPr>
        <w:spacing w:after="0" w:line="276" w:lineRule="auto"/>
        <w:jc w:val="both"/>
        <w:rPr>
          <w:rFonts w:ascii="Book Antiqua" w:eastAsia="Calibri" w:hAnsi="Book Antiqua" w:cs="Arial"/>
          <w:sz w:val="24"/>
          <w:szCs w:val="24"/>
        </w:rPr>
      </w:pPr>
      <w:r w:rsidRPr="00495801">
        <w:rPr>
          <w:rFonts w:ascii="Book Antiqua" w:eastAsia="Calibri" w:hAnsi="Book Antiqua" w:cs="Arial"/>
          <w:sz w:val="24"/>
          <w:szCs w:val="24"/>
        </w:rPr>
        <w:lastRenderedPageBreak/>
        <w:t xml:space="preserve">Al analizar la cantidad de asuntos totales finalizados (terminados + inactivos), se considera que la huelga que sufrió el país durante setiembre y octubre de 2018, </w:t>
      </w:r>
      <w:r w:rsidR="00607661" w:rsidRPr="00495801">
        <w:rPr>
          <w:rFonts w:ascii="Book Antiqua" w:eastAsia="Calibri" w:hAnsi="Book Antiqua" w:cs="Arial"/>
          <w:sz w:val="24"/>
          <w:szCs w:val="24"/>
        </w:rPr>
        <w:t>aproximadamente</w:t>
      </w:r>
      <w:r w:rsidR="00607661">
        <w:rPr>
          <w:rFonts w:ascii="Book Antiqua" w:eastAsia="Calibri" w:hAnsi="Book Antiqua" w:cs="Arial"/>
          <w:sz w:val="24"/>
          <w:szCs w:val="24"/>
        </w:rPr>
        <w:t xml:space="preserve"> </w:t>
      </w:r>
      <w:r w:rsidR="00E21FEE">
        <w:rPr>
          <w:rFonts w:ascii="Book Antiqua" w:eastAsia="Calibri" w:hAnsi="Book Antiqua" w:cs="Arial"/>
          <w:sz w:val="24"/>
          <w:szCs w:val="24"/>
        </w:rPr>
        <w:t>y la pandemia del Covid 202</w:t>
      </w:r>
      <w:r w:rsidR="00607661">
        <w:rPr>
          <w:rFonts w:ascii="Book Antiqua" w:eastAsia="Calibri" w:hAnsi="Book Antiqua" w:cs="Arial"/>
          <w:sz w:val="24"/>
          <w:szCs w:val="24"/>
        </w:rPr>
        <w:t>0</w:t>
      </w:r>
      <w:r w:rsidR="003F4B76">
        <w:rPr>
          <w:rFonts w:ascii="Book Antiqua" w:eastAsia="Calibri" w:hAnsi="Book Antiqua" w:cs="Arial"/>
          <w:sz w:val="24"/>
          <w:szCs w:val="24"/>
        </w:rPr>
        <w:t xml:space="preserve"> durante el 2020</w:t>
      </w:r>
      <w:r w:rsidR="00607661">
        <w:rPr>
          <w:rFonts w:ascii="Book Antiqua" w:eastAsia="Calibri" w:hAnsi="Book Antiqua" w:cs="Arial"/>
          <w:sz w:val="24"/>
          <w:szCs w:val="24"/>
        </w:rPr>
        <w:t xml:space="preserve">, </w:t>
      </w:r>
      <w:r w:rsidRPr="00495801">
        <w:rPr>
          <w:rFonts w:ascii="Book Antiqua" w:eastAsia="Calibri" w:hAnsi="Book Antiqua" w:cs="Arial"/>
          <w:sz w:val="24"/>
          <w:szCs w:val="24"/>
        </w:rPr>
        <w:t>pudo afectar la producción de los Juzgados durante estos años, ya que se visualiza una disminución en la cantidad de asuntos fenecidos durante estos años en comparación con sus antecesores; el porcentaje de salida para el 201</w:t>
      </w:r>
      <w:r w:rsidR="00577257">
        <w:rPr>
          <w:rFonts w:ascii="Book Antiqua" w:eastAsia="Calibri" w:hAnsi="Book Antiqua" w:cs="Arial"/>
          <w:sz w:val="24"/>
          <w:szCs w:val="24"/>
        </w:rPr>
        <w:t>8</w:t>
      </w:r>
      <w:r w:rsidRPr="00495801">
        <w:rPr>
          <w:rFonts w:ascii="Book Antiqua" w:eastAsia="Calibri" w:hAnsi="Book Antiqua" w:cs="Arial"/>
          <w:sz w:val="24"/>
          <w:szCs w:val="24"/>
        </w:rPr>
        <w:t xml:space="preserve"> fue de un </w:t>
      </w:r>
      <w:r w:rsidR="0076032A" w:rsidRPr="00791D7B">
        <w:rPr>
          <w:rFonts w:ascii="Book Antiqua" w:eastAsia="Calibri" w:hAnsi="Book Antiqua" w:cs="Arial"/>
          <w:sz w:val="24"/>
          <w:szCs w:val="24"/>
        </w:rPr>
        <w:t>5</w:t>
      </w:r>
      <w:r w:rsidRPr="00495801">
        <w:rPr>
          <w:rFonts w:ascii="Book Antiqua" w:eastAsia="Calibri" w:hAnsi="Book Antiqua" w:cs="Arial"/>
          <w:sz w:val="24"/>
          <w:szCs w:val="24"/>
        </w:rPr>
        <w:t>% menos que su antecesor el 201</w:t>
      </w:r>
      <w:r w:rsidR="00EE274D">
        <w:rPr>
          <w:rFonts w:ascii="Book Antiqua" w:eastAsia="Calibri" w:hAnsi="Book Antiqua" w:cs="Arial"/>
          <w:sz w:val="24"/>
          <w:szCs w:val="24"/>
        </w:rPr>
        <w:t>7</w:t>
      </w:r>
      <w:r w:rsidRPr="00495801">
        <w:rPr>
          <w:rFonts w:ascii="Book Antiqua" w:eastAsia="Calibri" w:hAnsi="Book Antiqua" w:cs="Arial"/>
          <w:sz w:val="24"/>
          <w:szCs w:val="24"/>
        </w:rPr>
        <w:t xml:space="preserve"> y para el 20</w:t>
      </w:r>
      <w:r w:rsidR="00EE274D">
        <w:rPr>
          <w:rFonts w:ascii="Book Antiqua" w:eastAsia="Calibri" w:hAnsi="Book Antiqua" w:cs="Arial"/>
          <w:sz w:val="24"/>
          <w:szCs w:val="24"/>
        </w:rPr>
        <w:t>20</w:t>
      </w:r>
      <w:r w:rsidRPr="00495801">
        <w:rPr>
          <w:rFonts w:ascii="Book Antiqua" w:eastAsia="Calibri" w:hAnsi="Book Antiqua" w:cs="Arial"/>
          <w:sz w:val="24"/>
          <w:szCs w:val="24"/>
        </w:rPr>
        <w:t xml:space="preserve"> fue de un </w:t>
      </w:r>
      <w:r w:rsidR="00FE5357" w:rsidRPr="00DE66F6">
        <w:rPr>
          <w:rFonts w:ascii="Book Antiqua" w:eastAsia="Calibri" w:hAnsi="Book Antiqua" w:cs="Arial"/>
          <w:sz w:val="24"/>
          <w:szCs w:val="24"/>
        </w:rPr>
        <w:t>13</w:t>
      </w:r>
      <w:r w:rsidRPr="00495801">
        <w:rPr>
          <w:rFonts w:ascii="Book Antiqua" w:eastAsia="Calibri" w:hAnsi="Book Antiqua" w:cs="Arial"/>
          <w:sz w:val="24"/>
          <w:szCs w:val="24"/>
        </w:rPr>
        <w:t>% menos que el 201</w:t>
      </w:r>
      <w:r w:rsidR="00EE274D">
        <w:rPr>
          <w:rFonts w:ascii="Book Antiqua" w:eastAsia="Calibri" w:hAnsi="Book Antiqua" w:cs="Arial"/>
          <w:sz w:val="24"/>
          <w:szCs w:val="24"/>
        </w:rPr>
        <w:t>9</w:t>
      </w:r>
      <w:r w:rsidRPr="00495801">
        <w:rPr>
          <w:rFonts w:ascii="Book Antiqua" w:eastAsia="Calibri" w:hAnsi="Book Antiqua" w:cs="Arial"/>
          <w:sz w:val="24"/>
          <w:szCs w:val="24"/>
        </w:rPr>
        <w:t>; sin embargo, la situación cambia para el 20</w:t>
      </w:r>
      <w:r w:rsidR="00A567E0">
        <w:rPr>
          <w:rFonts w:ascii="Book Antiqua" w:eastAsia="Calibri" w:hAnsi="Book Antiqua" w:cs="Arial"/>
          <w:sz w:val="24"/>
          <w:szCs w:val="24"/>
        </w:rPr>
        <w:t>2</w:t>
      </w:r>
      <w:r w:rsidRPr="00495801">
        <w:rPr>
          <w:rFonts w:ascii="Book Antiqua" w:eastAsia="Calibri" w:hAnsi="Book Antiqua" w:cs="Arial"/>
          <w:sz w:val="24"/>
          <w:szCs w:val="24"/>
        </w:rPr>
        <w:t>1 y aumenta un 1</w:t>
      </w:r>
      <w:r w:rsidR="00D23532" w:rsidRPr="004A4038">
        <w:rPr>
          <w:rFonts w:ascii="Book Antiqua" w:eastAsia="Calibri" w:hAnsi="Book Antiqua" w:cs="Arial"/>
          <w:sz w:val="24"/>
          <w:szCs w:val="24"/>
        </w:rPr>
        <w:t>7</w:t>
      </w:r>
      <w:r w:rsidRPr="00495801">
        <w:rPr>
          <w:rFonts w:ascii="Book Antiqua" w:eastAsia="Calibri" w:hAnsi="Book Antiqua" w:cs="Arial"/>
          <w:sz w:val="24"/>
          <w:szCs w:val="24"/>
        </w:rPr>
        <w:t>% en comparación con el 20</w:t>
      </w:r>
      <w:r w:rsidR="00A567E0" w:rsidRPr="004A4038">
        <w:rPr>
          <w:rFonts w:ascii="Book Antiqua" w:eastAsia="Calibri" w:hAnsi="Book Antiqua" w:cs="Arial"/>
          <w:sz w:val="24"/>
          <w:szCs w:val="24"/>
        </w:rPr>
        <w:t>20</w:t>
      </w:r>
      <w:r w:rsidRPr="00495801">
        <w:rPr>
          <w:rFonts w:ascii="Book Antiqua" w:eastAsia="Calibri" w:hAnsi="Book Antiqua" w:cs="Arial"/>
          <w:sz w:val="24"/>
          <w:szCs w:val="24"/>
        </w:rPr>
        <w:t>.</w:t>
      </w:r>
    </w:p>
    <w:p w14:paraId="1299E225" w14:textId="77777777" w:rsidR="00495801" w:rsidRPr="00495801" w:rsidRDefault="00495801" w:rsidP="00495801">
      <w:pPr>
        <w:spacing w:after="0" w:line="276" w:lineRule="auto"/>
        <w:jc w:val="both"/>
        <w:rPr>
          <w:rFonts w:ascii="Book Antiqua" w:eastAsia="Calibri" w:hAnsi="Book Antiqua" w:cs="Arial"/>
          <w:sz w:val="24"/>
          <w:szCs w:val="24"/>
        </w:rPr>
      </w:pPr>
    </w:p>
    <w:p w14:paraId="34856774" w14:textId="77777777" w:rsidR="00495801" w:rsidRPr="00495801" w:rsidRDefault="00495801" w:rsidP="00495801">
      <w:pPr>
        <w:spacing w:after="0" w:line="276" w:lineRule="auto"/>
        <w:jc w:val="both"/>
        <w:rPr>
          <w:rFonts w:ascii="Book Antiqua" w:eastAsia="Calibri" w:hAnsi="Book Antiqua" w:cs="Arial"/>
          <w:sz w:val="24"/>
          <w:szCs w:val="24"/>
        </w:rPr>
      </w:pPr>
      <w:r w:rsidRPr="00495801">
        <w:rPr>
          <w:rFonts w:ascii="Book Antiqua" w:eastAsia="Calibri" w:hAnsi="Book Antiqua" w:cs="Arial"/>
          <w:sz w:val="24"/>
          <w:szCs w:val="24"/>
        </w:rPr>
        <w:t xml:space="preserve">Se resalta que los casos inactivos corresponden a aquellos expedientes que tengan seis meses (en expedientes principales) o un mes (en procesos incidentales) de no cumplir con las prevenciones hechas a la parte promovente del proceso para proseguir el mismo. Por otra parte, se aclara que la inactividad se establece en las actividades judiciales no contenciosas, ejecuciones de sentencias y procesos con pretensiones relacionadas a personas menores de edad; además que el término “inactivo” es de carácter estrictamente estadístico y se utiliza para depurar el sistema informático. </w:t>
      </w:r>
    </w:p>
    <w:p w14:paraId="360BA3C3" w14:textId="13B3287F" w:rsidR="008A5759" w:rsidRDefault="008A5759" w:rsidP="009C01E1">
      <w:pPr>
        <w:spacing w:line="276" w:lineRule="auto"/>
        <w:jc w:val="both"/>
        <w:rPr>
          <w:rFonts w:ascii="Book Antiqua" w:hAnsi="Book Antiqua"/>
          <w:sz w:val="24"/>
          <w:szCs w:val="24"/>
        </w:rPr>
      </w:pPr>
    </w:p>
    <w:p w14:paraId="5B72D20F" w14:textId="30A08C32" w:rsidR="00E575BA" w:rsidRPr="00E575BA" w:rsidRDefault="00E575BA" w:rsidP="00E575BA">
      <w:pPr>
        <w:spacing w:after="0" w:line="276" w:lineRule="auto"/>
        <w:jc w:val="both"/>
        <w:rPr>
          <w:rFonts w:ascii="Book Antiqua" w:eastAsia="Calibri" w:hAnsi="Book Antiqua" w:cs="Arial"/>
          <w:sz w:val="24"/>
          <w:szCs w:val="24"/>
        </w:rPr>
      </w:pPr>
      <w:r w:rsidRPr="00E575BA">
        <w:rPr>
          <w:rFonts w:ascii="Book Antiqua" w:eastAsia="Calibri" w:hAnsi="Book Antiqua" w:cs="Arial"/>
          <w:sz w:val="24"/>
          <w:szCs w:val="24"/>
        </w:rPr>
        <w:t>En el siguiente gráfico se detalla, la cantidad de asuntos terminados en incidentes y en segunda instancia por los Juzgados Especializados de Familia, durante el periodo del 2018 al 20</w:t>
      </w:r>
      <w:r w:rsidR="002F6C6F">
        <w:rPr>
          <w:rFonts w:ascii="Book Antiqua" w:eastAsia="Calibri" w:hAnsi="Book Antiqua" w:cs="Arial"/>
          <w:sz w:val="24"/>
          <w:szCs w:val="24"/>
        </w:rPr>
        <w:t>21</w:t>
      </w:r>
      <w:r w:rsidRPr="00E575BA">
        <w:rPr>
          <w:rFonts w:ascii="Book Antiqua" w:eastAsia="Calibri" w:hAnsi="Book Antiqua" w:cs="Arial"/>
          <w:sz w:val="24"/>
          <w:szCs w:val="24"/>
        </w:rPr>
        <w:t xml:space="preserve">; se aclara que </w:t>
      </w:r>
      <w:r w:rsidR="002F6C6F">
        <w:rPr>
          <w:rFonts w:ascii="Book Antiqua" w:eastAsia="Calibri" w:hAnsi="Book Antiqua" w:cs="Arial"/>
          <w:sz w:val="24"/>
          <w:szCs w:val="24"/>
        </w:rPr>
        <w:t>esto</w:t>
      </w:r>
      <w:r w:rsidRPr="00E575BA">
        <w:rPr>
          <w:rFonts w:ascii="Book Antiqua" w:eastAsia="Calibri" w:hAnsi="Book Antiqua" w:cs="Arial"/>
          <w:sz w:val="24"/>
          <w:szCs w:val="24"/>
        </w:rPr>
        <w:t>s</w:t>
      </w:r>
      <w:r w:rsidR="002F6C6F">
        <w:rPr>
          <w:rFonts w:ascii="Book Antiqua" w:eastAsia="Calibri" w:hAnsi="Book Antiqua" w:cs="Arial"/>
          <w:sz w:val="24"/>
          <w:szCs w:val="24"/>
        </w:rPr>
        <w:t xml:space="preserve"> datos s</w:t>
      </w:r>
      <w:r w:rsidRPr="00E575BA">
        <w:rPr>
          <w:rFonts w:ascii="Book Antiqua" w:eastAsia="Calibri" w:hAnsi="Book Antiqua" w:cs="Arial"/>
          <w:sz w:val="24"/>
          <w:szCs w:val="24"/>
        </w:rPr>
        <w:t>e registra</w:t>
      </w:r>
      <w:r w:rsidR="002F6C6F">
        <w:rPr>
          <w:rFonts w:ascii="Book Antiqua" w:eastAsia="Calibri" w:hAnsi="Book Antiqua" w:cs="Arial"/>
          <w:sz w:val="24"/>
          <w:szCs w:val="24"/>
        </w:rPr>
        <w:t>n a partir del 2018</w:t>
      </w:r>
      <w:r w:rsidRPr="00E575BA">
        <w:rPr>
          <w:rFonts w:ascii="Book Antiqua" w:eastAsia="Calibri" w:hAnsi="Book Antiqua" w:cs="Arial"/>
          <w:sz w:val="24"/>
          <w:szCs w:val="24"/>
        </w:rPr>
        <w:t>.</w:t>
      </w:r>
    </w:p>
    <w:p w14:paraId="5EF17977" w14:textId="77777777" w:rsidR="00E575BA" w:rsidRPr="00E575BA" w:rsidRDefault="00E575BA" w:rsidP="00E575BA">
      <w:pPr>
        <w:spacing w:after="0" w:line="276" w:lineRule="auto"/>
        <w:jc w:val="both"/>
        <w:rPr>
          <w:rFonts w:ascii="Book Antiqua" w:eastAsia="Calibri" w:hAnsi="Book Antiqua" w:cs="Arial"/>
          <w:sz w:val="24"/>
          <w:szCs w:val="24"/>
        </w:rPr>
      </w:pPr>
    </w:p>
    <w:p w14:paraId="70CDB946" w14:textId="566C6699" w:rsidR="00E575BA" w:rsidRPr="00E575BA" w:rsidRDefault="00E575BA" w:rsidP="00E575B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575BA">
        <w:rPr>
          <w:rFonts w:ascii="Book Antiqua" w:eastAsia="Calibri" w:hAnsi="Book Antiqua" w:cs="Arial"/>
          <w:b/>
          <w:bCs/>
          <w:color w:val="1F497D"/>
          <w:szCs w:val="24"/>
          <w:lang w:val="es-ES" w:eastAsia="es-ES"/>
        </w:rPr>
        <w:lastRenderedPageBreak/>
        <w:t xml:space="preserve">Gráfico </w:t>
      </w:r>
      <w:r w:rsidRPr="00E575BA">
        <w:rPr>
          <w:rFonts w:ascii="Book Antiqua" w:eastAsia="Calibri" w:hAnsi="Book Antiqua" w:cs="Arial"/>
          <w:b/>
          <w:bCs/>
          <w:color w:val="1F497D"/>
          <w:szCs w:val="24"/>
          <w:lang w:val="es-ES" w:eastAsia="es-ES"/>
        </w:rPr>
        <w:fldChar w:fldCharType="begin"/>
      </w:r>
      <w:r w:rsidRPr="00E575BA">
        <w:rPr>
          <w:rFonts w:ascii="Book Antiqua" w:eastAsia="Calibri" w:hAnsi="Book Antiqua" w:cs="Arial"/>
          <w:b/>
          <w:bCs/>
          <w:color w:val="1F497D"/>
          <w:szCs w:val="24"/>
          <w:lang w:val="es-ES" w:eastAsia="es-ES"/>
        </w:rPr>
        <w:instrText xml:space="preserve"> SEQ Gráfico \* ARABIC </w:instrText>
      </w:r>
      <w:r w:rsidRPr="00E575BA">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4</w:t>
      </w:r>
      <w:r w:rsidRPr="00E575BA">
        <w:rPr>
          <w:rFonts w:ascii="Book Antiqua" w:eastAsia="Calibri" w:hAnsi="Book Antiqua" w:cs="Arial"/>
          <w:b/>
          <w:bCs/>
          <w:color w:val="1F497D"/>
          <w:szCs w:val="24"/>
          <w:lang w:val="es-ES" w:eastAsia="es-ES"/>
        </w:rPr>
        <w:fldChar w:fldCharType="end"/>
      </w:r>
    </w:p>
    <w:p w14:paraId="3A98ACA0" w14:textId="77777777" w:rsidR="00680793" w:rsidRDefault="00E575BA" w:rsidP="00E575BA">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E575BA">
        <w:rPr>
          <w:rFonts w:ascii="Book Antiqua" w:eastAsia="Times New Roman" w:hAnsi="Book Antiqua" w:cs="Arial"/>
          <w:b/>
          <w:bCs/>
          <w:color w:val="1F497D"/>
          <w:sz w:val="24"/>
          <w:szCs w:val="24"/>
          <w:lang w:eastAsia="es-ES"/>
        </w:rPr>
        <w:t xml:space="preserve">Movimiento histórico de los asuntos terminados en segunda instancia e incidentes en los Juzgados Especializados de la materia de Familia, </w:t>
      </w:r>
    </w:p>
    <w:p w14:paraId="1F49939D" w14:textId="4DA7D4B9" w:rsidR="00E575BA" w:rsidRPr="00E575BA" w:rsidRDefault="00E575BA" w:rsidP="00E575BA">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E575BA">
        <w:rPr>
          <w:rFonts w:ascii="Book Antiqua" w:eastAsia="Times New Roman" w:hAnsi="Book Antiqua" w:cs="Arial"/>
          <w:b/>
          <w:bCs/>
          <w:color w:val="1F497D"/>
          <w:sz w:val="24"/>
          <w:szCs w:val="24"/>
          <w:lang w:eastAsia="es-ES"/>
        </w:rPr>
        <w:t>del 2018 al 20</w:t>
      </w:r>
      <w:r w:rsidR="00B45ABF">
        <w:rPr>
          <w:rFonts w:ascii="Book Antiqua" w:eastAsia="Times New Roman" w:hAnsi="Book Antiqua" w:cs="Arial"/>
          <w:b/>
          <w:bCs/>
          <w:color w:val="1F497D"/>
          <w:sz w:val="24"/>
          <w:szCs w:val="24"/>
          <w:lang w:eastAsia="es-ES"/>
        </w:rPr>
        <w:t>2</w:t>
      </w:r>
      <w:r w:rsidRPr="00E575BA">
        <w:rPr>
          <w:rFonts w:ascii="Book Antiqua" w:eastAsia="Times New Roman" w:hAnsi="Book Antiqua" w:cs="Arial"/>
          <w:b/>
          <w:bCs/>
          <w:color w:val="1F497D"/>
          <w:sz w:val="24"/>
          <w:szCs w:val="24"/>
          <w:lang w:eastAsia="es-ES"/>
        </w:rPr>
        <w:t>1</w:t>
      </w:r>
    </w:p>
    <w:p w14:paraId="5B2549D5" w14:textId="03FE079E" w:rsidR="00462E4A" w:rsidRDefault="00680793" w:rsidP="00680793">
      <w:pPr>
        <w:spacing w:line="276" w:lineRule="auto"/>
        <w:jc w:val="center"/>
        <w:rPr>
          <w:rFonts w:ascii="Book Antiqua" w:hAnsi="Book Antiqua"/>
          <w:sz w:val="24"/>
          <w:szCs w:val="24"/>
        </w:rPr>
      </w:pPr>
      <w:r>
        <w:rPr>
          <w:noProof/>
        </w:rPr>
        <w:drawing>
          <wp:inline distT="0" distB="0" distL="0" distR="0" wp14:anchorId="4376E727" wp14:editId="438EAA32">
            <wp:extent cx="4572000" cy="3638550"/>
            <wp:effectExtent l="0" t="0" r="0" b="0"/>
            <wp:docPr id="8" name="Gráfico 8">
              <a:extLst xmlns:a="http://schemas.openxmlformats.org/drawingml/2006/main">
                <a:ext uri="{FF2B5EF4-FFF2-40B4-BE49-F238E27FC236}">
                  <a16:creationId xmlns:a16="http://schemas.microsoft.com/office/drawing/2014/main" id="{8202C509-2E33-420A-93D3-331AE50D42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908A2FD" w14:textId="77777777" w:rsidR="00680793" w:rsidRDefault="00680793" w:rsidP="000727BD">
      <w:pPr>
        <w:spacing w:after="10" w:line="276" w:lineRule="auto"/>
        <w:jc w:val="both"/>
        <w:rPr>
          <w:rFonts w:ascii="Book Antiqua" w:hAnsi="Book Antiqua"/>
          <w:i/>
          <w:iCs/>
          <w:sz w:val="20"/>
          <w:szCs w:val="20"/>
        </w:rPr>
      </w:pPr>
      <w:r>
        <w:rPr>
          <w:rFonts w:ascii="Book Antiqua" w:hAnsi="Book Antiqua"/>
          <w:i/>
          <w:iCs/>
          <w:sz w:val="20"/>
          <w:szCs w:val="20"/>
        </w:rPr>
        <w:t xml:space="preserve">              </w:t>
      </w:r>
      <w:r w:rsidRPr="00680793">
        <w:rPr>
          <w:rFonts w:ascii="Book Antiqua" w:hAnsi="Book Antiqua"/>
          <w:i/>
          <w:iCs/>
          <w:sz w:val="20"/>
          <w:szCs w:val="20"/>
        </w:rPr>
        <w:t xml:space="preserve">Fuente: Subproceso de Modernización Institucional, con datos del Subproceso de Estadística </w:t>
      </w:r>
    </w:p>
    <w:p w14:paraId="41C019A9" w14:textId="77777777" w:rsidR="00680793" w:rsidRDefault="00680793" w:rsidP="000727BD">
      <w:pPr>
        <w:spacing w:after="10" w:line="276" w:lineRule="auto"/>
        <w:jc w:val="both"/>
        <w:rPr>
          <w:rFonts w:ascii="Book Antiqua" w:hAnsi="Book Antiqua"/>
          <w:i/>
          <w:iCs/>
          <w:sz w:val="20"/>
          <w:szCs w:val="20"/>
        </w:rPr>
      </w:pPr>
      <w:r>
        <w:rPr>
          <w:rFonts w:ascii="Book Antiqua" w:hAnsi="Book Antiqua"/>
          <w:i/>
          <w:iCs/>
          <w:sz w:val="20"/>
          <w:szCs w:val="20"/>
        </w:rPr>
        <w:t xml:space="preserve">             </w:t>
      </w:r>
      <w:r w:rsidRPr="00680793">
        <w:rPr>
          <w:rFonts w:ascii="Book Antiqua" w:hAnsi="Book Antiqua"/>
          <w:i/>
          <w:iCs/>
          <w:sz w:val="20"/>
          <w:szCs w:val="20"/>
        </w:rPr>
        <w:t xml:space="preserve">del 2017 al 2021 (los datos de incidentes y segunda instancia se registran a partir del 2018 </w:t>
      </w:r>
    </w:p>
    <w:p w14:paraId="6837D3AE" w14:textId="6913AA91" w:rsidR="00680793" w:rsidRDefault="00680793" w:rsidP="000727BD">
      <w:pPr>
        <w:spacing w:after="10" w:line="276" w:lineRule="auto"/>
        <w:jc w:val="both"/>
        <w:rPr>
          <w:rFonts w:ascii="Book Antiqua" w:hAnsi="Book Antiqua"/>
          <w:i/>
          <w:iCs/>
          <w:sz w:val="20"/>
          <w:szCs w:val="20"/>
        </w:rPr>
      </w:pPr>
      <w:r>
        <w:rPr>
          <w:rFonts w:ascii="Book Antiqua" w:hAnsi="Book Antiqua"/>
          <w:i/>
          <w:iCs/>
          <w:sz w:val="20"/>
          <w:szCs w:val="20"/>
        </w:rPr>
        <w:t xml:space="preserve">            </w:t>
      </w:r>
      <w:r w:rsidRPr="00680793">
        <w:rPr>
          <w:rFonts w:ascii="Book Antiqua" w:hAnsi="Book Antiqua"/>
          <w:i/>
          <w:iCs/>
          <w:sz w:val="20"/>
          <w:szCs w:val="20"/>
        </w:rPr>
        <w:t xml:space="preserve">y </w:t>
      </w:r>
      <w:r w:rsidR="00762E6E">
        <w:rPr>
          <w:rFonts w:ascii="Book Antiqua" w:hAnsi="Book Antiqua"/>
          <w:i/>
          <w:iCs/>
          <w:sz w:val="20"/>
          <w:szCs w:val="20"/>
        </w:rPr>
        <w:t>los datos de los incidentes d</w:t>
      </w:r>
      <w:r w:rsidR="00762E6E" w:rsidRPr="00680793">
        <w:rPr>
          <w:rFonts w:ascii="Book Antiqua" w:hAnsi="Book Antiqua"/>
          <w:i/>
          <w:iCs/>
          <w:sz w:val="20"/>
          <w:szCs w:val="20"/>
        </w:rPr>
        <w:t xml:space="preserve">el </w:t>
      </w:r>
      <w:r w:rsidR="00762E6E">
        <w:rPr>
          <w:rFonts w:ascii="Book Antiqua" w:hAnsi="Book Antiqua"/>
          <w:i/>
          <w:iCs/>
          <w:sz w:val="20"/>
          <w:szCs w:val="20"/>
        </w:rPr>
        <w:t>2021</w:t>
      </w:r>
      <w:r w:rsidRPr="00680793">
        <w:rPr>
          <w:rFonts w:ascii="Book Antiqua" w:hAnsi="Book Antiqua"/>
          <w:i/>
          <w:iCs/>
          <w:sz w:val="20"/>
          <w:szCs w:val="20"/>
        </w:rPr>
        <w:t xml:space="preserve"> corresponden a 9 meses).</w:t>
      </w:r>
    </w:p>
    <w:p w14:paraId="1A514161" w14:textId="77777777" w:rsidR="000727BD" w:rsidRDefault="000727BD" w:rsidP="000727BD">
      <w:pPr>
        <w:spacing w:after="10" w:line="276" w:lineRule="auto"/>
        <w:jc w:val="both"/>
        <w:rPr>
          <w:rFonts w:ascii="Book Antiqua" w:hAnsi="Book Antiqua"/>
          <w:i/>
          <w:iCs/>
          <w:sz w:val="20"/>
          <w:szCs w:val="20"/>
        </w:rPr>
      </w:pPr>
    </w:p>
    <w:p w14:paraId="3F41B4BE" w14:textId="2B0CC913" w:rsidR="00443B6B" w:rsidRPr="00443B6B" w:rsidRDefault="00443B6B" w:rsidP="00443B6B">
      <w:pPr>
        <w:spacing w:after="0" w:line="276" w:lineRule="auto"/>
        <w:jc w:val="both"/>
        <w:rPr>
          <w:rFonts w:ascii="Book Antiqua" w:eastAsia="Calibri" w:hAnsi="Book Antiqua" w:cs="Arial"/>
          <w:sz w:val="24"/>
          <w:szCs w:val="24"/>
        </w:rPr>
      </w:pPr>
      <w:r w:rsidRPr="00443B6B">
        <w:rPr>
          <w:rFonts w:ascii="Book Antiqua" w:eastAsia="Calibri" w:hAnsi="Book Antiqua" w:cs="Arial"/>
          <w:sz w:val="24"/>
          <w:szCs w:val="24"/>
        </w:rPr>
        <w:t xml:space="preserve">En cuanto a la cantidad de asuntos que se resolvieron en segunda instancia, se tiene un aumento de </w:t>
      </w:r>
      <w:r w:rsidR="00AD1BB7" w:rsidRPr="00A85E8E">
        <w:rPr>
          <w:rFonts w:ascii="Book Antiqua" w:eastAsia="Calibri" w:hAnsi="Book Antiqua" w:cs="Arial"/>
          <w:sz w:val="24"/>
          <w:szCs w:val="24"/>
        </w:rPr>
        <w:t>163</w:t>
      </w:r>
      <w:r w:rsidRPr="00A85E8E">
        <w:rPr>
          <w:rFonts w:ascii="Book Antiqua" w:eastAsia="Calibri" w:hAnsi="Book Antiqua" w:cs="Arial"/>
          <w:sz w:val="24"/>
          <w:szCs w:val="24"/>
        </w:rPr>
        <w:t xml:space="preserve"> (</w:t>
      </w:r>
      <w:r w:rsidR="00B22B6F" w:rsidRPr="00A85E8E">
        <w:rPr>
          <w:rFonts w:ascii="Book Antiqua" w:eastAsia="Calibri" w:hAnsi="Book Antiqua" w:cs="Arial"/>
          <w:sz w:val="24"/>
          <w:szCs w:val="24"/>
        </w:rPr>
        <w:t>3</w:t>
      </w:r>
      <w:r w:rsidRPr="00A85E8E">
        <w:rPr>
          <w:rFonts w:ascii="Book Antiqua" w:eastAsia="Calibri" w:hAnsi="Book Antiqua" w:cs="Arial"/>
          <w:sz w:val="24"/>
          <w:szCs w:val="24"/>
        </w:rPr>
        <w:t>%) asuntos más en el 20</w:t>
      </w:r>
      <w:r w:rsidR="00AD1BB7" w:rsidRPr="00A85E8E">
        <w:rPr>
          <w:rFonts w:ascii="Book Antiqua" w:eastAsia="Calibri" w:hAnsi="Book Antiqua" w:cs="Arial"/>
          <w:sz w:val="24"/>
          <w:szCs w:val="24"/>
        </w:rPr>
        <w:t>2</w:t>
      </w:r>
      <w:r w:rsidRPr="00A85E8E">
        <w:rPr>
          <w:rFonts w:ascii="Book Antiqua" w:eastAsia="Calibri" w:hAnsi="Book Antiqua" w:cs="Arial"/>
          <w:sz w:val="24"/>
          <w:szCs w:val="24"/>
        </w:rPr>
        <w:t>1 en comparación con su antecesor el 20</w:t>
      </w:r>
      <w:r w:rsidR="00AD1BB7" w:rsidRPr="00A85E8E">
        <w:rPr>
          <w:rFonts w:ascii="Book Antiqua" w:eastAsia="Calibri" w:hAnsi="Book Antiqua" w:cs="Arial"/>
          <w:sz w:val="24"/>
          <w:szCs w:val="24"/>
        </w:rPr>
        <w:t>20</w:t>
      </w:r>
      <w:r w:rsidR="009C20C5">
        <w:rPr>
          <w:rFonts w:ascii="Book Antiqua" w:eastAsia="Calibri" w:hAnsi="Book Antiqua" w:cs="Arial"/>
          <w:sz w:val="24"/>
          <w:szCs w:val="24"/>
        </w:rPr>
        <w:t>. E</w:t>
      </w:r>
      <w:r w:rsidRPr="00A85E8E">
        <w:rPr>
          <w:rFonts w:ascii="Book Antiqua" w:eastAsia="Calibri" w:hAnsi="Book Antiqua" w:cs="Arial"/>
          <w:sz w:val="24"/>
          <w:szCs w:val="24"/>
        </w:rPr>
        <w:t xml:space="preserve">n cuanto a los incidentes, se tiene un </w:t>
      </w:r>
      <w:r w:rsidR="00B22B6F" w:rsidRPr="00A85E8E">
        <w:rPr>
          <w:rFonts w:ascii="Book Antiqua" w:eastAsia="Calibri" w:hAnsi="Book Antiqua" w:cs="Arial"/>
          <w:sz w:val="24"/>
          <w:szCs w:val="24"/>
        </w:rPr>
        <w:t>de</w:t>
      </w:r>
      <w:r w:rsidRPr="00A85E8E">
        <w:rPr>
          <w:rFonts w:ascii="Book Antiqua" w:eastAsia="Calibri" w:hAnsi="Book Antiqua" w:cs="Arial"/>
          <w:sz w:val="24"/>
          <w:szCs w:val="24"/>
        </w:rPr>
        <w:t xml:space="preserve">crecimiento de un </w:t>
      </w:r>
      <w:r w:rsidR="00A85E8E" w:rsidRPr="00A85E8E">
        <w:rPr>
          <w:rFonts w:ascii="Book Antiqua" w:eastAsia="Calibri" w:hAnsi="Book Antiqua" w:cs="Arial"/>
          <w:sz w:val="24"/>
          <w:szCs w:val="24"/>
        </w:rPr>
        <w:t>4</w:t>
      </w:r>
      <w:r w:rsidR="00D46A12">
        <w:rPr>
          <w:rFonts w:ascii="Book Antiqua" w:eastAsia="Calibri" w:hAnsi="Book Antiqua" w:cs="Arial"/>
          <w:sz w:val="24"/>
          <w:szCs w:val="24"/>
        </w:rPr>
        <w:t>3</w:t>
      </w:r>
      <w:r w:rsidRPr="00A85E8E">
        <w:rPr>
          <w:rFonts w:ascii="Book Antiqua" w:eastAsia="Calibri" w:hAnsi="Book Antiqua" w:cs="Arial"/>
          <w:sz w:val="24"/>
          <w:szCs w:val="24"/>
        </w:rPr>
        <w:t xml:space="preserve">% </w:t>
      </w:r>
      <w:r w:rsidRPr="00443B6B">
        <w:rPr>
          <w:rFonts w:ascii="Book Antiqua" w:eastAsia="Calibri" w:hAnsi="Book Antiqua" w:cs="Arial"/>
          <w:sz w:val="24"/>
          <w:szCs w:val="24"/>
        </w:rPr>
        <w:t>con relación a su antecesor el 20</w:t>
      </w:r>
      <w:r w:rsidR="00B22B6F">
        <w:rPr>
          <w:rFonts w:ascii="Book Antiqua" w:eastAsia="Calibri" w:hAnsi="Book Antiqua" w:cs="Arial"/>
          <w:sz w:val="24"/>
          <w:szCs w:val="24"/>
        </w:rPr>
        <w:t>20</w:t>
      </w:r>
      <w:r w:rsidR="00D46A12">
        <w:rPr>
          <w:rFonts w:ascii="Book Antiqua" w:eastAsia="Calibri" w:hAnsi="Book Antiqua" w:cs="Arial"/>
          <w:sz w:val="24"/>
          <w:szCs w:val="24"/>
        </w:rPr>
        <w:t xml:space="preserve"> (para efectos del cálculo se tomó en cuenta que en 2020 en promedio se terminaron 70 incidentes por mes y en 2021 fueron 49).</w:t>
      </w:r>
    </w:p>
    <w:p w14:paraId="56BFB942" w14:textId="77777777" w:rsidR="00443B6B" w:rsidRPr="00443B6B" w:rsidRDefault="00443B6B" w:rsidP="00443B6B">
      <w:pPr>
        <w:spacing w:after="0" w:line="276" w:lineRule="auto"/>
        <w:jc w:val="both"/>
        <w:rPr>
          <w:rFonts w:ascii="Book Antiqua" w:eastAsia="Calibri" w:hAnsi="Book Antiqua" w:cs="Arial"/>
          <w:sz w:val="24"/>
          <w:szCs w:val="24"/>
        </w:rPr>
      </w:pPr>
    </w:p>
    <w:p w14:paraId="143309D2" w14:textId="7CE8AA97" w:rsidR="00443B6B" w:rsidRPr="00443B6B" w:rsidRDefault="00443B6B" w:rsidP="00443B6B">
      <w:pPr>
        <w:spacing w:after="0" w:line="276" w:lineRule="auto"/>
        <w:jc w:val="both"/>
        <w:rPr>
          <w:rFonts w:ascii="Book Antiqua" w:eastAsia="Calibri" w:hAnsi="Book Antiqua" w:cs="Arial"/>
          <w:sz w:val="24"/>
          <w:szCs w:val="24"/>
        </w:rPr>
      </w:pPr>
      <w:r w:rsidRPr="00443B6B">
        <w:rPr>
          <w:rFonts w:ascii="Book Antiqua" w:eastAsia="Calibri" w:hAnsi="Book Antiqua" w:cs="Arial"/>
          <w:sz w:val="24"/>
          <w:szCs w:val="24"/>
        </w:rPr>
        <w:t>A continuación, se detalla la cantidad de asuntos finalizados por persona juzgadora, en los Juzgados Especializados de Familia del país, durante el periodo del 2018 al 20</w:t>
      </w:r>
      <w:r>
        <w:rPr>
          <w:rFonts w:ascii="Book Antiqua" w:eastAsia="Calibri" w:hAnsi="Book Antiqua" w:cs="Arial"/>
          <w:sz w:val="24"/>
          <w:szCs w:val="24"/>
        </w:rPr>
        <w:t>2</w:t>
      </w:r>
      <w:r w:rsidRPr="00443B6B">
        <w:rPr>
          <w:rFonts w:ascii="Book Antiqua" w:eastAsia="Calibri" w:hAnsi="Book Antiqua" w:cs="Arial"/>
          <w:sz w:val="24"/>
          <w:szCs w:val="24"/>
        </w:rPr>
        <w:t xml:space="preserve">1. </w:t>
      </w:r>
    </w:p>
    <w:p w14:paraId="050C85E6" w14:textId="77777777" w:rsidR="00443B6B" w:rsidRPr="00443B6B" w:rsidRDefault="00443B6B" w:rsidP="00443B6B">
      <w:pPr>
        <w:spacing w:after="0" w:line="276" w:lineRule="auto"/>
        <w:jc w:val="both"/>
        <w:rPr>
          <w:rFonts w:ascii="Book Antiqua" w:eastAsia="Calibri" w:hAnsi="Book Antiqua" w:cs="Arial"/>
          <w:sz w:val="24"/>
          <w:szCs w:val="24"/>
        </w:rPr>
      </w:pPr>
    </w:p>
    <w:p w14:paraId="4C797C68" w14:textId="5A56F619" w:rsidR="00443B6B" w:rsidRPr="00443B6B" w:rsidRDefault="00443B6B" w:rsidP="00443B6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43B6B">
        <w:rPr>
          <w:rFonts w:ascii="Book Antiqua" w:eastAsia="Calibri" w:hAnsi="Book Antiqua" w:cs="Arial"/>
          <w:b/>
          <w:bCs/>
          <w:color w:val="1F497D"/>
          <w:szCs w:val="24"/>
          <w:lang w:val="es-ES" w:eastAsia="es-ES"/>
        </w:rPr>
        <w:lastRenderedPageBreak/>
        <w:t xml:space="preserve">Cuadro </w:t>
      </w:r>
      <w:r w:rsidRPr="00443B6B">
        <w:rPr>
          <w:rFonts w:ascii="Book Antiqua" w:eastAsia="Calibri" w:hAnsi="Book Antiqua" w:cs="Arial"/>
          <w:b/>
          <w:bCs/>
          <w:color w:val="1F497D"/>
          <w:szCs w:val="24"/>
          <w:lang w:val="es-ES" w:eastAsia="es-ES"/>
        </w:rPr>
        <w:fldChar w:fldCharType="begin"/>
      </w:r>
      <w:r w:rsidRPr="00443B6B">
        <w:rPr>
          <w:rFonts w:ascii="Book Antiqua" w:eastAsia="Calibri" w:hAnsi="Book Antiqua" w:cs="Arial"/>
          <w:b/>
          <w:bCs/>
          <w:color w:val="1F497D"/>
          <w:szCs w:val="24"/>
          <w:lang w:val="es-ES" w:eastAsia="es-ES"/>
        </w:rPr>
        <w:instrText xml:space="preserve"> SEQ Cuadro \* ARABIC </w:instrText>
      </w:r>
      <w:r w:rsidRPr="00443B6B">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6</w:t>
      </w:r>
      <w:r w:rsidRPr="00443B6B">
        <w:rPr>
          <w:rFonts w:ascii="Book Antiqua" w:eastAsia="Calibri" w:hAnsi="Book Antiqua" w:cs="Arial"/>
          <w:b/>
          <w:bCs/>
          <w:color w:val="1F497D"/>
          <w:szCs w:val="24"/>
          <w:lang w:val="es-ES" w:eastAsia="es-ES"/>
        </w:rPr>
        <w:fldChar w:fldCharType="end"/>
      </w:r>
    </w:p>
    <w:p w14:paraId="1B4445EC" w14:textId="77777777" w:rsidR="00AC4190" w:rsidRDefault="00443B6B" w:rsidP="00443B6B">
      <w:pPr>
        <w:keepNext/>
        <w:numPr>
          <w:ilvl w:val="12"/>
          <w:numId w:val="0"/>
        </w:numPr>
        <w:spacing w:after="0" w:line="276" w:lineRule="auto"/>
        <w:jc w:val="center"/>
        <w:rPr>
          <w:rFonts w:ascii="Book Antiqua" w:eastAsia="Times New Roman" w:hAnsi="Book Antiqua" w:cs="Arial"/>
          <w:b/>
          <w:bCs/>
          <w:color w:val="1F497D"/>
          <w:szCs w:val="24"/>
          <w:lang w:eastAsia="es-ES"/>
        </w:rPr>
      </w:pPr>
      <w:r w:rsidRPr="00443B6B">
        <w:rPr>
          <w:rFonts w:ascii="Book Antiqua" w:eastAsia="Times New Roman" w:hAnsi="Book Antiqua" w:cs="Arial"/>
          <w:b/>
          <w:bCs/>
          <w:color w:val="1F497D"/>
          <w:szCs w:val="24"/>
          <w:lang w:eastAsia="es-ES"/>
        </w:rPr>
        <w:t xml:space="preserve">Movimiento histórico de la salida por persona juzgadora en los Juzgados </w:t>
      </w:r>
    </w:p>
    <w:p w14:paraId="6BA66FEE" w14:textId="6DB783F1" w:rsidR="00443B6B" w:rsidRDefault="00443B6B" w:rsidP="00443B6B">
      <w:pPr>
        <w:keepNext/>
        <w:numPr>
          <w:ilvl w:val="12"/>
          <w:numId w:val="0"/>
        </w:numPr>
        <w:spacing w:after="0" w:line="276" w:lineRule="auto"/>
        <w:jc w:val="center"/>
        <w:rPr>
          <w:rFonts w:ascii="Book Antiqua" w:eastAsia="Times New Roman" w:hAnsi="Book Antiqua" w:cs="Arial"/>
          <w:b/>
          <w:bCs/>
          <w:color w:val="1F497D"/>
          <w:szCs w:val="24"/>
          <w:lang w:eastAsia="es-ES"/>
        </w:rPr>
      </w:pPr>
      <w:r w:rsidRPr="00443B6B">
        <w:rPr>
          <w:rFonts w:ascii="Book Antiqua" w:eastAsia="Times New Roman" w:hAnsi="Book Antiqua" w:cs="Arial"/>
          <w:b/>
          <w:bCs/>
          <w:color w:val="1F497D"/>
          <w:szCs w:val="24"/>
          <w:lang w:eastAsia="es-ES"/>
        </w:rPr>
        <w:t>Especializados de la materia de Familia, del 201</w:t>
      </w:r>
      <w:r w:rsidR="007339CB">
        <w:rPr>
          <w:rFonts w:ascii="Book Antiqua" w:eastAsia="Times New Roman" w:hAnsi="Book Antiqua" w:cs="Arial"/>
          <w:b/>
          <w:bCs/>
          <w:color w:val="1F497D"/>
          <w:szCs w:val="24"/>
          <w:lang w:eastAsia="es-ES"/>
        </w:rPr>
        <w:t>7</w:t>
      </w:r>
      <w:r w:rsidRPr="00443B6B">
        <w:rPr>
          <w:rFonts w:ascii="Book Antiqua" w:eastAsia="Times New Roman" w:hAnsi="Book Antiqua" w:cs="Arial"/>
          <w:b/>
          <w:bCs/>
          <w:color w:val="1F497D"/>
          <w:szCs w:val="24"/>
          <w:lang w:eastAsia="es-ES"/>
        </w:rPr>
        <w:t xml:space="preserve"> al 20</w:t>
      </w:r>
      <w:r>
        <w:rPr>
          <w:rFonts w:ascii="Book Antiqua" w:eastAsia="Times New Roman" w:hAnsi="Book Antiqua" w:cs="Arial"/>
          <w:b/>
          <w:bCs/>
          <w:color w:val="1F497D"/>
          <w:szCs w:val="24"/>
          <w:lang w:eastAsia="es-ES"/>
        </w:rPr>
        <w:t>2</w:t>
      </w:r>
      <w:r w:rsidRPr="00443B6B">
        <w:rPr>
          <w:rFonts w:ascii="Book Antiqua" w:eastAsia="Times New Roman" w:hAnsi="Book Antiqua" w:cs="Arial"/>
          <w:b/>
          <w:bCs/>
          <w:color w:val="1F497D"/>
          <w:szCs w:val="24"/>
          <w:lang w:eastAsia="es-ES"/>
        </w:rPr>
        <w:t>1</w:t>
      </w:r>
    </w:p>
    <w:tbl>
      <w:tblPr>
        <w:tblW w:w="5000" w:type="pct"/>
        <w:tblCellMar>
          <w:left w:w="70" w:type="dxa"/>
          <w:right w:w="70" w:type="dxa"/>
        </w:tblCellMar>
        <w:tblLook w:val="04A0" w:firstRow="1" w:lastRow="0" w:firstColumn="1" w:lastColumn="0" w:noHBand="0" w:noVBand="1"/>
      </w:tblPr>
      <w:tblGrid>
        <w:gridCol w:w="2639"/>
        <w:gridCol w:w="1118"/>
        <w:gridCol w:w="1584"/>
        <w:gridCol w:w="1746"/>
        <w:gridCol w:w="1731"/>
      </w:tblGrid>
      <w:tr w:rsidR="00F365CF" w:rsidRPr="00F365CF" w14:paraId="13FDFA67" w14:textId="77777777" w:rsidTr="00F365CF">
        <w:trPr>
          <w:trHeight w:val="590"/>
        </w:trPr>
        <w:tc>
          <w:tcPr>
            <w:tcW w:w="1520"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5F8EF00B"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Motivo de termino</w:t>
            </w:r>
          </w:p>
        </w:tc>
        <w:tc>
          <w:tcPr>
            <w:tcW w:w="540" w:type="pct"/>
            <w:tcBorders>
              <w:top w:val="single" w:sz="8" w:space="0" w:color="auto"/>
              <w:left w:val="nil"/>
              <w:bottom w:val="nil"/>
              <w:right w:val="single" w:sz="8" w:space="0" w:color="auto"/>
            </w:tcBorders>
            <w:shd w:val="clear" w:color="000000" w:fill="002060"/>
            <w:vAlign w:val="center"/>
            <w:hideMark/>
          </w:tcPr>
          <w:p w14:paraId="099BAE6A"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Promedio Anual</w:t>
            </w:r>
          </w:p>
        </w:tc>
        <w:tc>
          <w:tcPr>
            <w:tcW w:w="922" w:type="pct"/>
            <w:tcBorders>
              <w:top w:val="single" w:sz="8" w:space="0" w:color="auto"/>
              <w:left w:val="nil"/>
              <w:bottom w:val="nil"/>
              <w:right w:val="single" w:sz="8" w:space="0" w:color="auto"/>
            </w:tcBorders>
            <w:shd w:val="clear" w:color="000000" w:fill="002060"/>
            <w:vAlign w:val="center"/>
            <w:hideMark/>
          </w:tcPr>
          <w:p w14:paraId="347ED8DF"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 xml:space="preserve">Promedio mensual de Terminado </w:t>
            </w:r>
          </w:p>
        </w:tc>
        <w:tc>
          <w:tcPr>
            <w:tcW w:w="1013" w:type="pct"/>
            <w:tcBorders>
              <w:top w:val="single" w:sz="8" w:space="0" w:color="auto"/>
              <w:left w:val="nil"/>
              <w:bottom w:val="nil"/>
              <w:right w:val="single" w:sz="8" w:space="0" w:color="auto"/>
            </w:tcBorders>
            <w:shd w:val="clear" w:color="000000" w:fill="002060"/>
            <w:vAlign w:val="center"/>
            <w:hideMark/>
          </w:tcPr>
          <w:p w14:paraId="0152BDFB"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Porcentaje Promedio de terminado</w:t>
            </w:r>
          </w:p>
        </w:tc>
        <w:tc>
          <w:tcPr>
            <w:tcW w:w="1005" w:type="pct"/>
            <w:tcBorders>
              <w:top w:val="single" w:sz="8" w:space="0" w:color="auto"/>
              <w:left w:val="nil"/>
              <w:bottom w:val="nil"/>
              <w:right w:val="single" w:sz="8" w:space="0" w:color="auto"/>
            </w:tcBorders>
            <w:shd w:val="clear" w:color="000000" w:fill="002060"/>
            <w:vAlign w:val="center"/>
            <w:hideMark/>
          </w:tcPr>
          <w:p w14:paraId="5E4EE6ED"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 xml:space="preserve">Terminado por tipo por Juez por Mes </w:t>
            </w:r>
          </w:p>
        </w:tc>
      </w:tr>
      <w:tr w:rsidR="00F365CF" w:rsidRPr="00F365CF" w14:paraId="52C4ED2E"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FFFFFF"/>
            <w:vAlign w:val="center"/>
            <w:hideMark/>
          </w:tcPr>
          <w:p w14:paraId="117BFA5E"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Divorcio o separación por mutuo</w:t>
            </w:r>
          </w:p>
        </w:tc>
        <w:tc>
          <w:tcPr>
            <w:tcW w:w="540" w:type="pct"/>
            <w:tcBorders>
              <w:top w:val="single" w:sz="8" w:space="0" w:color="auto"/>
              <w:left w:val="nil"/>
              <w:bottom w:val="single" w:sz="8" w:space="0" w:color="auto"/>
              <w:right w:val="single" w:sz="8" w:space="0" w:color="auto"/>
            </w:tcBorders>
            <w:shd w:val="clear" w:color="000000" w:fill="FFFFFF"/>
            <w:vAlign w:val="center"/>
            <w:hideMark/>
          </w:tcPr>
          <w:p w14:paraId="5C409D6C"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24781</w:t>
            </w:r>
          </w:p>
        </w:tc>
        <w:tc>
          <w:tcPr>
            <w:tcW w:w="922" w:type="pct"/>
            <w:tcBorders>
              <w:top w:val="single" w:sz="8" w:space="0" w:color="auto"/>
              <w:left w:val="nil"/>
              <w:bottom w:val="single" w:sz="8" w:space="0" w:color="auto"/>
              <w:right w:val="single" w:sz="8" w:space="0" w:color="auto"/>
            </w:tcBorders>
            <w:shd w:val="clear" w:color="000000" w:fill="FFFFFF"/>
            <w:noWrap/>
            <w:vAlign w:val="center"/>
            <w:hideMark/>
          </w:tcPr>
          <w:p w14:paraId="35E417B2"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781</w:t>
            </w:r>
          </w:p>
        </w:tc>
        <w:tc>
          <w:tcPr>
            <w:tcW w:w="1013" w:type="pct"/>
            <w:tcBorders>
              <w:top w:val="single" w:sz="8" w:space="0" w:color="auto"/>
              <w:left w:val="nil"/>
              <w:bottom w:val="single" w:sz="8" w:space="0" w:color="auto"/>
              <w:right w:val="single" w:sz="8" w:space="0" w:color="auto"/>
            </w:tcBorders>
            <w:shd w:val="clear" w:color="000000" w:fill="FFFFFF"/>
            <w:vAlign w:val="center"/>
            <w:hideMark/>
          </w:tcPr>
          <w:p w14:paraId="0A6DCAE1"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22%</w:t>
            </w:r>
          </w:p>
        </w:tc>
        <w:tc>
          <w:tcPr>
            <w:tcW w:w="1005" w:type="pct"/>
            <w:tcBorders>
              <w:top w:val="single" w:sz="8" w:space="0" w:color="auto"/>
              <w:left w:val="nil"/>
              <w:bottom w:val="single" w:sz="8" w:space="0" w:color="auto"/>
              <w:right w:val="single" w:sz="8" w:space="0" w:color="auto"/>
            </w:tcBorders>
            <w:shd w:val="clear" w:color="000000" w:fill="FFFFFF"/>
            <w:vAlign w:val="center"/>
            <w:hideMark/>
          </w:tcPr>
          <w:p w14:paraId="310CCA98"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22,3</w:t>
            </w:r>
          </w:p>
        </w:tc>
      </w:tr>
      <w:tr w:rsidR="00F365CF" w:rsidRPr="00F365CF" w14:paraId="7AAC579B" w14:textId="77777777" w:rsidTr="00F365CF">
        <w:trPr>
          <w:trHeight w:val="590"/>
        </w:trPr>
        <w:tc>
          <w:tcPr>
            <w:tcW w:w="1520" w:type="pct"/>
            <w:tcBorders>
              <w:top w:val="nil"/>
              <w:left w:val="single" w:sz="8" w:space="0" w:color="auto"/>
              <w:bottom w:val="single" w:sz="8" w:space="0" w:color="auto"/>
              <w:right w:val="single" w:sz="8" w:space="0" w:color="auto"/>
            </w:tcBorders>
            <w:shd w:val="clear" w:color="auto" w:fill="auto"/>
            <w:vAlign w:val="center"/>
            <w:hideMark/>
          </w:tcPr>
          <w:p w14:paraId="67CBCDE2"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Resoluciones por otros motivos de término</w:t>
            </w:r>
          </w:p>
        </w:tc>
        <w:tc>
          <w:tcPr>
            <w:tcW w:w="540" w:type="pct"/>
            <w:tcBorders>
              <w:top w:val="nil"/>
              <w:left w:val="nil"/>
              <w:bottom w:val="single" w:sz="8" w:space="0" w:color="auto"/>
              <w:right w:val="single" w:sz="8" w:space="0" w:color="auto"/>
            </w:tcBorders>
            <w:shd w:val="clear" w:color="auto" w:fill="auto"/>
            <w:vAlign w:val="center"/>
            <w:hideMark/>
          </w:tcPr>
          <w:p w14:paraId="10A63E95"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13480</w:t>
            </w:r>
          </w:p>
        </w:tc>
        <w:tc>
          <w:tcPr>
            <w:tcW w:w="922" w:type="pct"/>
            <w:tcBorders>
              <w:top w:val="nil"/>
              <w:left w:val="nil"/>
              <w:bottom w:val="single" w:sz="8" w:space="0" w:color="auto"/>
              <w:right w:val="single" w:sz="8" w:space="0" w:color="auto"/>
            </w:tcBorders>
            <w:shd w:val="clear" w:color="000000" w:fill="FFFFFF"/>
            <w:noWrap/>
            <w:vAlign w:val="center"/>
            <w:hideMark/>
          </w:tcPr>
          <w:p w14:paraId="54BB87AF"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248</w:t>
            </w:r>
          </w:p>
        </w:tc>
        <w:tc>
          <w:tcPr>
            <w:tcW w:w="1013" w:type="pct"/>
            <w:tcBorders>
              <w:top w:val="nil"/>
              <w:left w:val="nil"/>
              <w:bottom w:val="single" w:sz="8" w:space="0" w:color="auto"/>
              <w:right w:val="single" w:sz="8" w:space="0" w:color="auto"/>
            </w:tcBorders>
            <w:shd w:val="clear" w:color="000000" w:fill="FFFFFF"/>
            <w:vAlign w:val="center"/>
            <w:hideMark/>
          </w:tcPr>
          <w:p w14:paraId="39512F33"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12%</w:t>
            </w:r>
          </w:p>
        </w:tc>
        <w:tc>
          <w:tcPr>
            <w:tcW w:w="1005" w:type="pct"/>
            <w:tcBorders>
              <w:top w:val="nil"/>
              <w:left w:val="nil"/>
              <w:bottom w:val="single" w:sz="8" w:space="0" w:color="auto"/>
              <w:right w:val="single" w:sz="8" w:space="0" w:color="auto"/>
            </w:tcBorders>
            <w:shd w:val="clear" w:color="000000" w:fill="FFFFFF"/>
            <w:vAlign w:val="center"/>
            <w:hideMark/>
          </w:tcPr>
          <w:p w14:paraId="7A8C7D35"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7,1</w:t>
            </w:r>
          </w:p>
        </w:tc>
      </w:tr>
      <w:tr w:rsidR="00F365CF" w:rsidRPr="00F365CF" w14:paraId="74E28213"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FFFFFF"/>
            <w:vAlign w:val="center"/>
            <w:hideMark/>
          </w:tcPr>
          <w:p w14:paraId="40A9D12A"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Sentencia dictada</w:t>
            </w:r>
          </w:p>
        </w:tc>
        <w:tc>
          <w:tcPr>
            <w:tcW w:w="540" w:type="pct"/>
            <w:tcBorders>
              <w:top w:val="nil"/>
              <w:left w:val="nil"/>
              <w:bottom w:val="single" w:sz="8" w:space="0" w:color="auto"/>
              <w:right w:val="single" w:sz="8" w:space="0" w:color="auto"/>
            </w:tcBorders>
            <w:shd w:val="clear" w:color="000000" w:fill="FFFFFF"/>
            <w:vAlign w:val="center"/>
            <w:hideMark/>
          </w:tcPr>
          <w:p w14:paraId="4DCA1BD6"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41724</w:t>
            </w:r>
          </w:p>
        </w:tc>
        <w:tc>
          <w:tcPr>
            <w:tcW w:w="922" w:type="pct"/>
            <w:tcBorders>
              <w:top w:val="nil"/>
              <w:left w:val="nil"/>
              <w:bottom w:val="single" w:sz="8" w:space="0" w:color="auto"/>
              <w:right w:val="single" w:sz="8" w:space="0" w:color="auto"/>
            </w:tcBorders>
            <w:shd w:val="clear" w:color="000000" w:fill="FFFFFF"/>
            <w:noWrap/>
            <w:vAlign w:val="center"/>
            <w:hideMark/>
          </w:tcPr>
          <w:p w14:paraId="5D9AC9F1"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769</w:t>
            </w:r>
          </w:p>
        </w:tc>
        <w:tc>
          <w:tcPr>
            <w:tcW w:w="1013" w:type="pct"/>
            <w:tcBorders>
              <w:top w:val="nil"/>
              <w:left w:val="nil"/>
              <w:bottom w:val="single" w:sz="8" w:space="0" w:color="auto"/>
              <w:right w:val="single" w:sz="8" w:space="0" w:color="auto"/>
            </w:tcBorders>
            <w:shd w:val="clear" w:color="000000" w:fill="FFFFFF"/>
            <w:vAlign w:val="center"/>
            <w:hideMark/>
          </w:tcPr>
          <w:p w14:paraId="1641FD4B"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37%</w:t>
            </w:r>
          </w:p>
        </w:tc>
        <w:tc>
          <w:tcPr>
            <w:tcW w:w="1005" w:type="pct"/>
            <w:tcBorders>
              <w:top w:val="nil"/>
              <w:left w:val="nil"/>
              <w:bottom w:val="single" w:sz="8" w:space="0" w:color="auto"/>
              <w:right w:val="single" w:sz="8" w:space="0" w:color="auto"/>
            </w:tcBorders>
            <w:shd w:val="clear" w:color="000000" w:fill="FFFFFF"/>
            <w:vAlign w:val="center"/>
            <w:hideMark/>
          </w:tcPr>
          <w:p w14:paraId="7C9ED872"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22,0</w:t>
            </w:r>
          </w:p>
        </w:tc>
      </w:tr>
      <w:tr w:rsidR="00F365CF" w:rsidRPr="00F365CF" w14:paraId="68A4BF50"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FFFFFF"/>
            <w:vAlign w:val="center"/>
            <w:hideMark/>
          </w:tcPr>
          <w:p w14:paraId="30A50C10"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Sentencia de segunda instancia</w:t>
            </w:r>
          </w:p>
        </w:tc>
        <w:tc>
          <w:tcPr>
            <w:tcW w:w="540" w:type="pct"/>
            <w:tcBorders>
              <w:top w:val="nil"/>
              <w:left w:val="nil"/>
              <w:bottom w:val="single" w:sz="8" w:space="0" w:color="auto"/>
              <w:right w:val="single" w:sz="8" w:space="0" w:color="auto"/>
            </w:tcBorders>
            <w:shd w:val="clear" w:color="000000" w:fill="FFFFFF"/>
            <w:vAlign w:val="center"/>
            <w:hideMark/>
          </w:tcPr>
          <w:p w14:paraId="46CC90B6"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20928</w:t>
            </w:r>
          </w:p>
        </w:tc>
        <w:tc>
          <w:tcPr>
            <w:tcW w:w="922" w:type="pct"/>
            <w:tcBorders>
              <w:top w:val="nil"/>
              <w:left w:val="nil"/>
              <w:bottom w:val="single" w:sz="8" w:space="0" w:color="auto"/>
              <w:right w:val="single" w:sz="8" w:space="0" w:color="auto"/>
            </w:tcBorders>
            <w:shd w:val="clear" w:color="000000" w:fill="FFFFFF"/>
            <w:noWrap/>
            <w:vAlign w:val="center"/>
            <w:hideMark/>
          </w:tcPr>
          <w:p w14:paraId="30D87A39"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487</w:t>
            </w:r>
          </w:p>
        </w:tc>
        <w:tc>
          <w:tcPr>
            <w:tcW w:w="1013" w:type="pct"/>
            <w:tcBorders>
              <w:top w:val="nil"/>
              <w:left w:val="nil"/>
              <w:bottom w:val="single" w:sz="8" w:space="0" w:color="auto"/>
              <w:right w:val="single" w:sz="8" w:space="0" w:color="auto"/>
            </w:tcBorders>
            <w:shd w:val="clear" w:color="000000" w:fill="FFFFFF"/>
            <w:vAlign w:val="center"/>
            <w:hideMark/>
          </w:tcPr>
          <w:p w14:paraId="7BD5A9F4"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19%</w:t>
            </w:r>
          </w:p>
        </w:tc>
        <w:tc>
          <w:tcPr>
            <w:tcW w:w="1005" w:type="pct"/>
            <w:tcBorders>
              <w:top w:val="nil"/>
              <w:left w:val="nil"/>
              <w:bottom w:val="single" w:sz="8" w:space="0" w:color="auto"/>
              <w:right w:val="single" w:sz="8" w:space="0" w:color="auto"/>
            </w:tcBorders>
            <w:shd w:val="clear" w:color="000000" w:fill="FFFFFF"/>
            <w:vAlign w:val="center"/>
            <w:hideMark/>
          </w:tcPr>
          <w:p w14:paraId="4EE60042"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13,9</w:t>
            </w:r>
          </w:p>
        </w:tc>
      </w:tr>
      <w:tr w:rsidR="00F365CF" w:rsidRPr="00F365CF" w14:paraId="055764C0"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FFFFFF"/>
            <w:vAlign w:val="center"/>
            <w:hideMark/>
          </w:tcPr>
          <w:p w14:paraId="134C4A04"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Sentencias homologatorias</w:t>
            </w:r>
          </w:p>
        </w:tc>
        <w:tc>
          <w:tcPr>
            <w:tcW w:w="540" w:type="pct"/>
            <w:tcBorders>
              <w:top w:val="nil"/>
              <w:left w:val="nil"/>
              <w:bottom w:val="single" w:sz="8" w:space="0" w:color="auto"/>
              <w:right w:val="single" w:sz="8" w:space="0" w:color="auto"/>
            </w:tcBorders>
            <w:shd w:val="clear" w:color="000000" w:fill="FFFFFF"/>
            <w:vAlign w:val="center"/>
            <w:hideMark/>
          </w:tcPr>
          <w:p w14:paraId="70C028C8"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9203</w:t>
            </w:r>
          </w:p>
        </w:tc>
        <w:tc>
          <w:tcPr>
            <w:tcW w:w="922" w:type="pct"/>
            <w:tcBorders>
              <w:top w:val="nil"/>
              <w:left w:val="nil"/>
              <w:bottom w:val="single" w:sz="8" w:space="0" w:color="auto"/>
              <w:right w:val="single" w:sz="8" w:space="0" w:color="auto"/>
            </w:tcBorders>
            <w:shd w:val="clear" w:color="000000" w:fill="FFFFFF"/>
            <w:noWrap/>
            <w:vAlign w:val="center"/>
            <w:hideMark/>
          </w:tcPr>
          <w:p w14:paraId="16E97CBE"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170</w:t>
            </w:r>
          </w:p>
        </w:tc>
        <w:tc>
          <w:tcPr>
            <w:tcW w:w="1013" w:type="pct"/>
            <w:tcBorders>
              <w:top w:val="nil"/>
              <w:left w:val="nil"/>
              <w:bottom w:val="single" w:sz="8" w:space="0" w:color="auto"/>
              <w:right w:val="single" w:sz="8" w:space="0" w:color="auto"/>
            </w:tcBorders>
            <w:shd w:val="clear" w:color="000000" w:fill="FFFFFF"/>
            <w:vAlign w:val="center"/>
            <w:hideMark/>
          </w:tcPr>
          <w:p w14:paraId="166330B6"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8%</w:t>
            </w:r>
          </w:p>
        </w:tc>
        <w:tc>
          <w:tcPr>
            <w:tcW w:w="1005" w:type="pct"/>
            <w:tcBorders>
              <w:top w:val="nil"/>
              <w:left w:val="nil"/>
              <w:bottom w:val="single" w:sz="8" w:space="0" w:color="auto"/>
              <w:right w:val="single" w:sz="8" w:space="0" w:color="auto"/>
            </w:tcBorders>
            <w:shd w:val="clear" w:color="000000" w:fill="FFFFFF"/>
            <w:vAlign w:val="center"/>
            <w:hideMark/>
          </w:tcPr>
          <w:p w14:paraId="7650659E"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4,8</w:t>
            </w:r>
          </w:p>
        </w:tc>
      </w:tr>
      <w:tr w:rsidR="00F365CF" w:rsidRPr="00F365CF" w14:paraId="2F8C9EC0"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FFFFFF"/>
            <w:vAlign w:val="center"/>
            <w:hideMark/>
          </w:tcPr>
          <w:p w14:paraId="04C0C117" w14:textId="77777777" w:rsidR="00F365CF" w:rsidRPr="00F365CF" w:rsidRDefault="00F365CF" w:rsidP="00F365CF">
            <w:pPr>
              <w:spacing w:after="0" w:line="240" w:lineRule="auto"/>
              <w:jc w:val="both"/>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Sentencia en Incidentes</w:t>
            </w:r>
          </w:p>
        </w:tc>
        <w:tc>
          <w:tcPr>
            <w:tcW w:w="540" w:type="pct"/>
            <w:tcBorders>
              <w:top w:val="nil"/>
              <w:left w:val="nil"/>
              <w:bottom w:val="single" w:sz="8" w:space="0" w:color="auto"/>
              <w:right w:val="single" w:sz="8" w:space="0" w:color="auto"/>
            </w:tcBorders>
            <w:shd w:val="clear" w:color="000000" w:fill="FFFFFF"/>
            <w:vAlign w:val="center"/>
            <w:hideMark/>
          </w:tcPr>
          <w:p w14:paraId="71BC50B1"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2189</w:t>
            </w:r>
          </w:p>
        </w:tc>
        <w:tc>
          <w:tcPr>
            <w:tcW w:w="922" w:type="pct"/>
            <w:tcBorders>
              <w:top w:val="nil"/>
              <w:left w:val="nil"/>
              <w:bottom w:val="single" w:sz="8" w:space="0" w:color="auto"/>
              <w:right w:val="single" w:sz="8" w:space="0" w:color="auto"/>
            </w:tcBorders>
            <w:shd w:val="clear" w:color="000000" w:fill="FFFFFF"/>
            <w:noWrap/>
            <w:vAlign w:val="center"/>
            <w:hideMark/>
          </w:tcPr>
          <w:p w14:paraId="60707F20"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54</w:t>
            </w:r>
          </w:p>
        </w:tc>
        <w:tc>
          <w:tcPr>
            <w:tcW w:w="1013" w:type="pct"/>
            <w:tcBorders>
              <w:top w:val="nil"/>
              <w:left w:val="nil"/>
              <w:bottom w:val="single" w:sz="8" w:space="0" w:color="auto"/>
              <w:right w:val="single" w:sz="8" w:space="0" w:color="auto"/>
            </w:tcBorders>
            <w:shd w:val="clear" w:color="000000" w:fill="FFFFFF"/>
            <w:vAlign w:val="center"/>
            <w:hideMark/>
          </w:tcPr>
          <w:p w14:paraId="56C9CCF5"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2%</w:t>
            </w:r>
          </w:p>
        </w:tc>
        <w:tc>
          <w:tcPr>
            <w:tcW w:w="1005" w:type="pct"/>
            <w:tcBorders>
              <w:top w:val="nil"/>
              <w:left w:val="nil"/>
              <w:bottom w:val="single" w:sz="8" w:space="0" w:color="auto"/>
              <w:right w:val="single" w:sz="8" w:space="0" w:color="auto"/>
            </w:tcBorders>
            <w:shd w:val="clear" w:color="000000" w:fill="FFFFFF"/>
            <w:vAlign w:val="center"/>
            <w:hideMark/>
          </w:tcPr>
          <w:p w14:paraId="16C8C725" w14:textId="77777777" w:rsidR="00F365CF" w:rsidRPr="00F365CF" w:rsidRDefault="00F365CF" w:rsidP="00F365CF">
            <w:pPr>
              <w:spacing w:after="0" w:line="240" w:lineRule="auto"/>
              <w:jc w:val="center"/>
              <w:rPr>
                <w:rFonts w:ascii="Book Antiqua" w:eastAsia="Times New Roman" w:hAnsi="Book Antiqua" w:cs="Calibri"/>
                <w:color w:val="000000"/>
                <w:lang w:eastAsia="es-CR"/>
              </w:rPr>
            </w:pPr>
            <w:r w:rsidRPr="00F365CF">
              <w:rPr>
                <w:rFonts w:ascii="Book Antiqua" w:eastAsia="Times New Roman" w:hAnsi="Book Antiqua" w:cs="Calibri"/>
                <w:color w:val="000000"/>
                <w:lang w:eastAsia="es-CR"/>
              </w:rPr>
              <w:t>1,6</w:t>
            </w:r>
          </w:p>
        </w:tc>
      </w:tr>
      <w:tr w:rsidR="00F365CF" w:rsidRPr="00F365CF" w14:paraId="143B1B23" w14:textId="77777777" w:rsidTr="00F365CF">
        <w:trPr>
          <w:trHeight w:val="300"/>
        </w:trPr>
        <w:tc>
          <w:tcPr>
            <w:tcW w:w="1520" w:type="pct"/>
            <w:tcBorders>
              <w:top w:val="nil"/>
              <w:left w:val="single" w:sz="8" w:space="0" w:color="auto"/>
              <w:bottom w:val="single" w:sz="8" w:space="0" w:color="auto"/>
              <w:right w:val="single" w:sz="8" w:space="0" w:color="auto"/>
            </w:tcBorders>
            <w:shd w:val="clear" w:color="000000" w:fill="808080"/>
            <w:noWrap/>
            <w:vAlign w:val="center"/>
            <w:hideMark/>
          </w:tcPr>
          <w:p w14:paraId="40B2EA17" w14:textId="77777777" w:rsidR="00F365CF" w:rsidRPr="00F365CF" w:rsidRDefault="00F365CF" w:rsidP="00F365CF">
            <w:pPr>
              <w:spacing w:after="0" w:line="240" w:lineRule="auto"/>
              <w:jc w:val="right"/>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Total</w:t>
            </w:r>
          </w:p>
        </w:tc>
        <w:tc>
          <w:tcPr>
            <w:tcW w:w="540" w:type="pct"/>
            <w:tcBorders>
              <w:top w:val="nil"/>
              <w:left w:val="nil"/>
              <w:bottom w:val="single" w:sz="8" w:space="0" w:color="auto"/>
              <w:right w:val="single" w:sz="8" w:space="0" w:color="auto"/>
            </w:tcBorders>
            <w:shd w:val="clear" w:color="000000" w:fill="808080"/>
            <w:noWrap/>
            <w:vAlign w:val="center"/>
            <w:hideMark/>
          </w:tcPr>
          <w:p w14:paraId="2ACB52FE"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112 305</w:t>
            </w:r>
          </w:p>
        </w:tc>
        <w:tc>
          <w:tcPr>
            <w:tcW w:w="922" w:type="pct"/>
            <w:tcBorders>
              <w:top w:val="nil"/>
              <w:left w:val="nil"/>
              <w:bottom w:val="single" w:sz="8" w:space="0" w:color="auto"/>
              <w:right w:val="single" w:sz="8" w:space="0" w:color="auto"/>
            </w:tcBorders>
            <w:shd w:val="clear" w:color="000000" w:fill="808080"/>
            <w:noWrap/>
            <w:vAlign w:val="center"/>
            <w:hideMark/>
          </w:tcPr>
          <w:p w14:paraId="553B9D8F"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2509</w:t>
            </w:r>
          </w:p>
        </w:tc>
        <w:tc>
          <w:tcPr>
            <w:tcW w:w="1013" w:type="pct"/>
            <w:tcBorders>
              <w:top w:val="nil"/>
              <w:left w:val="nil"/>
              <w:bottom w:val="single" w:sz="8" w:space="0" w:color="auto"/>
              <w:right w:val="single" w:sz="8" w:space="0" w:color="auto"/>
            </w:tcBorders>
            <w:shd w:val="clear" w:color="000000" w:fill="808080"/>
            <w:noWrap/>
            <w:vAlign w:val="center"/>
            <w:hideMark/>
          </w:tcPr>
          <w:p w14:paraId="6B185522"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100%</w:t>
            </w:r>
          </w:p>
        </w:tc>
        <w:tc>
          <w:tcPr>
            <w:tcW w:w="1005" w:type="pct"/>
            <w:tcBorders>
              <w:top w:val="nil"/>
              <w:left w:val="nil"/>
              <w:bottom w:val="single" w:sz="8" w:space="0" w:color="auto"/>
              <w:right w:val="single" w:sz="8" w:space="0" w:color="auto"/>
            </w:tcBorders>
            <w:shd w:val="clear" w:color="000000" w:fill="808080"/>
            <w:noWrap/>
            <w:vAlign w:val="center"/>
            <w:hideMark/>
          </w:tcPr>
          <w:p w14:paraId="1F86DF8E" w14:textId="77777777" w:rsidR="00F365CF" w:rsidRPr="00F365CF" w:rsidRDefault="00F365CF" w:rsidP="00F365CF">
            <w:pPr>
              <w:spacing w:after="0" w:line="240" w:lineRule="auto"/>
              <w:jc w:val="center"/>
              <w:rPr>
                <w:rFonts w:ascii="Book Antiqua" w:eastAsia="Times New Roman" w:hAnsi="Book Antiqua" w:cs="Calibri"/>
                <w:b/>
                <w:bCs/>
                <w:color w:val="FFFFFF"/>
                <w:lang w:eastAsia="es-CR"/>
              </w:rPr>
            </w:pPr>
            <w:r w:rsidRPr="00F365CF">
              <w:rPr>
                <w:rFonts w:ascii="Book Antiqua" w:eastAsia="Times New Roman" w:hAnsi="Book Antiqua" w:cs="Calibri"/>
                <w:b/>
                <w:bCs/>
                <w:color w:val="FFFFFF"/>
                <w:lang w:eastAsia="es-CR"/>
              </w:rPr>
              <w:t>71,7</w:t>
            </w:r>
          </w:p>
        </w:tc>
      </w:tr>
    </w:tbl>
    <w:p w14:paraId="58035302" w14:textId="24D1587A" w:rsidR="008A5759" w:rsidRDefault="00F90085" w:rsidP="009C01E1">
      <w:pPr>
        <w:spacing w:line="276" w:lineRule="auto"/>
        <w:jc w:val="both"/>
        <w:rPr>
          <w:rFonts w:ascii="Book Antiqua" w:hAnsi="Book Antiqua"/>
          <w:i/>
          <w:iCs/>
        </w:rPr>
      </w:pPr>
      <w:r w:rsidRPr="00F90085">
        <w:rPr>
          <w:rFonts w:ascii="Book Antiqua" w:hAnsi="Book Antiqua"/>
          <w:i/>
          <w:iCs/>
        </w:rPr>
        <w:t>Fuente: Subproceso de Modernización Institucional, con datos del Subproceso de Estadística del 201</w:t>
      </w:r>
      <w:r>
        <w:rPr>
          <w:rFonts w:ascii="Book Antiqua" w:hAnsi="Book Antiqua"/>
          <w:i/>
          <w:iCs/>
        </w:rPr>
        <w:t>7</w:t>
      </w:r>
      <w:r w:rsidRPr="00F90085">
        <w:rPr>
          <w:rFonts w:ascii="Book Antiqua" w:hAnsi="Book Antiqua"/>
          <w:i/>
          <w:iCs/>
        </w:rPr>
        <w:t xml:space="preserve"> al 20</w:t>
      </w:r>
      <w:r>
        <w:rPr>
          <w:rFonts w:ascii="Book Antiqua" w:hAnsi="Book Antiqua"/>
          <w:i/>
          <w:iCs/>
        </w:rPr>
        <w:t>2</w:t>
      </w:r>
      <w:r w:rsidRPr="00F90085">
        <w:rPr>
          <w:rFonts w:ascii="Book Antiqua" w:hAnsi="Book Antiqua"/>
          <w:i/>
          <w:iCs/>
        </w:rPr>
        <w:t>1. Nota. Respecto a los datos reportados como sentencia dictada en 2018 y 2019, se realizó una depuración, ya que identificaron asuntos "de divorcio por mutuo" en esa categoría</w:t>
      </w:r>
      <w:r w:rsidR="00D46A12">
        <w:rPr>
          <w:rFonts w:ascii="Book Antiqua" w:hAnsi="Book Antiqua"/>
          <w:i/>
          <w:iCs/>
        </w:rPr>
        <w:t>.</w:t>
      </w:r>
    </w:p>
    <w:p w14:paraId="25823039" w14:textId="77777777" w:rsidR="00F90085" w:rsidRPr="00F90085" w:rsidRDefault="00F90085" w:rsidP="009C01E1">
      <w:pPr>
        <w:spacing w:line="276" w:lineRule="auto"/>
        <w:jc w:val="both"/>
        <w:rPr>
          <w:rFonts w:ascii="Book Antiqua" w:hAnsi="Book Antiqua"/>
          <w:i/>
          <w:iCs/>
        </w:rPr>
      </w:pPr>
    </w:p>
    <w:p w14:paraId="30064F25" w14:textId="770E58D5" w:rsidR="00D84964" w:rsidRPr="00D84964" w:rsidRDefault="00D84964" w:rsidP="00D84964">
      <w:pPr>
        <w:spacing w:after="0" w:line="276" w:lineRule="auto"/>
        <w:jc w:val="both"/>
        <w:rPr>
          <w:rFonts w:ascii="Book Antiqua" w:eastAsia="Calibri" w:hAnsi="Book Antiqua" w:cs="Arial"/>
          <w:sz w:val="24"/>
          <w:szCs w:val="24"/>
        </w:rPr>
      </w:pPr>
      <w:r w:rsidRPr="00D84964">
        <w:rPr>
          <w:rFonts w:ascii="Book Antiqua" w:eastAsia="Calibri" w:hAnsi="Book Antiqua" w:cs="Arial"/>
          <w:sz w:val="24"/>
          <w:szCs w:val="24"/>
        </w:rPr>
        <w:t xml:space="preserve">De la información del cuadro anterior, se visualiza que el promedio anual de casos terminados es de </w:t>
      </w:r>
      <w:r w:rsidR="0065054D">
        <w:rPr>
          <w:rFonts w:ascii="Book Antiqua" w:eastAsia="Calibri" w:hAnsi="Book Antiqua" w:cs="Arial"/>
          <w:sz w:val="24"/>
          <w:szCs w:val="24"/>
        </w:rPr>
        <w:t>1</w:t>
      </w:r>
      <w:r w:rsidR="00F365CF">
        <w:rPr>
          <w:rFonts w:ascii="Book Antiqua" w:eastAsia="Calibri" w:hAnsi="Book Antiqua" w:cs="Arial"/>
          <w:sz w:val="24"/>
          <w:szCs w:val="24"/>
        </w:rPr>
        <w:t>1</w:t>
      </w:r>
      <w:r w:rsidR="0065054D">
        <w:rPr>
          <w:rFonts w:ascii="Book Antiqua" w:eastAsia="Calibri" w:hAnsi="Book Antiqua" w:cs="Arial"/>
          <w:sz w:val="24"/>
          <w:szCs w:val="24"/>
        </w:rPr>
        <w:t xml:space="preserve">2 </w:t>
      </w:r>
      <w:r w:rsidR="00F365CF">
        <w:rPr>
          <w:rFonts w:ascii="Book Antiqua" w:eastAsia="Calibri" w:hAnsi="Book Antiqua" w:cs="Arial"/>
          <w:sz w:val="24"/>
          <w:szCs w:val="24"/>
        </w:rPr>
        <w:t>3</w:t>
      </w:r>
      <w:r w:rsidR="0065054D">
        <w:rPr>
          <w:rFonts w:ascii="Book Antiqua" w:eastAsia="Calibri" w:hAnsi="Book Antiqua" w:cs="Arial"/>
          <w:sz w:val="24"/>
          <w:szCs w:val="24"/>
        </w:rPr>
        <w:t>05</w:t>
      </w:r>
      <w:r w:rsidRPr="009A22D7">
        <w:rPr>
          <w:rFonts w:ascii="Book Antiqua" w:eastAsia="Calibri" w:hAnsi="Book Antiqua" w:cs="Arial"/>
          <w:sz w:val="24"/>
          <w:szCs w:val="24"/>
        </w:rPr>
        <w:t xml:space="preserve"> (</w:t>
      </w:r>
      <w:r w:rsidR="009A22D7" w:rsidRPr="009A22D7">
        <w:rPr>
          <w:rFonts w:ascii="Book Antiqua" w:eastAsia="Calibri" w:hAnsi="Book Antiqua" w:cs="Arial"/>
          <w:sz w:val="24"/>
          <w:szCs w:val="24"/>
        </w:rPr>
        <w:t>2 </w:t>
      </w:r>
      <w:r w:rsidR="00F365CF">
        <w:rPr>
          <w:rFonts w:ascii="Book Antiqua" w:eastAsia="Calibri" w:hAnsi="Book Antiqua" w:cs="Arial"/>
          <w:sz w:val="24"/>
          <w:szCs w:val="24"/>
        </w:rPr>
        <w:t>509</w:t>
      </w:r>
      <w:r w:rsidR="009A22D7" w:rsidRPr="009A22D7">
        <w:rPr>
          <w:rFonts w:ascii="Book Antiqua" w:eastAsia="Calibri" w:hAnsi="Book Antiqua" w:cs="Arial"/>
          <w:sz w:val="24"/>
          <w:szCs w:val="24"/>
        </w:rPr>
        <w:t xml:space="preserve"> </w:t>
      </w:r>
      <w:r w:rsidRPr="009A22D7">
        <w:rPr>
          <w:rFonts w:ascii="Book Antiqua" w:eastAsia="Calibri" w:hAnsi="Book Antiqua" w:cs="Arial"/>
          <w:sz w:val="24"/>
          <w:szCs w:val="24"/>
        </w:rPr>
        <w:t>por mes)</w:t>
      </w:r>
      <w:r w:rsidR="00D46A12">
        <w:rPr>
          <w:rFonts w:ascii="Book Antiqua" w:eastAsia="Calibri" w:hAnsi="Book Antiqua" w:cs="Arial"/>
          <w:sz w:val="24"/>
          <w:szCs w:val="24"/>
        </w:rPr>
        <w:t xml:space="preserve"> considerando 5 años</w:t>
      </w:r>
      <w:r w:rsidRPr="009A22D7">
        <w:rPr>
          <w:rFonts w:ascii="Book Antiqua" w:eastAsia="Calibri" w:hAnsi="Book Antiqua" w:cs="Arial"/>
          <w:sz w:val="24"/>
          <w:szCs w:val="24"/>
        </w:rPr>
        <w:t>, lo que</w:t>
      </w:r>
      <w:r w:rsidRPr="00D84964">
        <w:rPr>
          <w:rFonts w:ascii="Book Antiqua" w:eastAsia="Calibri" w:hAnsi="Book Antiqua" w:cs="Arial"/>
          <w:sz w:val="24"/>
          <w:szCs w:val="24"/>
        </w:rPr>
        <w:t xml:space="preserve"> equivale </w:t>
      </w:r>
      <w:r w:rsidRPr="009A22D7">
        <w:rPr>
          <w:rFonts w:ascii="Book Antiqua" w:eastAsia="Calibri" w:hAnsi="Book Antiqua" w:cs="Arial"/>
          <w:sz w:val="24"/>
          <w:szCs w:val="24"/>
        </w:rPr>
        <w:t xml:space="preserve">a </w:t>
      </w:r>
      <w:r w:rsidR="0065054D">
        <w:rPr>
          <w:rFonts w:ascii="Book Antiqua" w:eastAsia="Calibri" w:hAnsi="Book Antiqua" w:cs="Arial"/>
          <w:sz w:val="24"/>
          <w:szCs w:val="24"/>
        </w:rPr>
        <w:t>7</w:t>
      </w:r>
      <w:r w:rsidR="00F365CF">
        <w:rPr>
          <w:rFonts w:ascii="Book Antiqua" w:eastAsia="Calibri" w:hAnsi="Book Antiqua" w:cs="Arial"/>
          <w:sz w:val="24"/>
          <w:szCs w:val="24"/>
        </w:rPr>
        <w:t>2</w:t>
      </w:r>
      <w:r w:rsidRPr="009A22D7">
        <w:rPr>
          <w:rFonts w:ascii="Book Antiqua" w:eastAsia="Calibri" w:hAnsi="Book Antiqua" w:cs="Arial"/>
          <w:sz w:val="24"/>
          <w:szCs w:val="24"/>
        </w:rPr>
        <w:t xml:space="preserve"> expedientes por persona juzgadora, el motivo de t</w:t>
      </w:r>
      <w:r w:rsidR="00D46A12">
        <w:rPr>
          <w:rFonts w:ascii="Book Antiqua" w:eastAsia="Calibri" w:hAnsi="Book Antiqua" w:cs="Arial"/>
          <w:sz w:val="24"/>
          <w:szCs w:val="24"/>
        </w:rPr>
        <w:t>é</w:t>
      </w:r>
      <w:r w:rsidRPr="009A22D7">
        <w:rPr>
          <w:rFonts w:ascii="Book Antiqua" w:eastAsia="Calibri" w:hAnsi="Book Antiqua" w:cs="Arial"/>
          <w:sz w:val="24"/>
          <w:szCs w:val="24"/>
        </w:rPr>
        <w:t xml:space="preserve">rmino más representativo </w:t>
      </w:r>
      <w:r w:rsidR="009A22D7" w:rsidRPr="009A22D7">
        <w:rPr>
          <w:rFonts w:ascii="Book Antiqua" w:eastAsia="Calibri" w:hAnsi="Book Antiqua" w:cs="Arial"/>
          <w:sz w:val="24"/>
          <w:szCs w:val="24"/>
        </w:rPr>
        <w:t>es la Sentencia Dictada con un 3</w:t>
      </w:r>
      <w:r w:rsidR="00F365CF">
        <w:rPr>
          <w:rFonts w:ascii="Book Antiqua" w:eastAsia="Calibri" w:hAnsi="Book Antiqua" w:cs="Arial"/>
          <w:sz w:val="24"/>
          <w:szCs w:val="24"/>
        </w:rPr>
        <w:t>7</w:t>
      </w:r>
      <w:r w:rsidR="009A22D7" w:rsidRPr="009A22D7">
        <w:rPr>
          <w:rFonts w:ascii="Book Antiqua" w:eastAsia="Calibri" w:hAnsi="Book Antiqua" w:cs="Arial"/>
          <w:sz w:val="24"/>
          <w:szCs w:val="24"/>
        </w:rPr>
        <w:t xml:space="preserve">%, </w:t>
      </w:r>
      <w:r w:rsidR="009A22D7">
        <w:rPr>
          <w:rFonts w:ascii="Book Antiqua" w:eastAsia="Calibri" w:hAnsi="Book Antiqua" w:cs="Arial"/>
          <w:sz w:val="24"/>
          <w:szCs w:val="24"/>
        </w:rPr>
        <w:t xml:space="preserve">el </w:t>
      </w:r>
      <w:r w:rsidRPr="009A22D7">
        <w:rPr>
          <w:rFonts w:ascii="Book Antiqua" w:eastAsia="Calibri" w:hAnsi="Book Antiqua" w:cs="Arial"/>
          <w:sz w:val="24"/>
          <w:szCs w:val="24"/>
        </w:rPr>
        <w:t xml:space="preserve">Divorcio o separación por mutuo con un </w:t>
      </w:r>
      <w:r w:rsidR="009A22D7" w:rsidRPr="009A22D7">
        <w:rPr>
          <w:rFonts w:ascii="Book Antiqua" w:eastAsia="Calibri" w:hAnsi="Book Antiqua" w:cs="Arial"/>
          <w:sz w:val="24"/>
          <w:szCs w:val="24"/>
        </w:rPr>
        <w:t>2</w:t>
      </w:r>
      <w:r w:rsidR="00F365CF">
        <w:rPr>
          <w:rFonts w:ascii="Book Antiqua" w:eastAsia="Calibri" w:hAnsi="Book Antiqua" w:cs="Arial"/>
          <w:sz w:val="24"/>
          <w:szCs w:val="24"/>
        </w:rPr>
        <w:t>2</w:t>
      </w:r>
      <w:r w:rsidRPr="009A22D7">
        <w:rPr>
          <w:rFonts w:ascii="Book Antiqua" w:eastAsia="Calibri" w:hAnsi="Book Antiqua" w:cs="Arial"/>
          <w:sz w:val="24"/>
          <w:szCs w:val="24"/>
        </w:rPr>
        <w:t xml:space="preserve">%, seguido de </w:t>
      </w:r>
      <w:r w:rsidR="009A22D7">
        <w:rPr>
          <w:rFonts w:ascii="Book Antiqua" w:eastAsia="Calibri" w:hAnsi="Book Antiqua" w:cs="Arial"/>
          <w:sz w:val="24"/>
          <w:szCs w:val="24"/>
        </w:rPr>
        <w:t xml:space="preserve">las </w:t>
      </w:r>
      <w:r w:rsidRPr="009A22D7">
        <w:rPr>
          <w:rFonts w:ascii="Book Antiqua" w:eastAsia="Calibri" w:hAnsi="Book Antiqua" w:cs="Arial"/>
          <w:sz w:val="24"/>
          <w:szCs w:val="24"/>
        </w:rPr>
        <w:t>sentencias de segunda instancia con 1</w:t>
      </w:r>
      <w:r w:rsidR="00F365CF">
        <w:rPr>
          <w:rFonts w:ascii="Book Antiqua" w:eastAsia="Calibri" w:hAnsi="Book Antiqua" w:cs="Arial"/>
          <w:sz w:val="24"/>
          <w:szCs w:val="24"/>
        </w:rPr>
        <w:t>9</w:t>
      </w:r>
      <w:r w:rsidRPr="009A22D7">
        <w:rPr>
          <w:rFonts w:ascii="Book Antiqua" w:eastAsia="Calibri" w:hAnsi="Book Antiqua" w:cs="Arial"/>
          <w:sz w:val="24"/>
          <w:szCs w:val="24"/>
        </w:rPr>
        <w:t xml:space="preserve">%, </w:t>
      </w:r>
      <w:r w:rsidR="009A22D7" w:rsidRPr="009A22D7">
        <w:rPr>
          <w:rFonts w:ascii="Book Antiqua" w:eastAsia="Calibri" w:hAnsi="Book Antiqua" w:cs="Arial"/>
          <w:sz w:val="24"/>
          <w:szCs w:val="24"/>
        </w:rPr>
        <w:t>las resoluciones por otros motivos de término con un 1</w:t>
      </w:r>
      <w:r w:rsidR="00F365CF">
        <w:rPr>
          <w:rFonts w:ascii="Book Antiqua" w:eastAsia="Calibri" w:hAnsi="Book Antiqua" w:cs="Arial"/>
          <w:sz w:val="24"/>
          <w:szCs w:val="24"/>
        </w:rPr>
        <w:t>2</w:t>
      </w:r>
      <w:r w:rsidR="009A22D7" w:rsidRPr="009A22D7">
        <w:rPr>
          <w:rFonts w:ascii="Book Antiqua" w:eastAsia="Calibri" w:hAnsi="Book Antiqua" w:cs="Arial"/>
          <w:sz w:val="24"/>
          <w:szCs w:val="24"/>
        </w:rPr>
        <w:t xml:space="preserve">% y las </w:t>
      </w:r>
      <w:r w:rsidRPr="009A22D7">
        <w:rPr>
          <w:rFonts w:ascii="Book Antiqua" w:eastAsia="Calibri" w:hAnsi="Book Antiqua" w:cs="Arial"/>
          <w:sz w:val="24"/>
          <w:szCs w:val="24"/>
        </w:rPr>
        <w:t xml:space="preserve">homologaciones e incidentes con un </w:t>
      </w:r>
      <w:r w:rsidR="009A22D7" w:rsidRPr="009A22D7">
        <w:rPr>
          <w:rFonts w:ascii="Book Antiqua" w:eastAsia="Calibri" w:hAnsi="Book Antiqua" w:cs="Arial"/>
          <w:sz w:val="24"/>
          <w:szCs w:val="24"/>
        </w:rPr>
        <w:t>8</w:t>
      </w:r>
      <w:r w:rsidRPr="009A22D7">
        <w:rPr>
          <w:rFonts w:ascii="Book Antiqua" w:eastAsia="Calibri" w:hAnsi="Book Antiqua" w:cs="Arial"/>
          <w:sz w:val="24"/>
          <w:szCs w:val="24"/>
        </w:rPr>
        <w:t>% y 2% respectivamente.</w:t>
      </w:r>
    </w:p>
    <w:p w14:paraId="7D1706F8" w14:textId="77777777" w:rsidR="00D84964" w:rsidRPr="00D84964" w:rsidRDefault="00D84964" w:rsidP="00D84964">
      <w:pPr>
        <w:spacing w:after="0" w:line="276" w:lineRule="auto"/>
        <w:jc w:val="both"/>
        <w:rPr>
          <w:rFonts w:ascii="Book Antiqua" w:eastAsia="Calibri" w:hAnsi="Book Antiqua" w:cs="Arial"/>
          <w:sz w:val="24"/>
          <w:szCs w:val="24"/>
        </w:rPr>
      </w:pPr>
    </w:p>
    <w:p w14:paraId="777351B3" w14:textId="1F4E841A" w:rsidR="00D84964" w:rsidRPr="00D84964" w:rsidRDefault="00D84964" w:rsidP="00D84964">
      <w:pPr>
        <w:spacing w:after="0" w:line="276" w:lineRule="auto"/>
        <w:jc w:val="both"/>
        <w:rPr>
          <w:rFonts w:ascii="Book Antiqua" w:eastAsia="Calibri" w:hAnsi="Book Antiqua" w:cs="Arial"/>
          <w:sz w:val="24"/>
          <w:szCs w:val="24"/>
        </w:rPr>
      </w:pPr>
      <w:r w:rsidRPr="00D84964">
        <w:rPr>
          <w:rFonts w:ascii="Book Antiqua" w:eastAsia="Calibri" w:hAnsi="Book Antiqua" w:cs="Arial"/>
          <w:sz w:val="24"/>
          <w:szCs w:val="24"/>
        </w:rPr>
        <w:t xml:space="preserve">Al analizar, el ingreso y salida mensual por persona juzgadora, se tienen </w:t>
      </w:r>
      <w:r w:rsidR="009A22D7" w:rsidRPr="00F52449">
        <w:rPr>
          <w:rFonts w:ascii="Book Antiqua" w:eastAsia="Calibri" w:hAnsi="Book Antiqua" w:cs="Arial"/>
          <w:sz w:val="24"/>
          <w:szCs w:val="24"/>
        </w:rPr>
        <w:t>8</w:t>
      </w:r>
      <w:r w:rsidRPr="00F52449">
        <w:rPr>
          <w:rFonts w:ascii="Book Antiqua" w:eastAsia="Calibri" w:hAnsi="Book Antiqua" w:cs="Arial"/>
          <w:sz w:val="24"/>
          <w:szCs w:val="24"/>
        </w:rPr>
        <w:t xml:space="preserve">4 y </w:t>
      </w:r>
      <w:r w:rsidR="0065054D">
        <w:rPr>
          <w:rFonts w:ascii="Book Antiqua" w:eastAsia="Calibri" w:hAnsi="Book Antiqua" w:cs="Arial"/>
          <w:sz w:val="24"/>
          <w:szCs w:val="24"/>
        </w:rPr>
        <w:t>7</w:t>
      </w:r>
      <w:r w:rsidR="00F365CF">
        <w:rPr>
          <w:rFonts w:ascii="Book Antiqua" w:eastAsia="Calibri" w:hAnsi="Book Antiqua" w:cs="Arial"/>
          <w:sz w:val="24"/>
          <w:szCs w:val="24"/>
        </w:rPr>
        <w:t>2</w:t>
      </w:r>
      <w:r w:rsidRPr="00D84964">
        <w:rPr>
          <w:rFonts w:ascii="Book Antiqua" w:eastAsia="Calibri" w:hAnsi="Book Antiqua" w:cs="Arial"/>
          <w:sz w:val="24"/>
          <w:szCs w:val="24"/>
        </w:rPr>
        <w:t xml:space="preserve"> asuntos respectivamente; lo que evidencia, que el personal juzgador </w:t>
      </w:r>
      <w:r w:rsidR="00F52449">
        <w:rPr>
          <w:rFonts w:ascii="Book Antiqua" w:eastAsia="Calibri" w:hAnsi="Book Antiqua" w:cs="Arial"/>
          <w:sz w:val="24"/>
          <w:szCs w:val="24"/>
        </w:rPr>
        <w:t xml:space="preserve">no </w:t>
      </w:r>
      <w:r w:rsidRPr="00D84964">
        <w:rPr>
          <w:rFonts w:ascii="Book Antiqua" w:eastAsia="Calibri" w:hAnsi="Book Antiqua" w:cs="Arial"/>
          <w:sz w:val="24"/>
          <w:szCs w:val="24"/>
        </w:rPr>
        <w:t xml:space="preserve">alcanza a terminar la cantidad de asuntos que ingresan. </w:t>
      </w:r>
    </w:p>
    <w:p w14:paraId="1E1238BD" w14:textId="77777777" w:rsidR="00D84964" w:rsidRPr="00D84964" w:rsidRDefault="00D84964" w:rsidP="00D84964">
      <w:pPr>
        <w:spacing w:after="0" w:line="276" w:lineRule="auto"/>
        <w:jc w:val="both"/>
        <w:rPr>
          <w:rFonts w:ascii="Book Antiqua" w:eastAsia="Calibri" w:hAnsi="Book Antiqua" w:cs="Arial"/>
          <w:sz w:val="24"/>
          <w:szCs w:val="24"/>
        </w:rPr>
      </w:pPr>
    </w:p>
    <w:p w14:paraId="372E5174" w14:textId="19F2FD09" w:rsidR="00D46A12" w:rsidRDefault="00D84964" w:rsidP="00D84964">
      <w:pPr>
        <w:spacing w:after="0" w:line="276" w:lineRule="auto"/>
        <w:jc w:val="both"/>
        <w:rPr>
          <w:rFonts w:ascii="Book Antiqua" w:eastAsia="Calibri" w:hAnsi="Book Antiqua" w:cs="Arial"/>
          <w:sz w:val="24"/>
          <w:szCs w:val="24"/>
        </w:rPr>
      </w:pPr>
      <w:r w:rsidRPr="00D84964">
        <w:rPr>
          <w:rFonts w:ascii="Book Antiqua" w:eastAsia="Calibri" w:hAnsi="Book Antiqua" w:cs="Arial"/>
          <w:sz w:val="24"/>
          <w:szCs w:val="24"/>
        </w:rPr>
        <w:t>Al graficar en conjunto la entrada total de casos (entrados+ testimonio de piezas + reentrados), los terminados totales (terminados +inactivos) y el circulante al finalizar el periodo de 201</w:t>
      </w:r>
      <w:r w:rsidR="006F0107">
        <w:rPr>
          <w:rFonts w:ascii="Book Antiqua" w:eastAsia="Calibri" w:hAnsi="Book Antiqua" w:cs="Arial"/>
          <w:sz w:val="24"/>
          <w:szCs w:val="24"/>
        </w:rPr>
        <w:t>7</w:t>
      </w:r>
      <w:r w:rsidRPr="00D84964">
        <w:rPr>
          <w:rFonts w:ascii="Book Antiqua" w:eastAsia="Calibri" w:hAnsi="Book Antiqua" w:cs="Arial"/>
          <w:sz w:val="24"/>
          <w:szCs w:val="24"/>
        </w:rPr>
        <w:t xml:space="preserve"> a 20</w:t>
      </w:r>
      <w:r w:rsidR="006F0107">
        <w:rPr>
          <w:rFonts w:ascii="Book Antiqua" w:eastAsia="Calibri" w:hAnsi="Book Antiqua" w:cs="Arial"/>
          <w:sz w:val="24"/>
          <w:szCs w:val="24"/>
        </w:rPr>
        <w:t>2</w:t>
      </w:r>
      <w:r w:rsidRPr="00D84964">
        <w:rPr>
          <w:rFonts w:ascii="Book Antiqua" w:eastAsia="Calibri" w:hAnsi="Book Antiqua" w:cs="Arial"/>
          <w:sz w:val="24"/>
          <w:szCs w:val="24"/>
        </w:rPr>
        <w:t xml:space="preserve">1 se obtiene que se terminan menos </w:t>
      </w:r>
      <w:r w:rsidR="00D46A12">
        <w:rPr>
          <w:rFonts w:ascii="Book Antiqua" w:eastAsia="Calibri" w:hAnsi="Book Antiqua" w:cs="Arial"/>
          <w:sz w:val="24"/>
          <w:szCs w:val="24"/>
        </w:rPr>
        <w:t xml:space="preserve">asuntos </w:t>
      </w:r>
      <w:r w:rsidR="000D0A66" w:rsidRPr="00CE4E6A">
        <w:rPr>
          <w:rFonts w:ascii="Book Antiqua" w:eastAsia="Calibri" w:hAnsi="Book Antiqua" w:cs="Arial"/>
          <w:sz w:val="24"/>
          <w:szCs w:val="24"/>
        </w:rPr>
        <w:t>de los</w:t>
      </w:r>
      <w:r w:rsidR="000D0A66">
        <w:rPr>
          <w:rFonts w:ascii="Book Antiqua" w:eastAsia="Calibri" w:hAnsi="Book Antiqua" w:cs="Arial"/>
          <w:sz w:val="24"/>
          <w:szCs w:val="24"/>
        </w:rPr>
        <w:t xml:space="preserve"> </w:t>
      </w:r>
      <w:r w:rsidRPr="00D84964">
        <w:rPr>
          <w:rFonts w:ascii="Book Antiqua" w:eastAsia="Calibri" w:hAnsi="Book Antiqua" w:cs="Arial"/>
          <w:sz w:val="24"/>
          <w:szCs w:val="24"/>
        </w:rPr>
        <w:t xml:space="preserve">que entran nuevos cada año. La mayor diferencia entre lo entrado y lo terminado se reportó </w:t>
      </w:r>
      <w:r w:rsidR="00F52449">
        <w:rPr>
          <w:rFonts w:ascii="Book Antiqua" w:eastAsia="Calibri" w:hAnsi="Book Antiqua" w:cs="Arial"/>
          <w:sz w:val="24"/>
          <w:szCs w:val="24"/>
        </w:rPr>
        <w:t xml:space="preserve">en </w:t>
      </w:r>
      <w:r w:rsidRPr="00D84964">
        <w:rPr>
          <w:rFonts w:ascii="Book Antiqua" w:eastAsia="Calibri" w:hAnsi="Book Antiqua" w:cs="Arial"/>
          <w:sz w:val="24"/>
          <w:szCs w:val="24"/>
        </w:rPr>
        <w:lastRenderedPageBreak/>
        <w:t xml:space="preserve">2018, con una diferencia de </w:t>
      </w:r>
      <w:r w:rsidR="00792F0C">
        <w:rPr>
          <w:rFonts w:ascii="Book Antiqua" w:eastAsia="Calibri" w:hAnsi="Book Antiqua" w:cs="Arial"/>
          <w:sz w:val="24"/>
          <w:szCs w:val="24"/>
        </w:rPr>
        <w:t>889</w:t>
      </w:r>
      <w:r w:rsidRPr="00D84964">
        <w:rPr>
          <w:rFonts w:ascii="Book Antiqua" w:eastAsia="Calibri" w:hAnsi="Book Antiqua" w:cs="Arial"/>
          <w:sz w:val="24"/>
          <w:szCs w:val="24"/>
        </w:rPr>
        <w:t xml:space="preserve"> casos, </w:t>
      </w:r>
      <w:r w:rsidR="00D46A12">
        <w:rPr>
          <w:rFonts w:ascii="Book Antiqua" w:eastAsia="Calibri" w:hAnsi="Book Antiqua" w:cs="Arial"/>
          <w:sz w:val="24"/>
          <w:szCs w:val="24"/>
        </w:rPr>
        <w:t>lo que produjo un incremento en</w:t>
      </w:r>
      <w:r w:rsidRPr="00D84964">
        <w:rPr>
          <w:rFonts w:ascii="Book Antiqua" w:eastAsia="Calibri" w:hAnsi="Book Antiqua" w:cs="Arial"/>
          <w:sz w:val="24"/>
          <w:szCs w:val="24"/>
        </w:rPr>
        <w:t xml:space="preserve"> el circulante de 13</w:t>
      </w:r>
      <w:r w:rsidR="00D46A12">
        <w:rPr>
          <w:rFonts w:ascii="Book Antiqua" w:eastAsia="Calibri" w:hAnsi="Book Antiqua" w:cs="Arial"/>
          <w:sz w:val="24"/>
          <w:szCs w:val="24"/>
        </w:rPr>
        <w:t> </w:t>
      </w:r>
      <w:r w:rsidRPr="00D84964">
        <w:rPr>
          <w:rFonts w:ascii="Book Antiqua" w:eastAsia="Calibri" w:hAnsi="Book Antiqua" w:cs="Arial"/>
          <w:sz w:val="24"/>
          <w:szCs w:val="24"/>
        </w:rPr>
        <w:t>698</w:t>
      </w:r>
      <w:r w:rsidR="00D46A12">
        <w:rPr>
          <w:rFonts w:ascii="Book Antiqua" w:eastAsia="Calibri" w:hAnsi="Book Antiqua" w:cs="Arial"/>
          <w:sz w:val="24"/>
          <w:szCs w:val="24"/>
        </w:rPr>
        <w:t xml:space="preserve"> en el 2017 </w:t>
      </w:r>
      <w:r w:rsidRPr="00D84964">
        <w:rPr>
          <w:rFonts w:ascii="Book Antiqua" w:eastAsia="Calibri" w:hAnsi="Book Antiqua" w:cs="Arial"/>
          <w:sz w:val="24"/>
          <w:szCs w:val="24"/>
        </w:rPr>
        <w:t>a 14</w:t>
      </w:r>
      <w:r w:rsidR="00F52449">
        <w:rPr>
          <w:rFonts w:ascii="Book Antiqua" w:eastAsia="Calibri" w:hAnsi="Book Antiqua" w:cs="Arial"/>
          <w:sz w:val="24"/>
          <w:szCs w:val="24"/>
        </w:rPr>
        <w:t xml:space="preserve"> </w:t>
      </w:r>
      <w:r w:rsidRPr="00D84964">
        <w:rPr>
          <w:rFonts w:ascii="Book Antiqua" w:eastAsia="Calibri" w:hAnsi="Book Antiqua" w:cs="Arial"/>
          <w:sz w:val="24"/>
          <w:szCs w:val="24"/>
        </w:rPr>
        <w:t xml:space="preserve">443 expedientes </w:t>
      </w:r>
      <w:r w:rsidR="00D46A12">
        <w:rPr>
          <w:rFonts w:ascii="Book Antiqua" w:eastAsia="Calibri" w:hAnsi="Book Antiqua" w:cs="Arial"/>
          <w:sz w:val="24"/>
          <w:szCs w:val="24"/>
        </w:rPr>
        <w:t xml:space="preserve">en </w:t>
      </w:r>
      <w:r w:rsidRPr="00D84964">
        <w:rPr>
          <w:rFonts w:ascii="Book Antiqua" w:eastAsia="Calibri" w:hAnsi="Book Antiqua" w:cs="Arial"/>
          <w:sz w:val="24"/>
          <w:szCs w:val="24"/>
        </w:rPr>
        <w:t>2018, como se muestra en el siguiente gráfico</w:t>
      </w:r>
      <w:r w:rsidR="00D46A12">
        <w:rPr>
          <w:rFonts w:ascii="Book Antiqua" w:eastAsia="Calibri" w:hAnsi="Book Antiqua" w:cs="Arial"/>
          <w:sz w:val="24"/>
          <w:szCs w:val="24"/>
        </w:rPr>
        <w:t xml:space="preserve">. </w:t>
      </w:r>
    </w:p>
    <w:p w14:paraId="4ECCF380" w14:textId="77777777" w:rsidR="000A094F" w:rsidRDefault="00D46A12" w:rsidP="00D8496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Sin embargo, al considerar el 2021, un año en donde las oficinas están haciendo esfuerzos para reactivar los servicios, en donde desde el 2020 la institución aprueba protocolos para la celebración de audiencias por medios electrónicos, entre otros, se logra observar que para el 2020</w:t>
      </w:r>
      <w:r w:rsidR="000A094F">
        <w:rPr>
          <w:rFonts w:ascii="Book Antiqua" w:eastAsia="Calibri" w:hAnsi="Book Antiqua" w:cs="Arial"/>
          <w:sz w:val="24"/>
          <w:szCs w:val="24"/>
        </w:rPr>
        <w:t xml:space="preserve"> y 2021 son los únicos 2 años en donde se logró cubrir la entrada. Incluso para 2021, se reportó una disminución en circulante de 975 asuntos.  </w:t>
      </w:r>
    </w:p>
    <w:p w14:paraId="3C17761D" w14:textId="7F440965" w:rsidR="00D84964" w:rsidRPr="00D84964" w:rsidRDefault="00D84964" w:rsidP="00D84964">
      <w:pPr>
        <w:spacing w:after="0" w:line="276" w:lineRule="auto"/>
        <w:jc w:val="both"/>
        <w:rPr>
          <w:rFonts w:ascii="Book Antiqua" w:eastAsia="Calibri" w:hAnsi="Book Antiqua" w:cs="Arial"/>
          <w:sz w:val="24"/>
          <w:szCs w:val="24"/>
        </w:rPr>
      </w:pPr>
    </w:p>
    <w:p w14:paraId="2C8568F3" w14:textId="2ADB54A7" w:rsidR="00C10C3C" w:rsidRPr="00C10C3C" w:rsidRDefault="00C10C3C" w:rsidP="00C10C3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C10C3C">
        <w:rPr>
          <w:rFonts w:ascii="Book Antiqua" w:eastAsia="Calibri" w:hAnsi="Book Antiqua" w:cs="Arial"/>
          <w:b/>
          <w:bCs/>
          <w:color w:val="1F497D"/>
          <w:szCs w:val="24"/>
          <w:lang w:val="es-ES" w:eastAsia="es-ES"/>
        </w:rPr>
        <w:t xml:space="preserve">Gráfico </w:t>
      </w:r>
      <w:r w:rsidRPr="00C10C3C">
        <w:rPr>
          <w:rFonts w:ascii="Book Antiqua" w:eastAsia="Calibri" w:hAnsi="Book Antiqua" w:cs="Arial"/>
          <w:b/>
          <w:bCs/>
          <w:color w:val="1F497D"/>
          <w:szCs w:val="24"/>
          <w:lang w:val="es-ES" w:eastAsia="es-ES"/>
        </w:rPr>
        <w:fldChar w:fldCharType="begin"/>
      </w:r>
      <w:r w:rsidRPr="00C10C3C">
        <w:rPr>
          <w:rFonts w:ascii="Book Antiqua" w:eastAsia="Calibri" w:hAnsi="Book Antiqua" w:cs="Arial"/>
          <w:b/>
          <w:bCs/>
          <w:color w:val="1F497D"/>
          <w:szCs w:val="24"/>
          <w:lang w:val="es-ES" w:eastAsia="es-ES"/>
        </w:rPr>
        <w:instrText xml:space="preserve"> SEQ Gráfico \* ARABIC </w:instrText>
      </w:r>
      <w:r w:rsidRPr="00C10C3C">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5</w:t>
      </w:r>
      <w:r w:rsidRPr="00C10C3C">
        <w:rPr>
          <w:rFonts w:ascii="Book Antiqua" w:eastAsia="Calibri" w:hAnsi="Book Antiqua" w:cs="Arial"/>
          <w:b/>
          <w:bCs/>
          <w:color w:val="1F497D"/>
          <w:szCs w:val="24"/>
          <w:lang w:val="es-ES" w:eastAsia="es-ES"/>
        </w:rPr>
        <w:fldChar w:fldCharType="end"/>
      </w:r>
      <w:r w:rsidRPr="00C10C3C">
        <w:rPr>
          <w:rFonts w:ascii="Book Antiqua" w:eastAsia="Calibri" w:hAnsi="Book Antiqua" w:cs="Arial"/>
          <w:b/>
          <w:bCs/>
          <w:color w:val="1F497D"/>
          <w:szCs w:val="24"/>
          <w:lang w:val="es-ES" w:eastAsia="es-ES"/>
        </w:rPr>
        <w:t xml:space="preserve"> </w:t>
      </w:r>
    </w:p>
    <w:p w14:paraId="1517F99D" w14:textId="01A095CF" w:rsidR="00C10C3C" w:rsidRPr="00C10C3C" w:rsidRDefault="00C10C3C" w:rsidP="005D537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C10C3C">
        <w:rPr>
          <w:rFonts w:ascii="Book Antiqua" w:eastAsia="Calibri" w:hAnsi="Book Antiqua" w:cs="Arial"/>
          <w:b/>
          <w:bCs/>
          <w:color w:val="1F497D"/>
          <w:szCs w:val="24"/>
          <w:lang w:val="es-ES" w:eastAsia="es-ES"/>
        </w:rPr>
        <w:t>Entrado total, terminado total y circulante</w:t>
      </w:r>
    </w:p>
    <w:p w14:paraId="7D385438" w14:textId="7E4E2AF0" w:rsidR="00D84964" w:rsidRPr="005D5370" w:rsidRDefault="00C10C3C" w:rsidP="005D5370">
      <w:pPr>
        <w:spacing w:line="276" w:lineRule="auto"/>
        <w:jc w:val="center"/>
        <w:rPr>
          <w:rFonts w:ascii="Book Antiqua" w:eastAsia="Calibri" w:hAnsi="Book Antiqua" w:cs="Arial"/>
          <w:b/>
          <w:bCs/>
          <w:color w:val="1F497D"/>
          <w:szCs w:val="24"/>
          <w:lang w:val="es-ES" w:eastAsia="es-ES"/>
        </w:rPr>
      </w:pPr>
      <w:r w:rsidRPr="005D5370">
        <w:rPr>
          <w:rFonts w:ascii="Book Antiqua" w:eastAsia="Calibri" w:hAnsi="Book Antiqua" w:cs="Arial"/>
          <w:b/>
          <w:bCs/>
          <w:color w:val="1F497D"/>
          <w:szCs w:val="24"/>
          <w:lang w:val="es-ES" w:eastAsia="es-ES"/>
        </w:rPr>
        <w:t>de 201</w:t>
      </w:r>
      <w:r w:rsidR="005D5370">
        <w:rPr>
          <w:rFonts w:ascii="Book Antiqua" w:eastAsia="Calibri" w:hAnsi="Book Antiqua" w:cs="Arial"/>
          <w:b/>
          <w:bCs/>
          <w:color w:val="1F497D"/>
          <w:szCs w:val="24"/>
          <w:lang w:val="es-ES" w:eastAsia="es-ES"/>
        </w:rPr>
        <w:t>7</w:t>
      </w:r>
      <w:r w:rsidRPr="005D5370">
        <w:rPr>
          <w:rFonts w:ascii="Book Antiqua" w:eastAsia="Calibri" w:hAnsi="Book Antiqua" w:cs="Arial"/>
          <w:b/>
          <w:bCs/>
          <w:color w:val="1F497D"/>
          <w:szCs w:val="24"/>
          <w:lang w:val="es-ES" w:eastAsia="es-ES"/>
        </w:rPr>
        <w:t xml:space="preserve"> a 20</w:t>
      </w:r>
      <w:r w:rsidR="005D5370">
        <w:rPr>
          <w:rFonts w:ascii="Book Antiqua" w:eastAsia="Calibri" w:hAnsi="Book Antiqua" w:cs="Arial"/>
          <w:b/>
          <w:bCs/>
          <w:color w:val="1F497D"/>
          <w:szCs w:val="24"/>
          <w:lang w:val="es-ES" w:eastAsia="es-ES"/>
        </w:rPr>
        <w:t>2</w:t>
      </w:r>
      <w:r w:rsidRPr="005D5370">
        <w:rPr>
          <w:rFonts w:ascii="Book Antiqua" w:eastAsia="Calibri" w:hAnsi="Book Antiqua" w:cs="Arial"/>
          <w:b/>
          <w:bCs/>
          <w:color w:val="1F497D"/>
          <w:szCs w:val="24"/>
          <w:lang w:val="es-ES" w:eastAsia="es-ES"/>
        </w:rPr>
        <w:t xml:space="preserve">1, </w:t>
      </w:r>
      <w:r w:rsidR="005D5370">
        <w:rPr>
          <w:rFonts w:ascii="Book Antiqua" w:eastAsia="Calibri" w:hAnsi="Book Antiqua" w:cs="Arial"/>
          <w:b/>
          <w:bCs/>
          <w:color w:val="1F497D"/>
          <w:szCs w:val="24"/>
          <w:lang w:val="es-ES" w:eastAsia="es-ES"/>
        </w:rPr>
        <w:t>J</w:t>
      </w:r>
      <w:r w:rsidRPr="005D5370">
        <w:rPr>
          <w:rFonts w:ascii="Book Antiqua" w:eastAsia="Calibri" w:hAnsi="Book Antiqua" w:cs="Arial"/>
          <w:b/>
          <w:bCs/>
          <w:color w:val="1F497D"/>
          <w:szCs w:val="24"/>
          <w:lang w:val="es-ES" w:eastAsia="es-ES"/>
        </w:rPr>
        <w:t xml:space="preserve">uzgados </w:t>
      </w:r>
      <w:r w:rsidR="005D5370">
        <w:rPr>
          <w:rFonts w:ascii="Book Antiqua" w:eastAsia="Calibri" w:hAnsi="Book Antiqua" w:cs="Arial"/>
          <w:b/>
          <w:bCs/>
          <w:color w:val="1F497D"/>
          <w:szCs w:val="24"/>
          <w:lang w:val="es-ES" w:eastAsia="es-ES"/>
        </w:rPr>
        <w:t>E</w:t>
      </w:r>
      <w:r w:rsidRPr="005D5370">
        <w:rPr>
          <w:rFonts w:ascii="Book Antiqua" w:eastAsia="Calibri" w:hAnsi="Book Antiqua" w:cs="Arial"/>
          <w:b/>
          <w:bCs/>
          <w:color w:val="1F497D"/>
          <w:szCs w:val="24"/>
          <w:lang w:val="es-ES" w:eastAsia="es-ES"/>
        </w:rPr>
        <w:t>specializados en materia Familia</w:t>
      </w:r>
    </w:p>
    <w:p w14:paraId="01881D23" w14:textId="5AAD9371" w:rsidR="008A5759" w:rsidRDefault="00C023DD" w:rsidP="005D749E">
      <w:pPr>
        <w:spacing w:line="276" w:lineRule="auto"/>
        <w:jc w:val="center"/>
        <w:rPr>
          <w:rFonts w:ascii="Book Antiqua" w:hAnsi="Book Antiqua"/>
          <w:sz w:val="24"/>
          <w:szCs w:val="24"/>
        </w:rPr>
      </w:pPr>
      <w:r>
        <w:rPr>
          <w:noProof/>
        </w:rPr>
        <w:drawing>
          <wp:inline distT="0" distB="0" distL="0" distR="0" wp14:anchorId="4FFE2B52" wp14:editId="64D0B763">
            <wp:extent cx="4572000" cy="2762738"/>
            <wp:effectExtent l="0" t="0" r="0" b="0"/>
            <wp:docPr id="10" name="Gráfico 10">
              <a:extLst xmlns:a="http://schemas.openxmlformats.org/drawingml/2006/main">
                <a:ext uri="{FF2B5EF4-FFF2-40B4-BE49-F238E27FC236}">
                  <a16:creationId xmlns:a16="http://schemas.microsoft.com/office/drawing/2014/main" id="{6B82689F-B4ED-446D-BE6D-B41C308259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4594AE3" w14:textId="77777777" w:rsidR="000D0A66" w:rsidRDefault="000D0A66" w:rsidP="000D0A66">
      <w:pPr>
        <w:spacing w:after="0" w:line="276" w:lineRule="auto"/>
        <w:ind w:right="284" w:firstLine="851"/>
        <w:jc w:val="both"/>
        <w:rPr>
          <w:rFonts w:ascii="Book Antiqua" w:hAnsi="Book Antiqua"/>
          <w:i/>
          <w:iCs/>
          <w:sz w:val="20"/>
          <w:szCs w:val="20"/>
        </w:rPr>
      </w:pPr>
      <w:r w:rsidRPr="000D0A66">
        <w:rPr>
          <w:rFonts w:ascii="Book Antiqua" w:hAnsi="Book Antiqua"/>
          <w:i/>
          <w:iCs/>
          <w:sz w:val="20"/>
          <w:szCs w:val="20"/>
        </w:rPr>
        <w:t xml:space="preserve">Fuente: Subproceso de Modernización Institucional, con datos del Subproceso de Estadística </w:t>
      </w:r>
    </w:p>
    <w:p w14:paraId="6557D07F" w14:textId="18DC1353" w:rsidR="005D749E" w:rsidRPr="000D0A66" w:rsidRDefault="000D0A66" w:rsidP="000D0A66">
      <w:pPr>
        <w:spacing w:after="0" w:line="276" w:lineRule="auto"/>
        <w:ind w:right="284" w:firstLine="851"/>
        <w:jc w:val="both"/>
        <w:rPr>
          <w:rFonts w:ascii="Book Antiqua" w:hAnsi="Book Antiqua"/>
          <w:i/>
          <w:iCs/>
          <w:sz w:val="20"/>
          <w:szCs w:val="20"/>
        </w:rPr>
      </w:pPr>
      <w:r w:rsidRPr="000D0A66">
        <w:rPr>
          <w:rFonts w:ascii="Book Antiqua" w:hAnsi="Book Antiqua"/>
          <w:i/>
          <w:iCs/>
          <w:sz w:val="20"/>
          <w:szCs w:val="20"/>
        </w:rPr>
        <w:t>del 201</w:t>
      </w:r>
      <w:r>
        <w:rPr>
          <w:rFonts w:ascii="Book Antiqua" w:hAnsi="Book Antiqua"/>
          <w:i/>
          <w:iCs/>
          <w:sz w:val="20"/>
          <w:szCs w:val="20"/>
        </w:rPr>
        <w:t>7</w:t>
      </w:r>
      <w:r w:rsidRPr="000D0A66">
        <w:rPr>
          <w:rFonts w:ascii="Book Antiqua" w:hAnsi="Book Antiqua"/>
          <w:i/>
          <w:iCs/>
          <w:sz w:val="20"/>
          <w:szCs w:val="20"/>
        </w:rPr>
        <w:t xml:space="preserve"> al 20</w:t>
      </w:r>
      <w:r>
        <w:rPr>
          <w:rFonts w:ascii="Book Antiqua" w:hAnsi="Book Antiqua"/>
          <w:i/>
          <w:iCs/>
          <w:sz w:val="20"/>
          <w:szCs w:val="20"/>
        </w:rPr>
        <w:t>2</w:t>
      </w:r>
      <w:r w:rsidRPr="000D0A66">
        <w:rPr>
          <w:rFonts w:ascii="Book Antiqua" w:hAnsi="Book Antiqua"/>
          <w:i/>
          <w:iCs/>
          <w:sz w:val="20"/>
          <w:szCs w:val="20"/>
        </w:rPr>
        <w:t>1</w:t>
      </w:r>
      <w:r>
        <w:rPr>
          <w:rFonts w:ascii="Book Antiqua" w:hAnsi="Book Antiqua"/>
          <w:i/>
          <w:iCs/>
          <w:sz w:val="20"/>
          <w:szCs w:val="20"/>
        </w:rPr>
        <w:t>.</w:t>
      </w:r>
    </w:p>
    <w:p w14:paraId="48840BEC" w14:textId="63A708AF" w:rsidR="005D749E" w:rsidRDefault="005D749E" w:rsidP="009C01E1">
      <w:pPr>
        <w:spacing w:line="276" w:lineRule="auto"/>
        <w:jc w:val="both"/>
        <w:rPr>
          <w:rFonts w:ascii="Book Antiqua" w:hAnsi="Book Antiqua"/>
          <w:sz w:val="24"/>
          <w:szCs w:val="24"/>
        </w:rPr>
      </w:pPr>
    </w:p>
    <w:p w14:paraId="65C8D74E" w14:textId="77777777" w:rsidR="00792F0C" w:rsidRPr="008D6799" w:rsidRDefault="00792F0C"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Plazos por tipo de proceso</w:t>
      </w:r>
    </w:p>
    <w:p w14:paraId="339B823C" w14:textId="77777777" w:rsidR="009C6BEF" w:rsidRPr="009C6BEF" w:rsidRDefault="009C6BEF" w:rsidP="009C6BEF">
      <w:pPr>
        <w:spacing w:after="0" w:line="240" w:lineRule="auto"/>
        <w:jc w:val="both"/>
        <w:rPr>
          <w:rFonts w:ascii="Book Antiqua" w:eastAsia="Calibri" w:hAnsi="Book Antiqua" w:cs="Arial"/>
          <w:lang w:val="es-ES_tradnl"/>
        </w:rPr>
      </w:pPr>
    </w:p>
    <w:p w14:paraId="29434C5A" w14:textId="7029584E" w:rsidR="004B0BF5" w:rsidRPr="004B0BF5" w:rsidRDefault="00756438" w:rsidP="00D4475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Los </w:t>
      </w:r>
      <w:r w:rsidR="004B0BF5" w:rsidRPr="004B0BF5">
        <w:rPr>
          <w:rFonts w:ascii="Book Antiqua" w:eastAsia="Calibri" w:hAnsi="Book Antiqua" w:cs="Arial"/>
          <w:sz w:val="24"/>
          <w:szCs w:val="24"/>
        </w:rPr>
        <w:t xml:space="preserve">rangos de duración </w:t>
      </w:r>
      <w:r>
        <w:rPr>
          <w:rFonts w:ascii="Book Antiqua" w:eastAsia="Calibri" w:hAnsi="Book Antiqua" w:cs="Arial"/>
          <w:sz w:val="24"/>
          <w:szCs w:val="24"/>
        </w:rPr>
        <w:t xml:space="preserve">corresponden al </w:t>
      </w:r>
      <w:r w:rsidR="004B0BF5" w:rsidRPr="004B0BF5">
        <w:rPr>
          <w:rFonts w:ascii="Book Antiqua" w:eastAsia="Calibri" w:hAnsi="Book Antiqua" w:cs="Arial"/>
          <w:sz w:val="24"/>
          <w:szCs w:val="24"/>
        </w:rPr>
        <w:t xml:space="preserve">plazo legal, </w:t>
      </w:r>
      <w:r>
        <w:rPr>
          <w:rFonts w:ascii="Book Antiqua" w:eastAsia="Calibri" w:hAnsi="Book Antiqua" w:cs="Arial"/>
          <w:sz w:val="24"/>
          <w:szCs w:val="24"/>
        </w:rPr>
        <w:t xml:space="preserve">o </w:t>
      </w:r>
      <w:r w:rsidRPr="004B0BF5">
        <w:rPr>
          <w:rFonts w:ascii="Book Antiqua" w:eastAsia="Calibri" w:hAnsi="Book Antiqua" w:cs="Arial"/>
          <w:sz w:val="24"/>
          <w:szCs w:val="24"/>
        </w:rPr>
        <w:t>se encuentran dentro del criterio experto según informe 1212-PLA-EV-2020</w:t>
      </w:r>
      <w:r w:rsidR="00F30D3B">
        <w:rPr>
          <w:rFonts w:ascii="Book Antiqua" w:eastAsia="Calibri" w:hAnsi="Book Antiqua" w:cs="Arial"/>
          <w:sz w:val="24"/>
          <w:szCs w:val="24"/>
        </w:rPr>
        <w:t>,</w:t>
      </w:r>
      <w:r w:rsidR="00D44759">
        <w:rPr>
          <w:rFonts w:ascii="Book Antiqua" w:eastAsia="Calibri" w:hAnsi="Book Antiqua" w:cs="Arial"/>
          <w:sz w:val="24"/>
          <w:szCs w:val="24"/>
        </w:rPr>
        <w:t xml:space="preserve"> aprobado por Consejo Superior en sesión </w:t>
      </w:r>
      <w:r w:rsidR="00D44759" w:rsidRPr="00D44759">
        <w:rPr>
          <w:rFonts w:ascii="Book Antiqua" w:eastAsia="Calibri" w:hAnsi="Book Antiqua" w:cs="Arial"/>
          <w:sz w:val="24"/>
          <w:szCs w:val="24"/>
        </w:rPr>
        <w:t xml:space="preserve">82-2020 celebrada el 20 de agosto del 2020, </w:t>
      </w:r>
      <w:r w:rsidR="00D44759">
        <w:rPr>
          <w:rFonts w:ascii="Book Antiqua" w:eastAsia="Calibri" w:hAnsi="Book Antiqua" w:cs="Arial"/>
          <w:sz w:val="24"/>
          <w:szCs w:val="24"/>
        </w:rPr>
        <w:t>artículo</w:t>
      </w:r>
      <w:r w:rsidR="00D44759" w:rsidRPr="00D44759">
        <w:rPr>
          <w:rFonts w:ascii="Book Antiqua" w:eastAsia="Calibri" w:hAnsi="Book Antiqua" w:cs="Arial"/>
          <w:sz w:val="24"/>
          <w:szCs w:val="24"/>
        </w:rPr>
        <w:t xml:space="preserve"> XLI</w:t>
      </w:r>
      <w:r w:rsidR="00D44759">
        <w:rPr>
          <w:rFonts w:ascii="Book Antiqua" w:eastAsia="Calibri" w:hAnsi="Book Antiqua" w:cs="Arial"/>
          <w:sz w:val="24"/>
          <w:szCs w:val="24"/>
        </w:rPr>
        <w:t>-Circular</w:t>
      </w:r>
      <w:r w:rsidR="008C33E2">
        <w:rPr>
          <w:rFonts w:ascii="Book Antiqua" w:eastAsia="Calibri" w:hAnsi="Book Antiqua" w:cs="Arial"/>
          <w:sz w:val="24"/>
          <w:szCs w:val="24"/>
        </w:rPr>
        <w:t>es 96-2021 y 213-2021</w:t>
      </w:r>
    </w:p>
    <w:p w14:paraId="1CF47E2C" w14:textId="19EAC7BA" w:rsidR="00352675" w:rsidRPr="00352675" w:rsidRDefault="00352675" w:rsidP="0035267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52675">
        <w:rPr>
          <w:rFonts w:ascii="Book Antiqua" w:eastAsia="Calibri" w:hAnsi="Book Antiqua" w:cs="Arial"/>
          <w:b/>
          <w:bCs/>
          <w:color w:val="1F497D"/>
          <w:szCs w:val="24"/>
          <w:lang w:val="es-ES" w:eastAsia="es-ES"/>
        </w:rPr>
        <w:lastRenderedPageBreak/>
        <w:t xml:space="preserve">Ilustración </w:t>
      </w:r>
      <w:r w:rsidRPr="00352675">
        <w:rPr>
          <w:rFonts w:ascii="Book Antiqua" w:eastAsia="Calibri" w:hAnsi="Book Antiqua" w:cs="Arial"/>
          <w:b/>
          <w:bCs/>
          <w:color w:val="1F497D"/>
          <w:szCs w:val="24"/>
          <w:lang w:val="es-ES" w:eastAsia="es-ES"/>
        </w:rPr>
        <w:fldChar w:fldCharType="begin"/>
      </w:r>
      <w:r w:rsidRPr="00352675">
        <w:rPr>
          <w:rFonts w:ascii="Book Antiqua" w:eastAsia="Calibri" w:hAnsi="Book Antiqua" w:cs="Arial"/>
          <w:b/>
          <w:bCs/>
          <w:color w:val="1F497D"/>
          <w:szCs w:val="24"/>
          <w:lang w:val="es-ES" w:eastAsia="es-ES"/>
        </w:rPr>
        <w:instrText xml:space="preserve"> SEQ Ilustración \* ARABIC </w:instrText>
      </w:r>
      <w:r w:rsidRPr="0035267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2</w:t>
      </w:r>
      <w:r w:rsidRPr="00352675">
        <w:rPr>
          <w:rFonts w:ascii="Book Antiqua" w:eastAsia="Calibri" w:hAnsi="Book Antiqua" w:cs="Arial"/>
          <w:b/>
          <w:bCs/>
          <w:color w:val="1F497D"/>
          <w:szCs w:val="24"/>
          <w:lang w:val="es-ES" w:eastAsia="es-ES"/>
        </w:rPr>
        <w:fldChar w:fldCharType="end"/>
      </w:r>
    </w:p>
    <w:p w14:paraId="6A99144E" w14:textId="03C08516" w:rsidR="00352675" w:rsidRPr="00352675" w:rsidRDefault="00352675" w:rsidP="00352675">
      <w:pPr>
        <w:spacing w:after="0" w:line="240" w:lineRule="auto"/>
        <w:jc w:val="center"/>
        <w:rPr>
          <w:rFonts w:ascii="Book Antiqua" w:eastAsia="Calibri" w:hAnsi="Book Antiqua" w:cs="Arial"/>
          <w:b/>
          <w:bCs/>
          <w:color w:val="1F497D"/>
          <w:szCs w:val="24"/>
          <w:lang w:val="es-ES" w:eastAsia="es-ES"/>
        </w:rPr>
      </w:pPr>
      <w:r w:rsidRPr="00352675">
        <w:rPr>
          <w:rFonts w:ascii="Book Antiqua" w:eastAsia="Calibri" w:hAnsi="Book Antiqua" w:cs="Arial"/>
          <w:b/>
          <w:bCs/>
          <w:color w:val="1F497D"/>
          <w:szCs w:val="24"/>
          <w:lang w:val="es-ES" w:eastAsia="es-ES"/>
        </w:rPr>
        <w:t xml:space="preserve">Plazos legales y según criterio experto </w:t>
      </w:r>
    </w:p>
    <w:p w14:paraId="3D65185E" w14:textId="0BBE47B4" w:rsidR="00352675" w:rsidRPr="00352675" w:rsidRDefault="00352675" w:rsidP="00352675">
      <w:pPr>
        <w:spacing w:after="0" w:line="276" w:lineRule="auto"/>
        <w:jc w:val="center"/>
        <w:rPr>
          <w:rFonts w:ascii="Book Antiqua" w:eastAsia="Calibri" w:hAnsi="Book Antiqua" w:cs="Arial"/>
          <w:sz w:val="24"/>
          <w:szCs w:val="24"/>
        </w:rPr>
      </w:pPr>
    </w:p>
    <w:p w14:paraId="64100024" w14:textId="4D5DCC49" w:rsidR="008C33E2" w:rsidRDefault="008C33E2" w:rsidP="001D0C10">
      <w:pPr>
        <w:spacing w:after="0" w:line="276" w:lineRule="auto"/>
        <w:jc w:val="center"/>
        <w:rPr>
          <w:rFonts w:ascii="Book Antiqua" w:eastAsia="Calibri" w:hAnsi="Book Antiqua" w:cs="Arial"/>
          <w:i/>
          <w:iCs/>
          <w:sz w:val="20"/>
          <w:szCs w:val="20"/>
        </w:rPr>
      </w:pPr>
      <w:r>
        <w:rPr>
          <w:noProof/>
        </w:rPr>
        <w:drawing>
          <wp:inline distT="0" distB="0" distL="0" distR="0" wp14:anchorId="2272DC8C" wp14:editId="0C0702BF">
            <wp:extent cx="3566160" cy="1170159"/>
            <wp:effectExtent l="0" t="0" r="0" b="0"/>
            <wp:docPr id="12" name="Imagen 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Tabla&#10;&#10;Descripción generada automáticamente"/>
                    <pic:cNvPicPr/>
                  </pic:nvPicPr>
                  <pic:blipFill>
                    <a:blip r:embed="rId19"/>
                    <a:stretch>
                      <a:fillRect/>
                    </a:stretch>
                  </pic:blipFill>
                  <pic:spPr>
                    <a:xfrm>
                      <a:off x="0" y="0"/>
                      <a:ext cx="3590636" cy="1178190"/>
                    </a:xfrm>
                    <a:prstGeom prst="rect">
                      <a:avLst/>
                    </a:prstGeom>
                  </pic:spPr>
                </pic:pic>
              </a:graphicData>
            </a:graphic>
          </wp:inline>
        </w:drawing>
      </w:r>
    </w:p>
    <w:p w14:paraId="6A64AA9C" w14:textId="430412EE" w:rsidR="00352675" w:rsidRPr="00352675" w:rsidRDefault="00352675" w:rsidP="001D0C10">
      <w:pPr>
        <w:spacing w:after="0" w:line="276" w:lineRule="auto"/>
        <w:jc w:val="center"/>
        <w:rPr>
          <w:rFonts w:ascii="Book Antiqua" w:eastAsia="Calibri" w:hAnsi="Book Antiqua" w:cs="Arial"/>
          <w:sz w:val="24"/>
          <w:szCs w:val="24"/>
        </w:rPr>
      </w:pPr>
      <w:r w:rsidRPr="00352675">
        <w:rPr>
          <w:rFonts w:ascii="Book Antiqua" w:eastAsia="Calibri" w:hAnsi="Book Antiqua" w:cs="Arial"/>
          <w:i/>
          <w:iCs/>
          <w:sz w:val="20"/>
          <w:szCs w:val="20"/>
        </w:rPr>
        <w:t xml:space="preserve">Fuente. </w:t>
      </w:r>
      <w:r w:rsidR="008C33E2">
        <w:rPr>
          <w:rFonts w:ascii="Book Antiqua" w:eastAsia="Calibri" w:hAnsi="Book Antiqua" w:cs="Arial"/>
          <w:i/>
          <w:iCs/>
          <w:sz w:val="20"/>
          <w:szCs w:val="20"/>
        </w:rPr>
        <w:t>Circular 213-2021</w:t>
      </w:r>
      <w:r w:rsidRPr="00352675">
        <w:rPr>
          <w:rFonts w:ascii="Book Antiqua" w:eastAsia="Calibri" w:hAnsi="Book Antiqua" w:cs="Arial"/>
          <w:i/>
          <w:iCs/>
          <w:sz w:val="20"/>
          <w:szCs w:val="20"/>
        </w:rPr>
        <w:t>.</w:t>
      </w:r>
    </w:p>
    <w:p w14:paraId="224F4FE0" w14:textId="79159FE5" w:rsidR="00E9767C" w:rsidRDefault="00E9767C" w:rsidP="009C01E1">
      <w:pPr>
        <w:spacing w:line="276" w:lineRule="auto"/>
        <w:jc w:val="both"/>
        <w:rPr>
          <w:rFonts w:ascii="Book Antiqua" w:hAnsi="Book Antiqua"/>
          <w:sz w:val="24"/>
          <w:szCs w:val="24"/>
        </w:rPr>
      </w:pPr>
    </w:p>
    <w:p w14:paraId="1533D6E9" w14:textId="19C5182A" w:rsidR="00B80873" w:rsidRDefault="00B80873" w:rsidP="00B80873">
      <w:pPr>
        <w:spacing w:after="0" w:line="276" w:lineRule="auto"/>
        <w:jc w:val="both"/>
        <w:rPr>
          <w:rFonts w:ascii="Book Antiqua" w:eastAsia="Calibri" w:hAnsi="Book Antiqua" w:cs="Arial"/>
          <w:sz w:val="24"/>
          <w:szCs w:val="24"/>
        </w:rPr>
      </w:pPr>
      <w:r w:rsidRPr="00B80873">
        <w:rPr>
          <w:rFonts w:ascii="Book Antiqua" w:eastAsia="Calibri" w:hAnsi="Book Antiqua" w:cs="Arial"/>
          <w:sz w:val="24"/>
          <w:szCs w:val="24"/>
        </w:rPr>
        <w:t>Cabe mencionar que como oportunidad de mejora se gestionó con la Dirección de Tecnología de la Información</w:t>
      </w:r>
      <w:r w:rsidR="008C33E2">
        <w:rPr>
          <w:rFonts w:ascii="Book Antiqua" w:eastAsia="Calibri" w:hAnsi="Book Antiqua" w:cs="Arial"/>
          <w:sz w:val="24"/>
          <w:szCs w:val="24"/>
        </w:rPr>
        <w:t xml:space="preserve"> desde el 2020, la creación de</w:t>
      </w:r>
      <w:r w:rsidRPr="00B80873">
        <w:rPr>
          <w:rFonts w:ascii="Book Antiqua" w:eastAsia="Calibri" w:hAnsi="Book Antiqua" w:cs="Arial"/>
          <w:sz w:val="24"/>
          <w:szCs w:val="24"/>
        </w:rPr>
        <w:t xml:space="preserve"> </w:t>
      </w:r>
      <w:r w:rsidR="008C33E2">
        <w:rPr>
          <w:rFonts w:ascii="Book Antiqua" w:eastAsia="Calibri" w:hAnsi="Book Antiqua" w:cs="Arial"/>
          <w:sz w:val="24"/>
          <w:szCs w:val="24"/>
        </w:rPr>
        <w:t>un reporte en SIGMA</w:t>
      </w:r>
      <w:r w:rsidRPr="00756438">
        <w:rPr>
          <w:rFonts w:ascii="Book Antiqua" w:eastAsia="Calibri" w:hAnsi="Book Antiqua" w:cs="Arial"/>
          <w:sz w:val="24"/>
          <w:szCs w:val="24"/>
        </w:rPr>
        <w:t xml:space="preserve"> para visualizar por código</w:t>
      </w:r>
      <w:r w:rsidRPr="00792F0C">
        <w:rPr>
          <w:rFonts w:ascii="Book Antiqua" w:eastAsia="Calibri" w:hAnsi="Book Antiqua" w:cs="Arial"/>
          <w:sz w:val="24"/>
          <w:szCs w:val="24"/>
        </w:rPr>
        <w:t xml:space="preserve"> de colores aquellos rangos de duración que sobrepas</w:t>
      </w:r>
      <w:r w:rsidR="008C33E2">
        <w:rPr>
          <w:rFonts w:ascii="Book Antiqua" w:eastAsia="Calibri" w:hAnsi="Book Antiqua" w:cs="Arial"/>
          <w:sz w:val="24"/>
          <w:szCs w:val="24"/>
        </w:rPr>
        <w:t>a</w:t>
      </w:r>
      <w:r w:rsidRPr="00792F0C">
        <w:rPr>
          <w:rFonts w:ascii="Book Antiqua" w:eastAsia="Calibri" w:hAnsi="Book Antiqua" w:cs="Arial"/>
          <w:sz w:val="24"/>
          <w:szCs w:val="24"/>
        </w:rPr>
        <w:t>n los parámetros legales o de criterio experto, de forma que las mismas oficinas</w:t>
      </w:r>
      <w:r w:rsidRPr="00B80873">
        <w:rPr>
          <w:rFonts w:ascii="Book Antiqua" w:eastAsia="Calibri" w:hAnsi="Book Antiqua" w:cs="Arial"/>
          <w:sz w:val="24"/>
          <w:szCs w:val="24"/>
        </w:rPr>
        <w:t xml:space="preserve"> se autogestionen y puedan dar atención a aquellas causas que superen los rangos estándar; tanto para la cejilla de duración de casos activos como la cejilla de duraciones de casos terminados.</w:t>
      </w:r>
      <w:r w:rsidR="008C33E2">
        <w:rPr>
          <w:rFonts w:ascii="Book Antiqua" w:eastAsia="Calibri" w:hAnsi="Book Antiqua" w:cs="Arial"/>
          <w:sz w:val="24"/>
          <w:szCs w:val="24"/>
        </w:rPr>
        <w:t xml:space="preserve"> </w:t>
      </w:r>
    </w:p>
    <w:p w14:paraId="34454A0F" w14:textId="6136F9A3" w:rsidR="00756438" w:rsidRDefault="00756438" w:rsidP="00B80873">
      <w:pPr>
        <w:spacing w:after="0" w:line="276" w:lineRule="auto"/>
        <w:jc w:val="both"/>
        <w:rPr>
          <w:rFonts w:ascii="Book Antiqua" w:eastAsia="Calibri" w:hAnsi="Book Antiqua" w:cs="Arial"/>
          <w:sz w:val="24"/>
          <w:szCs w:val="24"/>
        </w:rPr>
      </w:pPr>
    </w:p>
    <w:p w14:paraId="35AE6262" w14:textId="393CCDF6" w:rsidR="00756438" w:rsidRDefault="00756438" w:rsidP="00756438">
      <w:pPr>
        <w:spacing w:after="0" w:line="276" w:lineRule="auto"/>
        <w:jc w:val="both"/>
        <w:rPr>
          <w:rFonts w:ascii="Book Antiqua" w:eastAsia="Calibri" w:hAnsi="Book Antiqua" w:cs="Arial"/>
          <w:sz w:val="24"/>
          <w:szCs w:val="24"/>
        </w:rPr>
      </w:pPr>
      <w:r w:rsidRPr="00C36C20">
        <w:rPr>
          <w:rFonts w:ascii="Book Antiqua" w:eastAsia="Calibri" w:hAnsi="Book Antiqua" w:cs="Arial"/>
          <w:sz w:val="24"/>
          <w:szCs w:val="24"/>
        </w:rPr>
        <w:t xml:space="preserve">En cuanto a la duración de los procesos, para </w:t>
      </w:r>
      <w:r>
        <w:rPr>
          <w:rFonts w:ascii="Book Antiqua" w:eastAsia="Calibri" w:hAnsi="Book Antiqua" w:cs="Arial"/>
          <w:sz w:val="24"/>
          <w:szCs w:val="24"/>
        </w:rPr>
        <w:t xml:space="preserve">el </w:t>
      </w:r>
      <w:r w:rsidRPr="00C36C20">
        <w:rPr>
          <w:rFonts w:ascii="Book Antiqua" w:eastAsia="Calibri" w:hAnsi="Book Antiqua" w:cs="Arial"/>
          <w:sz w:val="24"/>
          <w:szCs w:val="24"/>
        </w:rPr>
        <w:t>20</w:t>
      </w:r>
      <w:r>
        <w:rPr>
          <w:rFonts w:ascii="Book Antiqua" w:eastAsia="Calibri" w:hAnsi="Book Antiqua" w:cs="Arial"/>
          <w:sz w:val="24"/>
          <w:szCs w:val="24"/>
        </w:rPr>
        <w:t>20</w:t>
      </w:r>
      <w:r w:rsidRPr="00C36C20">
        <w:rPr>
          <w:rFonts w:ascii="Book Antiqua" w:eastAsia="Calibri" w:hAnsi="Book Antiqua" w:cs="Arial"/>
          <w:sz w:val="24"/>
          <w:szCs w:val="24"/>
        </w:rPr>
        <w:t>, en los Juzgados especializados en materia de Familia se registr</w:t>
      </w:r>
      <w:r w:rsidR="008C33E2">
        <w:rPr>
          <w:rFonts w:ascii="Book Antiqua" w:eastAsia="Calibri" w:hAnsi="Book Antiqua" w:cs="Arial"/>
          <w:sz w:val="24"/>
          <w:szCs w:val="24"/>
        </w:rPr>
        <w:t>ó</w:t>
      </w:r>
      <w:r w:rsidRPr="00C36C20">
        <w:rPr>
          <w:rFonts w:ascii="Book Antiqua" w:eastAsia="Calibri" w:hAnsi="Book Antiqua" w:cs="Arial"/>
          <w:sz w:val="24"/>
          <w:szCs w:val="24"/>
        </w:rPr>
        <w:t xml:space="preserve"> una duración promedio de </w:t>
      </w:r>
      <w:r w:rsidRPr="00F52449">
        <w:rPr>
          <w:rFonts w:ascii="Book Antiqua" w:eastAsia="Calibri" w:hAnsi="Book Antiqua" w:cs="Arial"/>
          <w:sz w:val="24"/>
          <w:szCs w:val="24"/>
        </w:rPr>
        <w:t>12 meses</w:t>
      </w:r>
      <w:r>
        <w:rPr>
          <w:rFonts w:ascii="Book Antiqua" w:eastAsia="Calibri" w:hAnsi="Book Antiqua" w:cs="Arial"/>
          <w:sz w:val="24"/>
          <w:szCs w:val="24"/>
        </w:rPr>
        <w:t xml:space="preserve">; el </w:t>
      </w:r>
      <w:r w:rsidRPr="00C36C20">
        <w:rPr>
          <w:rFonts w:ascii="Book Antiqua" w:eastAsia="Calibri" w:hAnsi="Book Antiqua" w:cs="Arial"/>
          <w:sz w:val="24"/>
          <w:szCs w:val="24"/>
        </w:rPr>
        <w:t xml:space="preserve">proceso </w:t>
      </w:r>
      <w:r>
        <w:rPr>
          <w:rFonts w:ascii="Book Antiqua" w:eastAsia="Calibri" w:hAnsi="Book Antiqua" w:cs="Arial"/>
          <w:sz w:val="24"/>
          <w:szCs w:val="24"/>
        </w:rPr>
        <w:t>de e</w:t>
      </w:r>
      <w:r w:rsidRPr="00BE67CD">
        <w:rPr>
          <w:rFonts w:ascii="Book Antiqua" w:eastAsia="Calibri" w:hAnsi="Book Antiqua" w:cs="Arial"/>
          <w:sz w:val="24"/>
          <w:szCs w:val="24"/>
        </w:rPr>
        <w:t xml:space="preserve">jecución cumplida </w:t>
      </w:r>
      <w:r>
        <w:rPr>
          <w:rFonts w:ascii="Book Antiqua" w:eastAsia="Calibri" w:hAnsi="Book Antiqua" w:cs="Arial"/>
          <w:sz w:val="24"/>
          <w:szCs w:val="24"/>
        </w:rPr>
        <w:t>es el más extenso con</w:t>
      </w:r>
      <w:r w:rsidRPr="00BE67CD">
        <w:rPr>
          <w:rFonts w:ascii="Book Antiqua" w:eastAsia="Calibri" w:hAnsi="Book Antiqua" w:cs="Arial"/>
          <w:sz w:val="24"/>
          <w:szCs w:val="24"/>
        </w:rPr>
        <w:t xml:space="preserve"> 20</w:t>
      </w:r>
      <w:r w:rsidRPr="00C36C20">
        <w:rPr>
          <w:rFonts w:ascii="Book Antiqua" w:eastAsia="Calibri" w:hAnsi="Book Antiqua" w:cs="Arial"/>
          <w:sz w:val="24"/>
          <w:szCs w:val="24"/>
        </w:rPr>
        <w:t xml:space="preserve"> meses, </w:t>
      </w:r>
      <w:r>
        <w:rPr>
          <w:rFonts w:ascii="Book Antiqua" w:eastAsia="Calibri" w:hAnsi="Book Antiqua" w:cs="Arial"/>
          <w:sz w:val="24"/>
          <w:szCs w:val="24"/>
        </w:rPr>
        <w:t>seguido de</w:t>
      </w:r>
      <w:r w:rsidRPr="00C36C20">
        <w:rPr>
          <w:rFonts w:ascii="Book Antiqua" w:eastAsia="Calibri" w:hAnsi="Book Antiqua" w:cs="Arial"/>
          <w:sz w:val="24"/>
          <w:szCs w:val="24"/>
        </w:rPr>
        <w:t xml:space="preserve">l </w:t>
      </w:r>
      <w:r>
        <w:rPr>
          <w:rFonts w:ascii="Book Antiqua" w:eastAsia="Calibri" w:hAnsi="Book Antiqua" w:cs="Arial"/>
          <w:sz w:val="24"/>
          <w:szCs w:val="24"/>
        </w:rPr>
        <w:t>a</w:t>
      </w:r>
      <w:r w:rsidRPr="00BE67CD">
        <w:rPr>
          <w:rFonts w:ascii="Book Antiqua" w:eastAsia="Calibri" w:hAnsi="Book Antiqua" w:cs="Arial"/>
          <w:sz w:val="24"/>
          <w:szCs w:val="24"/>
        </w:rPr>
        <w:t>rreglo extrajudicial sin homologación</w:t>
      </w:r>
      <w:r w:rsidRPr="00C36C20">
        <w:rPr>
          <w:rFonts w:ascii="Book Antiqua" w:eastAsia="Calibri" w:hAnsi="Book Antiqua" w:cs="Arial"/>
          <w:sz w:val="24"/>
          <w:szCs w:val="24"/>
        </w:rPr>
        <w:t xml:space="preserve"> </w:t>
      </w:r>
      <w:r>
        <w:rPr>
          <w:rFonts w:ascii="Book Antiqua" w:eastAsia="Calibri" w:hAnsi="Book Antiqua" w:cs="Arial"/>
          <w:sz w:val="24"/>
          <w:szCs w:val="24"/>
        </w:rPr>
        <w:t xml:space="preserve">con </w:t>
      </w:r>
      <w:r w:rsidRPr="00C36C20">
        <w:rPr>
          <w:rFonts w:ascii="Book Antiqua" w:eastAsia="Calibri" w:hAnsi="Book Antiqua" w:cs="Arial"/>
          <w:sz w:val="24"/>
          <w:szCs w:val="24"/>
        </w:rPr>
        <w:t>2</w:t>
      </w:r>
      <w:r>
        <w:rPr>
          <w:rFonts w:ascii="Book Antiqua" w:eastAsia="Calibri" w:hAnsi="Book Antiqua" w:cs="Arial"/>
          <w:sz w:val="24"/>
          <w:szCs w:val="24"/>
        </w:rPr>
        <w:t>6 meses</w:t>
      </w:r>
      <w:r w:rsidRPr="00C36C20">
        <w:rPr>
          <w:rFonts w:ascii="Book Antiqua" w:eastAsia="Calibri" w:hAnsi="Book Antiqua" w:cs="Arial"/>
          <w:sz w:val="24"/>
          <w:szCs w:val="24"/>
        </w:rPr>
        <w:t xml:space="preserve">, </w:t>
      </w:r>
      <w:r>
        <w:rPr>
          <w:rFonts w:ascii="Book Antiqua" w:eastAsia="Calibri" w:hAnsi="Book Antiqua" w:cs="Arial"/>
          <w:sz w:val="24"/>
          <w:szCs w:val="24"/>
        </w:rPr>
        <w:t>la c</w:t>
      </w:r>
      <w:r w:rsidRPr="00BE67CD">
        <w:rPr>
          <w:rFonts w:ascii="Book Antiqua" w:eastAsia="Calibri" w:hAnsi="Book Antiqua" w:cs="Arial"/>
          <w:sz w:val="24"/>
          <w:szCs w:val="24"/>
        </w:rPr>
        <w:t>aducidad</w:t>
      </w:r>
      <w:r>
        <w:rPr>
          <w:rFonts w:ascii="Book Antiqua" w:eastAsia="Calibri" w:hAnsi="Book Antiqua" w:cs="Arial"/>
          <w:sz w:val="24"/>
          <w:szCs w:val="24"/>
        </w:rPr>
        <w:t xml:space="preserve"> 24 </w:t>
      </w:r>
      <w:r w:rsidRPr="00BE67CD">
        <w:rPr>
          <w:rFonts w:ascii="Book Antiqua" w:eastAsia="Calibri" w:hAnsi="Book Antiqua" w:cs="Arial"/>
          <w:sz w:val="24"/>
          <w:szCs w:val="24"/>
        </w:rPr>
        <w:t>meses y 3 semanas</w:t>
      </w:r>
      <w:r w:rsidRPr="00C36C20">
        <w:rPr>
          <w:rFonts w:ascii="Book Antiqua" w:eastAsia="Calibri" w:hAnsi="Book Antiqua" w:cs="Arial"/>
          <w:sz w:val="24"/>
          <w:szCs w:val="24"/>
        </w:rPr>
        <w:t xml:space="preserve">, </w:t>
      </w:r>
      <w:r>
        <w:rPr>
          <w:rFonts w:ascii="Book Antiqua" w:eastAsia="Calibri" w:hAnsi="Book Antiqua" w:cs="Arial"/>
          <w:sz w:val="24"/>
          <w:szCs w:val="24"/>
        </w:rPr>
        <w:t>la i</w:t>
      </w:r>
      <w:r w:rsidRPr="00BE67CD">
        <w:rPr>
          <w:rFonts w:ascii="Book Antiqua" w:eastAsia="Calibri" w:hAnsi="Book Antiqua" w:cs="Arial"/>
          <w:sz w:val="24"/>
          <w:szCs w:val="24"/>
        </w:rPr>
        <w:t xml:space="preserve">nhibitoria / </w:t>
      </w:r>
      <w:r>
        <w:rPr>
          <w:rFonts w:ascii="Book Antiqua" w:eastAsia="Calibri" w:hAnsi="Book Antiqua" w:cs="Arial"/>
          <w:sz w:val="24"/>
          <w:szCs w:val="24"/>
        </w:rPr>
        <w:t>r</w:t>
      </w:r>
      <w:r w:rsidRPr="00BE67CD">
        <w:rPr>
          <w:rFonts w:ascii="Book Antiqua" w:eastAsia="Calibri" w:hAnsi="Book Antiqua" w:cs="Arial"/>
          <w:sz w:val="24"/>
          <w:szCs w:val="24"/>
        </w:rPr>
        <w:t xml:space="preserve">ecusación / </w:t>
      </w:r>
      <w:r>
        <w:rPr>
          <w:rFonts w:ascii="Book Antiqua" w:eastAsia="Calibri" w:hAnsi="Book Antiqua" w:cs="Arial"/>
          <w:sz w:val="24"/>
          <w:szCs w:val="24"/>
        </w:rPr>
        <w:t>e</w:t>
      </w:r>
      <w:r w:rsidRPr="00BE67CD">
        <w:rPr>
          <w:rFonts w:ascii="Book Antiqua" w:eastAsia="Calibri" w:hAnsi="Book Antiqua" w:cs="Arial"/>
          <w:sz w:val="24"/>
          <w:szCs w:val="24"/>
        </w:rPr>
        <w:t>xcusa</w:t>
      </w:r>
      <w:r>
        <w:rPr>
          <w:rFonts w:ascii="Book Antiqua" w:eastAsia="Calibri" w:hAnsi="Book Antiqua" w:cs="Arial"/>
          <w:sz w:val="24"/>
          <w:szCs w:val="24"/>
        </w:rPr>
        <w:t xml:space="preserve"> 22</w:t>
      </w:r>
      <w:r w:rsidRPr="00BE67CD">
        <w:rPr>
          <w:rFonts w:ascii="Book Antiqua" w:eastAsia="Calibri" w:hAnsi="Book Antiqua" w:cs="Arial"/>
          <w:sz w:val="24"/>
          <w:szCs w:val="24"/>
        </w:rPr>
        <w:t xml:space="preserve"> meses</w:t>
      </w:r>
      <w:r>
        <w:rPr>
          <w:rFonts w:ascii="Book Antiqua" w:eastAsia="Calibri" w:hAnsi="Book Antiqua" w:cs="Arial"/>
          <w:sz w:val="24"/>
          <w:szCs w:val="24"/>
        </w:rPr>
        <w:t xml:space="preserve"> y 2 semanas</w:t>
      </w:r>
      <w:r w:rsidRPr="00C36C20">
        <w:rPr>
          <w:rFonts w:ascii="Book Antiqua" w:eastAsia="Calibri" w:hAnsi="Book Antiqua" w:cs="Arial"/>
          <w:sz w:val="24"/>
          <w:szCs w:val="24"/>
        </w:rPr>
        <w:t xml:space="preserve">, </w:t>
      </w:r>
      <w:r>
        <w:rPr>
          <w:rFonts w:ascii="Book Antiqua" w:eastAsia="Calibri" w:hAnsi="Book Antiqua" w:cs="Arial"/>
          <w:sz w:val="24"/>
          <w:szCs w:val="24"/>
        </w:rPr>
        <w:t>m</w:t>
      </w:r>
      <w:r w:rsidRPr="00BE67CD">
        <w:rPr>
          <w:rFonts w:ascii="Book Antiqua" w:eastAsia="Calibri" w:hAnsi="Book Antiqua" w:cs="Arial"/>
          <w:sz w:val="24"/>
          <w:szCs w:val="24"/>
        </w:rPr>
        <w:t>uerte de algunas de las partes</w:t>
      </w:r>
      <w:r>
        <w:rPr>
          <w:rFonts w:ascii="Book Antiqua" w:eastAsia="Calibri" w:hAnsi="Book Antiqua" w:cs="Arial"/>
          <w:sz w:val="24"/>
          <w:szCs w:val="24"/>
        </w:rPr>
        <w:t xml:space="preserve"> </w:t>
      </w:r>
      <w:r w:rsidRPr="00BE67CD">
        <w:rPr>
          <w:rFonts w:ascii="Book Antiqua" w:eastAsia="Calibri" w:hAnsi="Book Antiqua" w:cs="Arial"/>
          <w:sz w:val="24"/>
          <w:szCs w:val="24"/>
        </w:rPr>
        <w:t>19 meses</w:t>
      </w:r>
      <w:r w:rsidRPr="00C36C20">
        <w:rPr>
          <w:rFonts w:ascii="Book Antiqua" w:eastAsia="Calibri" w:hAnsi="Book Antiqua" w:cs="Arial"/>
          <w:sz w:val="24"/>
          <w:szCs w:val="24"/>
        </w:rPr>
        <w:t xml:space="preserve">, la </w:t>
      </w:r>
      <w:r>
        <w:rPr>
          <w:rFonts w:ascii="Book Antiqua" w:eastAsia="Calibri" w:hAnsi="Book Antiqua" w:cs="Arial"/>
          <w:sz w:val="24"/>
          <w:szCs w:val="24"/>
        </w:rPr>
        <w:t xml:space="preserve">deserción </w:t>
      </w:r>
      <w:r w:rsidRPr="00BE67CD">
        <w:rPr>
          <w:rFonts w:ascii="Book Antiqua" w:eastAsia="Calibri" w:hAnsi="Book Antiqua" w:cs="Arial"/>
          <w:sz w:val="24"/>
          <w:szCs w:val="24"/>
        </w:rPr>
        <w:t>18 meses.</w:t>
      </w:r>
    </w:p>
    <w:p w14:paraId="1513DA67" w14:textId="77777777" w:rsidR="00756438" w:rsidRDefault="00756438" w:rsidP="00B80873">
      <w:pPr>
        <w:spacing w:after="0" w:line="276" w:lineRule="auto"/>
        <w:jc w:val="both"/>
        <w:rPr>
          <w:rFonts w:ascii="Book Antiqua" w:eastAsia="Calibri" w:hAnsi="Book Antiqua" w:cs="Arial"/>
          <w:sz w:val="24"/>
          <w:szCs w:val="24"/>
        </w:rPr>
      </w:pPr>
    </w:p>
    <w:p w14:paraId="4094F906" w14:textId="552C0AA0" w:rsidR="001212F0" w:rsidRPr="001212F0" w:rsidRDefault="001212F0" w:rsidP="001212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7</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2E222104" w14:textId="77777777" w:rsidR="001212F0" w:rsidRPr="001212F0" w:rsidRDefault="001212F0" w:rsidP="001212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6E595504" w14:textId="6872C2C3" w:rsidR="001212F0" w:rsidRPr="001212F0" w:rsidRDefault="001212F0" w:rsidP="001212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de proceso para los juzgados especializados en materia Familia 20</w:t>
      </w:r>
      <w:r>
        <w:rPr>
          <w:rFonts w:ascii="Book Antiqua" w:eastAsia="Calibri" w:hAnsi="Book Antiqua" w:cs="Arial"/>
          <w:b/>
          <w:bCs/>
          <w:color w:val="1F497D"/>
          <w:szCs w:val="24"/>
          <w:lang w:val="es-ES" w:eastAsia="es-ES"/>
        </w:rPr>
        <w:t>2</w:t>
      </w:r>
      <w:r w:rsidR="00F52449">
        <w:rPr>
          <w:rFonts w:ascii="Book Antiqua" w:eastAsia="Calibri" w:hAnsi="Book Antiqua" w:cs="Arial"/>
          <w:b/>
          <w:bCs/>
          <w:color w:val="1F497D"/>
          <w:szCs w:val="24"/>
          <w:lang w:val="es-ES" w:eastAsia="es-ES"/>
        </w:rPr>
        <w:t>0</w:t>
      </w:r>
    </w:p>
    <w:tbl>
      <w:tblPr>
        <w:tblW w:w="6760" w:type="dxa"/>
        <w:jc w:val="center"/>
        <w:tblCellMar>
          <w:left w:w="70" w:type="dxa"/>
          <w:right w:w="70" w:type="dxa"/>
        </w:tblCellMar>
        <w:tblLook w:val="04A0" w:firstRow="1" w:lastRow="0" w:firstColumn="1" w:lastColumn="0" w:noHBand="0" w:noVBand="1"/>
      </w:tblPr>
      <w:tblGrid>
        <w:gridCol w:w="3580"/>
        <w:gridCol w:w="1480"/>
        <w:gridCol w:w="1700"/>
      </w:tblGrid>
      <w:tr w:rsidR="00ED5768" w:rsidRPr="00ED5768" w14:paraId="684880DE" w14:textId="77777777" w:rsidTr="00ED5768">
        <w:trPr>
          <w:trHeight w:val="870"/>
          <w:jc w:val="center"/>
        </w:trPr>
        <w:tc>
          <w:tcPr>
            <w:tcW w:w="3580" w:type="dxa"/>
            <w:tcBorders>
              <w:top w:val="single" w:sz="8" w:space="0" w:color="auto"/>
              <w:left w:val="single" w:sz="8" w:space="0" w:color="auto"/>
              <w:bottom w:val="nil"/>
              <w:right w:val="single" w:sz="8" w:space="0" w:color="auto"/>
            </w:tcBorders>
            <w:shd w:val="clear" w:color="000000" w:fill="002060"/>
            <w:vAlign w:val="center"/>
            <w:hideMark/>
          </w:tcPr>
          <w:p w14:paraId="3A44C9B2" w14:textId="77777777" w:rsidR="00ED5768" w:rsidRPr="00ED5768" w:rsidRDefault="00ED5768" w:rsidP="00ED5768">
            <w:pPr>
              <w:spacing w:after="0" w:line="240" w:lineRule="auto"/>
              <w:jc w:val="center"/>
              <w:rPr>
                <w:rFonts w:ascii="Book Antiqua" w:eastAsia="Times New Roman" w:hAnsi="Book Antiqua" w:cs="Calibri"/>
                <w:b/>
                <w:bCs/>
                <w:color w:val="FFFFFF"/>
                <w:lang w:eastAsia="es-CR"/>
              </w:rPr>
            </w:pPr>
            <w:r w:rsidRPr="00ED5768">
              <w:rPr>
                <w:rFonts w:ascii="Book Antiqua" w:eastAsia="Times New Roman" w:hAnsi="Book Antiqua" w:cs="Calibri"/>
                <w:b/>
                <w:bCs/>
                <w:color w:val="FFFFFF"/>
                <w:lang w:eastAsia="es-CR"/>
              </w:rPr>
              <w:t>Tipo de Proceso</w:t>
            </w:r>
          </w:p>
        </w:tc>
        <w:tc>
          <w:tcPr>
            <w:tcW w:w="1480" w:type="dxa"/>
            <w:tcBorders>
              <w:top w:val="single" w:sz="8" w:space="0" w:color="auto"/>
              <w:left w:val="nil"/>
              <w:bottom w:val="nil"/>
              <w:right w:val="single" w:sz="8" w:space="0" w:color="auto"/>
            </w:tcBorders>
            <w:shd w:val="clear" w:color="000000" w:fill="002060"/>
            <w:vAlign w:val="center"/>
            <w:hideMark/>
          </w:tcPr>
          <w:p w14:paraId="7BFA8701" w14:textId="77777777" w:rsidR="00ED5768" w:rsidRPr="00ED5768" w:rsidRDefault="00ED5768" w:rsidP="00ED5768">
            <w:pPr>
              <w:spacing w:after="0" w:line="240" w:lineRule="auto"/>
              <w:jc w:val="center"/>
              <w:rPr>
                <w:rFonts w:ascii="Book Antiqua" w:eastAsia="Times New Roman" w:hAnsi="Book Antiqua" w:cs="Calibri"/>
                <w:b/>
                <w:bCs/>
                <w:color w:val="FFFFFF"/>
                <w:lang w:eastAsia="es-CR"/>
              </w:rPr>
            </w:pPr>
            <w:r w:rsidRPr="00ED5768">
              <w:rPr>
                <w:rFonts w:ascii="Book Antiqua" w:eastAsia="Times New Roman" w:hAnsi="Book Antiqua" w:cs="Calibri"/>
                <w:b/>
                <w:bCs/>
                <w:color w:val="FFFFFF"/>
                <w:lang w:eastAsia="es-CR"/>
              </w:rPr>
              <w:t>Cantidad registrada en 2020</w:t>
            </w:r>
          </w:p>
        </w:tc>
        <w:tc>
          <w:tcPr>
            <w:tcW w:w="1700" w:type="dxa"/>
            <w:tcBorders>
              <w:top w:val="single" w:sz="8" w:space="0" w:color="auto"/>
              <w:left w:val="nil"/>
              <w:bottom w:val="nil"/>
              <w:right w:val="single" w:sz="8" w:space="0" w:color="auto"/>
            </w:tcBorders>
            <w:shd w:val="clear" w:color="000000" w:fill="002060"/>
            <w:vAlign w:val="center"/>
            <w:hideMark/>
          </w:tcPr>
          <w:p w14:paraId="551A2D4B" w14:textId="77777777" w:rsidR="00ED5768" w:rsidRPr="00ED5768" w:rsidRDefault="00ED5768" w:rsidP="00ED5768">
            <w:pPr>
              <w:spacing w:after="0" w:line="240" w:lineRule="auto"/>
              <w:jc w:val="center"/>
              <w:rPr>
                <w:rFonts w:ascii="Book Antiqua" w:eastAsia="Times New Roman" w:hAnsi="Book Antiqua" w:cs="Calibri"/>
                <w:b/>
                <w:bCs/>
                <w:color w:val="FFFFFF"/>
                <w:lang w:eastAsia="es-CR"/>
              </w:rPr>
            </w:pPr>
            <w:r w:rsidRPr="00ED5768">
              <w:rPr>
                <w:rFonts w:ascii="Book Antiqua" w:eastAsia="Times New Roman" w:hAnsi="Book Antiqua" w:cs="Calibri"/>
                <w:b/>
                <w:bCs/>
                <w:color w:val="FFFFFF"/>
                <w:lang w:eastAsia="es-CR"/>
              </w:rPr>
              <w:t>Promedio de Duración (meses)</w:t>
            </w:r>
          </w:p>
        </w:tc>
      </w:tr>
      <w:tr w:rsidR="00ED5768" w:rsidRPr="00ED5768" w14:paraId="530D1D50" w14:textId="77777777" w:rsidTr="00ED5768">
        <w:trPr>
          <w:trHeight w:val="290"/>
          <w:jc w:val="center"/>
        </w:trPr>
        <w:tc>
          <w:tcPr>
            <w:tcW w:w="3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84B0B2"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Acuerdo homologado</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3D7B73A8"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292</w:t>
            </w:r>
          </w:p>
        </w:tc>
        <w:tc>
          <w:tcPr>
            <w:tcW w:w="1700" w:type="dxa"/>
            <w:tcBorders>
              <w:top w:val="single" w:sz="4" w:space="0" w:color="auto"/>
              <w:left w:val="nil"/>
              <w:bottom w:val="single" w:sz="4" w:space="0" w:color="auto"/>
              <w:right w:val="single" w:sz="4" w:space="0" w:color="auto"/>
            </w:tcBorders>
            <w:shd w:val="clear" w:color="auto" w:fill="auto"/>
            <w:noWrap/>
            <w:vAlign w:val="center"/>
            <w:hideMark/>
          </w:tcPr>
          <w:p w14:paraId="4410C973"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9,0</w:t>
            </w:r>
          </w:p>
        </w:tc>
      </w:tr>
      <w:tr w:rsidR="00ED5768" w:rsidRPr="00ED5768" w14:paraId="151AE4FA"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92A6C6A"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Acumulación</w:t>
            </w:r>
          </w:p>
        </w:tc>
        <w:tc>
          <w:tcPr>
            <w:tcW w:w="1480" w:type="dxa"/>
            <w:tcBorders>
              <w:top w:val="nil"/>
              <w:left w:val="nil"/>
              <w:bottom w:val="single" w:sz="4" w:space="0" w:color="auto"/>
              <w:right w:val="single" w:sz="4" w:space="0" w:color="auto"/>
            </w:tcBorders>
            <w:shd w:val="clear" w:color="auto" w:fill="auto"/>
            <w:noWrap/>
            <w:vAlign w:val="bottom"/>
            <w:hideMark/>
          </w:tcPr>
          <w:p w14:paraId="2B8DFCFE"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297</w:t>
            </w:r>
          </w:p>
        </w:tc>
        <w:tc>
          <w:tcPr>
            <w:tcW w:w="1700" w:type="dxa"/>
            <w:tcBorders>
              <w:top w:val="nil"/>
              <w:left w:val="nil"/>
              <w:bottom w:val="single" w:sz="4" w:space="0" w:color="auto"/>
              <w:right w:val="single" w:sz="4" w:space="0" w:color="auto"/>
            </w:tcBorders>
            <w:shd w:val="clear" w:color="auto" w:fill="auto"/>
            <w:noWrap/>
            <w:vAlign w:val="center"/>
            <w:hideMark/>
          </w:tcPr>
          <w:p w14:paraId="012F77FD"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6,2</w:t>
            </w:r>
          </w:p>
        </w:tc>
      </w:tr>
      <w:tr w:rsidR="00ED5768" w:rsidRPr="00ED5768" w14:paraId="26F610AB"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3CF09E9"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Archivado</w:t>
            </w:r>
          </w:p>
        </w:tc>
        <w:tc>
          <w:tcPr>
            <w:tcW w:w="1480" w:type="dxa"/>
            <w:tcBorders>
              <w:top w:val="nil"/>
              <w:left w:val="nil"/>
              <w:bottom w:val="single" w:sz="4" w:space="0" w:color="auto"/>
              <w:right w:val="single" w:sz="4" w:space="0" w:color="auto"/>
            </w:tcBorders>
            <w:shd w:val="clear" w:color="auto" w:fill="auto"/>
            <w:noWrap/>
            <w:vAlign w:val="bottom"/>
            <w:hideMark/>
          </w:tcPr>
          <w:p w14:paraId="78BC12BC"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665</w:t>
            </w:r>
          </w:p>
        </w:tc>
        <w:tc>
          <w:tcPr>
            <w:tcW w:w="1700" w:type="dxa"/>
            <w:tcBorders>
              <w:top w:val="nil"/>
              <w:left w:val="nil"/>
              <w:bottom w:val="single" w:sz="4" w:space="0" w:color="auto"/>
              <w:right w:val="single" w:sz="4" w:space="0" w:color="auto"/>
            </w:tcBorders>
            <w:shd w:val="clear" w:color="auto" w:fill="auto"/>
            <w:noWrap/>
            <w:vAlign w:val="center"/>
            <w:hideMark/>
          </w:tcPr>
          <w:p w14:paraId="6227ABC8"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15,0</w:t>
            </w:r>
          </w:p>
        </w:tc>
      </w:tr>
      <w:tr w:rsidR="00ED5768" w:rsidRPr="00ED5768" w14:paraId="000689E3" w14:textId="77777777" w:rsidTr="00ED5768">
        <w:trPr>
          <w:trHeight w:val="580"/>
          <w:jc w:val="center"/>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48EA3102" w14:textId="77777777" w:rsidR="00ED5768" w:rsidRPr="00ED5768" w:rsidRDefault="00ED5768" w:rsidP="001D0C10">
            <w:pPr>
              <w:spacing w:after="0" w:line="240" w:lineRule="auto"/>
              <w:jc w:val="both"/>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Arreglo extrajudicial sin homologación</w:t>
            </w:r>
          </w:p>
        </w:tc>
        <w:tc>
          <w:tcPr>
            <w:tcW w:w="1480" w:type="dxa"/>
            <w:tcBorders>
              <w:top w:val="nil"/>
              <w:left w:val="nil"/>
              <w:bottom w:val="single" w:sz="4" w:space="0" w:color="auto"/>
              <w:right w:val="single" w:sz="4" w:space="0" w:color="auto"/>
            </w:tcBorders>
            <w:shd w:val="clear" w:color="auto" w:fill="auto"/>
            <w:noWrap/>
            <w:vAlign w:val="bottom"/>
            <w:hideMark/>
          </w:tcPr>
          <w:p w14:paraId="5B66FF1A"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40</w:t>
            </w:r>
          </w:p>
        </w:tc>
        <w:tc>
          <w:tcPr>
            <w:tcW w:w="1700" w:type="dxa"/>
            <w:tcBorders>
              <w:top w:val="nil"/>
              <w:left w:val="nil"/>
              <w:bottom w:val="single" w:sz="4" w:space="0" w:color="auto"/>
              <w:right w:val="single" w:sz="4" w:space="0" w:color="auto"/>
            </w:tcBorders>
            <w:shd w:val="clear" w:color="000000" w:fill="FFFFFF"/>
            <w:noWrap/>
            <w:vAlign w:val="center"/>
            <w:hideMark/>
          </w:tcPr>
          <w:p w14:paraId="19557F6F"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26,0</w:t>
            </w:r>
          </w:p>
        </w:tc>
      </w:tr>
      <w:tr w:rsidR="00ED5768" w:rsidRPr="00ED5768" w14:paraId="61A319AD"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5E484A9"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lastRenderedPageBreak/>
              <w:t>Auto Sentencia</w:t>
            </w:r>
          </w:p>
        </w:tc>
        <w:tc>
          <w:tcPr>
            <w:tcW w:w="1480" w:type="dxa"/>
            <w:tcBorders>
              <w:top w:val="nil"/>
              <w:left w:val="nil"/>
              <w:bottom w:val="single" w:sz="4" w:space="0" w:color="auto"/>
              <w:right w:val="single" w:sz="4" w:space="0" w:color="auto"/>
            </w:tcBorders>
            <w:shd w:val="clear" w:color="auto" w:fill="auto"/>
            <w:noWrap/>
            <w:vAlign w:val="bottom"/>
            <w:hideMark/>
          </w:tcPr>
          <w:p w14:paraId="7AC20DE6"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40</w:t>
            </w:r>
          </w:p>
        </w:tc>
        <w:tc>
          <w:tcPr>
            <w:tcW w:w="1700" w:type="dxa"/>
            <w:tcBorders>
              <w:top w:val="nil"/>
              <w:left w:val="nil"/>
              <w:bottom w:val="single" w:sz="4" w:space="0" w:color="auto"/>
              <w:right w:val="single" w:sz="4" w:space="0" w:color="auto"/>
            </w:tcBorders>
            <w:shd w:val="clear" w:color="000000" w:fill="FFFFFF"/>
            <w:noWrap/>
            <w:vAlign w:val="center"/>
            <w:hideMark/>
          </w:tcPr>
          <w:p w14:paraId="019C3B7F"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10,0</w:t>
            </w:r>
          </w:p>
        </w:tc>
      </w:tr>
      <w:tr w:rsidR="00ED5768" w:rsidRPr="00ED5768" w14:paraId="64E66BD3" w14:textId="77777777" w:rsidTr="00ED5768">
        <w:trPr>
          <w:trHeight w:val="580"/>
          <w:jc w:val="center"/>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491CF7F0" w14:textId="77777777" w:rsidR="00ED5768" w:rsidRPr="00ED5768" w:rsidRDefault="00ED5768" w:rsidP="001D0C10">
            <w:pPr>
              <w:spacing w:after="0" w:line="240" w:lineRule="auto"/>
              <w:jc w:val="both"/>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Auto sentencia ( por divorcio o separación por mutuo)</w:t>
            </w:r>
          </w:p>
        </w:tc>
        <w:tc>
          <w:tcPr>
            <w:tcW w:w="1480" w:type="dxa"/>
            <w:tcBorders>
              <w:top w:val="nil"/>
              <w:left w:val="nil"/>
              <w:bottom w:val="single" w:sz="4" w:space="0" w:color="auto"/>
              <w:right w:val="single" w:sz="4" w:space="0" w:color="auto"/>
            </w:tcBorders>
            <w:shd w:val="clear" w:color="auto" w:fill="auto"/>
            <w:noWrap/>
            <w:vAlign w:val="bottom"/>
            <w:hideMark/>
          </w:tcPr>
          <w:p w14:paraId="77607B51"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2 137</w:t>
            </w:r>
          </w:p>
        </w:tc>
        <w:tc>
          <w:tcPr>
            <w:tcW w:w="1700" w:type="dxa"/>
            <w:tcBorders>
              <w:top w:val="nil"/>
              <w:left w:val="nil"/>
              <w:bottom w:val="single" w:sz="4" w:space="0" w:color="auto"/>
              <w:right w:val="single" w:sz="4" w:space="0" w:color="auto"/>
            </w:tcBorders>
            <w:shd w:val="clear" w:color="000000" w:fill="FFFFFF"/>
            <w:noWrap/>
            <w:vAlign w:val="center"/>
            <w:hideMark/>
          </w:tcPr>
          <w:p w14:paraId="4B67B70E"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3,3</w:t>
            </w:r>
          </w:p>
        </w:tc>
      </w:tr>
      <w:tr w:rsidR="00ED5768" w:rsidRPr="00ED5768" w14:paraId="6939B9B9"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76C37263"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Caducidad</w:t>
            </w:r>
          </w:p>
        </w:tc>
        <w:tc>
          <w:tcPr>
            <w:tcW w:w="1480" w:type="dxa"/>
            <w:tcBorders>
              <w:top w:val="nil"/>
              <w:left w:val="nil"/>
              <w:bottom w:val="single" w:sz="4" w:space="0" w:color="auto"/>
              <w:right w:val="single" w:sz="4" w:space="0" w:color="auto"/>
            </w:tcBorders>
            <w:shd w:val="clear" w:color="auto" w:fill="auto"/>
            <w:noWrap/>
            <w:vAlign w:val="bottom"/>
            <w:hideMark/>
          </w:tcPr>
          <w:p w14:paraId="43084004"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w:t>
            </w:r>
          </w:p>
        </w:tc>
        <w:tc>
          <w:tcPr>
            <w:tcW w:w="1700" w:type="dxa"/>
            <w:tcBorders>
              <w:top w:val="nil"/>
              <w:left w:val="nil"/>
              <w:bottom w:val="single" w:sz="4" w:space="0" w:color="auto"/>
              <w:right w:val="single" w:sz="4" w:space="0" w:color="auto"/>
            </w:tcBorders>
            <w:shd w:val="clear" w:color="000000" w:fill="FFFFFF"/>
            <w:noWrap/>
            <w:vAlign w:val="center"/>
            <w:hideMark/>
          </w:tcPr>
          <w:p w14:paraId="2E8CC3A1"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24,3</w:t>
            </w:r>
          </w:p>
        </w:tc>
      </w:tr>
      <w:tr w:rsidR="00ED5768" w:rsidRPr="00ED5768" w14:paraId="5857FF0B"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6696DDEC"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Demanda inadmisible</w:t>
            </w:r>
          </w:p>
        </w:tc>
        <w:tc>
          <w:tcPr>
            <w:tcW w:w="1480" w:type="dxa"/>
            <w:tcBorders>
              <w:top w:val="nil"/>
              <w:left w:val="nil"/>
              <w:bottom w:val="single" w:sz="4" w:space="0" w:color="auto"/>
              <w:right w:val="single" w:sz="4" w:space="0" w:color="auto"/>
            </w:tcBorders>
            <w:shd w:val="clear" w:color="auto" w:fill="auto"/>
            <w:noWrap/>
            <w:vAlign w:val="bottom"/>
            <w:hideMark/>
          </w:tcPr>
          <w:p w14:paraId="44CCA045"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860</w:t>
            </w:r>
          </w:p>
        </w:tc>
        <w:tc>
          <w:tcPr>
            <w:tcW w:w="1700" w:type="dxa"/>
            <w:tcBorders>
              <w:top w:val="nil"/>
              <w:left w:val="nil"/>
              <w:bottom w:val="single" w:sz="4" w:space="0" w:color="auto"/>
              <w:right w:val="single" w:sz="4" w:space="0" w:color="auto"/>
            </w:tcBorders>
            <w:shd w:val="clear" w:color="000000" w:fill="FFFFFF"/>
            <w:noWrap/>
            <w:vAlign w:val="center"/>
            <w:hideMark/>
          </w:tcPr>
          <w:p w14:paraId="792D425E"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5,3</w:t>
            </w:r>
          </w:p>
        </w:tc>
      </w:tr>
      <w:tr w:rsidR="00ED5768" w:rsidRPr="00ED5768" w14:paraId="5BEB87EF"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42E01C3E"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Deserción</w:t>
            </w:r>
          </w:p>
        </w:tc>
        <w:tc>
          <w:tcPr>
            <w:tcW w:w="1480" w:type="dxa"/>
            <w:tcBorders>
              <w:top w:val="nil"/>
              <w:left w:val="nil"/>
              <w:bottom w:val="single" w:sz="4" w:space="0" w:color="auto"/>
              <w:right w:val="single" w:sz="4" w:space="0" w:color="auto"/>
            </w:tcBorders>
            <w:shd w:val="clear" w:color="auto" w:fill="auto"/>
            <w:noWrap/>
            <w:vAlign w:val="bottom"/>
            <w:hideMark/>
          </w:tcPr>
          <w:p w14:paraId="2AA848CC"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909</w:t>
            </w:r>
          </w:p>
        </w:tc>
        <w:tc>
          <w:tcPr>
            <w:tcW w:w="1700" w:type="dxa"/>
            <w:tcBorders>
              <w:top w:val="nil"/>
              <w:left w:val="nil"/>
              <w:bottom w:val="single" w:sz="4" w:space="0" w:color="auto"/>
              <w:right w:val="single" w:sz="4" w:space="0" w:color="auto"/>
            </w:tcBorders>
            <w:shd w:val="clear" w:color="000000" w:fill="FFFFFF"/>
            <w:noWrap/>
            <w:vAlign w:val="center"/>
            <w:hideMark/>
          </w:tcPr>
          <w:p w14:paraId="14FD7E86"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18,0</w:t>
            </w:r>
          </w:p>
        </w:tc>
      </w:tr>
      <w:tr w:rsidR="00ED5768" w:rsidRPr="00ED5768" w14:paraId="64B56178"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75CAD0EF"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Desinterés de las partes</w:t>
            </w:r>
          </w:p>
        </w:tc>
        <w:tc>
          <w:tcPr>
            <w:tcW w:w="1480" w:type="dxa"/>
            <w:tcBorders>
              <w:top w:val="nil"/>
              <w:left w:val="nil"/>
              <w:bottom w:val="single" w:sz="4" w:space="0" w:color="auto"/>
              <w:right w:val="single" w:sz="4" w:space="0" w:color="auto"/>
            </w:tcBorders>
            <w:shd w:val="clear" w:color="auto" w:fill="auto"/>
            <w:noWrap/>
            <w:vAlign w:val="bottom"/>
            <w:hideMark/>
          </w:tcPr>
          <w:p w14:paraId="00BE5D5C"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362</w:t>
            </w:r>
          </w:p>
        </w:tc>
        <w:tc>
          <w:tcPr>
            <w:tcW w:w="1700" w:type="dxa"/>
            <w:tcBorders>
              <w:top w:val="nil"/>
              <w:left w:val="nil"/>
              <w:bottom w:val="single" w:sz="4" w:space="0" w:color="auto"/>
              <w:right w:val="single" w:sz="4" w:space="0" w:color="auto"/>
            </w:tcBorders>
            <w:shd w:val="clear" w:color="000000" w:fill="FFFFFF"/>
            <w:noWrap/>
            <w:vAlign w:val="center"/>
            <w:hideMark/>
          </w:tcPr>
          <w:p w14:paraId="221041B4"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15,2</w:t>
            </w:r>
          </w:p>
        </w:tc>
      </w:tr>
      <w:tr w:rsidR="00ED5768" w:rsidRPr="00ED5768" w14:paraId="5D1C3C3E"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D691E16"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Desistimiento</w:t>
            </w:r>
          </w:p>
        </w:tc>
        <w:tc>
          <w:tcPr>
            <w:tcW w:w="1480" w:type="dxa"/>
            <w:tcBorders>
              <w:top w:val="nil"/>
              <w:left w:val="nil"/>
              <w:bottom w:val="single" w:sz="4" w:space="0" w:color="auto"/>
              <w:right w:val="single" w:sz="4" w:space="0" w:color="auto"/>
            </w:tcBorders>
            <w:shd w:val="clear" w:color="auto" w:fill="auto"/>
            <w:noWrap/>
            <w:vAlign w:val="bottom"/>
            <w:hideMark/>
          </w:tcPr>
          <w:p w14:paraId="64B3F9EC"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900</w:t>
            </w:r>
          </w:p>
        </w:tc>
        <w:tc>
          <w:tcPr>
            <w:tcW w:w="1700" w:type="dxa"/>
            <w:tcBorders>
              <w:top w:val="nil"/>
              <w:left w:val="nil"/>
              <w:bottom w:val="single" w:sz="4" w:space="0" w:color="auto"/>
              <w:right w:val="single" w:sz="4" w:space="0" w:color="auto"/>
            </w:tcBorders>
            <w:shd w:val="clear" w:color="000000" w:fill="FFFFFF"/>
            <w:noWrap/>
            <w:vAlign w:val="center"/>
            <w:hideMark/>
          </w:tcPr>
          <w:p w14:paraId="6787BAF5"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12,1</w:t>
            </w:r>
          </w:p>
        </w:tc>
      </w:tr>
      <w:tr w:rsidR="00ED5768" w:rsidRPr="00ED5768" w14:paraId="444EDB35"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F3FFE4D"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Devuelto por trámite incompleto</w:t>
            </w:r>
          </w:p>
        </w:tc>
        <w:tc>
          <w:tcPr>
            <w:tcW w:w="1480" w:type="dxa"/>
            <w:tcBorders>
              <w:top w:val="nil"/>
              <w:left w:val="nil"/>
              <w:bottom w:val="single" w:sz="4" w:space="0" w:color="auto"/>
              <w:right w:val="single" w:sz="4" w:space="0" w:color="auto"/>
            </w:tcBorders>
            <w:shd w:val="clear" w:color="auto" w:fill="auto"/>
            <w:noWrap/>
            <w:vAlign w:val="bottom"/>
            <w:hideMark/>
          </w:tcPr>
          <w:p w14:paraId="750B9966"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w:t>
            </w:r>
          </w:p>
        </w:tc>
        <w:tc>
          <w:tcPr>
            <w:tcW w:w="1700" w:type="dxa"/>
            <w:tcBorders>
              <w:top w:val="nil"/>
              <w:left w:val="nil"/>
              <w:bottom w:val="single" w:sz="4" w:space="0" w:color="auto"/>
              <w:right w:val="single" w:sz="4" w:space="0" w:color="auto"/>
            </w:tcBorders>
            <w:shd w:val="clear" w:color="000000" w:fill="FFFFFF"/>
            <w:noWrap/>
            <w:vAlign w:val="center"/>
            <w:hideMark/>
          </w:tcPr>
          <w:p w14:paraId="5908DE8E"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2,3</w:t>
            </w:r>
          </w:p>
        </w:tc>
      </w:tr>
      <w:tr w:rsidR="00ED5768" w:rsidRPr="00ED5768" w14:paraId="48E0131A"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03C5021"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Ejecución cumplida</w:t>
            </w:r>
          </w:p>
        </w:tc>
        <w:tc>
          <w:tcPr>
            <w:tcW w:w="1480" w:type="dxa"/>
            <w:tcBorders>
              <w:top w:val="nil"/>
              <w:left w:val="nil"/>
              <w:bottom w:val="single" w:sz="4" w:space="0" w:color="auto"/>
              <w:right w:val="single" w:sz="4" w:space="0" w:color="auto"/>
            </w:tcBorders>
            <w:shd w:val="clear" w:color="auto" w:fill="auto"/>
            <w:noWrap/>
            <w:vAlign w:val="bottom"/>
            <w:hideMark/>
          </w:tcPr>
          <w:p w14:paraId="44DACD97"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71</w:t>
            </w:r>
          </w:p>
        </w:tc>
        <w:tc>
          <w:tcPr>
            <w:tcW w:w="1700" w:type="dxa"/>
            <w:tcBorders>
              <w:top w:val="nil"/>
              <w:left w:val="nil"/>
              <w:bottom w:val="single" w:sz="4" w:space="0" w:color="auto"/>
              <w:right w:val="single" w:sz="4" w:space="0" w:color="auto"/>
            </w:tcBorders>
            <w:shd w:val="clear" w:color="000000" w:fill="FFFFFF"/>
            <w:noWrap/>
            <w:vAlign w:val="center"/>
            <w:hideMark/>
          </w:tcPr>
          <w:p w14:paraId="190DFE43"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58,0</w:t>
            </w:r>
          </w:p>
        </w:tc>
      </w:tr>
      <w:tr w:rsidR="00ED5768" w:rsidRPr="00ED5768" w14:paraId="038C229B"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749A037"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Excepción previa</w:t>
            </w:r>
          </w:p>
        </w:tc>
        <w:tc>
          <w:tcPr>
            <w:tcW w:w="1480" w:type="dxa"/>
            <w:tcBorders>
              <w:top w:val="nil"/>
              <w:left w:val="nil"/>
              <w:bottom w:val="single" w:sz="4" w:space="0" w:color="auto"/>
              <w:right w:val="single" w:sz="4" w:space="0" w:color="auto"/>
            </w:tcBorders>
            <w:shd w:val="clear" w:color="auto" w:fill="auto"/>
            <w:noWrap/>
            <w:vAlign w:val="bottom"/>
            <w:hideMark/>
          </w:tcPr>
          <w:p w14:paraId="3E943AAB"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4</w:t>
            </w:r>
          </w:p>
        </w:tc>
        <w:tc>
          <w:tcPr>
            <w:tcW w:w="1700" w:type="dxa"/>
            <w:tcBorders>
              <w:top w:val="nil"/>
              <w:left w:val="nil"/>
              <w:bottom w:val="single" w:sz="4" w:space="0" w:color="auto"/>
              <w:right w:val="single" w:sz="4" w:space="0" w:color="auto"/>
            </w:tcBorders>
            <w:shd w:val="clear" w:color="000000" w:fill="FFFFFF"/>
            <w:noWrap/>
            <w:vAlign w:val="center"/>
            <w:hideMark/>
          </w:tcPr>
          <w:p w14:paraId="579B800C"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10,0</w:t>
            </w:r>
          </w:p>
        </w:tc>
      </w:tr>
      <w:tr w:rsidR="00ED5768" w:rsidRPr="00ED5768" w14:paraId="52D5A19F"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2184A68"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Incompetencia</w:t>
            </w:r>
          </w:p>
        </w:tc>
        <w:tc>
          <w:tcPr>
            <w:tcW w:w="1480" w:type="dxa"/>
            <w:tcBorders>
              <w:top w:val="nil"/>
              <w:left w:val="nil"/>
              <w:bottom w:val="single" w:sz="4" w:space="0" w:color="auto"/>
              <w:right w:val="single" w:sz="4" w:space="0" w:color="auto"/>
            </w:tcBorders>
            <w:shd w:val="clear" w:color="auto" w:fill="auto"/>
            <w:noWrap/>
            <w:vAlign w:val="bottom"/>
            <w:hideMark/>
          </w:tcPr>
          <w:p w14:paraId="68EB572A"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1 351</w:t>
            </w:r>
          </w:p>
        </w:tc>
        <w:tc>
          <w:tcPr>
            <w:tcW w:w="1700" w:type="dxa"/>
            <w:tcBorders>
              <w:top w:val="nil"/>
              <w:left w:val="nil"/>
              <w:bottom w:val="single" w:sz="4" w:space="0" w:color="auto"/>
              <w:right w:val="single" w:sz="4" w:space="0" w:color="auto"/>
            </w:tcBorders>
            <w:shd w:val="clear" w:color="000000" w:fill="FFFFFF"/>
            <w:noWrap/>
            <w:vAlign w:val="center"/>
            <w:hideMark/>
          </w:tcPr>
          <w:p w14:paraId="277BC8DE"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3,3</w:t>
            </w:r>
          </w:p>
        </w:tc>
      </w:tr>
      <w:tr w:rsidR="00ED5768" w:rsidRPr="00ED5768" w14:paraId="4CB9BC34"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68A63AB5"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Inhibitoria / Recusación / Excusa</w:t>
            </w:r>
          </w:p>
        </w:tc>
        <w:tc>
          <w:tcPr>
            <w:tcW w:w="1480" w:type="dxa"/>
            <w:tcBorders>
              <w:top w:val="nil"/>
              <w:left w:val="nil"/>
              <w:bottom w:val="single" w:sz="4" w:space="0" w:color="auto"/>
              <w:right w:val="single" w:sz="4" w:space="0" w:color="auto"/>
            </w:tcBorders>
            <w:shd w:val="clear" w:color="auto" w:fill="auto"/>
            <w:noWrap/>
            <w:vAlign w:val="bottom"/>
            <w:hideMark/>
          </w:tcPr>
          <w:p w14:paraId="4C272BD0"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w:t>
            </w:r>
          </w:p>
        </w:tc>
        <w:tc>
          <w:tcPr>
            <w:tcW w:w="1700" w:type="dxa"/>
            <w:tcBorders>
              <w:top w:val="nil"/>
              <w:left w:val="nil"/>
              <w:bottom w:val="single" w:sz="4" w:space="0" w:color="auto"/>
              <w:right w:val="single" w:sz="4" w:space="0" w:color="auto"/>
            </w:tcBorders>
            <w:shd w:val="clear" w:color="000000" w:fill="FFFFFF"/>
            <w:noWrap/>
            <w:vAlign w:val="center"/>
            <w:hideMark/>
          </w:tcPr>
          <w:p w14:paraId="15C8A049"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22,2</w:t>
            </w:r>
          </w:p>
        </w:tc>
      </w:tr>
      <w:tr w:rsidR="00ED5768" w:rsidRPr="00ED5768" w14:paraId="37E16C82"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0C75ECC3"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Matrimonio realizado o archivado</w:t>
            </w:r>
          </w:p>
        </w:tc>
        <w:tc>
          <w:tcPr>
            <w:tcW w:w="1480" w:type="dxa"/>
            <w:tcBorders>
              <w:top w:val="nil"/>
              <w:left w:val="nil"/>
              <w:bottom w:val="single" w:sz="4" w:space="0" w:color="auto"/>
              <w:right w:val="single" w:sz="4" w:space="0" w:color="auto"/>
            </w:tcBorders>
            <w:shd w:val="clear" w:color="auto" w:fill="auto"/>
            <w:noWrap/>
            <w:vAlign w:val="bottom"/>
            <w:hideMark/>
          </w:tcPr>
          <w:p w14:paraId="2308AE76"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580</w:t>
            </w:r>
          </w:p>
        </w:tc>
        <w:tc>
          <w:tcPr>
            <w:tcW w:w="1700" w:type="dxa"/>
            <w:tcBorders>
              <w:top w:val="nil"/>
              <w:left w:val="nil"/>
              <w:bottom w:val="single" w:sz="4" w:space="0" w:color="auto"/>
              <w:right w:val="single" w:sz="4" w:space="0" w:color="auto"/>
            </w:tcBorders>
            <w:shd w:val="clear" w:color="000000" w:fill="FFFFFF"/>
            <w:noWrap/>
            <w:vAlign w:val="center"/>
            <w:hideMark/>
          </w:tcPr>
          <w:p w14:paraId="1F19B27F"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6,0</w:t>
            </w:r>
          </w:p>
        </w:tc>
      </w:tr>
      <w:tr w:rsidR="00ED5768" w:rsidRPr="00ED5768" w14:paraId="0B27D4D3"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E0C7DCF"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Matrimonios realizados</w:t>
            </w:r>
          </w:p>
        </w:tc>
        <w:tc>
          <w:tcPr>
            <w:tcW w:w="1480" w:type="dxa"/>
            <w:tcBorders>
              <w:top w:val="nil"/>
              <w:left w:val="nil"/>
              <w:bottom w:val="single" w:sz="4" w:space="0" w:color="auto"/>
              <w:right w:val="single" w:sz="4" w:space="0" w:color="auto"/>
            </w:tcBorders>
            <w:shd w:val="clear" w:color="auto" w:fill="auto"/>
            <w:noWrap/>
            <w:vAlign w:val="bottom"/>
            <w:hideMark/>
          </w:tcPr>
          <w:p w14:paraId="20434C16"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305</w:t>
            </w:r>
          </w:p>
        </w:tc>
        <w:tc>
          <w:tcPr>
            <w:tcW w:w="1700" w:type="dxa"/>
            <w:tcBorders>
              <w:top w:val="nil"/>
              <w:left w:val="nil"/>
              <w:bottom w:val="single" w:sz="4" w:space="0" w:color="auto"/>
              <w:right w:val="single" w:sz="4" w:space="0" w:color="auto"/>
            </w:tcBorders>
            <w:shd w:val="clear" w:color="000000" w:fill="FFFFFF"/>
            <w:noWrap/>
            <w:vAlign w:val="center"/>
            <w:hideMark/>
          </w:tcPr>
          <w:p w14:paraId="50CAB252"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4,1</w:t>
            </w:r>
          </w:p>
        </w:tc>
      </w:tr>
      <w:tr w:rsidR="00ED5768" w:rsidRPr="00ED5768" w14:paraId="587FB990"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21C5EBF"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Muerte de algunas de las partes</w:t>
            </w:r>
          </w:p>
        </w:tc>
        <w:tc>
          <w:tcPr>
            <w:tcW w:w="1480" w:type="dxa"/>
            <w:tcBorders>
              <w:top w:val="nil"/>
              <w:left w:val="nil"/>
              <w:bottom w:val="single" w:sz="4" w:space="0" w:color="auto"/>
              <w:right w:val="single" w:sz="4" w:space="0" w:color="auto"/>
            </w:tcBorders>
            <w:shd w:val="clear" w:color="auto" w:fill="auto"/>
            <w:noWrap/>
            <w:vAlign w:val="bottom"/>
            <w:hideMark/>
          </w:tcPr>
          <w:p w14:paraId="656B92C9"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226</w:t>
            </w:r>
          </w:p>
        </w:tc>
        <w:tc>
          <w:tcPr>
            <w:tcW w:w="1700" w:type="dxa"/>
            <w:tcBorders>
              <w:top w:val="nil"/>
              <w:left w:val="nil"/>
              <w:bottom w:val="single" w:sz="4" w:space="0" w:color="auto"/>
              <w:right w:val="single" w:sz="4" w:space="0" w:color="auto"/>
            </w:tcBorders>
            <w:shd w:val="clear" w:color="000000" w:fill="FFFFFF"/>
            <w:noWrap/>
            <w:vAlign w:val="center"/>
            <w:hideMark/>
          </w:tcPr>
          <w:p w14:paraId="6AEB1B35"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19,0</w:t>
            </w:r>
          </w:p>
        </w:tc>
      </w:tr>
      <w:tr w:rsidR="00ED5768" w:rsidRPr="00ED5768" w14:paraId="29AE6B79"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6FEA626" w14:textId="7A0D99DC"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 xml:space="preserve">Por </w:t>
            </w:r>
            <w:r w:rsidR="009A4115" w:rsidRPr="00ED5768">
              <w:rPr>
                <w:rFonts w:ascii="Book Antiqua" w:eastAsia="Times New Roman" w:hAnsi="Book Antiqua" w:cs="Calibri"/>
                <w:color w:val="000000"/>
                <w:lang w:eastAsia="es-CR"/>
              </w:rPr>
              <w:t>oposición</w:t>
            </w:r>
            <w:r w:rsidRPr="00ED5768">
              <w:rPr>
                <w:rFonts w:ascii="Book Antiqua" w:eastAsia="Times New Roman" w:hAnsi="Book Antiqua" w:cs="Calibri"/>
                <w:color w:val="000000"/>
                <w:lang w:eastAsia="es-CR"/>
              </w:rPr>
              <w:t>,</w:t>
            </w:r>
            <w:r>
              <w:rPr>
                <w:rFonts w:ascii="Book Antiqua" w:eastAsia="Times New Roman" w:hAnsi="Book Antiqua" w:cs="Calibri"/>
                <w:color w:val="000000"/>
                <w:lang w:eastAsia="es-CR"/>
              </w:rPr>
              <w:t xml:space="preserve"> </w:t>
            </w:r>
            <w:r w:rsidRPr="00ED5768">
              <w:rPr>
                <w:rFonts w:ascii="Book Antiqua" w:eastAsia="Times New Roman" w:hAnsi="Book Antiqua" w:cs="Calibri"/>
                <w:color w:val="000000"/>
                <w:lang w:eastAsia="es-CR"/>
              </w:rPr>
              <w:t>art 821 CPC</w:t>
            </w:r>
          </w:p>
        </w:tc>
        <w:tc>
          <w:tcPr>
            <w:tcW w:w="1480" w:type="dxa"/>
            <w:tcBorders>
              <w:top w:val="nil"/>
              <w:left w:val="nil"/>
              <w:bottom w:val="single" w:sz="4" w:space="0" w:color="auto"/>
              <w:right w:val="single" w:sz="4" w:space="0" w:color="auto"/>
            </w:tcBorders>
            <w:shd w:val="clear" w:color="auto" w:fill="auto"/>
            <w:noWrap/>
            <w:vAlign w:val="bottom"/>
            <w:hideMark/>
          </w:tcPr>
          <w:p w14:paraId="6238DBAA"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8</w:t>
            </w:r>
          </w:p>
        </w:tc>
        <w:tc>
          <w:tcPr>
            <w:tcW w:w="1700" w:type="dxa"/>
            <w:tcBorders>
              <w:top w:val="nil"/>
              <w:left w:val="nil"/>
              <w:bottom w:val="single" w:sz="4" w:space="0" w:color="auto"/>
              <w:right w:val="single" w:sz="4" w:space="0" w:color="auto"/>
            </w:tcBorders>
            <w:shd w:val="clear" w:color="auto" w:fill="auto"/>
            <w:noWrap/>
            <w:vAlign w:val="center"/>
            <w:hideMark/>
          </w:tcPr>
          <w:p w14:paraId="3A4FFD1F"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8,3</w:t>
            </w:r>
          </w:p>
        </w:tc>
      </w:tr>
      <w:tr w:rsidR="00ED5768" w:rsidRPr="00ED5768" w14:paraId="7E1F9D87"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35DD94D"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Por solicitud de partes</w:t>
            </w:r>
          </w:p>
        </w:tc>
        <w:tc>
          <w:tcPr>
            <w:tcW w:w="1480" w:type="dxa"/>
            <w:tcBorders>
              <w:top w:val="nil"/>
              <w:left w:val="nil"/>
              <w:bottom w:val="single" w:sz="4" w:space="0" w:color="auto"/>
              <w:right w:val="single" w:sz="4" w:space="0" w:color="auto"/>
            </w:tcBorders>
            <w:shd w:val="clear" w:color="auto" w:fill="auto"/>
            <w:noWrap/>
            <w:vAlign w:val="bottom"/>
            <w:hideMark/>
          </w:tcPr>
          <w:p w14:paraId="6266185E"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284</w:t>
            </w:r>
          </w:p>
        </w:tc>
        <w:tc>
          <w:tcPr>
            <w:tcW w:w="1700" w:type="dxa"/>
            <w:tcBorders>
              <w:top w:val="nil"/>
              <w:left w:val="nil"/>
              <w:bottom w:val="single" w:sz="4" w:space="0" w:color="auto"/>
              <w:right w:val="single" w:sz="4" w:space="0" w:color="auto"/>
            </w:tcBorders>
            <w:shd w:val="clear" w:color="auto" w:fill="auto"/>
            <w:noWrap/>
            <w:vAlign w:val="center"/>
            <w:hideMark/>
          </w:tcPr>
          <w:p w14:paraId="01C1AD3D"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11,2</w:t>
            </w:r>
          </w:p>
        </w:tc>
      </w:tr>
      <w:tr w:rsidR="00ED5768" w:rsidRPr="00ED5768" w14:paraId="2A5F8E1D" w14:textId="77777777" w:rsidTr="00ED5768">
        <w:trPr>
          <w:trHeight w:val="580"/>
          <w:jc w:val="center"/>
        </w:trPr>
        <w:tc>
          <w:tcPr>
            <w:tcW w:w="3580" w:type="dxa"/>
            <w:tcBorders>
              <w:top w:val="nil"/>
              <w:left w:val="single" w:sz="4" w:space="0" w:color="auto"/>
              <w:bottom w:val="single" w:sz="4" w:space="0" w:color="auto"/>
              <w:right w:val="single" w:sz="4" w:space="0" w:color="auto"/>
            </w:tcBorders>
            <w:shd w:val="clear" w:color="auto" w:fill="auto"/>
            <w:vAlign w:val="center"/>
            <w:hideMark/>
          </w:tcPr>
          <w:p w14:paraId="1DEB2FDF" w14:textId="77777777" w:rsidR="00ED5768" w:rsidRPr="00ED5768" w:rsidRDefault="00ED5768" w:rsidP="001D0C10">
            <w:pPr>
              <w:spacing w:after="0" w:line="240" w:lineRule="auto"/>
              <w:jc w:val="both"/>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Por vencimiento de medida de protección</w:t>
            </w:r>
          </w:p>
        </w:tc>
        <w:tc>
          <w:tcPr>
            <w:tcW w:w="1480" w:type="dxa"/>
            <w:tcBorders>
              <w:top w:val="nil"/>
              <w:left w:val="nil"/>
              <w:bottom w:val="single" w:sz="4" w:space="0" w:color="auto"/>
              <w:right w:val="single" w:sz="4" w:space="0" w:color="auto"/>
            </w:tcBorders>
            <w:shd w:val="clear" w:color="auto" w:fill="auto"/>
            <w:noWrap/>
            <w:vAlign w:val="bottom"/>
            <w:hideMark/>
          </w:tcPr>
          <w:p w14:paraId="629830BD"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73</w:t>
            </w:r>
          </w:p>
        </w:tc>
        <w:tc>
          <w:tcPr>
            <w:tcW w:w="1700" w:type="dxa"/>
            <w:tcBorders>
              <w:top w:val="nil"/>
              <w:left w:val="nil"/>
              <w:bottom w:val="single" w:sz="4" w:space="0" w:color="auto"/>
              <w:right w:val="single" w:sz="4" w:space="0" w:color="auto"/>
            </w:tcBorders>
            <w:shd w:val="clear" w:color="auto" w:fill="auto"/>
            <w:noWrap/>
            <w:vAlign w:val="center"/>
            <w:hideMark/>
          </w:tcPr>
          <w:p w14:paraId="03929B61"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3,0</w:t>
            </w:r>
          </w:p>
        </w:tc>
      </w:tr>
      <w:tr w:rsidR="00ED5768" w:rsidRPr="00ED5768" w14:paraId="7806EBE8"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EDBB904" w14:textId="6DB40EF1"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Rechazado ad portas</w:t>
            </w:r>
          </w:p>
        </w:tc>
        <w:tc>
          <w:tcPr>
            <w:tcW w:w="1480" w:type="dxa"/>
            <w:tcBorders>
              <w:top w:val="nil"/>
              <w:left w:val="nil"/>
              <w:bottom w:val="single" w:sz="4" w:space="0" w:color="auto"/>
              <w:right w:val="single" w:sz="4" w:space="0" w:color="auto"/>
            </w:tcBorders>
            <w:shd w:val="clear" w:color="auto" w:fill="auto"/>
            <w:noWrap/>
            <w:vAlign w:val="bottom"/>
            <w:hideMark/>
          </w:tcPr>
          <w:p w14:paraId="3E55970F"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97</w:t>
            </w:r>
          </w:p>
        </w:tc>
        <w:tc>
          <w:tcPr>
            <w:tcW w:w="1700" w:type="dxa"/>
            <w:tcBorders>
              <w:top w:val="nil"/>
              <w:left w:val="nil"/>
              <w:bottom w:val="single" w:sz="4" w:space="0" w:color="auto"/>
              <w:right w:val="single" w:sz="4" w:space="0" w:color="auto"/>
            </w:tcBorders>
            <w:shd w:val="clear" w:color="auto" w:fill="auto"/>
            <w:noWrap/>
            <w:vAlign w:val="center"/>
            <w:hideMark/>
          </w:tcPr>
          <w:p w14:paraId="7490F4A9"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3,3</w:t>
            </w:r>
          </w:p>
        </w:tc>
      </w:tr>
      <w:tr w:rsidR="00ED5768" w:rsidRPr="00ED5768" w14:paraId="6AD27E23"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3C950E81"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Rechazo de plano</w:t>
            </w:r>
          </w:p>
        </w:tc>
        <w:tc>
          <w:tcPr>
            <w:tcW w:w="1480" w:type="dxa"/>
            <w:tcBorders>
              <w:top w:val="nil"/>
              <w:left w:val="nil"/>
              <w:bottom w:val="single" w:sz="4" w:space="0" w:color="auto"/>
              <w:right w:val="single" w:sz="4" w:space="0" w:color="auto"/>
            </w:tcBorders>
            <w:shd w:val="clear" w:color="auto" w:fill="auto"/>
            <w:noWrap/>
            <w:vAlign w:val="bottom"/>
            <w:hideMark/>
          </w:tcPr>
          <w:p w14:paraId="3D5A4201"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450</w:t>
            </w:r>
          </w:p>
        </w:tc>
        <w:tc>
          <w:tcPr>
            <w:tcW w:w="1700" w:type="dxa"/>
            <w:tcBorders>
              <w:top w:val="nil"/>
              <w:left w:val="nil"/>
              <w:bottom w:val="single" w:sz="4" w:space="0" w:color="auto"/>
              <w:right w:val="single" w:sz="4" w:space="0" w:color="auto"/>
            </w:tcBorders>
            <w:shd w:val="clear" w:color="auto" w:fill="auto"/>
            <w:noWrap/>
            <w:vAlign w:val="center"/>
            <w:hideMark/>
          </w:tcPr>
          <w:p w14:paraId="4AA303B8"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7,0</w:t>
            </w:r>
          </w:p>
        </w:tc>
      </w:tr>
      <w:tr w:rsidR="00ED5768" w:rsidRPr="00ED5768" w14:paraId="540EF843"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283DEBD1"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Resuelto por centro de conciliación</w:t>
            </w:r>
          </w:p>
        </w:tc>
        <w:tc>
          <w:tcPr>
            <w:tcW w:w="1480" w:type="dxa"/>
            <w:tcBorders>
              <w:top w:val="nil"/>
              <w:left w:val="nil"/>
              <w:bottom w:val="single" w:sz="4" w:space="0" w:color="auto"/>
              <w:right w:val="single" w:sz="4" w:space="0" w:color="auto"/>
            </w:tcBorders>
            <w:shd w:val="clear" w:color="auto" w:fill="auto"/>
            <w:noWrap/>
            <w:vAlign w:val="bottom"/>
            <w:hideMark/>
          </w:tcPr>
          <w:p w14:paraId="6A8C885D"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55</w:t>
            </w:r>
          </w:p>
        </w:tc>
        <w:tc>
          <w:tcPr>
            <w:tcW w:w="1700" w:type="dxa"/>
            <w:tcBorders>
              <w:top w:val="nil"/>
              <w:left w:val="nil"/>
              <w:bottom w:val="single" w:sz="4" w:space="0" w:color="auto"/>
              <w:right w:val="single" w:sz="4" w:space="0" w:color="auto"/>
            </w:tcBorders>
            <w:shd w:val="clear" w:color="auto" w:fill="auto"/>
            <w:noWrap/>
            <w:vAlign w:val="center"/>
            <w:hideMark/>
          </w:tcPr>
          <w:p w14:paraId="2C585704"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7,0</w:t>
            </w:r>
          </w:p>
        </w:tc>
      </w:tr>
      <w:tr w:rsidR="00ED5768" w:rsidRPr="00ED5768" w14:paraId="2987D098"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D570AF0"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Resuelto por RAC-Conciliación</w:t>
            </w:r>
          </w:p>
        </w:tc>
        <w:tc>
          <w:tcPr>
            <w:tcW w:w="1480" w:type="dxa"/>
            <w:tcBorders>
              <w:top w:val="nil"/>
              <w:left w:val="nil"/>
              <w:bottom w:val="single" w:sz="4" w:space="0" w:color="auto"/>
              <w:right w:val="single" w:sz="4" w:space="0" w:color="auto"/>
            </w:tcBorders>
            <w:shd w:val="clear" w:color="auto" w:fill="auto"/>
            <w:noWrap/>
            <w:vAlign w:val="bottom"/>
            <w:hideMark/>
          </w:tcPr>
          <w:p w14:paraId="6F4B88E7"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50</w:t>
            </w:r>
          </w:p>
        </w:tc>
        <w:tc>
          <w:tcPr>
            <w:tcW w:w="1700" w:type="dxa"/>
            <w:tcBorders>
              <w:top w:val="nil"/>
              <w:left w:val="nil"/>
              <w:bottom w:val="single" w:sz="4" w:space="0" w:color="auto"/>
              <w:right w:val="single" w:sz="4" w:space="0" w:color="auto"/>
            </w:tcBorders>
            <w:shd w:val="clear" w:color="auto" w:fill="auto"/>
            <w:noWrap/>
            <w:vAlign w:val="center"/>
            <w:hideMark/>
          </w:tcPr>
          <w:p w14:paraId="3FCFFF74"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11,2</w:t>
            </w:r>
          </w:p>
        </w:tc>
      </w:tr>
      <w:tr w:rsidR="00ED5768" w:rsidRPr="00ED5768" w14:paraId="1F36CFC5"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A5A2DAF"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Sentencia dictada</w:t>
            </w:r>
          </w:p>
        </w:tc>
        <w:tc>
          <w:tcPr>
            <w:tcW w:w="1480" w:type="dxa"/>
            <w:tcBorders>
              <w:top w:val="nil"/>
              <w:left w:val="nil"/>
              <w:bottom w:val="single" w:sz="4" w:space="0" w:color="auto"/>
              <w:right w:val="single" w:sz="4" w:space="0" w:color="auto"/>
            </w:tcBorders>
            <w:shd w:val="clear" w:color="auto" w:fill="auto"/>
            <w:noWrap/>
            <w:vAlign w:val="bottom"/>
            <w:hideMark/>
          </w:tcPr>
          <w:p w14:paraId="509783F1"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11 787</w:t>
            </w:r>
          </w:p>
        </w:tc>
        <w:tc>
          <w:tcPr>
            <w:tcW w:w="1700" w:type="dxa"/>
            <w:tcBorders>
              <w:top w:val="nil"/>
              <w:left w:val="nil"/>
              <w:bottom w:val="single" w:sz="4" w:space="0" w:color="auto"/>
              <w:right w:val="single" w:sz="4" w:space="0" w:color="auto"/>
            </w:tcBorders>
            <w:shd w:val="clear" w:color="auto" w:fill="auto"/>
            <w:noWrap/>
            <w:vAlign w:val="center"/>
            <w:hideMark/>
          </w:tcPr>
          <w:p w14:paraId="5FAD8792"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14,1</w:t>
            </w:r>
          </w:p>
        </w:tc>
      </w:tr>
      <w:tr w:rsidR="00ED5768" w:rsidRPr="00ED5768" w14:paraId="55386F18"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14CD8958"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Sentencia homologatoria</w:t>
            </w:r>
          </w:p>
        </w:tc>
        <w:tc>
          <w:tcPr>
            <w:tcW w:w="1480" w:type="dxa"/>
            <w:tcBorders>
              <w:top w:val="nil"/>
              <w:left w:val="nil"/>
              <w:bottom w:val="single" w:sz="4" w:space="0" w:color="auto"/>
              <w:right w:val="single" w:sz="4" w:space="0" w:color="auto"/>
            </w:tcBorders>
            <w:shd w:val="clear" w:color="auto" w:fill="auto"/>
            <w:noWrap/>
            <w:vAlign w:val="bottom"/>
            <w:hideMark/>
          </w:tcPr>
          <w:p w14:paraId="2C1AA11A"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5 070</w:t>
            </w:r>
          </w:p>
        </w:tc>
        <w:tc>
          <w:tcPr>
            <w:tcW w:w="1700" w:type="dxa"/>
            <w:tcBorders>
              <w:top w:val="nil"/>
              <w:left w:val="nil"/>
              <w:bottom w:val="single" w:sz="4" w:space="0" w:color="auto"/>
              <w:right w:val="single" w:sz="4" w:space="0" w:color="auto"/>
            </w:tcBorders>
            <w:shd w:val="clear" w:color="auto" w:fill="auto"/>
            <w:noWrap/>
            <w:vAlign w:val="center"/>
            <w:hideMark/>
          </w:tcPr>
          <w:p w14:paraId="14A33BC3"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6,0</w:t>
            </w:r>
          </w:p>
        </w:tc>
      </w:tr>
      <w:tr w:rsidR="00ED5768" w:rsidRPr="00ED5768" w14:paraId="60956C1C"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710AE1F4"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Sentencia por conciliación</w:t>
            </w:r>
          </w:p>
        </w:tc>
        <w:tc>
          <w:tcPr>
            <w:tcW w:w="1480" w:type="dxa"/>
            <w:tcBorders>
              <w:top w:val="nil"/>
              <w:left w:val="nil"/>
              <w:bottom w:val="single" w:sz="4" w:space="0" w:color="auto"/>
              <w:right w:val="single" w:sz="4" w:space="0" w:color="auto"/>
            </w:tcBorders>
            <w:shd w:val="clear" w:color="auto" w:fill="auto"/>
            <w:noWrap/>
            <w:vAlign w:val="bottom"/>
            <w:hideMark/>
          </w:tcPr>
          <w:p w14:paraId="498B3F9B"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313</w:t>
            </w:r>
          </w:p>
        </w:tc>
        <w:tc>
          <w:tcPr>
            <w:tcW w:w="1700" w:type="dxa"/>
            <w:tcBorders>
              <w:top w:val="nil"/>
              <w:left w:val="nil"/>
              <w:bottom w:val="single" w:sz="4" w:space="0" w:color="auto"/>
              <w:right w:val="single" w:sz="4" w:space="0" w:color="auto"/>
            </w:tcBorders>
            <w:shd w:val="clear" w:color="auto" w:fill="auto"/>
            <w:noWrap/>
            <w:vAlign w:val="center"/>
            <w:hideMark/>
          </w:tcPr>
          <w:p w14:paraId="7E1401C9"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9,3</w:t>
            </w:r>
          </w:p>
        </w:tc>
      </w:tr>
      <w:tr w:rsidR="00ED5768" w:rsidRPr="00ED5768" w14:paraId="09E4C7E7" w14:textId="77777777" w:rsidTr="00ED5768">
        <w:trPr>
          <w:trHeight w:val="290"/>
          <w:jc w:val="center"/>
        </w:trPr>
        <w:tc>
          <w:tcPr>
            <w:tcW w:w="3580" w:type="dxa"/>
            <w:tcBorders>
              <w:top w:val="nil"/>
              <w:left w:val="single" w:sz="4" w:space="0" w:color="auto"/>
              <w:bottom w:val="single" w:sz="4" w:space="0" w:color="auto"/>
              <w:right w:val="single" w:sz="4" w:space="0" w:color="auto"/>
            </w:tcBorders>
            <w:shd w:val="clear" w:color="auto" w:fill="auto"/>
            <w:noWrap/>
            <w:vAlign w:val="center"/>
            <w:hideMark/>
          </w:tcPr>
          <w:p w14:paraId="5F61642F" w14:textId="77777777" w:rsidR="00ED5768" w:rsidRPr="00ED5768" w:rsidRDefault="00ED5768" w:rsidP="00ED5768">
            <w:pPr>
              <w:spacing w:after="0" w:line="240" w:lineRule="auto"/>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Otros</w:t>
            </w:r>
          </w:p>
        </w:tc>
        <w:tc>
          <w:tcPr>
            <w:tcW w:w="1480" w:type="dxa"/>
            <w:tcBorders>
              <w:top w:val="nil"/>
              <w:left w:val="nil"/>
              <w:bottom w:val="single" w:sz="4" w:space="0" w:color="auto"/>
              <w:right w:val="single" w:sz="4" w:space="0" w:color="auto"/>
            </w:tcBorders>
            <w:shd w:val="clear" w:color="auto" w:fill="auto"/>
            <w:noWrap/>
            <w:vAlign w:val="bottom"/>
            <w:hideMark/>
          </w:tcPr>
          <w:p w14:paraId="364D3C23" w14:textId="77777777" w:rsidR="00ED5768" w:rsidRPr="00ED5768" w:rsidRDefault="00ED5768" w:rsidP="00ED5768">
            <w:pPr>
              <w:spacing w:after="0" w:line="240" w:lineRule="auto"/>
              <w:jc w:val="center"/>
              <w:rPr>
                <w:rFonts w:ascii="Times New Roman" w:eastAsia="Times New Roman" w:hAnsi="Times New Roman" w:cs="Times New Roman"/>
                <w:lang w:eastAsia="es-CR"/>
              </w:rPr>
            </w:pPr>
            <w:r w:rsidRPr="00ED5768">
              <w:rPr>
                <w:rFonts w:ascii="Times New Roman" w:eastAsia="Times New Roman" w:hAnsi="Times New Roman" w:cs="Times New Roman"/>
                <w:lang w:eastAsia="es-CR"/>
              </w:rPr>
              <w:t>52</w:t>
            </w:r>
          </w:p>
        </w:tc>
        <w:tc>
          <w:tcPr>
            <w:tcW w:w="1700" w:type="dxa"/>
            <w:tcBorders>
              <w:top w:val="nil"/>
              <w:left w:val="nil"/>
              <w:bottom w:val="single" w:sz="4" w:space="0" w:color="auto"/>
              <w:right w:val="single" w:sz="4" w:space="0" w:color="auto"/>
            </w:tcBorders>
            <w:shd w:val="clear" w:color="auto" w:fill="auto"/>
            <w:noWrap/>
            <w:vAlign w:val="center"/>
            <w:hideMark/>
          </w:tcPr>
          <w:p w14:paraId="4C08D51E" w14:textId="77777777" w:rsidR="00ED5768" w:rsidRPr="00ED5768" w:rsidRDefault="00ED5768" w:rsidP="00ED5768">
            <w:pPr>
              <w:spacing w:after="0" w:line="240" w:lineRule="auto"/>
              <w:jc w:val="center"/>
              <w:rPr>
                <w:rFonts w:ascii="Book Antiqua" w:eastAsia="Times New Roman" w:hAnsi="Book Antiqua" w:cs="Calibri"/>
                <w:color w:val="000000"/>
                <w:lang w:eastAsia="es-CR"/>
              </w:rPr>
            </w:pPr>
            <w:r w:rsidRPr="00ED5768">
              <w:rPr>
                <w:rFonts w:ascii="Book Antiqua" w:eastAsia="Times New Roman" w:hAnsi="Book Antiqua" w:cs="Calibri"/>
                <w:color w:val="000000"/>
                <w:lang w:eastAsia="es-CR"/>
              </w:rPr>
              <w:t>9,3</w:t>
            </w:r>
          </w:p>
        </w:tc>
      </w:tr>
      <w:tr w:rsidR="00ED5768" w:rsidRPr="00ED5768" w14:paraId="6DA9FDBC" w14:textId="77777777" w:rsidTr="00ED5768">
        <w:trPr>
          <w:trHeight w:val="290"/>
          <w:jc w:val="center"/>
        </w:trPr>
        <w:tc>
          <w:tcPr>
            <w:tcW w:w="3580" w:type="dxa"/>
            <w:tcBorders>
              <w:top w:val="nil"/>
              <w:left w:val="nil"/>
              <w:bottom w:val="nil"/>
              <w:right w:val="nil"/>
            </w:tcBorders>
            <w:shd w:val="clear" w:color="000000" w:fill="808080"/>
            <w:noWrap/>
            <w:vAlign w:val="center"/>
            <w:hideMark/>
          </w:tcPr>
          <w:p w14:paraId="28D5A0E4" w14:textId="77777777" w:rsidR="00ED5768" w:rsidRPr="00ED5768" w:rsidRDefault="00ED5768" w:rsidP="00ED5768">
            <w:pPr>
              <w:spacing w:after="0" w:line="240" w:lineRule="auto"/>
              <w:jc w:val="right"/>
              <w:rPr>
                <w:rFonts w:ascii="Book Antiqua" w:eastAsia="Times New Roman" w:hAnsi="Book Antiqua" w:cs="Calibri"/>
                <w:color w:val="FFFFFF"/>
                <w:lang w:eastAsia="es-CR"/>
              </w:rPr>
            </w:pPr>
            <w:r w:rsidRPr="00ED5768">
              <w:rPr>
                <w:rFonts w:ascii="Book Antiqua" w:eastAsia="Times New Roman" w:hAnsi="Book Antiqua" w:cs="Calibri"/>
                <w:color w:val="FFFFFF"/>
                <w:lang w:eastAsia="es-CR"/>
              </w:rPr>
              <w:t> Total</w:t>
            </w:r>
          </w:p>
        </w:tc>
        <w:tc>
          <w:tcPr>
            <w:tcW w:w="1480" w:type="dxa"/>
            <w:tcBorders>
              <w:top w:val="nil"/>
              <w:left w:val="nil"/>
              <w:bottom w:val="nil"/>
              <w:right w:val="nil"/>
            </w:tcBorders>
            <w:shd w:val="clear" w:color="000000" w:fill="808080"/>
            <w:noWrap/>
            <w:vAlign w:val="center"/>
            <w:hideMark/>
          </w:tcPr>
          <w:p w14:paraId="268A189B" w14:textId="77777777" w:rsidR="00ED5768" w:rsidRPr="00ED5768" w:rsidRDefault="00ED5768" w:rsidP="00ED5768">
            <w:pPr>
              <w:spacing w:after="0" w:line="240" w:lineRule="auto"/>
              <w:jc w:val="center"/>
              <w:rPr>
                <w:rFonts w:ascii="Book Antiqua" w:eastAsia="Times New Roman" w:hAnsi="Book Antiqua" w:cs="Calibri"/>
                <w:color w:val="FFFFFF"/>
                <w:lang w:eastAsia="es-CR"/>
              </w:rPr>
            </w:pPr>
            <w:r w:rsidRPr="00ED5768">
              <w:rPr>
                <w:rFonts w:ascii="Book Antiqua" w:eastAsia="Times New Roman" w:hAnsi="Book Antiqua" w:cs="Calibri"/>
                <w:color w:val="FFFFFF"/>
                <w:lang w:eastAsia="es-CR"/>
              </w:rPr>
              <w:t>27 287</w:t>
            </w:r>
          </w:p>
        </w:tc>
        <w:tc>
          <w:tcPr>
            <w:tcW w:w="1700" w:type="dxa"/>
            <w:tcBorders>
              <w:top w:val="nil"/>
              <w:left w:val="nil"/>
              <w:bottom w:val="nil"/>
              <w:right w:val="nil"/>
            </w:tcBorders>
            <w:shd w:val="clear" w:color="000000" w:fill="808080"/>
            <w:noWrap/>
            <w:vAlign w:val="bottom"/>
            <w:hideMark/>
          </w:tcPr>
          <w:p w14:paraId="1ADEBA9E" w14:textId="77777777" w:rsidR="00ED5768" w:rsidRPr="00ED5768" w:rsidRDefault="00ED5768" w:rsidP="00ED5768">
            <w:pPr>
              <w:spacing w:after="0" w:line="240" w:lineRule="auto"/>
              <w:rPr>
                <w:rFonts w:ascii="Calibri" w:eastAsia="Times New Roman" w:hAnsi="Calibri" w:cs="Calibri"/>
                <w:color w:val="000000"/>
                <w:lang w:eastAsia="es-CR"/>
              </w:rPr>
            </w:pPr>
            <w:r w:rsidRPr="00ED5768">
              <w:rPr>
                <w:rFonts w:ascii="Calibri" w:eastAsia="Times New Roman" w:hAnsi="Calibri" w:cs="Calibri"/>
                <w:color w:val="000000"/>
                <w:lang w:eastAsia="es-CR"/>
              </w:rPr>
              <w:t> </w:t>
            </w:r>
          </w:p>
        </w:tc>
      </w:tr>
      <w:tr w:rsidR="00ED5768" w:rsidRPr="00ED5768" w14:paraId="042C1E1F" w14:textId="77777777" w:rsidTr="00ED5768">
        <w:trPr>
          <w:trHeight w:val="290"/>
          <w:jc w:val="center"/>
        </w:trPr>
        <w:tc>
          <w:tcPr>
            <w:tcW w:w="3580" w:type="dxa"/>
            <w:tcBorders>
              <w:top w:val="nil"/>
              <w:left w:val="nil"/>
              <w:bottom w:val="nil"/>
              <w:right w:val="nil"/>
            </w:tcBorders>
            <w:shd w:val="clear" w:color="000000" w:fill="808080"/>
            <w:noWrap/>
            <w:vAlign w:val="center"/>
            <w:hideMark/>
          </w:tcPr>
          <w:p w14:paraId="2D781A4C" w14:textId="77777777" w:rsidR="00ED5768" w:rsidRPr="00ED5768" w:rsidRDefault="00ED5768" w:rsidP="00ED5768">
            <w:pPr>
              <w:spacing w:after="0" w:line="240" w:lineRule="auto"/>
              <w:jc w:val="right"/>
              <w:rPr>
                <w:rFonts w:ascii="Book Antiqua" w:eastAsia="Times New Roman" w:hAnsi="Book Antiqua" w:cs="Calibri"/>
                <w:color w:val="FFFFFF"/>
                <w:lang w:eastAsia="es-CR"/>
              </w:rPr>
            </w:pPr>
            <w:r w:rsidRPr="00ED5768">
              <w:rPr>
                <w:rFonts w:ascii="Book Antiqua" w:eastAsia="Times New Roman" w:hAnsi="Book Antiqua" w:cs="Calibri"/>
                <w:color w:val="FFFFFF"/>
                <w:lang w:eastAsia="es-CR"/>
              </w:rPr>
              <w:t>Promedio</w:t>
            </w:r>
          </w:p>
        </w:tc>
        <w:tc>
          <w:tcPr>
            <w:tcW w:w="1480" w:type="dxa"/>
            <w:tcBorders>
              <w:top w:val="nil"/>
              <w:left w:val="nil"/>
              <w:bottom w:val="nil"/>
              <w:right w:val="nil"/>
            </w:tcBorders>
            <w:shd w:val="clear" w:color="000000" w:fill="808080"/>
            <w:noWrap/>
            <w:vAlign w:val="center"/>
            <w:hideMark/>
          </w:tcPr>
          <w:p w14:paraId="739598F8" w14:textId="77777777" w:rsidR="00ED5768" w:rsidRPr="00ED5768" w:rsidRDefault="00ED5768" w:rsidP="00ED5768">
            <w:pPr>
              <w:spacing w:after="0" w:line="240" w:lineRule="auto"/>
              <w:jc w:val="center"/>
              <w:rPr>
                <w:rFonts w:ascii="Book Antiqua" w:eastAsia="Times New Roman" w:hAnsi="Book Antiqua" w:cs="Calibri"/>
                <w:color w:val="FFFFFF"/>
                <w:lang w:eastAsia="es-CR"/>
              </w:rPr>
            </w:pPr>
            <w:r w:rsidRPr="00ED5768">
              <w:rPr>
                <w:rFonts w:ascii="Book Antiqua" w:eastAsia="Times New Roman" w:hAnsi="Book Antiqua" w:cs="Calibri"/>
                <w:color w:val="FFFFFF"/>
                <w:lang w:eastAsia="es-CR"/>
              </w:rPr>
              <w:t> </w:t>
            </w:r>
          </w:p>
        </w:tc>
        <w:tc>
          <w:tcPr>
            <w:tcW w:w="1700" w:type="dxa"/>
            <w:tcBorders>
              <w:top w:val="nil"/>
              <w:left w:val="nil"/>
              <w:bottom w:val="nil"/>
              <w:right w:val="nil"/>
            </w:tcBorders>
            <w:shd w:val="clear" w:color="000000" w:fill="808080"/>
            <w:noWrap/>
            <w:vAlign w:val="center"/>
            <w:hideMark/>
          </w:tcPr>
          <w:p w14:paraId="4D1A473F" w14:textId="77777777" w:rsidR="00ED5768" w:rsidRPr="00ED5768" w:rsidRDefault="00ED5768" w:rsidP="00ED5768">
            <w:pPr>
              <w:spacing w:after="0" w:line="240" w:lineRule="auto"/>
              <w:jc w:val="center"/>
              <w:rPr>
                <w:rFonts w:ascii="Book Antiqua" w:eastAsia="Times New Roman" w:hAnsi="Book Antiqua" w:cs="Calibri"/>
                <w:color w:val="FFFFFF"/>
                <w:lang w:eastAsia="es-CR"/>
              </w:rPr>
            </w:pPr>
            <w:r w:rsidRPr="00ED5768">
              <w:rPr>
                <w:rFonts w:ascii="Book Antiqua" w:eastAsia="Times New Roman" w:hAnsi="Book Antiqua" w:cs="Calibri"/>
                <w:color w:val="FFFFFF"/>
                <w:lang w:eastAsia="es-CR"/>
              </w:rPr>
              <w:t>12,0</w:t>
            </w:r>
          </w:p>
        </w:tc>
      </w:tr>
    </w:tbl>
    <w:p w14:paraId="4C505FC6" w14:textId="77777777" w:rsidR="00756438" w:rsidRDefault="00756438" w:rsidP="001212F0">
      <w:pPr>
        <w:spacing w:after="0" w:line="240" w:lineRule="auto"/>
        <w:jc w:val="both"/>
        <w:rPr>
          <w:rFonts w:ascii="Book Antiqua" w:eastAsia="Calibri" w:hAnsi="Book Antiqua" w:cs="Arial"/>
          <w:i/>
          <w:iCs/>
          <w:lang w:val="es-ES" w:eastAsia="es-ES"/>
        </w:rPr>
      </w:pPr>
      <w:r>
        <w:rPr>
          <w:rFonts w:ascii="Book Antiqua" w:eastAsia="Calibri" w:hAnsi="Book Antiqua" w:cs="Arial"/>
          <w:lang w:val="es-ES" w:eastAsia="es-ES"/>
        </w:rPr>
        <w:t xml:space="preserve">                   </w:t>
      </w:r>
      <w:r w:rsidRPr="00756438">
        <w:rPr>
          <w:rFonts w:ascii="Book Antiqua" w:eastAsia="Calibri" w:hAnsi="Book Antiqua" w:cs="Arial"/>
          <w:i/>
          <w:iCs/>
          <w:lang w:val="es-ES" w:eastAsia="es-ES"/>
        </w:rPr>
        <w:t xml:space="preserve">Fuente: Modernización Institucional de la Dirección de Planificación con </w:t>
      </w:r>
    </w:p>
    <w:p w14:paraId="79D34CA4" w14:textId="048CF0C8" w:rsidR="00ED5768" w:rsidRPr="00756438" w:rsidRDefault="00756438" w:rsidP="001212F0">
      <w:pPr>
        <w:spacing w:after="0" w:line="240" w:lineRule="auto"/>
        <w:jc w:val="both"/>
        <w:rPr>
          <w:rFonts w:ascii="Book Antiqua" w:eastAsia="Calibri" w:hAnsi="Book Antiqua" w:cs="Arial"/>
          <w:i/>
          <w:iCs/>
          <w:lang w:val="es-ES" w:eastAsia="es-ES"/>
        </w:rPr>
      </w:pPr>
      <w:r>
        <w:rPr>
          <w:rFonts w:ascii="Book Antiqua" w:eastAsia="Calibri" w:hAnsi="Book Antiqua" w:cs="Arial"/>
          <w:i/>
          <w:iCs/>
          <w:lang w:val="es-ES" w:eastAsia="es-ES"/>
        </w:rPr>
        <w:t xml:space="preserve">                   </w:t>
      </w:r>
      <w:r w:rsidRPr="00756438">
        <w:rPr>
          <w:rFonts w:ascii="Book Antiqua" w:eastAsia="Calibri" w:hAnsi="Book Antiqua" w:cs="Arial"/>
          <w:i/>
          <w:iCs/>
          <w:lang w:val="es-ES" w:eastAsia="es-ES"/>
        </w:rPr>
        <w:t>base en datos Estadísticos del Subproceso de Estadística</w:t>
      </w:r>
      <w:r>
        <w:rPr>
          <w:rFonts w:ascii="Book Antiqua" w:eastAsia="Calibri" w:hAnsi="Book Antiqua" w:cs="Arial"/>
          <w:i/>
          <w:iCs/>
          <w:lang w:val="es-ES" w:eastAsia="es-ES"/>
        </w:rPr>
        <w:t>.</w:t>
      </w:r>
    </w:p>
    <w:p w14:paraId="645B4C33" w14:textId="1D87277B" w:rsidR="00ED5768" w:rsidRDefault="00ED5768" w:rsidP="001212F0">
      <w:pPr>
        <w:spacing w:after="0" w:line="240" w:lineRule="auto"/>
        <w:jc w:val="both"/>
        <w:rPr>
          <w:rFonts w:ascii="Book Antiqua" w:eastAsia="Calibri" w:hAnsi="Book Antiqua" w:cs="Arial"/>
          <w:lang w:val="es-ES" w:eastAsia="es-ES"/>
        </w:rPr>
      </w:pPr>
    </w:p>
    <w:p w14:paraId="79AEF84A" w14:textId="7AA69FEF" w:rsidR="00182B25" w:rsidRPr="00182B25" w:rsidRDefault="00182B25" w:rsidP="00182B25">
      <w:pPr>
        <w:spacing w:after="0" w:line="276" w:lineRule="auto"/>
        <w:jc w:val="both"/>
        <w:rPr>
          <w:rFonts w:ascii="Book Antiqua" w:eastAsia="Calibri" w:hAnsi="Book Antiqua" w:cs="Arial"/>
          <w:sz w:val="24"/>
          <w:szCs w:val="24"/>
        </w:rPr>
      </w:pPr>
      <w:r w:rsidRPr="00182B25">
        <w:rPr>
          <w:rFonts w:ascii="Book Antiqua" w:eastAsia="Calibri" w:hAnsi="Book Antiqua" w:cs="Arial"/>
          <w:sz w:val="24"/>
          <w:szCs w:val="24"/>
        </w:rPr>
        <w:t xml:space="preserve">Se hace necesario ajustar los esfuerzos para reducir los tiempos de proceso, en miras de mejorar la respuesta a las personas usuarias y en línea con las recomendaciones emanadas por la Contraloría General de la República. Para ello </w:t>
      </w:r>
      <w:r w:rsidR="004F4D50">
        <w:rPr>
          <w:rFonts w:ascii="Book Antiqua" w:eastAsia="Calibri" w:hAnsi="Book Antiqua" w:cs="Arial"/>
          <w:sz w:val="24"/>
          <w:szCs w:val="24"/>
        </w:rPr>
        <w:t xml:space="preserve">de parte del Consejo Superior, se emitió la circular 96-2021 donde las oficinas tanto en materia de Familia como Pensiones Alimentarias, tienen la obligación de cada 3 meses generar este reporte, revisar los expedientes </w:t>
      </w:r>
      <w:r w:rsidR="004F4D50" w:rsidRPr="00461604">
        <w:rPr>
          <w:rFonts w:ascii="Book Antiqua" w:eastAsia="Calibri" w:hAnsi="Book Antiqua" w:cs="Arial"/>
          <w:sz w:val="24"/>
          <w:szCs w:val="24"/>
        </w:rPr>
        <w:t xml:space="preserve">activos que presentan mayor duración en trámite </w:t>
      </w:r>
      <w:r w:rsidR="004F4D50" w:rsidRPr="00461604">
        <w:rPr>
          <w:rFonts w:ascii="Book Antiqua" w:eastAsia="Calibri" w:hAnsi="Book Antiqua" w:cs="Arial"/>
          <w:sz w:val="24"/>
          <w:szCs w:val="24"/>
        </w:rPr>
        <w:lastRenderedPageBreak/>
        <w:t>(fase demanda-demostrativa-conclusiva) según plazo legal y criterio experto sin ser resueltos para que procedan a estar promoviendo una pronta resolución del proceso</w:t>
      </w:r>
      <w:r w:rsidR="004F4D50">
        <w:rPr>
          <w:rFonts w:ascii="Book Antiqua" w:eastAsia="Calibri" w:hAnsi="Book Antiqua" w:cs="Arial"/>
          <w:sz w:val="24"/>
          <w:szCs w:val="24"/>
        </w:rPr>
        <w:t xml:space="preserve"> e incluso certificar al Subproceso de Estadística que esta revisión se realizó.</w:t>
      </w:r>
      <w:r w:rsidRPr="00182B25">
        <w:rPr>
          <w:rFonts w:ascii="Book Antiqua" w:eastAsia="Calibri" w:hAnsi="Book Antiqua" w:cs="Arial"/>
          <w:sz w:val="24"/>
          <w:szCs w:val="24"/>
        </w:rPr>
        <w:t xml:space="preserve">. </w:t>
      </w:r>
    </w:p>
    <w:p w14:paraId="426E54E6" w14:textId="3A4B4BA8" w:rsidR="00C36C20" w:rsidRDefault="00C36C20" w:rsidP="009C01E1">
      <w:pPr>
        <w:spacing w:line="276" w:lineRule="auto"/>
        <w:jc w:val="both"/>
        <w:rPr>
          <w:rFonts w:ascii="Book Antiqua" w:hAnsi="Book Antiqua"/>
          <w:sz w:val="24"/>
          <w:szCs w:val="24"/>
        </w:rPr>
      </w:pPr>
    </w:p>
    <w:p w14:paraId="12F11027" w14:textId="77777777" w:rsidR="00635117" w:rsidRPr="008D6799" w:rsidRDefault="00635117"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 xml:space="preserve">Circulante por fase </w:t>
      </w:r>
    </w:p>
    <w:p w14:paraId="08E056E5" w14:textId="77777777" w:rsidR="00635117" w:rsidRPr="008D6799" w:rsidRDefault="00635117" w:rsidP="00BE047A">
      <w:pPr>
        <w:spacing w:after="0" w:line="276" w:lineRule="auto"/>
        <w:jc w:val="both"/>
        <w:rPr>
          <w:rFonts w:ascii="Book Antiqua" w:eastAsia="Calibri" w:hAnsi="Book Antiqua" w:cs="Arial"/>
          <w:b/>
          <w:bCs/>
          <w:sz w:val="24"/>
          <w:szCs w:val="24"/>
        </w:rPr>
      </w:pPr>
    </w:p>
    <w:p w14:paraId="4BA172C2" w14:textId="39EAE592" w:rsidR="00BE047A" w:rsidRPr="00BE047A" w:rsidRDefault="00BE047A" w:rsidP="00BE047A">
      <w:pPr>
        <w:spacing w:after="0" w:line="276" w:lineRule="auto"/>
        <w:jc w:val="both"/>
        <w:rPr>
          <w:rFonts w:ascii="Book Antiqua" w:eastAsia="Calibri" w:hAnsi="Book Antiqua" w:cs="Arial"/>
          <w:sz w:val="24"/>
          <w:szCs w:val="24"/>
        </w:rPr>
      </w:pPr>
      <w:r w:rsidRPr="00BE047A">
        <w:rPr>
          <w:rFonts w:ascii="Book Antiqua" w:eastAsia="Calibri" w:hAnsi="Book Antiqua" w:cs="Arial"/>
          <w:sz w:val="24"/>
          <w:szCs w:val="24"/>
        </w:rPr>
        <w:t xml:space="preserve">A continuación, en el siguiente </w:t>
      </w:r>
      <w:r w:rsidR="00756438">
        <w:rPr>
          <w:rFonts w:ascii="Book Antiqua" w:eastAsia="Calibri" w:hAnsi="Book Antiqua" w:cs="Arial"/>
          <w:sz w:val="24"/>
          <w:szCs w:val="24"/>
        </w:rPr>
        <w:t>cuadro</w:t>
      </w:r>
      <w:r w:rsidRPr="00BE047A">
        <w:rPr>
          <w:rFonts w:ascii="Book Antiqua" w:eastAsia="Calibri" w:hAnsi="Book Antiqua" w:cs="Arial"/>
          <w:sz w:val="24"/>
          <w:szCs w:val="24"/>
        </w:rPr>
        <w:t xml:space="preserve"> se detalla el circulante por fase en asuntos principales de los Juzgado Especializados de Familia, durante el periodo del 201</w:t>
      </w:r>
      <w:r>
        <w:rPr>
          <w:rFonts w:ascii="Book Antiqua" w:eastAsia="Calibri" w:hAnsi="Book Antiqua" w:cs="Arial"/>
          <w:sz w:val="24"/>
          <w:szCs w:val="24"/>
        </w:rPr>
        <w:t>7</w:t>
      </w:r>
      <w:r w:rsidRPr="00BE047A">
        <w:rPr>
          <w:rFonts w:ascii="Book Antiqua" w:eastAsia="Calibri" w:hAnsi="Book Antiqua" w:cs="Arial"/>
          <w:sz w:val="24"/>
          <w:szCs w:val="24"/>
        </w:rPr>
        <w:t xml:space="preserve"> al 20</w:t>
      </w:r>
      <w:r>
        <w:rPr>
          <w:rFonts w:ascii="Book Antiqua" w:eastAsia="Calibri" w:hAnsi="Book Antiqua" w:cs="Arial"/>
          <w:sz w:val="24"/>
          <w:szCs w:val="24"/>
        </w:rPr>
        <w:t>2</w:t>
      </w:r>
      <w:r w:rsidRPr="00BE047A">
        <w:rPr>
          <w:rFonts w:ascii="Book Antiqua" w:eastAsia="Calibri" w:hAnsi="Book Antiqua" w:cs="Arial"/>
          <w:sz w:val="24"/>
          <w:szCs w:val="24"/>
        </w:rPr>
        <w:t>1.</w:t>
      </w:r>
    </w:p>
    <w:p w14:paraId="0BBC5DF6" w14:textId="77777777" w:rsidR="00BE047A" w:rsidRPr="00BE047A" w:rsidRDefault="00BE047A" w:rsidP="00BE047A">
      <w:pPr>
        <w:spacing w:after="0" w:line="276" w:lineRule="auto"/>
        <w:jc w:val="both"/>
        <w:rPr>
          <w:rFonts w:ascii="Book Antiqua" w:eastAsia="Calibri" w:hAnsi="Book Antiqua" w:cs="Arial"/>
          <w:sz w:val="24"/>
          <w:szCs w:val="24"/>
        </w:rPr>
      </w:pPr>
    </w:p>
    <w:p w14:paraId="546D65E8" w14:textId="15A08B65" w:rsidR="00BE047A" w:rsidRPr="00BE047A" w:rsidRDefault="00BE047A" w:rsidP="00BE047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E047A">
        <w:rPr>
          <w:rFonts w:ascii="Book Antiqua" w:eastAsia="Calibri" w:hAnsi="Book Antiqua" w:cs="Arial"/>
          <w:b/>
          <w:bCs/>
          <w:color w:val="1F497D"/>
          <w:szCs w:val="24"/>
          <w:lang w:val="es-ES" w:eastAsia="es-ES"/>
        </w:rPr>
        <w:t xml:space="preserve">Cuadro </w:t>
      </w:r>
      <w:r w:rsidRPr="00BE047A">
        <w:rPr>
          <w:rFonts w:ascii="Book Antiqua" w:eastAsia="Calibri" w:hAnsi="Book Antiqua" w:cs="Arial"/>
          <w:b/>
          <w:bCs/>
          <w:color w:val="1F497D"/>
          <w:szCs w:val="24"/>
          <w:lang w:val="es-ES" w:eastAsia="es-ES"/>
        </w:rPr>
        <w:fldChar w:fldCharType="begin"/>
      </w:r>
      <w:r w:rsidRPr="00BE047A">
        <w:rPr>
          <w:rFonts w:ascii="Book Antiqua" w:eastAsia="Calibri" w:hAnsi="Book Antiqua" w:cs="Arial"/>
          <w:b/>
          <w:bCs/>
          <w:color w:val="1F497D"/>
          <w:szCs w:val="24"/>
          <w:lang w:val="es-ES" w:eastAsia="es-ES"/>
        </w:rPr>
        <w:instrText xml:space="preserve"> SEQ Cuadro \* ARABIC </w:instrText>
      </w:r>
      <w:r w:rsidRPr="00BE047A">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8</w:t>
      </w:r>
      <w:r w:rsidRPr="00BE047A">
        <w:rPr>
          <w:rFonts w:ascii="Book Antiqua" w:eastAsia="Calibri" w:hAnsi="Book Antiqua" w:cs="Arial"/>
          <w:b/>
          <w:bCs/>
          <w:color w:val="1F497D"/>
          <w:szCs w:val="24"/>
          <w:lang w:val="es-ES" w:eastAsia="es-ES"/>
        </w:rPr>
        <w:fldChar w:fldCharType="end"/>
      </w:r>
    </w:p>
    <w:p w14:paraId="03EB5053" w14:textId="77777777" w:rsidR="00BE047A" w:rsidRPr="00BE047A" w:rsidRDefault="00BE047A" w:rsidP="00BE047A">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BE047A">
        <w:rPr>
          <w:rFonts w:ascii="Book Antiqua" w:eastAsia="Times New Roman" w:hAnsi="Book Antiqua" w:cs="Arial"/>
          <w:b/>
          <w:bCs/>
          <w:color w:val="1F497D"/>
          <w:sz w:val="24"/>
          <w:szCs w:val="24"/>
          <w:lang w:eastAsia="es-ES"/>
        </w:rPr>
        <w:t>Movimiento histórico del circulante por fase en los</w:t>
      </w:r>
    </w:p>
    <w:p w14:paraId="757527DD" w14:textId="162EA636" w:rsidR="00BE047A" w:rsidRPr="00BE047A" w:rsidRDefault="00BE047A" w:rsidP="00BE047A">
      <w:pPr>
        <w:keepNext/>
        <w:numPr>
          <w:ilvl w:val="12"/>
          <w:numId w:val="0"/>
        </w:numPr>
        <w:spacing w:after="0" w:line="276" w:lineRule="auto"/>
        <w:jc w:val="center"/>
        <w:rPr>
          <w:rFonts w:ascii="Book Antiqua" w:eastAsia="Times New Roman" w:hAnsi="Book Antiqua" w:cs="Arial"/>
          <w:b/>
          <w:bCs/>
          <w:color w:val="1F497D"/>
          <w:sz w:val="24"/>
          <w:szCs w:val="24"/>
          <w:lang w:eastAsia="es-ES"/>
        </w:rPr>
      </w:pPr>
      <w:r w:rsidRPr="00BE047A">
        <w:rPr>
          <w:rFonts w:ascii="Book Antiqua" w:eastAsia="Times New Roman" w:hAnsi="Book Antiqua" w:cs="Arial"/>
          <w:b/>
          <w:bCs/>
          <w:color w:val="1F497D"/>
          <w:sz w:val="24"/>
          <w:szCs w:val="24"/>
          <w:lang w:eastAsia="es-ES"/>
        </w:rPr>
        <w:t xml:space="preserve"> Juzgados Especializados de la materia de Familia, del 201</w:t>
      </w:r>
      <w:r>
        <w:rPr>
          <w:rFonts w:ascii="Book Antiqua" w:eastAsia="Times New Roman" w:hAnsi="Book Antiqua" w:cs="Arial"/>
          <w:b/>
          <w:bCs/>
          <w:color w:val="1F497D"/>
          <w:sz w:val="24"/>
          <w:szCs w:val="24"/>
          <w:lang w:eastAsia="es-ES"/>
        </w:rPr>
        <w:t>7</w:t>
      </w:r>
      <w:r w:rsidRPr="00BE047A">
        <w:rPr>
          <w:rFonts w:ascii="Book Antiqua" w:eastAsia="Times New Roman" w:hAnsi="Book Antiqua" w:cs="Arial"/>
          <w:b/>
          <w:bCs/>
          <w:color w:val="1F497D"/>
          <w:sz w:val="24"/>
          <w:szCs w:val="24"/>
          <w:lang w:eastAsia="es-ES"/>
        </w:rPr>
        <w:t xml:space="preserve"> al 20</w:t>
      </w:r>
      <w:r>
        <w:rPr>
          <w:rFonts w:ascii="Book Antiqua" w:eastAsia="Times New Roman" w:hAnsi="Book Antiqua" w:cs="Arial"/>
          <w:b/>
          <w:bCs/>
          <w:color w:val="1F497D"/>
          <w:sz w:val="24"/>
          <w:szCs w:val="24"/>
          <w:lang w:eastAsia="es-ES"/>
        </w:rPr>
        <w:t>2</w:t>
      </w:r>
      <w:r w:rsidRPr="00BE047A">
        <w:rPr>
          <w:rFonts w:ascii="Book Antiqua" w:eastAsia="Times New Roman" w:hAnsi="Book Antiqua" w:cs="Arial"/>
          <w:b/>
          <w:bCs/>
          <w:color w:val="1F497D"/>
          <w:sz w:val="24"/>
          <w:szCs w:val="24"/>
          <w:lang w:eastAsia="es-ES"/>
        </w:rPr>
        <w:t>1</w:t>
      </w:r>
    </w:p>
    <w:tbl>
      <w:tblPr>
        <w:tblW w:w="5000" w:type="pct"/>
        <w:tblCellMar>
          <w:left w:w="70" w:type="dxa"/>
          <w:right w:w="70" w:type="dxa"/>
        </w:tblCellMar>
        <w:tblLook w:val="04A0" w:firstRow="1" w:lastRow="0" w:firstColumn="1" w:lastColumn="0" w:noHBand="0" w:noVBand="1"/>
      </w:tblPr>
      <w:tblGrid>
        <w:gridCol w:w="1519"/>
        <w:gridCol w:w="1154"/>
        <w:gridCol w:w="1153"/>
        <w:gridCol w:w="1153"/>
        <w:gridCol w:w="1153"/>
        <w:gridCol w:w="1153"/>
        <w:gridCol w:w="1533"/>
      </w:tblGrid>
      <w:tr w:rsidR="006E1713" w:rsidRPr="006E1713" w14:paraId="30C187C6" w14:textId="77777777" w:rsidTr="006E1713">
        <w:trPr>
          <w:trHeight w:val="590"/>
        </w:trPr>
        <w:tc>
          <w:tcPr>
            <w:tcW w:w="861"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6B7BC868"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Fase</w:t>
            </w:r>
          </w:p>
        </w:tc>
        <w:tc>
          <w:tcPr>
            <w:tcW w:w="654" w:type="pct"/>
            <w:tcBorders>
              <w:top w:val="single" w:sz="8" w:space="0" w:color="auto"/>
              <w:left w:val="nil"/>
              <w:bottom w:val="single" w:sz="8" w:space="0" w:color="auto"/>
              <w:right w:val="single" w:sz="8" w:space="0" w:color="auto"/>
            </w:tcBorders>
            <w:shd w:val="clear" w:color="000000" w:fill="002060"/>
            <w:vAlign w:val="center"/>
            <w:hideMark/>
          </w:tcPr>
          <w:p w14:paraId="06C435BF"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2017</w:t>
            </w:r>
          </w:p>
        </w:tc>
        <w:tc>
          <w:tcPr>
            <w:tcW w:w="654" w:type="pct"/>
            <w:tcBorders>
              <w:top w:val="single" w:sz="8" w:space="0" w:color="auto"/>
              <w:left w:val="nil"/>
              <w:bottom w:val="single" w:sz="8" w:space="0" w:color="auto"/>
              <w:right w:val="single" w:sz="8" w:space="0" w:color="auto"/>
            </w:tcBorders>
            <w:shd w:val="clear" w:color="000000" w:fill="002060"/>
            <w:vAlign w:val="center"/>
            <w:hideMark/>
          </w:tcPr>
          <w:p w14:paraId="304E8C85"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2018</w:t>
            </w:r>
          </w:p>
        </w:tc>
        <w:tc>
          <w:tcPr>
            <w:tcW w:w="654" w:type="pct"/>
            <w:tcBorders>
              <w:top w:val="single" w:sz="8" w:space="0" w:color="auto"/>
              <w:left w:val="nil"/>
              <w:bottom w:val="single" w:sz="8" w:space="0" w:color="auto"/>
              <w:right w:val="single" w:sz="8" w:space="0" w:color="auto"/>
            </w:tcBorders>
            <w:shd w:val="clear" w:color="000000" w:fill="002060"/>
            <w:vAlign w:val="center"/>
            <w:hideMark/>
          </w:tcPr>
          <w:p w14:paraId="5071A3A1"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2019</w:t>
            </w:r>
          </w:p>
        </w:tc>
        <w:tc>
          <w:tcPr>
            <w:tcW w:w="654" w:type="pct"/>
            <w:tcBorders>
              <w:top w:val="single" w:sz="8" w:space="0" w:color="auto"/>
              <w:left w:val="nil"/>
              <w:bottom w:val="single" w:sz="8" w:space="0" w:color="auto"/>
              <w:right w:val="single" w:sz="8" w:space="0" w:color="auto"/>
            </w:tcBorders>
            <w:shd w:val="clear" w:color="000000" w:fill="002060"/>
            <w:vAlign w:val="center"/>
            <w:hideMark/>
          </w:tcPr>
          <w:p w14:paraId="329F451C"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2020</w:t>
            </w:r>
          </w:p>
        </w:tc>
        <w:tc>
          <w:tcPr>
            <w:tcW w:w="654" w:type="pct"/>
            <w:tcBorders>
              <w:top w:val="single" w:sz="8" w:space="0" w:color="auto"/>
              <w:left w:val="nil"/>
              <w:bottom w:val="single" w:sz="8" w:space="0" w:color="auto"/>
              <w:right w:val="single" w:sz="8" w:space="0" w:color="auto"/>
            </w:tcBorders>
            <w:shd w:val="clear" w:color="000000" w:fill="002060"/>
            <w:vAlign w:val="center"/>
            <w:hideMark/>
          </w:tcPr>
          <w:p w14:paraId="232B130C"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2021</w:t>
            </w:r>
          </w:p>
        </w:tc>
        <w:tc>
          <w:tcPr>
            <w:tcW w:w="869" w:type="pct"/>
            <w:tcBorders>
              <w:top w:val="single" w:sz="8" w:space="0" w:color="auto"/>
              <w:left w:val="nil"/>
              <w:bottom w:val="single" w:sz="8" w:space="0" w:color="auto"/>
              <w:right w:val="single" w:sz="8" w:space="0" w:color="auto"/>
            </w:tcBorders>
            <w:shd w:val="clear" w:color="000000" w:fill="002060"/>
            <w:vAlign w:val="center"/>
            <w:hideMark/>
          </w:tcPr>
          <w:p w14:paraId="46867EF6"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Porcentaje en 2021</w:t>
            </w:r>
          </w:p>
        </w:tc>
      </w:tr>
      <w:tr w:rsidR="006E1713" w:rsidRPr="006E1713" w14:paraId="36F6CC40"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FFFFFF"/>
            <w:noWrap/>
            <w:vAlign w:val="center"/>
            <w:hideMark/>
          </w:tcPr>
          <w:p w14:paraId="0B8279B2" w14:textId="77777777" w:rsidR="006E1713" w:rsidRPr="006E1713" w:rsidRDefault="006E1713" w:rsidP="006E1713">
            <w:pPr>
              <w:spacing w:after="0" w:line="240" w:lineRule="auto"/>
              <w:jc w:val="both"/>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Demanda</w:t>
            </w:r>
          </w:p>
        </w:tc>
        <w:tc>
          <w:tcPr>
            <w:tcW w:w="654" w:type="pct"/>
            <w:tcBorders>
              <w:top w:val="nil"/>
              <w:left w:val="nil"/>
              <w:bottom w:val="single" w:sz="8" w:space="0" w:color="auto"/>
              <w:right w:val="single" w:sz="8" w:space="0" w:color="auto"/>
            </w:tcBorders>
            <w:shd w:val="clear" w:color="000000" w:fill="FFFFFF"/>
            <w:noWrap/>
            <w:vAlign w:val="center"/>
            <w:hideMark/>
          </w:tcPr>
          <w:p w14:paraId="27834F13"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11 159</w:t>
            </w:r>
          </w:p>
        </w:tc>
        <w:tc>
          <w:tcPr>
            <w:tcW w:w="654" w:type="pct"/>
            <w:tcBorders>
              <w:top w:val="nil"/>
              <w:left w:val="nil"/>
              <w:bottom w:val="single" w:sz="8" w:space="0" w:color="auto"/>
              <w:right w:val="single" w:sz="8" w:space="0" w:color="auto"/>
            </w:tcBorders>
            <w:shd w:val="clear" w:color="000000" w:fill="FFFFFF"/>
            <w:noWrap/>
            <w:vAlign w:val="center"/>
            <w:hideMark/>
          </w:tcPr>
          <w:p w14:paraId="737D4239"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11 575</w:t>
            </w:r>
          </w:p>
        </w:tc>
        <w:tc>
          <w:tcPr>
            <w:tcW w:w="654" w:type="pct"/>
            <w:tcBorders>
              <w:top w:val="nil"/>
              <w:left w:val="nil"/>
              <w:bottom w:val="single" w:sz="8" w:space="0" w:color="auto"/>
              <w:right w:val="single" w:sz="8" w:space="0" w:color="auto"/>
            </w:tcBorders>
            <w:shd w:val="clear" w:color="000000" w:fill="FFFFFF"/>
            <w:noWrap/>
            <w:vAlign w:val="center"/>
            <w:hideMark/>
          </w:tcPr>
          <w:p w14:paraId="276278FF"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12 560</w:t>
            </w:r>
          </w:p>
        </w:tc>
        <w:tc>
          <w:tcPr>
            <w:tcW w:w="654" w:type="pct"/>
            <w:tcBorders>
              <w:top w:val="nil"/>
              <w:left w:val="nil"/>
              <w:bottom w:val="single" w:sz="8" w:space="0" w:color="auto"/>
              <w:right w:val="single" w:sz="8" w:space="0" w:color="auto"/>
            </w:tcBorders>
            <w:shd w:val="clear" w:color="000000" w:fill="FFFFFF"/>
            <w:noWrap/>
            <w:vAlign w:val="center"/>
            <w:hideMark/>
          </w:tcPr>
          <w:p w14:paraId="07C8A4E2"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9 782</w:t>
            </w:r>
          </w:p>
        </w:tc>
        <w:tc>
          <w:tcPr>
            <w:tcW w:w="654" w:type="pct"/>
            <w:tcBorders>
              <w:top w:val="nil"/>
              <w:left w:val="nil"/>
              <w:bottom w:val="single" w:sz="8" w:space="0" w:color="auto"/>
              <w:right w:val="single" w:sz="8" w:space="0" w:color="auto"/>
            </w:tcBorders>
            <w:shd w:val="clear" w:color="000000" w:fill="FFFFFF"/>
            <w:noWrap/>
            <w:vAlign w:val="center"/>
            <w:hideMark/>
          </w:tcPr>
          <w:p w14:paraId="376A2833"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9 991</w:t>
            </w:r>
          </w:p>
        </w:tc>
        <w:tc>
          <w:tcPr>
            <w:tcW w:w="869" w:type="pct"/>
            <w:tcBorders>
              <w:top w:val="nil"/>
              <w:left w:val="nil"/>
              <w:bottom w:val="single" w:sz="8" w:space="0" w:color="auto"/>
              <w:right w:val="single" w:sz="8" w:space="0" w:color="auto"/>
            </w:tcBorders>
            <w:shd w:val="clear" w:color="000000" w:fill="F2F2F2"/>
            <w:noWrap/>
            <w:vAlign w:val="center"/>
            <w:hideMark/>
          </w:tcPr>
          <w:p w14:paraId="7E950BE8" w14:textId="77777777" w:rsidR="006E1713" w:rsidRPr="006E1713" w:rsidRDefault="006E1713" w:rsidP="006E1713">
            <w:pPr>
              <w:spacing w:after="0" w:line="240" w:lineRule="auto"/>
              <w:jc w:val="center"/>
              <w:rPr>
                <w:rFonts w:ascii="Book Antiqua" w:eastAsia="Times New Roman" w:hAnsi="Book Antiqua" w:cs="Calibri"/>
                <w:b/>
                <w:bCs/>
                <w:color w:val="000000"/>
                <w:lang w:eastAsia="es-CR"/>
              </w:rPr>
            </w:pPr>
            <w:r w:rsidRPr="006E1713">
              <w:rPr>
                <w:rFonts w:ascii="Book Antiqua" w:eastAsia="Times New Roman" w:hAnsi="Book Antiqua" w:cs="Calibri"/>
                <w:b/>
                <w:bCs/>
                <w:color w:val="000000"/>
                <w:lang w:eastAsia="es-CR"/>
              </w:rPr>
              <w:t>67%</w:t>
            </w:r>
          </w:p>
        </w:tc>
      </w:tr>
      <w:tr w:rsidR="006E1713" w:rsidRPr="006E1713" w14:paraId="50BD5BC1"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FFFFFF"/>
            <w:noWrap/>
            <w:vAlign w:val="center"/>
            <w:hideMark/>
          </w:tcPr>
          <w:p w14:paraId="35068E97" w14:textId="77777777" w:rsidR="006E1713" w:rsidRPr="006E1713" w:rsidRDefault="006E1713" w:rsidP="006E1713">
            <w:pPr>
              <w:spacing w:after="0" w:line="240" w:lineRule="auto"/>
              <w:jc w:val="both"/>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Demostrativa</w:t>
            </w:r>
          </w:p>
        </w:tc>
        <w:tc>
          <w:tcPr>
            <w:tcW w:w="654" w:type="pct"/>
            <w:tcBorders>
              <w:top w:val="nil"/>
              <w:left w:val="nil"/>
              <w:bottom w:val="single" w:sz="8" w:space="0" w:color="auto"/>
              <w:right w:val="single" w:sz="8" w:space="0" w:color="auto"/>
            </w:tcBorders>
            <w:shd w:val="clear" w:color="000000" w:fill="FFFFFF"/>
            <w:noWrap/>
            <w:vAlign w:val="center"/>
            <w:hideMark/>
          </w:tcPr>
          <w:p w14:paraId="5798FA71"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1 585</w:t>
            </w:r>
          </w:p>
        </w:tc>
        <w:tc>
          <w:tcPr>
            <w:tcW w:w="654" w:type="pct"/>
            <w:tcBorders>
              <w:top w:val="nil"/>
              <w:left w:val="nil"/>
              <w:bottom w:val="single" w:sz="8" w:space="0" w:color="auto"/>
              <w:right w:val="single" w:sz="8" w:space="0" w:color="auto"/>
            </w:tcBorders>
            <w:shd w:val="clear" w:color="000000" w:fill="FFFFFF"/>
            <w:noWrap/>
            <w:vAlign w:val="center"/>
            <w:hideMark/>
          </w:tcPr>
          <w:p w14:paraId="22CC94BF"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1 662</w:t>
            </w:r>
          </w:p>
        </w:tc>
        <w:tc>
          <w:tcPr>
            <w:tcW w:w="654" w:type="pct"/>
            <w:tcBorders>
              <w:top w:val="nil"/>
              <w:left w:val="nil"/>
              <w:bottom w:val="single" w:sz="8" w:space="0" w:color="auto"/>
              <w:right w:val="single" w:sz="8" w:space="0" w:color="auto"/>
            </w:tcBorders>
            <w:shd w:val="clear" w:color="000000" w:fill="FFFFFF"/>
            <w:noWrap/>
            <w:vAlign w:val="center"/>
            <w:hideMark/>
          </w:tcPr>
          <w:p w14:paraId="1D73391B"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2 023</w:t>
            </w:r>
          </w:p>
        </w:tc>
        <w:tc>
          <w:tcPr>
            <w:tcW w:w="654" w:type="pct"/>
            <w:tcBorders>
              <w:top w:val="nil"/>
              <w:left w:val="nil"/>
              <w:bottom w:val="single" w:sz="8" w:space="0" w:color="auto"/>
              <w:right w:val="single" w:sz="8" w:space="0" w:color="auto"/>
            </w:tcBorders>
            <w:shd w:val="clear" w:color="000000" w:fill="FFFFFF"/>
            <w:noWrap/>
            <w:vAlign w:val="center"/>
            <w:hideMark/>
          </w:tcPr>
          <w:p w14:paraId="686292DA"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4 427</w:t>
            </w:r>
          </w:p>
        </w:tc>
        <w:tc>
          <w:tcPr>
            <w:tcW w:w="654" w:type="pct"/>
            <w:tcBorders>
              <w:top w:val="nil"/>
              <w:left w:val="nil"/>
              <w:bottom w:val="single" w:sz="8" w:space="0" w:color="auto"/>
              <w:right w:val="single" w:sz="8" w:space="0" w:color="auto"/>
            </w:tcBorders>
            <w:shd w:val="clear" w:color="000000" w:fill="FFFFFF"/>
            <w:noWrap/>
            <w:vAlign w:val="center"/>
            <w:hideMark/>
          </w:tcPr>
          <w:p w14:paraId="28A8B16E"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3 503</w:t>
            </w:r>
          </w:p>
        </w:tc>
        <w:tc>
          <w:tcPr>
            <w:tcW w:w="869" w:type="pct"/>
            <w:tcBorders>
              <w:top w:val="nil"/>
              <w:left w:val="nil"/>
              <w:bottom w:val="single" w:sz="8" w:space="0" w:color="auto"/>
              <w:right w:val="single" w:sz="8" w:space="0" w:color="auto"/>
            </w:tcBorders>
            <w:shd w:val="clear" w:color="000000" w:fill="F2F2F2"/>
            <w:noWrap/>
            <w:vAlign w:val="center"/>
            <w:hideMark/>
          </w:tcPr>
          <w:p w14:paraId="6AAB8294" w14:textId="77777777" w:rsidR="006E1713" w:rsidRPr="006E1713" w:rsidRDefault="006E1713" w:rsidP="006E1713">
            <w:pPr>
              <w:spacing w:after="0" w:line="240" w:lineRule="auto"/>
              <w:jc w:val="center"/>
              <w:rPr>
                <w:rFonts w:ascii="Book Antiqua" w:eastAsia="Times New Roman" w:hAnsi="Book Antiqua" w:cs="Calibri"/>
                <w:b/>
                <w:bCs/>
                <w:color w:val="000000"/>
                <w:lang w:eastAsia="es-CR"/>
              </w:rPr>
            </w:pPr>
            <w:r w:rsidRPr="006E1713">
              <w:rPr>
                <w:rFonts w:ascii="Book Antiqua" w:eastAsia="Times New Roman" w:hAnsi="Book Antiqua" w:cs="Calibri"/>
                <w:b/>
                <w:bCs/>
                <w:color w:val="000000"/>
                <w:lang w:eastAsia="es-CR"/>
              </w:rPr>
              <w:t>23%</w:t>
            </w:r>
          </w:p>
        </w:tc>
      </w:tr>
      <w:tr w:rsidR="006E1713" w:rsidRPr="006E1713" w14:paraId="2EF41659"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FFFFFF"/>
            <w:noWrap/>
            <w:vAlign w:val="center"/>
            <w:hideMark/>
          </w:tcPr>
          <w:p w14:paraId="0B75DBD9" w14:textId="77777777" w:rsidR="006E1713" w:rsidRPr="006E1713" w:rsidRDefault="006E1713" w:rsidP="006E1713">
            <w:pPr>
              <w:spacing w:after="0" w:line="240" w:lineRule="auto"/>
              <w:jc w:val="both"/>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Conclusiva</w:t>
            </w:r>
          </w:p>
        </w:tc>
        <w:tc>
          <w:tcPr>
            <w:tcW w:w="654" w:type="pct"/>
            <w:tcBorders>
              <w:top w:val="nil"/>
              <w:left w:val="nil"/>
              <w:bottom w:val="single" w:sz="8" w:space="0" w:color="auto"/>
              <w:right w:val="single" w:sz="8" w:space="0" w:color="auto"/>
            </w:tcBorders>
            <w:shd w:val="clear" w:color="000000" w:fill="FFFFFF"/>
            <w:noWrap/>
            <w:vAlign w:val="center"/>
            <w:hideMark/>
          </w:tcPr>
          <w:p w14:paraId="437FDA6A"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752</w:t>
            </w:r>
          </w:p>
        </w:tc>
        <w:tc>
          <w:tcPr>
            <w:tcW w:w="654" w:type="pct"/>
            <w:tcBorders>
              <w:top w:val="nil"/>
              <w:left w:val="nil"/>
              <w:bottom w:val="single" w:sz="8" w:space="0" w:color="auto"/>
              <w:right w:val="single" w:sz="8" w:space="0" w:color="auto"/>
            </w:tcBorders>
            <w:shd w:val="clear" w:color="000000" w:fill="FFFFFF"/>
            <w:noWrap/>
            <w:vAlign w:val="center"/>
            <w:hideMark/>
          </w:tcPr>
          <w:p w14:paraId="1AEAF265"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980</w:t>
            </w:r>
          </w:p>
        </w:tc>
        <w:tc>
          <w:tcPr>
            <w:tcW w:w="654" w:type="pct"/>
            <w:tcBorders>
              <w:top w:val="nil"/>
              <w:left w:val="nil"/>
              <w:bottom w:val="single" w:sz="8" w:space="0" w:color="auto"/>
              <w:right w:val="single" w:sz="8" w:space="0" w:color="auto"/>
            </w:tcBorders>
            <w:shd w:val="clear" w:color="000000" w:fill="FFFFFF"/>
            <w:noWrap/>
            <w:vAlign w:val="center"/>
            <w:hideMark/>
          </w:tcPr>
          <w:p w14:paraId="4261D705"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876</w:t>
            </w:r>
          </w:p>
        </w:tc>
        <w:tc>
          <w:tcPr>
            <w:tcW w:w="654" w:type="pct"/>
            <w:tcBorders>
              <w:top w:val="nil"/>
              <w:left w:val="nil"/>
              <w:bottom w:val="single" w:sz="8" w:space="0" w:color="auto"/>
              <w:right w:val="single" w:sz="8" w:space="0" w:color="auto"/>
            </w:tcBorders>
            <w:shd w:val="clear" w:color="000000" w:fill="FFFFFF"/>
            <w:noWrap/>
            <w:vAlign w:val="center"/>
            <w:hideMark/>
          </w:tcPr>
          <w:p w14:paraId="3E82BBD9"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1152</w:t>
            </w:r>
          </w:p>
        </w:tc>
        <w:tc>
          <w:tcPr>
            <w:tcW w:w="654" w:type="pct"/>
            <w:tcBorders>
              <w:top w:val="nil"/>
              <w:left w:val="nil"/>
              <w:bottom w:val="single" w:sz="8" w:space="0" w:color="auto"/>
              <w:right w:val="single" w:sz="8" w:space="0" w:color="auto"/>
            </w:tcBorders>
            <w:shd w:val="clear" w:color="000000" w:fill="FFFFFF"/>
            <w:noWrap/>
            <w:vAlign w:val="center"/>
            <w:hideMark/>
          </w:tcPr>
          <w:p w14:paraId="386D564A"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1263</w:t>
            </w:r>
          </w:p>
        </w:tc>
        <w:tc>
          <w:tcPr>
            <w:tcW w:w="869" w:type="pct"/>
            <w:tcBorders>
              <w:top w:val="nil"/>
              <w:left w:val="nil"/>
              <w:bottom w:val="single" w:sz="8" w:space="0" w:color="auto"/>
              <w:right w:val="single" w:sz="8" w:space="0" w:color="auto"/>
            </w:tcBorders>
            <w:shd w:val="clear" w:color="000000" w:fill="F2F2F2"/>
            <w:noWrap/>
            <w:vAlign w:val="center"/>
            <w:hideMark/>
          </w:tcPr>
          <w:p w14:paraId="55942248" w14:textId="77777777" w:rsidR="006E1713" w:rsidRPr="006E1713" w:rsidRDefault="006E1713" w:rsidP="006E1713">
            <w:pPr>
              <w:spacing w:after="0" w:line="240" w:lineRule="auto"/>
              <w:jc w:val="center"/>
              <w:rPr>
                <w:rFonts w:ascii="Book Antiqua" w:eastAsia="Times New Roman" w:hAnsi="Book Antiqua" w:cs="Calibri"/>
                <w:b/>
                <w:bCs/>
                <w:color w:val="000000"/>
                <w:lang w:eastAsia="es-CR"/>
              </w:rPr>
            </w:pPr>
            <w:r w:rsidRPr="006E1713">
              <w:rPr>
                <w:rFonts w:ascii="Book Antiqua" w:eastAsia="Times New Roman" w:hAnsi="Book Antiqua" w:cs="Calibri"/>
                <w:b/>
                <w:bCs/>
                <w:color w:val="000000"/>
                <w:lang w:eastAsia="es-CR"/>
              </w:rPr>
              <w:t>8%</w:t>
            </w:r>
          </w:p>
        </w:tc>
      </w:tr>
      <w:tr w:rsidR="006E1713" w:rsidRPr="006E1713" w14:paraId="70636629"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FFFFFF"/>
            <w:noWrap/>
            <w:vAlign w:val="center"/>
            <w:hideMark/>
          </w:tcPr>
          <w:p w14:paraId="650A2747" w14:textId="77777777" w:rsidR="006E1713" w:rsidRPr="006E1713" w:rsidRDefault="006E1713" w:rsidP="006E1713">
            <w:pPr>
              <w:spacing w:after="0" w:line="240" w:lineRule="auto"/>
              <w:jc w:val="both"/>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Ejecución</w:t>
            </w:r>
          </w:p>
        </w:tc>
        <w:tc>
          <w:tcPr>
            <w:tcW w:w="654" w:type="pct"/>
            <w:tcBorders>
              <w:top w:val="nil"/>
              <w:left w:val="nil"/>
              <w:bottom w:val="single" w:sz="8" w:space="0" w:color="auto"/>
              <w:right w:val="single" w:sz="8" w:space="0" w:color="auto"/>
            </w:tcBorders>
            <w:shd w:val="clear" w:color="000000" w:fill="FFFFFF"/>
            <w:noWrap/>
            <w:vAlign w:val="center"/>
            <w:hideMark/>
          </w:tcPr>
          <w:p w14:paraId="5191AB8E"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202</w:t>
            </w:r>
          </w:p>
        </w:tc>
        <w:tc>
          <w:tcPr>
            <w:tcW w:w="654" w:type="pct"/>
            <w:tcBorders>
              <w:top w:val="nil"/>
              <w:left w:val="nil"/>
              <w:bottom w:val="single" w:sz="8" w:space="0" w:color="auto"/>
              <w:right w:val="single" w:sz="8" w:space="0" w:color="auto"/>
            </w:tcBorders>
            <w:shd w:val="clear" w:color="000000" w:fill="FFFFFF"/>
            <w:noWrap/>
            <w:vAlign w:val="center"/>
            <w:hideMark/>
          </w:tcPr>
          <w:p w14:paraId="5C6F3B7A"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226</w:t>
            </w:r>
          </w:p>
        </w:tc>
        <w:tc>
          <w:tcPr>
            <w:tcW w:w="654" w:type="pct"/>
            <w:tcBorders>
              <w:top w:val="nil"/>
              <w:left w:val="nil"/>
              <w:bottom w:val="single" w:sz="8" w:space="0" w:color="auto"/>
              <w:right w:val="single" w:sz="8" w:space="0" w:color="auto"/>
            </w:tcBorders>
            <w:shd w:val="clear" w:color="000000" w:fill="FFFFFF"/>
            <w:noWrap/>
            <w:vAlign w:val="center"/>
            <w:hideMark/>
          </w:tcPr>
          <w:p w14:paraId="3249AFCE"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186</w:t>
            </w:r>
          </w:p>
        </w:tc>
        <w:tc>
          <w:tcPr>
            <w:tcW w:w="654" w:type="pct"/>
            <w:tcBorders>
              <w:top w:val="nil"/>
              <w:left w:val="nil"/>
              <w:bottom w:val="single" w:sz="8" w:space="0" w:color="auto"/>
              <w:right w:val="single" w:sz="8" w:space="0" w:color="auto"/>
            </w:tcBorders>
            <w:shd w:val="clear" w:color="000000" w:fill="FFFFFF"/>
            <w:noWrap/>
            <w:vAlign w:val="center"/>
            <w:hideMark/>
          </w:tcPr>
          <w:p w14:paraId="4FEA4EAC"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225</w:t>
            </w:r>
          </w:p>
        </w:tc>
        <w:tc>
          <w:tcPr>
            <w:tcW w:w="654" w:type="pct"/>
            <w:tcBorders>
              <w:top w:val="nil"/>
              <w:left w:val="nil"/>
              <w:bottom w:val="single" w:sz="8" w:space="0" w:color="auto"/>
              <w:right w:val="single" w:sz="8" w:space="0" w:color="auto"/>
            </w:tcBorders>
            <w:shd w:val="clear" w:color="000000" w:fill="FFFFFF"/>
            <w:noWrap/>
            <w:vAlign w:val="center"/>
            <w:hideMark/>
          </w:tcPr>
          <w:p w14:paraId="6AD8F858"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198</w:t>
            </w:r>
          </w:p>
        </w:tc>
        <w:tc>
          <w:tcPr>
            <w:tcW w:w="869" w:type="pct"/>
            <w:tcBorders>
              <w:top w:val="nil"/>
              <w:left w:val="nil"/>
              <w:bottom w:val="single" w:sz="8" w:space="0" w:color="auto"/>
              <w:right w:val="single" w:sz="8" w:space="0" w:color="auto"/>
            </w:tcBorders>
            <w:shd w:val="clear" w:color="000000" w:fill="F2F2F2"/>
            <w:noWrap/>
            <w:vAlign w:val="center"/>
            <w:hideMark/>
          </w:tcPr>
          <w:p w14:paraId="20BC3C56" w14:textId="77777777" w:rsidR="006E1713" w:rsidRPr="006E1713" w:rsidRDefault="006E1713" w:rsidP="006E1713">
            <w:pPr>
              <w:spacing w:after="0" w:line="240" w:lineRule="auto"/>
              <w:jc w:val="center"/>
              <w:rPr>
                <w:rFonts w:ascii="Book Antiqua" w:eastAsia="Times New Roman" w:hAnsi="Book Antiqua" w:cs="Calibri"/>
                <w:b/>
                <w:bCs/>
                <w:color w:val="000000"/>
                <w:lang w:eastAsia="es-CR"/>
              </w:rPr>
            </w:pPr>
            <w:r w:rsidRPr="006E1713">
              <w:rPr>
                <w:rFonts w:ascii="Book Antiqua" w:eastAsia="Times New Roman" w:hAnsi="Book Antiqua" w:cs="Calibri"/>
                <w:b/>
                <w:bCs/>
                <w:color w:val="000000"/>
                <w:lang w:eastAsia="es-CR"/>
              </w:rPr>
              <w:t>1%</w:t>
            </w:r>
          </w:p>
        </w:tc>
      </w:tr>
      <w:tr w:rsidR="006E1713" w:rsidRPr="006E1713" w14:paraId="75F2DD36"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FFFFFF"/>
            <w:noWrap/>
            <w:vAlign w:val="center"/>
            <w:hideMark/>
          </w:tcPr>
          <w:p w14:paraId="30533891" w14:textId="77777777" w:rsidR="006E1713" w:rsidRPr="006E1713" w:rsidRDefault="006E1713" w:rsidP="006E1713">
            <w:pPr>
              <w:spacing w:after="0" w:line="240" w:lineRule="auto"/>
              <w:jc w:val="both"/>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Sin Fase</w:t>
            </w:r>
          </w:p>
        </w:tc>
        <w:tc>
          <w:tcPr>
            <w:tcW w:w="654" w:type="pct"/>
            <w:tcBorders>
              <w:top w:val="nil"/>
              <w:left w:val="nil"/>
              <w:bottom w:val="single" w:sz="8" w:space="0" w:color="auto"/>
              <w:right w:val="single" w:sz="8" w:space="0" w:color="auto"/>
            </w:tcBorders>
            <w:shd w:val="clear" w:color="000000" w:fill="FFFFFF"/>
            <w:noWrap/>
            <w:vAlign w:val="center"/>
            <w:hideMark/>
          </w:tcPr>
          <w:p w14:paraId="03ADEE51"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w:t>
            </w:r>
          </w:p>
        </w:tc>
        <w:tc>
          <w:tcPr>
            <w:tcW w:w="654" w:type="pct"/>
            <w:tcBorders>
              <w:top w:val="nil"/>
              <w:left w:val="nil"/>
              <w:bottom w:val="single" w:sz="8" w:space="0" w:color="auto"/>
              <w:right w:val="single" w:sz="8" w:space="0" w:color="auto"/>
            </w:tcBorders>
            <w:shd w:val="clear" w:color="000000" w:fill="FFFFFF"/>
            <w:noWrap/>
            <w:vAlign w:val="center"/>
            <w:hideMark/>
          </w:tcPr>
          <w:p w14:paraId="429C5285"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w:t>
            </w:r>
          </w:p>
        </w:tc>
        <w:tc>
          <w:tcPr>
            <w:tcW w:w="654" w:type="pct"/>
            <w:tcBorders>
              <w:top w:val="nil"/>
              <w:left w:val="nil"/>
              <w:bottom w:val="single" w:sz="8" w:space="0" w:color="auto"/>
              <w:right w:val="single" w:sz="8" w:space="0" w:color="auto"/>
            </w:tcBorders>
            <w:shd w:val="clear" w:color="000000" w:fill="FFFFFF"/>
            <w:noWrap/>
            <w:vAlign w:val="center"/>
            <w:hideMark/>
          </w:tcPr>
          <w:p w14:paraId="0216A1E5"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2</w:t>
            </w:r>
          </w:p>
        </w:tc>
        <w:tc>
          <w:tcPr>
            <w:tcW w:w="654" w:type="pct"/>
            <w:tcBorders>
              <w:top w:val="nil"/>
              <w:left w:val="nil"/>
              <w:bottom w:val="single" w:sz="8" w:space="0" w:color="auto"/>
              <w:right w:val="single" w:sz="8" w:space="0" w:color="auto"/>
            </w:tcBorders>
            <w:shd w:val="clear" w:color="000000" w:fill="FFFFFF"/>
            <w:noWrap/>
            <w:vAlign w:val="center"/>
            <w:hideMark/>
          </w:tcPr>
          <w:p w14:paraId="394D7F0C"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47</w:t>
            </w:r>
          </w:p>
        </w:tc>
        <w:tc>
          <w:tcPr>
            <w:tcW w:w="654" w:type="pct"/>
            <w:tcBorders>
              <w:top w:val="nil"/>
              <w:left w:val="nil"/>
              <w:bottom w:val="single" w:sz="8" w:space="0" w:color="auto"/>
              <w:right w:val="single" w:sz="8" w:space="0" w:color="auto"/>
            </w:tcBorders>
            <w:shd w:val="clear" w:color="000000" w:fill="FFFFFF"/>
            <w:noWrap/>
            <w:vAlign w:val="center"/>
            <w:hideMark/>
          </w:tcPr>
          <w:p w14:paraId="6D0FB352" w14:textId="77777777" w:rsidR="006E1713" w:rsidRPr="006E1713" w:rsidRDefault="006E1713" w:rsidP="006E1713">
            <w:pPr>
              <w:spacing w:after="0" w:line="240" w:lineRule="auto"/>
              <w:jc w:val="center"/>
              <w:rPr>
                <w:rFonts w:ascii="Book Antiqua" w:eastAsia="Times New Roman" w:hAnsi="Book Antiqua" w:cs="Calibri"/>
                <w:color w:val="000000"/>
                <w:lang w:eastAsia="es-CR"/>
              </w:rPr>
            </w:pPr>
            <w:r w:rsidRPr="006E1713">
              <w:rPr>
                <w:rFonts w:ascii="Book Antiqua" w:eastAsia="Times New Roman" w:hAnsi="Book Antiqua" w:cs="Calibri"/>
                <w:color w:val="000000"/>
                <w:lang w:eastAsia="es-CR"/>
              </w:rPr>
              <w:t>45</w:t>
            </w:r>
          </w:p>
        </w:tc>
        <w:tc>
          <w:tcPr>
            <w:tcW w:w="869" w:type="pct"/>
            <w:tcBorders>
              <w:top w:val="nil"/>
              <w:left w:val="nil"/>
              <w:bottom w:val="single" w:sz="8" w:space="0" w:color="auto"/>
              <w:right w:val="single" w:sz="8" w:space="0" w:color="auto"/>
            </w:tcBorders>
            <w:shd w:val="clear" w:color="000000" w:fill="F2F2F2"/>
            <w:noWrap/>
            <w:vAlign w:val="center"/>
            <w:hideMark/>
          </w:tcPr>
          <w:p w14:paraId="0E5F37F8" w14:textId="77777777" w:rsidR="006E1713" w:rsidRPr="006E1713" w:rsidRDefault="006E1713" w:rsidP="006E1713">
            <w:pPr>
              <w:spacing w:after="0" w:line="240" w:lineRule="auto"/>
              <w:jc w:val="center"/>
              <w:rPr>
                <w:rFonts w:ascii="Book Antiqua" w:eastAsia="Times New Roman" w:hAnsi="Book Antiqua" w:cs="Calibri"/>
                <w:b/>
                <w:bCs/>
                <w:color w:val="000000"/>
                <w:lang w:eastAsia="es-CR"/>
              </w:rPr>
            </w:pPr>
            <w:r w:rsidRPr="006E1713">
              <w:rPr>
                <w:rFonts w:ascii="Book Antiqua" w:eastAsia="Times New Roman" w:hAnsi="Book Antiqua" w:cs="Calibri"/>
                <w:b/>
                <w:bCs/>
                <w:color w:val="000000"/>
                <w:lang w:eastAsia="es-CR"/>
              </w:rPr>
              <w:t>0%</w:t>
            </w:r>
          </w:p>
        </w:tc>
      </w:tr>
      <w:tr w:rsidR="006E1713" w:rsidRPr="006E1713" w14:paraId="1653839A" w14:textId="77777777" w:rsidTr="006E1713">
        <w:trPr>
          <w:trHeight w:val="300"/>
        </w:trPr>
        <w:tc>
          <w:tcPr>
            <w:tcW w:w="861" w:type="pct"/>
            <w:tcBorders>
              <w:top w:val="nil"/>
              <w:left w:val="single" w:sz="8" w:space="0" w:color="auto"/>
              <w:bottom w:val="single" w:sz="8" w:space="0" w:color="auto"/>
              <w:right w:val="single" w:sz="8" w:space="0" w:color="auto"/>
            </w:tcBorders>
            <w:shd w:val="clear" w:color="000000" w:fill="808080"/>
            <w:noWrap/>
            <w:vAlign w:val="center"/>
            <w:hideMark/>
          </w:tcPr>
          <w:p w14:paraId="011D62B2" w14:textId="77777777" w:rsidR="006E1713" w:rsidRPr="006E1713" w:rsidRDefault="006E1713" w:rsidP="006E1713">
            <w:pPr>
              <w:spacing w:after="0" w:line="240" w:lineRule="auto"/>
              <w:jc w:val="right"/>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 xml:space="preserve">Total </w:t>
            </w:r>
          </w:p>
        </w:tc>
        <w:tc>
          <w:tcPr>
            <w:tcW w:w="654" w:type="pct"/>
            <w:tcBorders>
              <w:top w:val="nil"/>
              <w:left w:val="nil"/>
              <w:bottom w:val="single" w:sz="8" w:space="0" w:color="auto"/>
              <w:right w:val="single" w:sz="8" w:space="0" w:color="auto"/>
            </w:tcBorders>
            <w:shd w:val="clear" w:color="000000" w:fill="808080"/>
            <w:noWrap/>
            <w:vAlign w:val="center"/>
            <w:hideMark/>
          </w:tcPr>
          <w:p w14:paraId="5F6006BA"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13 698</w:t>
            </w:r>
          </w:p>
        </w:tc>
        <w:tc>
          <w:tcPr>
            <w:tcW w:w="654" w:type="pct"/>
            <w:tcBorders>
              <w:top w:val="nil"/>
              <w:left w:val="nil"/>
              <w:bottom w:val="single" w:sz="8" w:space="0" w:color="auto"/>
              <w:right w:val="single" w:sz="8" w:space="0" w:color="auto"/>
            </w:tcBorders>
            <w:shd w:val="clear" w:color="000000" w:fill="808080"/>
            <w:noWrap/>
            <w:vAlign w:val="center"/>
            <w:hideMark/>
          </w:tcPr>
          <w:p w14:paraId="01EEF307"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14 443</w:t>
            </w:r>
          </w:p>
        </w:tc>
        <w:tc>
          <w:tcPr>
            <w:tcW w:w="654" w:type="pct"/>
            <w:tcBorders>
              <w:top w:val="nil"/>
              <w:left w:val="nil"/>
              <w:bottom w:val="single" w:sz="8" w:space="0" w:color="auto"/>
              <w:right w:val="single" w:sz="8" w:space="0" w:color="auto"/>
            </w:tcBorders>
            <w:shd w:val="clear" w:color="000000" w:fill="808080"/>
            <w:noWrap/>
            <w:vAlign w:val="center"/>
            <w:hideMark/>
          </w:tcPr>
          <w:p w14:paraId="46EE103C"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15 647</w:t>
            </w:r>
          </w:p>
        </w:tc>
        <w:tc>
          <w:tcPr>
            <w:tcW w:w="654" w:type="pct"/>
            <w:tcBorders>
              <w:top w:val="nil"/>
              <w:left w:val="nil"/>
              <w:bottom w:val="single" w:sz="8" w:space="0" w:color="auto"/>
              <w:right w:val="single" w:sz="8" w:space="0" w:color="auto"/>
            </w:tcBorders>
            <w:shd w:val="clear" w:color="000000" w:fill="808080"/>
            <w:noWrap/>
            <w:vAlign w:val="center"/>
            <w:hideMark/>
          </w:tcPr>
          <w:p w14:paraId="35F1AC96"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15 633</w:t>
            </w:r>
          </w:p>
        </w:tc>
        <w:tc>
          <w:tcPr>
            <w:tcW w:w="654" w:type="pct"/>
            <w:tcBorders>
              <w:top w:val="nil"/>
              <w:left w:val="nil"/>
              <w:bottom w:val="single" w:sz="8" w:space="0" w:color="auto"/>
              <w:right w:val="single" w:sz="8" w:space="0" w:color="auto"/>
            </w:tcBorders>
            <w:shd w:val="clear" w:color="000000" w:fill="808080"/>
            <w:noWrap/>
            <w:vAlign w:val="center"/>
            <w:hideMark/>
          </w:tcPr>
          <w:p w14:paraId="1376B85B"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15 000</w:t>
            </w:r>
          </w:p>
        </w:tc>
        <w:tc>
          <w:tcPr>
            <w:tcW w:w="869" w:type="pct"/>
            <w:tcBorders>
              <w:top w:val="nil"/>
              <w:left w:val="nil"/>
              <w:bottom w:val="single" w:sz="8" w:space="0" w:color="auto"/>
              <w:right w:val="single" w:sz="8" w:space="0" w:color="auto"/>
            </w:tcBorders>
            <w:shd w:val="clear" w:color="000000" w:fill="808080"/>
            <w:noWrap/>
            <w:vAlign w:val="center"/>
            <w:hideMark/>
          </w:tcPr>
          <w:p w14:paraId="4C8B47EF" w14:textId="77777777" w:rsidR="006E1713" w:rsidRPr="006E1713" w:rsidRDefault="006E1713" w:rsidP="006E1713">
            <w:pPr>
              <w:spacing w:after="0" w:line="240" w:lineRule="auto"/>
              <w:jc w:val="center"/>
              <w:rPr>
                <w:rFonts w:ascii="Book Antiqua" w:eastAsia="Times New Roman" w:hAnsi="Book Antiqua" w:cs="Calibri"/>
                <w:b/>
                <w:bCs/>
                <w:color w:val="FFFFFF"/>
                <w:lang w:eastAsia="es-CR"/>
              </w:rPr>
            </w:pPr>
            <w:r w:rsidRPr="006E1713">
              <w:rPr>
                <w:rFonts w:ascii="Book Antiqua" w:eastAsia="Times New Roman" w:hAnsi="Book Antiqua" w:cs="Calibri"/>
                <w:b/>
                <w:bCs/>
                <w:color w:val="FFFFFF"/>
                <w:lang w:eastAsia="es-CR"/>
              </w:rPr>
              <w:t>100%</w:t>
            </w:r>
          </w:p>
        </w:tc>
      </w:tr>
    </w:tbl>
    <w:p w14:paraId="15682ABD" w14:textId="6A1FD730" w:rsidR="006E1713" w:rsidRPr="007D0A7F" w:rsidRDefault="006E1713" w:rsidP="006E1713">
      <w:pPr>
        <w:pStyle w:val="Fuentes"/>
      </w:pPr>
      <w:r w:rsidRPr="00620BF4">
        <w:t xml:space="preserve">Fuente: Subproceso de Modernización </w:t>
      </w:r>
      <w:r w:rsidRPr="007D0A7F">
        <w:t>Institucional, con datos del Subproceso de Estadística del 201</w:t>
      </w:r>
      <w:r>
        <w:t>7</w:t>
      </w:r>
      <w:r w:rsidRPr="007D0A7F">
        <w:t xml:space="preserve"> al 20</w:t>
      </w:r>
      <w:r>
        <w:t>2</w:t>
      </w:r>
      <w:r w:rsidRPr="007D0A7F">
        <w:t>1</w:t>
      </w:r>
      <w:r>
        <w:t>.</w:t>
      </w:r>
    </w:p>
    <w:p w14:paraId="76352ED3" w14:textId="1AA5CF7C" w:rsidR="005622A6" w:rsidRPr="005622A6" w:rsidRDefault="006E1713" w:rsidP="005622A6">
      <w:pPr>
        <w:spacing w:after="0" w:line="276" w:lineRule="auto"/>
        <w:jc w:val="both"/>
        <w:rPr>
          <w:rFonts w:ascii="Book Antiqua" w:eastAsia="Calibri" w:hAnsi="Book Antiqua" w:cs="Arial"/>
          <w:sz w:val="24"/>
          <w:szCs w:val="24"/>
        </w:rPr>
      </w:pPr>
      <w:r>
        <w:rPr>
          <w:rFonts w:ascii="Book Antiqua" w:hAnsi="Book Antiqua"/>
          <w:sz w:val="24"/>
          <w:szCs w:val="24"/>
        </w:rPr>
        <w:t>C</w:t>
      </w:r>
      <w:r w:rsidR="005622A6" w:rsidRPr="005622A6">
        <w:rPr>
          <w:rFonts w:ascii="Book Antiqua" w:eastAsia="Calibri" w:hAnsi="Book Antiqua" w:cs="Arial"/>
          <w:sz w:val="24"/>
          <w:szCs w:val="24"/>
        </w:rPr>
        <w:t xml:space="preserve">omo se observa en el cuadro anterior, durante </w:t>
      </w:r>
      <w:r w:rsidR="007D3766">
        <w:rPr>
          <w:rFonts w:ascii="Book Antiqua" w:eastAsia="Calibri" w:hAnsi="Book Antiqua" w:cs="Arial"/>
          <w:sz w:val="24"/>
          <w:szCs w:val="24"/>
        </w:rPr>
        <w:t>el periodo 2017 al 2019</w:t>
      </w:r>
      <w:r w:rsidR="002F0BF2">
        <w:rPr>
          <w:rFonts w:ascii="Book Antiqua" w:eastAsia="Calibri" w:hAnsi="Book Antiqua" w:cs="Arial"/>
          <w:sz w:val="24"/>
          <w:szCs w:val="24"/>
        </w:rPr>
        <w:t xml:space="preserve"> se tiene un crecimiento, pero disminuye en </w:t>
      </w:r>
      <w:r w:rsidR="005622A6" w:rsidRPr="005622A6">
        <w:rPr>
          <w:rFonts w:ascii="Book Antiqua" w:eastAsia="Calibri" w:hAnsi="Book Antiqua" w:cs="Arial"/>
          <w:sz w:val="24"/>
          <w:szCs w:val="24"/>
        </w:rPr>
        <w:t xml:space="preserve">los últimos </w:t>
      </w:r>
      <w:r w:rsidR="002A58D2">
        <w:rPr>
          <w:rFonts w:ascii="Book Antiqua" w:eastAsia="Calibri" w:hAnsi="Book Antiqua" w:cs="Arial"/>
          <w:sz w:val="24"/>
          <w:szCs w:val="24"/>
        </w:rPr>
        <w:t>dos años</w:t>
      </w:r>
      <w:r w:rsidR="005622A6" w:rsidRPr="005622A6">
        <w:rPr>
          <w:rFonts w:ascii="Book Antiqua" w:eastAsia="Calibri" w:hAnsi="Book Antiqua" w:cs="Arial"/>
          <w:sz w:val="24"/>
          <w:szCs w:val="24"/>
        </w:rPr>
        <w:t xml:space="preserve">, pasando de </w:t>
      </w:r>
      <w:r w:rsidR="005622A6" w:rsidRPr="006E1713">
        <w:rPr>
          <w:rFonts w:ascii="Book Antiqua" w:eastAsia="Calibri" w:hAnsi="Book Antiqua" w:cs="Arial"/>
          <w:sz w:val="24"/>
          <w:szCs w:val="24"/>
        </w:rPr>
        <w:t>1</w:t>
      </w:r>
      <w:r w:rsidR="00176109" w:rsidRPr="006E1713">
        <w:rPr>
          <w:rFonts w:ascii="Book Antiqua" w:eastAsia="Calibri" w:hAnsi="Book Antiqua" w:cs="Arial"/>
          <w:sz w:val="24"/>
          <w:szCs w:val="24"/>
        </w:rPr>
        <w:t>5</w:t>
      </w:r>
      <w:r w:rsidR="005622A6" w:rsidRPr="006E1713">
        <w:rPr>
          <w:rFonts w:ascii="Book Antiqua" w:eastAsia="Calibri" w:hAnsi="Book Antiqua" w:cs="Arial"/>
          <w:sz w:val="24"/>
          <w:szCs w:val="24"/>
        </w:rPr>
        <w:t xml:space="preserve"> </w:t>
      </w:r>
      <w:r>
        <w:rPr>
          <w:rFonts w:ascii="Book Antiqua" w:eastAsia="Calibri" w:hAnsi="Book Antiqua" w:cs="Arial"/>
          <w:sz w:val="24"/>
          <w:szCs w:val="24"/>
        </w:rPr>
        <w:t>633</w:t>
      </w:r>
      <w:r w:rsidR="005622A6" w:rsidRPr="005622A6">
        <w:rPr>
          <w:rFonts w:ascii="Book Antiqua" w:eastAsia="Calibri" w:hAnsi="Book Antiqua" w:cs="Arial"/>
          <w:sz w:val="24"/>
          <w:szCs w:val="24"/>
        </w:rPr>
        <w:t xml:space="preserve"> casos activos al finalizar el </w:t>
      </w:r>
      <w:r w:rsidR="005622A6" w:rsidRPr="006E1713">
        <w:rPr>
          <w:rFonts w:ascii="Book Antiqua" w:eastAsia="Calibri" w:hAnsi="Book Antiqua" w:cs="Arial"/>
          <w:sz w:val="24"/>
          <w:szCs w:val="24"/>
        </w:rPr>
        <w:t>20</w:t>
      </w:r>
      <w:r w:rsidR="00AF1999" w:rsidRPr="006E1713">
        <w:rPr>
          <w:rFonts w:ascii="Book Antiqua" w:eastAsia="Calibri" w:hAnsi="Book Antiqua" w:cs="Arial"/>
          <w:sz w:val="24"/>
          <w:szCs w:val="24"/>
        </w:rPr>
        <w:t>20</w:t>
      </w:r>
      <w:r w:rsidR="005622A6" w:rsidRPr="006E1713">
        <w:rPr>
          <w:rFonts w:ascii="Book Antiqua" w:eastAsia="Calibri" w:hAnsi="Book Antiqua" w:cs="Arial"/>
          <w:sz w:val="24"/>
          <w:szCs w:val="24"/>
        </w:rPr>
        <w:t xml:space="preserve"> a 15 </w:t>
      </w:r>
      <w:r w:rsidRPr="006E1713">
        <w:rPr>
          <w:rFonts w:ascii="Book Antiqua" w:eastAsia="Calibri" w:hAnsi="Book Antiqua" w:cs="Arial"/>
          <w:sz w:val="24"/>
          <w:szCs w:val="24"/>
        </w:rPr>
        <w:t>000</w:t>
      </w:r>
      <w:r w:rsidR="005622A6" w:rsidRPr="006E1713">
        <w:rPr>
          <w:rFonts w:ascii="Book Antiqua" w:eastAsia="Calibri" w:hAnsi="Book Antiqua" w:cs="Arial"/>
          <w:sz w:val="24"/>
          <w:szCs w:val="24"/>
        </w:rPr>
        <w:t xml:space="preserve"> en 20</w:t>
      </w:r>
      <w:r w:rsidR="00361456" w:rsidRPr="006E1713">
        <w:rPr>
          <w:rFonts w:ascii="Book Antiqua" w:eastAsia="Calibri" w:hAnsi="Book Antiqua" w:cs="Arial"/>
          <w:sz w:val="24"/>
          <w:szCs w:val="24"/>
        </w:rPr>
        <w:t>2</w:t>
      </w:r>
      <w:r w:rsidR="005622A6" w:rsidRPr="006E1713">
        <w:rPr>
          <w:rFonts w:ascii="Book Antiqua" w:eastAsia="Calibri" w:hAnsi="Book Antiqua" w:cs="Arial"/>
          <w:sz w:val="24"/>
          <w:szCs w:val="24"/>
        </w:rPr>
        <w:t xml:space="preserve">1.  </w:t>
      </w:r>
      <w:r w:rsidR="00801A62" w:rsidRPr="006E1713">
        <w:rPr>
          <w:rFonts w:ascii="Book Antiqua" w:eastAsia="Calibri" w:hAnsi="Book Antiqua" w:cs="Arial"/>
          <w:sz w:val="24"/>
          <w:szCs w:val="24"/>
        </w:rPr>
        <w:t>Como</w:t>
      </w:r>
      <w:r w:rsidR="00801A62">
        <w:rPr>
          <w:rFonts w:ascii="Book Antiqua" w:eastAsia="Calibri" w:hAnsi="Book Antiqua" w:cs="Arial"/>
          <w:sz w:val="24"/>
          <w:szCs w:val="24"/>
        </w:rPr>
        <w:t xml:space="preserve"> se mencionó en párrafos anteriores</w:t>
      </w:r>
      <w:r w:rsidR="00E458DE">
        <w:rPr>
          <w:rFonts w:ascii="Book Antiqua" w:eastAsia="Calibri" w:hAnsi="Book Antiqua" w:cs="Arial"/>
          <w:sz w:val="24"/>
          <w:szCs w:val="24"/>
        </w:rPr>
        <w:t xml:space="preserve"> la pandemia nacional del Covid 19 pudo afectar el comportamiento durante el periodo</w:t>
      </w:r>
      <w:r w:rsidR="005A7E44">
        <w:rPr>
          <w:rFonts w:ascii="Book Antiqua" w:eastAsia="Calibri" w:hAnsi="Book Antiqua" w:cs="Arial"/>
          <w:sz w:val="24"/>
          <w:szCs w:val="24"/>
        </w:rPr>
        <w:t xml:space="preserve"> 2020</w:t>
      </w:r>
      <w:r w:rsidR="005622A6" w:rsidRPr="005622A6">
        <w:rPr>
          <w:rFonts w:ascii="Book Antiqua" w:eastAsia="Calibri" w:hAnsi="Book Antiqua" w:cs="Arial"/>
          <w:sz w:val="24"/>
          <w:szCs w:val="24"/>
        </w:rPr>
        <w:t>.</w:t>
      </w:r>
    </w:p>
    <w:p w14:paraId="71525274" w14:textId="77777777" w:rsidR="005622A6" w:rsidRPr="005622A6" w:rsidRDefault="005622A6" w:rsidP="005622A6">
      <w:pPr>
        <w:spacing w:after="0" w:line="276" w:lineRule="auto"/>
        <w:jc w:val="both"/>
        <w:rPr>
          <w:rFonts w:ascii="Book Antiqua" w:eastAsia="Calibri" w:hAnsi="Book Antiqua" w:cs="Arial"/>
          <w:sz w:val="24"/>
          <w:szCs w:val="24"/>
        </w:rPr>
      </w:pPr>
    </w:p>
    <w:p w14:paraId="690AB285" w14:textId="39146175" w:rsidR="00361456" w:rsidRPr="00361456" w:rsidRDefault="005622A6" w:rsidP="008313F2">
      <w:pPr>
        <w:spacing w:line="276" w:lineRule="auto"/>
        <w:jc w:val="both"/>
        <w:rPr>
          <w:rFonts w:ascii="Book Antiqua" w:eastAsia="Calibri" w:hAnsi="Book Antiqua" w:cs="Arial"/>
          <w:sz w:val="24"/>
          <w:szCs w:val="24"/>
        </w:rPr>
      </w:pPr>
      <w:r w:rsidRPr="005622A6">
        <w:rPr>
          <w:rFonts w:ascii="Book Antiqua" w:eastAsia="Calibri" w:hAnsi="Book Antiqua" w:cs="Arial"/>
          <w:sz w:val="24"/>
          <w:szCs w:val="24"/>
        </w:rPr>
        <w:t>Para 20</w:t>
      </w:r>
      <w:r w:rsidR="005A7E44">
        <w:rPr>
          <w:rFonts w:ascii="Book Antiqua" w:eastAsia="Calibri" w:hAnsi="Book Antiqua" w:cs="Arial"/>
          <w:sz w:val="24"/>
          <w:szCs w:val="24"/>
        </w:rPr>
        <w:t>2</w:t>
      </w:r>
      <w:r w:rsidRPr="005622A6">
        <w:rPr>
          <w:rFonts w:ascii="Book Antiqua" w:eastAsia="Calibri" w:hAnsi="Book Antiqua" w:cs="Arial"/>
          <w:sz w:val="24"/>
          <w:szCs w:val="24"/>
        </w:rPr>
        <w:t xml:space="preserve">1, un </w:t>
      </w:r>
      <w:r w:rsidR="006E1713" w:rsidRPr="006E1713">
        <w:rPr>
          <w:rFonts w:ascii="Book Antiqua" w:eastAsia="Calibri" w:hAnsi="Book Antiqua" w:cs="Arial"/>
          <w:sz w:val="24"/>
          <w:szCs w:val="24"/>
        </w:rPr>
        <w:t>67</w:t>
      </w:r>
      <w:r w:rsidRPr="006E1713">
        <w:rPr>
          <w:rFonts w:ascii="Book Antiqua" w:eastAsia="Calibri" w:hAnsi="Book Antiqua" w:cs="Arial"/>
          <w:sz w:val="24"/>
          <w:szCs w:val="24"/>
        </w:rPr>
        <w:t xml:space="preserve">% de los asuntos en circulante se encuentran en fase de demanda, un </w:t>
      </w:r>
      <w:r w:rsidR="006E1713" w:rsidRPr="006E1713">
        <w:rPr>
          <w:rFonts w:ascii="Book Antiqua" w:eastAsia="Calibri" w:hAnsi="Book Antiqua" w:cs="Arial"/>
          <w:sz w:val="24"/>
          <w:szCs w:val="24"/>
        </w:rPr>
        <w:t>2</w:t>
      </w:r>
      <w:r w:rsidRPr="006E1713">
        <w:rPr>
          <w:rFonts w:ascii="Book Antiqua" w:eastAsia="Calibri" w:hAnsi="Book Antiqua" w:cs="Arial"/>
          <w:sz w:val="24"/>
          <w:szCs w:val="24"/>
        </w:rPr>
        <w:t xml:space="preserve">3% en fase demostrativa, un </w:t>
      </w:r>
      <w:r w:rsidR="006E1713" w:rsidRPr="006E1713">
        <w:rPr>
          <w:rFonts w:ascii="Book Antiqua" w:eastAsia="Calibri" w:hAnsi="Book Antiqua" w:cs="Arial"/>
          <w:sz w:val="24"/>
          <w:szCs w:val="24"/>
        </w:rPr>
        <w:t>8</w:t>
      </w:r>
      <w:r w:rsidRPr="006E1713">
        <w:rPr>
          <w:rFonts w:ascii="Book Antiqua" w:eastAsia="Calibri" w:hAnsi="Book Antiqua" w:cs="Arial"/>
          <w:sz w:val="24"/>
          <w:szCs w:val="24"/>
        </w:rPr>
        <w:t xml:space="preserve">% en conclusiva y un </w:t>
      </w:r>
      <w:r w:rsidR="006E1713" w:rsidRPr="006E1713">
        <w:rPr>
          <w:rFonts w:ascii="Book Antiqua" w:eastAsia="Calibri" w:hAnsi="Book Antiqua" w:cs="Arial"/>
          <w:sz w:val="24"/>
          <w:szCs w:val="24"/>
        </w:rPr>
        <w:t>1</w:t>
      </w:r>
      <w:r w:rsidRPr="006E1713">
        <w:rPr>
          <w:rFonts w:ascii="Book Antiqua" w:eastAsia="Calibri" w:hAnsi="Book Antiqua" w:cs="Arial"/>
          <w:sz w:val="24"/>
          <w:szCs w:val="24"/>
        </w:rPr>
        <w:t>% en ejecución</w:t>
      </w:r>
      <w:r w:rsidR="00B216C3" w:rsidRPr="006E1713">
        <w:rPr>
          <w:rFonts w:ascii="Book Antiqua" w:eastAsia="Calibri" w:hAnsi="Book Antiqua" w:cs="Arial"/>
          <w:sz w:val="24"/>
          <w:szCs w:val="24"/>
        </w:rPr>
        <w:t xml:space="preserve"> y se reportan </w:t>
      </w:r>
      <w:r w:rsidR="007D540B">
        <w:rPr>
          <w:rFonts w:ascii="Book Antiqua" w:eastAsia="Calibri" w:hAnsi="Book Antiqua" w:cs="Arial"/>
          <w:sz w:val="24"/>
          <w:szCs w:val="24"/>
        </w:rPr>
        <w:t>45</w:t>
      </w:r>
      <w:r w:rsidRPr="006E1713">
        <w:rPr>
          <w:rFonts w:ascii="Book Antiqua" w:eastAsia="Calibri" w:hAnsi="Book Antiqua" w:cs="Arial"/>
          <w:sz w:val="24"/>
          <w:szCs w:val="24"/>
        </w:rPr>
        <w:t xml:space="preserve"> expedientes sin actualizar la fase en el sistema, por</w:t>
      </w:r>
      <w:r w:rsidR="00361456" w:rsidRPr="006E1713">
        <w:rPr>
          <w:rFonts w:ascii="Book Antiqua" w:eastAsia="Calibri" w:hAnsi="Book Antiqua" w:cs="Arial"/>
          <w:sz w:val="24"/>
          <w:szCs w:val="24"/>
        </w:rPr>
        <w:t xml:space="preserve"> lo que</w:t>
      </w:r>
      <w:r w:rsidR="00361456" w:rsidRPr="00361456">
        <w:rPr>
          <w:rFonts w:ascii="Book Antiqua" w:eastAsia="Calibri" w:hAnsi="Book Antiqua" w:cs="Arial"/>
          <w:sz w:val="24"/>
          <w:szCs w:val="24"/>
        </w:rPr>
        <w:t xml:space="preserve"> se insta al personal de los despachos, </w:t>
      </w:r>
      <w:r w:rsidR="008313F2">
        <w:rPr>
          <w:rFonts w:ascii="Book Antiqua" w:eastAsia="Calibri" w:hAnsi="Book Antiqua" w:cs="Arial"/>
          <w:sz w:val="24"/>
          <w:szCs w:val="24"/>
        </w:rPr>
        <w:t xml:space="preserve">sobre </w:t>
      </w:r>
      <w:r w:rsidR="00361456" w:rsidRPr="00361456">
        <w:rPr>
          <w:rFonts w:ascii="Book Antiqua" w:eastAsia="Calibri" w:hAnsi="Book Antiqua" w:cs="Arial"/>
          <w:sz w:val="24"/>
          <w:szCs w:val="24"/>
        </w:rPr>
        <w:t>la importancia de mantener actualizada la información de los expedientes, ya que esta es insumo para la toma de decisiones.</w:t>
      </w:r>
    </w:p>
    <w:p w14:paraId="5A6F7693" w14:textId="77777777" w:rsidR="00361456" w:rsidRPr="00361456" w:rsidRDefault="00361456" w:rsidP="00361456">
      <w:pPr>
        <w:spacing w:after="0" w:line="276" w:lineRule="auto"/>
        <w:jc w:val="both"/>
        <w:rPr>
          <w:rFonts w:ascii="Book Antiqua" w:eastAsia="Calibri" w:hAnsi="Book Antiqua" w:cs="Arial"/>
          <w:sz w:val="24"/>
          <w:szCs w:val="24"/>
        </w:rPr>
      </w:pPr>
      <w:r w:rsidRPr="00361456">
        <w:rPr>
          <w:rFonts w:ascii="Book Antiqua" w:eastAsia="Calibri" w:hAnsi="Book Antiqua" w:cs="Arial"/>
          <w:sz w:val="24"/>
          <w:szCs w:val="24"/>
        </w:rPr>
        <w:t xml:space="preserve">Es importante mencionar que la Dirección de Planificación trabajó en la actualización y mejora de la Fórmula Estadística de materia de Familia, incluyendo </w:t>
      </w:r>
      <w:r w:rsidRPr="00361456">
        <w:rPr>
          <w:rFonts w:ascii="Book Antiqua" w:eastAsia="Calibri" w:hAnsi="Book Antiqua" w:cs="Arial"/>
          <w:sz w:val="24"/>
          <w:szCs w:val="24"/>
        </w:rPr>
        <w:lastRenderedPageBreak/>
        <w:t>el manual para su utilización. Los productos fueron enviados a Consejo Superior mediante el oficio 2043-PLA-ES-2019 (instructivo) y 186-PLA-ES-2020 (fórmula), el cual acordó en sesión 107-19 artículo XLVIII, celebrada el 10 de diciembre de 2019:</w:t>
      </w:r>
    </w:p>
    <w:p w14:paraId="4B2FA744" w14:textId="0124D294" w:rsidR="00C36C20" w:rsidRDefault="00C36C20" w:rsidP="005622A6">
      <w:pPr>
        <w:spacing w:line="276" w:lineRule="auto"/>
        <w:jc w:val="both"/>
        <w:rPr>
          <w:rFonts w:ascii="Book Antiqua" w:hAnsi="Book Antiqua"/>
          <w:sz w:val="24"/>
          <w:szCs w:val="24"/>
        </w:rPr>
      </w:pPr>
    </w:p>
    <w:p w14:paraId="0254F01C" w14:textId="6943AB5A" w:rsidR="00DC1C89" w:rsidRDefault="00DC1C89" w:rsidP="00DC1C89">
      <w:pPr>
        <w:spacing w:after="0" w:line="276" w:lineRule="auto"/>
        <w:ind w:left="567" w:right="616"/>
        <w:jc w:val="both"/>
        <w:rPr>
          <w:rFonts w:ascii="Book Antiqua" w:eastAsia="Calibri" w:hAnsi="Book Antiqua" w:cs="Arial"/>
          <w:i/>
          <w:sz w:val="24"/>
          <w:szCs w:val="24"/>
        </w:rPr>
      </w:pPr>
      <w:r w:rsidRPr="00DC1C89">
        <w:rPr>
          <w:rFonts w:ascii="Book Antiqua" w:eastAsia="Calibri" w:hAnsi="Book Antiqua" w:cs="Arial"/>
          <w:i/>
          <w:sz w:val="24"/>
          <w:szCs w:val="24"/>
        </w:rPr>
        <w:t>“Se acordó: 1.) Tener por recibido el informe N°2043-PLA-ES-2019 del 29 de noviembre de 2019 de la Dirección de Planificación, relacionado con la formula e instructivo en materia de Familia en primera instancia. 2.) Hacer de conocimiento de la Comisión de la Jurisdicción de Familia, Niñez y Adolescencia.”.</w:t>
      </w:r>
    </w:p>
    <w:p w14:paraId="64118ABD" w14:textId="77777777" w:rsidR="001C2C50" w:rsidRPr="00DC1C89" w:rsidRDefault="001C2C50" w:rsidP="00DC1C89">
      <w:pPr>
        <w:spacing w:after="0" w:line="276" w:lineRule="auto"/>
        <w:ind w:left="567" w:right="616"/>
        <w:jc w:val="both"/>
        <w:rPr>
          <w:rFonts w:ascii="Book Antiqua" w:eastAsia="Calibri" w:hAnsi="Book Antiqua" w:cs="Arial"/>
          <w:i/>
          <w:sz w:val="24"/>
          <w:szCs w:val="24"/>
        </w:rPr>
      </w:pPr>
    </w:p>
    <w:p w14:paraId="17CD142B" w14:textId="0C817C8F" w:rsidR="000B3FC7" w:rsidRPr="001C2C50" w:rsidRDefault="001C2C50" w:rsidP="000B3FC7">
      <w:pPr>
        <w:spacing w:after="0" w:line="276" w:lineRule="auto"/>
        <w:jc w:val="both"/>
        <w:rPr>
          <w:rFonts w:ascii="Times New Roman" w:eastAsia="Calibri" w:hAnsi="Times New Roman" w:cs="Arial"/>
          <w:i/>
          <w:sz w:val="24"/>
          <w:szCs w:val="24"/>
          <w:lang w:val="es-ES"/>
        </w:rPr>
      </w:pPr>
      <w:r w:rsidRPr="001C2C50">
        <w:rPr>
          <w:rFonts w:ascii="Book Antiqua" w:eastAsia="Calibri" w:hAnsi="Book Antiqua" w:cs="Arial"/>
          <w:iCs/>
          <w:sz w:val="24"/>
          <w:szCs w:val="24"/>
        </w:rPr>
        <w:t>La fórmula estadística en materia de Familia fue modificada</w:t>
      </w:r>
      <w:r w:rsidR="000B3FC7">
        <w:rPr>
          <w:rFonts w:ascii="Book Antiqua" w:eastAsia="Calibri" w:hAnsi="Book Antiqua" w:cs="Arial"/>
          <w:iCs/>
          <w:sz w:val="24"/>
          <w:szCs w:val="24"/>
        </w:rPr>
        <w:t>, por</w:t>
      </w:r>
      <w:r w:rsidRPr="001C2C50">
        <w:rPr>
          <w:rFonts w:ascii="Book Antiqua" w:eastAsia="Calibri" w:hAnsi="Book Antiqua" w:cs="Arial"/>
          <w:iCs/>
          <w:sz w:val="24"/>
          <w:szCs w:val="24"/>
        </w:rPr>
        <w:t xml:space="preserve"> lo que </w:t>
      </w:r>
      <w:r w:rsidR="00B7093C">
        <w:rPr>
          <w:rFonts w:ascii="Book Antiqua" w:eastAsia="Calibri" w:hAnsi="Book Antiqua" w:cs="Arial"/>
          <w:iCs/>
          <w:sz w:val="24"/>
          <w:szCs w:val="24"/>
        </w:rPr>
        <w:t xml:space="preserve">el uso </w:t>
      </w:r>
      <w:r w:rsidR="000B3FC7" w:rsidRPr="001C2C50">
        <w:rPr>
          <w:rFonts w:ascii="Book Antiqua" w:eastAsia="Calibri" w:hAnsi="Book Antiqua" w:cs="Arial"/>
          <w:iCs/>
          <w:sz w:val="24"/>
          <w:szCs w:val="24"/>
        </w:rPr>
        <w:t>de la nueva fórmula en Familia y Pensiones es de carácter obligatorio de conformidad con la</w:t>
      </w:r>
      <w:r w:rsidR="000B3FC7" w:rsidRPr="001C2C50">
        <w:rPr>
          <w:rFonts w:ascii="Book Antiqua" w:eastAsia="Calibri" w:hAnsi="Book Antiqua" w:cs="Arial"/>
          <w:b/>
          <w:bCs/>
          <w:iCs/>
          <w:sz w:val="24"/>
          <w:szCs w:val="24"/>
        </w:rPr>
        <w:t xml:space="preserve"> circular 207-20 </w:t>
      </w:r>
      <w:r w:rsidR="000B3FC7" w:rsidRPr="001C2C50">
        <w:rPr>
          <w:rFonts w:ascii="Book Antiqua" w:eastAsia="Calibri" w:hAnsi="Book Antiqua" w:cs="Arial"/>
          <w:b/>
          <w:bCs/>
          <w:i/>
          <w:sz w:val="24"/>
          <w:szCs w:val="24"/>
        </w:rPr>
        <w:t>“</w:t>
      </w:r>
      <w:r w:rsidR="000B3FC7" w:rsidRPr="001C2C50">
        <w:rPr>
          <w:rFonts w:ascii="Book Antiqua" w:eastAsia="Calibri" w:hAnsi="Book Antiqua" w:cs="Arial"/>
          <w:i/>
          <w:color w:val="000000"/>
          <w:sz w:val="24"/>
          <w:szCs w:val="24"/>
          <w:lang w:eastAsia="es-CR"/>
        </w:rPr>
        <w:t>Obligación de uso de las nuevas fórmulas estadísticas para las materias de Familia y Pensiones Alimentarias</w:t>
      </w:r>
      <w:r w:rsidR="000B3FC7" w:rsidRPr="001C2C50">
        <w:rPr>
          <w:rFonts w:ascii="Book Antiqua" w:eastAsia="Calibri" w:hAnsi="Book Antiqua" w:cs="Arial"/>
          <w:b/>
          <w:bCs/>
          <w:i/>
          <w:sz w:val="24"/>
          <w:szCs w:val="24"/>
        </w:rPr>
        <w:t>”.</w:t>
      </w:r>
    </w:p>
    <w:p w14:paraId="793D683A" w14:textId="5764CF50" w:rsidR="001C2C50" w:rsidRPr="001C2C50" w:rsidRDefault="001C2C50" w:rsidP="001C2C50">
      <w:pPr>
        <w:spacing w:after="0" w:line="276" w:lineRule="auto"/>
        <w:jc w:val="both"/>
        <w:rPr>
          <w:rFonts w:ascii="Book Antiqua" w:eastAsia="Calibri" w:hAnsi="Book Antiqua" w:cs="Arial"/>
          <w:b/>
          <w:bCs/>
          <w:iCs/>
          <w:sz w:val="24"/>
          <w:szCs w:val="24"/>
        </w:rPr>
      </w:pPr>
    </w:p>
    <w:p w14:paraId="27EB8222" w14:textId="77777777" w:rsidR="008879A1" w:rsidRPr="008D6799" w:rsidRDefault="008879A1"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Análisis sobre la efectividad de las audiencias señaladas</w:t>
      </w:r>
    </w:p>
    <w:p w14:paraId="67D8A358" w14:textId="77777777" w:rsidR="00494ADF" w:rsidRDefault="00494ADF" w:rsidP="004C1310">
      <w:pPr>
        <w:spacing w:after="0" w:line="276" w:lineRule="auto"/>
        <w:jc w:val="both"/>
        <w:rPr>
          <w:rFonts w:ascii="Book Antiqua" w:eastAsia="Calibri" w:hAnsi="Book Antiqua" w:cs="Arial"/>
          <w:sz w:val="24"/>
          <w:szCs w:val="24"/>
        </w:rPr>
      </w:pPr>
    </w:p>
    <w:p w14:paraId="08C2E568" w14:textId="5649CA09" w:rsidR="004C1310" w:rsidRPr="004C1310" w:rsidRDefault="004C1310" w:rsidP="004C1310">
      <w:pPr>
        <w:spacing w:after="0" w:line="276" w:lineRule="auto"/>
        <w:jc w:val="both"/>
        <w:rPr>
          <w:rFonts w:ascii="Book Antiqua" w:eastAsia="Calibri" w:hAnsi="Book Antiqua" w:cs="Arial"/>
          <w:sz w:val="24"/>
          <w:szCs w:val="24"/>
        </w:rPr>
      </w:pPr>
      <w:r w:rsidRPr="004C1310">
        <w:rPr>
          <w:rFonts w:ascii="Book Antiqua" w:eastAsia="Calibri" w:hAnsi="Book Antiqua" w:cs="Arial"/>
          <w:sz w:val="24"/>
          <w:szCs w:val="24"/>
        </w:rPr>
        <w:t>Seguidamente se detalla el porcentaje de la efectividad de las audiencias de acuerdo con información recopilada de los Juzgados Especializados de Familia, durante el periodo del 201</w:t>
      </w:r>
      <w:r w:rsidR="008879A1">
        <w:rPr>
          <w:rFonts w:ascii="Book Antiqua" w:eastAsia="Calibri" w:hAnsi="Book Antiqua" w:cs="Arial"/>
          <w:sz w:val="24"/>
          <w:szCs w:val="24"/>
        </w:rPr>
        <w:t>7</w:t>
      </w:r>
      <w:r w:rsidRPr="004C1310">
        <w:rPr>
          <w:rFonts w:ascii="Book Antiqua" w:eastAsia="Calibri" w:hAnsi="Book Antiqua" w:cs="Arial"/>
          <w:sz w:val="24"/>
          <w:szCs w:val="24"/>
        </w:rPr>
        <w:t xml:space="preserve"> al 20</w:t>
      </w:r>
      <w:r w:rsidR="00E16D5F">
        <w:rPr>
          <w:rFonts w:ascii="Book Antiqua" w:eastAsia="Calibri" w:hAnsi="Book Antiqua" w:cs="Arial"/>
          <w:sz w:val="24"/>
          <w:szCs w:val="24"/>
        </w:rPr>
        <w:t>2</w:t>
      </w:r>
      <w:r w:rsidRPr="004C1310">
        <w:rPr>
          <w:rFonts w:ascii="Book Antiqua" w:eastAsia="Calibri" w:hAnsi="Book Antiqua" w:cs="Arial"/>
          <w:sz w:val="24"/>
          <w:szCs w:val="24"/>
        </w:rPr>
        <w:t>1.</w:t>
      </w:r>
    </w:p>
    <w:p w14:paraId="37E769EC" w14:textId="77777777" w:rsidR="004C1310" w:rsidRPr="004C1310" w:rsidRDefault="004C1310" w:rsidP="004C1310">
      <w:pPr>
        <w:spacing w:after="0" w:line="276" w:lineRule="auto"/>
        <w:jc w:val="both"/>
        <w:rPr>
          <w:rFonts w:ascii="Book Antiqua" w:eastAsia="Calibri" w:hAnsi="Book Antiqua" w:cs="Arial"/>
          <w:sz w:val="24"/>
          <w:szCs w:val="24"/>
        </w:rPr>
      </w:pPr>
    </w:p>
    <w:p w14:paraId="43D763D7" w14:textId="4B10716A" w:rsidR="004C1310" w:rsidRPr="004C1310" w:rsidRDefault="004C1310" w:rsidP="004C131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C1310">
        <w:rPr>
          <w:rFonts w:ascii="Book Antiqua" w:eastAsia="Calibri" w:hAnsi="Book Antiqua" w:cs="Arial"/>
          <w:b/>
          <w:bCs/>
          <w:color w:val="1F497D"/>
          <w:szCs w:val="24"/>
          <w:lang w:val="es-ES" w:eastAsia="es-ES"/>
        </w:rPr>
        <w:t xml:space="preserve">Cuadro </w:t>
      </w:r>
      <w:r w:rsidRPr="004C1310">
        <w:rPr>
          <w:rFonts w:ascii="Book Antiqua" w:eastAsia="Calibri" w:hAnsi="Book Antiqua" w:cs="Arial"/>
          <w:b/>
          <w:bCs/>
          <w:color w:val="1F497D"/>
          <w:szCs w:val="24"/>
          <w:lang w:val="es-ES" w:eastAsia="es-ES"/>
        </w:rPr>
        <w:fldChar w:fldCharType="begin"/>
      </w:r>
      <w:r w:rsidRPr="004C1310">
        <w:rPr>
          <w:rFonts w:ascii="Book Antiqua" w:eastAsia="Calibri" w:hAnsi="Book Antiqua" w:cs="Arial"/>
          <w:b/>
          <w:bCs/>
          <w:color w:val="1F497D"/>
          <w:szCs w:val="24"/>
          <w:lang w:val="es-ES" w:eastAsia="es-ES"/>
        </w:rPr>
        <w:instrText xml:space="preserve"> SEQ Cuadro \* ARABIC </w:instrText>
      </w:r>
      <w:r w:rsidRPr="004C131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9</w:t>
      </w:r>
      <w:r w:rsidRPr="004C1310">
        <w:rPr>
          <w:rFonts w:ascii="Book Antiqua" w:eastAsia="Calibri" w:hAnsi="Book Antiqua" w:cs="Arial"/>
          <w:b/>
          <w:bCs/>
          <w:color w:val="1F497D"/>
          <w:szCs w:val="24"/>
          <w:lang w:val="es-ES" w:eastAsia="es-ES"/>
        </w:rPr>
        <w:fldChar w:fldCharType="end"/>
      </w:r>
    </w:p>
    <w:p w14:paraId="391E1888" w14:textId="77777777" w:rsidR="004C1310" w:rsidRPr="004C1310" w:rsidRDefault="004C1310" w:rsidP="004C1310">
      <w:pPr>
        <w:keepNext/>
        <w:numPr>
          <w:ilvl w:val="12"/>
          <w:numId w:val="0"/>
        </w:numPr>
        <w:spacing w:after="0" w:line="276" w:lineRule="auto"/>
        <w:jc w:val="center"/>
        <w:rPr>
          <w:rFonts w:ascii="Book Antiqua" w:eastAsia="Times New Roman" w:hAnsi="Book Antiqua" w:cs="Arial"/>
          <w:b/>
          <w:bCs/>
          <w:color w:val="1F497D"/>
          <w:lang w:eastAsia="es-ES"/>
        </w:rPr>
      </w:pPr>
      <w:r w:rsidRPr="004C1310">
        <w:rPr>
          <w:rFonts w:ascii="Book Antiqua" w:eastAsia="Times New Roman" w:hAnsi="Book Antiqua" w:cs="Arial"/>
          <w:b/>
          <w:bCs/>
          <w:color w:val="1F497D"/>
          <w:lang w:eastAsia="es-ES"/>
        </w:rPr>
        <w:t xml:space="preserve">Porcentaje de efectividad de audiencias en los </w:t>
      </w:r>
    </w:p>
    <w:p w14:paraId="529FE2AF" w14:textId="15E1C718" w:rsidR="004C1310" w:rsidRPr="004C1310" w:rsidRDefault="004C1310" w:rsidP="004C1310">
      <w:pPr>
        <w:keepNext/>
        <w:numPr>
          <w:ilvl w:val="12"/>
          <w:numId w:val="0"/>
        </w:numPr>
        <w:spacing w:after="0" w:line="276" w:lineRule="auto"/>
        <w:jc w:val="center"/>
        <w:rPr>
          <w:rFonts w:ascii="Book Antiqua" w:eastAsia="Times New Roman" w:hAnsi="Book Antiqua" w:cs="Arial"/>
          <w:b/>
          <w:bCs/>
          <w:color w:val="1F497D"/>
          <w:lang w:eastAsia="es-ES"/>
        </w:rPr>
      </w:pPr>
      <w:r w:rsidRPr="004C1310">
        <w:rPr>
          <w:rFonts w:ascii="Book Antiqua" w:eastAsia="Times New Roman" w:hAnsi="Book Antiqua" w:cs="Arial"/>
          <w:b/>
          <w:bCs/>
          <w:color w:val="1F497D"/>
          <w:lang w:eastAsia="es-ES"/>
        </w:rPr>
        <w:t>Juzgados Especializados de Familia, del 201</w:t>
      </w:r>
      <w:r w:rsidR="00E16D5F">
        <w:rPr>
          <w:rFonts w:ascii="Book Antiqua" w:eastAsia="Times New Roman" w:hAnsi="Book Antiqua" w:cs="Arial"/>
          <w:b/>
          <w:bCs/>
          <w:color w:val="1F497D"/>
          <w:lang w:eastAsia="es-ES"/>
        </w:rPr>
        <w:t>7</w:t>
      </w:r>
      <w:r w:rsidRPr="004C1310">
        <w:rPr>
          <w:rFonts w:ascii="Book Antiqua" w:eastAsia="Times New Roman" w:hAnsi="Book Antiqua" w:cs="Arial"/>
          <w:b/>
          <w:bCs/>
          <w:color w:val="1F497D"/>
          <w:lang w:eastAsia="es-ES"/>
        </w:rPr>
        <w:t xml:space="preserve"> al 20</w:t>
      </w:r>
      <w:r w:rsidR="00E16D5F">
        <w:rPr>
          <w:rFonts w:ascii="Book Antiqua" w:eastAsia="Times New Roman" w:hAnsi="Book Antiqua" w:cs="Arial"/>
          <w:b/>
          <w:bCs/>
          <w:color w:val="1F497D"/>
          <w:lang w:eastAsia="es-ES"/>
        </w:rPr>
        <w:t>2</w:t>
      </w:r>
      <w:r w:rsidRPr="004C1310">
        <w:rPr>
          <w:rFonts w:ascii="Book Antiqua" w:eastAsia="Times New Roman" w:hAnsi="Book Antiqua" w:cs="Arial"/>
          <w:b/>
          <w:bCs/>
          <w:color w:val="1F497D"/>
          <w:lang w:eastAsia="es-ES"/>
        </w:rPr>
        <w:t>1</w:t>
      </w:r>
    </w:p>
    <w:tbl>
      <w:tblPr>
        <w:tblW w:w="5000" w:type="pct"/>
        <w:tblCellMar>
          <w:left w:w="70" w:type="dxa"/>
          <w:right w:w="70" w:type="dxa"/>
        </w:tblCellMar>
        <w:tblLook w:val="04A0" w:firstRow="1" w:lastRow="0" w:firstColumn="1" w:lastColumn="0" w:noHBand="0" w:noVBand="1"/>
      </w:tblPr>
      <w:tblGrid>
        <w:gridCol w:w="1842"/>
        <w:gridCol w:w="1383"/>
        <w:gridCol w:w="1383"/>
        <w:gridCol w:w="1383"/>
        <w:gridCol w:w="1513"/>
        <w:gridCol w:w="1314"/>
      </w:tblGrid>
      <w:tr w:rsidR="00BE0470" w:rsidRPr="00BE0470" w14:paraId="5300F9E8" w14:textId="77777777" w:rsidTr="00BE0470">
        <w:trPr>
          <w:trHeight w:val="300"/>
        </w:trPr>
        <w:tc>
          <w:tcPr>
            <w:tcW w:w="1045"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48D57309"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Estado</w:t>
            </w:r>
          </w:p>
        </w:tc>
        <w:tc>
          <w:tcPr>
            <w:tcW w:w="784" w:type="pct"/>
            <w:tcBorders>
              <w:top w:val="single" w:sz="8" w:space="0" w:color="auto"/>
              <w:left w:val="nil"/>
              <w:bottom w:val="single" w:sz="8" w:space="0" w:color="auto"/>
              <w:right w:val="single" w:sz="8" w:space="0" w:color="auto"/>
            </w:tcBorders>
            <w:shd w:val="clear" w:color="000000" w:fill="002060"/>
            <w:vAlign w:val="center"/>
            <w:hideMark/>
          </w:tcPr>
          <w:p w14:paraId="3FAAF2EA"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2017</w:t>
            </w:r>
          </w:p>
        </w:tc>
        <w:tc>
          <w:tcPr>
            <w:tcW w:w="784" w:type="pct"/>
            <w:tcBorders>
              <w:top w:val="single" w:sz="8" w:space="0" w:color="auto"/>
              <w:left w:val="nil"/>
              <w:bottom w:val="single" w:sz="8" w:space="0" w:color="auto"/>
              <w:right w:val="single" w:sz="8" w:space="0" w:color="auto"/>
            </w:tcBorders>
            <w:shd w:val="clear" w:color="000000" w:fill="002060"/>
            <w:vAlign w:val="center"/>
            <w:hideMark/>
          </w:tcPr>
          <w:p w14:paraId="1C35E243"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2018</w:t>
            </w:r>
          </w:p>
        </w:tc>
        <w:tc>
          <w:tcPr>
            <w:tcW w:w="784" w:type="pct"/>
            <w:tcBorders>
              <w:top w:val="single" w:sz="8" w:space="0" w:color="auto"/>
              <w:left w:val="nil"/>
              <w:bottom w:val="single" w:sz="8" w:space="0" w:color="auto"/>
              <w:right w:val="single" w:sz="8" w:space="0" w:color="auto"/>
            </w:tcBorders>
            <w:shd w:val="clear" w:color="000000" w:fill="002060"/>
            <w:vAlign w:val="center"/>
            <w:hideMark/>
          </w:tcPr>
          <w:p w14:paraId="5A35E35A"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2019</w:t>
            </w:r>
          </w:p>
        </w:tc>
        <w:tc>
          <w:tcPr>
            <w:tcW w:w="858" w:type="pct"/>
            <w:tcBorders>
              <w:top w:val="single" w:sz="8" w:space="0" w:color="auto"/>
              <w:left w:val="nil"/>
              <w:bottom w:val="single" w:sz="8" w:space="0" w:color="auto"/>
              <w:right w:val="single" w:sz="8" w:space="0" w:color="auto"/>
            </w:tcBorders>
            <w:shd w:val="clear" w:color="000000" w:fill="002060"/>
            <w:vAlign w:val="center"/>
            <w:hideMark/>
          </w:tcPr>
          <w:p w14:paraId="605FEAAE"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2020</w:t>
            </w:r>
          </w:p>
        </w:tc>
        <w:tc>
          <w:tcPr>
            <w:tcW w:w="746" w:type="pct"/>
            <w:tcBorders>
              <w:top w:val="single" w:sz="8" w:space="0" w:color="auto"/>
              <w:left w:val="nil"/>
              <w:bottom w:val="single" w:sz="8" w:space="0" w:color="auto"/>
              <w:right w:val="single" w:sz="8" w:space="0" w:color="auto"/>
            </w:tcBorders>
            <w:shd w:val="clear" w:color="000000" w:fill="002060"/>
            <w:vAlign w:val="center"/>
            <w:hideMark/>
          </w:tcPr>
          <w:p w14:paraId="5ABB0022"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2021</w:t>
            </w:r>
          </w:p>
        </w:tc>
      </w:tr>
      <w:tr w:rsidR="00BE0470" w:rsidRPr="00BE0470" w14:paraId="751C9149"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67802626"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Realizado</w:t>
            </w:r>
          </w:p>
        </w:tc>
        <w:tc>
          <w:tcPr>
            <w:tcW w:w="784" w:type="pct"/>
            <w:tcBorders>
              <w:top w:val="nil"/>
              <w:left w:val="nil"/>
              <w:bottom w:val="single" w:sz="8" w:space="0" w:color="auto"/>
              <w:right w:val="single" w:sz="8" w:space="0" w:color="auto"/>
            </w:tcBorders>
            <w:shd w:val="clear" w:color="000000" w:fill="FFFFFF"/>
            <w:vAlign w:val="center"/>
            <w:hideMark/>
          </w:tcPr>
          <w:p w14:paraId="3A447D16"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6 756</w:t>
            </w:r>
          </w:p>
        </w:tc>
        <w:tc>
          <w:tcPr>
            <w:tcW w:w="784" w:type="pct"/>
            <w:tcBorders>
              <w:top w:val="nil"/>
              <w:left w:val="nil"/>
              <w:bottom w:val="single" w:sz="8" w:space="0" w:color="auto"/>
              <w:right w:val="single" w:sz="8" w:space="0" w:color="auto"/>
            </w:tcBorders>
            <w:shd w:val="clear" w:color="000000" w:fill="FFFFFF"/>
            <w:vAlign w:val="center"/>
            <w:hideMark/>
          </w:tcPr>
          <w:p w14:paraId="707F8371"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7 291</w:t>
            </w:r>
          </w:p>
        </w:tc>
        <w:tc>
          <w:tcPr>
            <w:tcW w:w="784" w:type="pct"/>
            <w:tcBorders>
              <w:top w:val="nil"/>
              <w:left w:val="nil"/>
              <w:bottom w:val="single" w:sz="8" w:space="0" w:color="auto"/>
              <w:right w:val="single" w:sz="8" w:space="0" w:color="auto"/>
            </w:tcBorders>
            <w:shd w:val="clear" w:color="000000" w:fill="FFFFFF"/>
            <w:vAlign w:val="center"/>
            <w:hideMark/>
          </w:tcPr>
          <w:p w14:paraId="66E266B5"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7 516</w:t>
            </w:r>
          </w:p>
        </w:tc>
        <w:tc>
          <w:tcPr>
            <w:tcW w:w="858" w:type="pct"/>
            <w:tcBorders>
              <w:top w:val="nil"/>
              <w:left w:val="nil"/>
              <w:bottom w:val="single" w:sz="8" w:space="0" w:color="auto"/>
              <w:right w:val="single" w:sz="8" w:space="0" w:color="auto"/>
            </w:tcBorders>
            <w:shd w:val="clear" w:color="000000" w:fill="FFFFFF"/>
            <w:vAlign w:val="center"/>
            <w:hideMark/>
          </w:tcPr>
          <w:p w14:paraId="168B13E2"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2 953</w:t>
            </w:r>
          </w:p>
        </w:tc>
        <w:tc>
          <w:tcPr>
            <w:tcW w:w="746" w:type="pct"/>
            <w:tcBorders>
              <w:top w:val="nil"/>
              <w:left w:val="nil"/>
              <w:bottom w:val="single" w:sz="8" w:space="0" w:color="auto"/>
              <w:right w:val="single" w:sz="8" w:space="0" w:color="auto"/>
            </w:tcBorders>
            <w:shd w:val="clear" w:color="000000" w:fill="FFFFFF"/>
            <w:vAlign w:val="center"/>
            <w:hideMark/>
          </w:tcPr>
          <w:p w14:paraId="70868EAE"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7 143</w:t>
            </w:r>
          </w:p>
        </w:tc>
      </w:tr>
      <w:tr w:rsidR="00BE0470" w:rsidRPr="00BE0470" w14:paraId="56554AEC"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63FE82E5"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No Realizado</w:t>
            </w:r>
          </w:p>
        </w:tc>
        <w:tc>
          <w:tcPr>
            <w:tcW w:w="784" w:type="pct"/>
            <w:tcBorders>
              <w:top w:val="nil"/>
              <w:left w:val="nil"/>
              <w:bottom w:val="single" w:sz="8" w:space="0" w:color="auto"/>
              <w:right w:val="single" w:sz="8" w:space="0" w:color="auto"/>
            </w:tcBorders>
            <w:shd w:val="clear" w:color="000000" w:fill="FFFFFF"/>
            <w:vAlign w:val="center"/>
            <w:hideMark/>
          </w:tcPr>
          <w:p w14:paraId="35F08241"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2 592</w:t>
            </w:r>
          </w:p>
        </w:tc>
        <w:tc>
          <w:tcPr>
            <w:tcW w:w="784" w:type="pct"/>
            <w:tcBorders>
              <w:top w:val="nil"/>
              <w:left w:val="nil"/>
              <w:bottom w:val="single" w:sz="8" w:space="0" w:color="auto"/>
              <w:right w:val="single" w:sz="8" w:space="0" w:color="auto"/>
            </w:tcBorders>
            <w:shd w:val="clear" w:color="000000" w:fill="FFFFFF"/>
            <w:vAlign w:val="center"/>
            <w:hideMark/>
          </w:tcPr>
          <w:p w14:paraId="66C1C324"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2 588</w:t>
            </w:r>
          </w:p>
        </w:tc>
        <w:tc>
          <w:tcPr>
            <w:tcW w:w="784" w:type="pct"/>
            <w:tcBorders>
              <w:top w:val="nil"/>
              <w:left w:val="nil"/>
              <w:bottom w:val="single" w:sz="8" w:space="0" w:color="auto"/>
              <w:right w:val="single" w:sz="8" w:space="0" w:color="auto"/>
            </w:tcBorders>
            <w:shd w:val="clear" w:color="000000" w:fill="FFFFFF"/>
            <w:vAlign w:val="center"/>
            <w:hideMark/>
          </w:tcPr>
          <w:p w14:paraId="32681984"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2 782</w:t>
            </w:r>
          </w:p>
        </w:tc>
        <w:tc>
          <w:tcPr>
            <w:tcW w:w="858" w:type="pct"/>
            <w:tcBorders>
              <w:top w:val="nil"/>
              <w:left w:val="nil"/>
              <w:bottom w:val="single" w:sz="8" w:space="0" w:color="auto"/>
              <w:right w:val="single" w:sz="8" w:space="0" w:color="auto"/>
            </w:tcBorders>
            <w:shd w:val="clear" w:color="000000" w:fill="FFFFFF"/>
            <w:vAlign w:val="center"/>
            <w:hideMark/>
          </w:tcPr>
          <w:p w14:paraId="5EA7A3D5"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1 268</w:t>
            </w:r>
          </w:p>
        </w:tc>
        <w:tc>
          <w:tcPr>
            <w:tcW w:w="746" w:type="pct"/>
            <w:tcBorders>
              <w:top w:val="nil"/>
              <w:left w:val="nil"/>
              <w:bottom w:val="single" w:sz="8" w:space="0" w:color="auto"/>
              <w:right w:val="single" w:sz="8" w:space="0" w:color="auto"/>
            </w:tcBorders>
            <w:shd w:val="clear" w:color="000000" w:fill="FFFFFF"/>
            <w:vAlign w:val="center"/>
            <w:hideMark/>
          </w:tcPr>
          <w:p w14:paraId="60451C23"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2 150</w:t>
            </w:r>
          </w:p>
        </w:tc>
      </w:tr>
      <w:tr w:rsidR="00BE0470" w:rsidRPr="00BE0470" w14:paraId="304B0985"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21282244"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Conciliado</w:t>
            </w:r>
          </w:p>
        </w:tc>
        <w:tc>
          <w:tcPr>
            <w:tcW w:w="784" w:type="pct"/>
            <w:tcBorders>
              <w:top w:val="nil"/>
              <w:left w:val="nil"/>
              <w:bottom w:val="single" w:sz="8" w:space="0" w:color="auto"/>
              <w:right w:val="single" w:sz="8" w:space="0" w:color="auto"/>
            </w:tcBorders>
            <w:shd w:val="clear" w:color="000000" w:fill="FFFFFF"/>
            <w:vAlign w:val="center"/>
            <w:hideMark/>
          </w:tcPr>
          <w:p w14:paraId="1BB75F13"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725</w:t>
            </w:r>
          </w:p>
        </w:tc>
        <w:tc>
          <w:tcPr>
            <w:tcW w:w="784" w:type="pct"/>
            <w:tcBorders>
              <w:top w:val="nil"/>
              <w:left w:val="nil"/>
              <w:bottom w:val="single" w:sz="8" w:space="0" w:color="auto"/>
              <w:right w:val="single" w:sz="8" w:space="0" w:color="auto"/>
            </w:tcBorders>
            <w:shd w:val="clear" w:color="000000" w:fill="FFFFFF"/>
            <w:vAlign w:val="center"/>
            <w:hideMark/>
          </w:tcPr>
          <w:p w14:paraId="64C7239B"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624</w:t>
            </w:r>
          </w:p>
        </w:tc>
        <w:tc>
          <w:tcPr>
            <w:tcW w:w="784" w:type="pct"/>
            <w:tcBorders>
              <w:top w:val="nil"/>
              <w:left w:val="nil"/>
              <w:bottom w:val="single" w:sz="8" w:space="0" w:color="auto"/>
              <w:right w:val="single" w:sz="8" w:space="0" w:color="auto"/>
            </w:tcBorders>
            <w:shd w:val="clear" w:color="000000" w:fill="FFFFFF"/>
            <w:vAlign w:val="center"/>
            <w:hideMark/>
          </w:tcPr>
          <w:p w14:paraId="46ADEAFE"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646</w:t>
            </w:r>
          </w:p>
        </w:tc>
        <w:tc>
          <w:tcPr>
            <w:tcW w:w="858" w:type="pct"/>
            <w:tcBorders>
              <w:top w:val="nil"/>
              <w:left w:val="nil"/>
              <w:bottom w:val="single" w:sz="8" w:space="0" w:color="auto"/>
              <w:right w:val="single" w:sz="8" w:space="0" w:color="auto"/>
            </w:tcBorders>
            <w:shd w:val="clear" w:color="000000" w:fill="FFFFFF"/>
            <w:vAlign w:val="center"/>
            <w:hideMark/>
          </w:tcPr>
          <w:p w14:paraId="191CEB84"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432</w:t>
            </w:r>
          </w:p>
        </w:tc>
        <w:tc>
          <w:tcPr>
            <w:tcW w:w="746" w:type="pct"/>
            <w:tcBorders>
              <w:top w:val="nil"/>
              <w:left w:val="nil"/>
              <w:bottom w:val="single" w:sz="8" w:space="0" w:color="auto"/>
              <w:right w:val="single" w:sz="8" w:space="0" w:color="auto"/>
            </w:tcBorders>
            <w:shd w:val="clear" w:color="000000" w:fill="FFFFFF"/>
            <w:vAlign w:val="center"/>
            <w:hideMark/>
          </w:tcPr>
          <w:p w14:paraId="0583E73F"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524</w:t>
            </w:r>
          </w:p>
        </w:tc>
      </w:tr>
      <w:tr w:rsidR="00BE0470" w:rsidRPr="00BE0470" w14:paraId="1CD5DCED"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49B8FE8B"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Sin Efecto</w:t>
            </w:r>
          </w:p>
        </w:tc>
        <w:tc>
          <w:tcPr>
            <w:tcW w:w="784" w:type="pct"/>
            <w:tcBorders>
              <w:top w:val="nil"/>
              <w:left w:val="nil"/>
              <w:bottom w:val="single" w:sz="8" w:space="0" w:color="auto"/>
              <w:right w:val="single" w:sz="8" w:space="0" w:color="auto"/>
            </w:tcBorders>
            <w:shd w:val="clear" w:color="000000" w:fill="FFFFFF"/>
            <w:vAlign w:val="center"/>
            <w:hideMark/>
          </w:tcPr>
          <w:p w14:paraId="590A026C"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289</w:t>
            </w:r>
          </w:p>
        </w:tc>
        <w:tc>
          <w:tcPr>
            <w:tcW w:w="784" w:type="pct"/>
            <w:tcBorders>
              <w:top w:val="nil"/>
              <w:left w:val="nil"/>
              <w:bottom w:val="single" w:sz="8" w:space="0" w:color="auto"/>
              <w:right w:val="single" w:sz="8" w:space="0" w:color="auto"/>
            </w:tcBorders>
            <w:shd w:val="clear" w:color="000000" w:fill="FFFFFF"/>
            <w:vAlign w:val="center"/>
            <w:hideMark/>
          </w:tcPr>
          <w:p w14:paraId="700BC099"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362</w:t>
            </w:r>
          </w:p>
        </w:tc>
        <w:tc>
          <w:tcPr>
            <w:tcW w:w="784" w:type="pct"/>
            <w:tcBorders>
              <w:top w:val="nil"/>
              <w:left w:val="nil"/>
              <w:bottom w:val="single" w:sz="8" w:space="0" w:color="auto"/>
              <w:right w:val="single" w:sz="8" w:space="0" w:color="auto"/>
            </w:tcBorders>
            <w:shd w:val="clear" w:color="000000" w:fill="FFFFFF"/>
            <w:vAlign w:val="center"/>
            <w:hideMark/>
          </w:tcPr>
          <w:p w14:paraId="0DE8A5D8"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351</w:t>
            </w:r>
          </w:p>
        </w:tc>
        <w:tc>
          <w:tcPr>
            <w:tcW w:w="858" w:type="pct"/>
            <w:tcBorders>
              <w:top w:val="nil"/>
              <w:left w:val="nil"/>
              <w:bottom w:val="single" w:sz="8" w:space="0" w:color="auto"/>
              <w:right w:val="single" w:sz="8" w:space="0" w:color="auto"/>
            </w:tcBorders>
            <w:shd w:val="clear" w:color="000000" w:fill="FFFFFF"/>
            <w:vAlign w:val="center"/>
            <w:hideMark/>
          </w:tcPr>
          <w:p w14:paraId="312F177A"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383</w:t>
            </w:r>
          </w:p>
        </w:tc>
        <w:tc>
          <w:tcPr>
            <w:tcW w:w="746" w:type="pct"/>
            <w:tcBorders>
              <w:top w:val="nil"/>
              <w:left w:val="nil"/>
              <w:bottom w:val="single" w:sz="8" w:space="0" w:color="auto"/>
              <w:right w:val="single" w:sz="8" w:space="0" w:color="auto"/>
            </w:tcBorders>
            <w:shd w:val="clear" w:color="000000" w:fill="FFFFFF"/>
            <w:vAlign w:val="center"/>
            <w:hideMark/>
          </w:tcPr>
          <w:p w14:paraId="76A46C26"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202</w:t>
            </w:r>
          </w:p>
        </w:tc>
      </w:tr>
      <w:tr w:rsidR="00BE0470" w:rsidRPr="00BE0470" w14:paraId="300E0F68"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538931F5"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Suspendido</w:t>
            </w:r>
          </w:p>
        </w:tc>
        <w:tc>
          <w:tcPr>
            <w:tcW w:w="784" w:type="pct"/>
            <w:tcBorders>
              <w:top w:val="nil"/>
              <w:left w:val="nil"/>
              <w:bottom w:val="single" w:sz="8" w:space="0" w:color="auto"/>
              <w:right w:val="single" w:sz="8" w:space="0" w:color="auto"/>
            </w:tcBorders>
            <w:shd w:val="clear" w:color="000000" w:fill="FFFFFF"/>
            <w:vAlign w:val="center"/>
            <w:hideMark/>
          </w:tcPr>
          <w:p w14:paraId="514E773E"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699</w:t>
            </w:r>
          </w:p>
        </w:tc>
        <w:tc>
          <w:tcPr>
            <w:tcW w:w="784" w:type="pct"/>
            <w:tcBorders>
              <w:top w:val="nil"/>
              <w:left w:val="nil"/>
              <w:bottom w:val="single" w:sz="8" w:space="0" w:color="auto"/>
              <w:right w:val="single" w:sz="8" w:space="0" w:color="auto"/>
            </w:tcBorders>
            <w:shd w:val="clear" w:color="000000" w:fill="FFFFFF"/>
            <w:vAlign w:val="center"/>
            <w:hideMark/>
          </w:tcPr>
          <w:p w14:paraId="4A416D4C"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793</w:t>
            </w:r>
          </w:p>
        </w:tc>
        <w:tc>
          <w:tcPr>
            <w:tcW w:w="784" w:type="pct"/>
            <w:tcBorders>
              <w:top w:val="nil"/>
              <w:left w:val="nil"/>
              <w:bottom w:val="single" w:sz="8" w:space="0" w:color="auto"/>
              <w:right w:val="single" w:sz="8" w:space="0" w:color="auto"/>
            </w:tcBorders>
            <w:shd w:val="clear" w:color="000000" w:fill="FFFFFF"/>
            <w:vAlign w:val="center"/>
            <w:hideMark/>
          </w:tcPr>
          <w:p w14:paraId="4B0AEC67"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484</w:t>
            </w:r>
          </w:p>
        </w:tc>
        <w:tc>
          <w:tcPr>
            <w:tcW w:w="858" w:type="pct"/>
            <w:tcBorders>
              <w:top w:val="nil"/>
              <w:left w:val="nil"/>
              <w:bottom w:val="single" w:sz="8" w:space="0" w:color="auto"/>
              <w:right w:val="single" w:sz="8" w:space="0" w:color="auto"/>
            </w:tcBorders>
            <w:shd w:val="clear" w:color="000000" w:fill="FFFFFF"/>
            <w:vAlign w:val="center"/>
            <w:hideMark/>
          </w:tcPr>
          <w:p w14:paraId="7D1C058E"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1281</w:t>
            </w:r>
          </w:p>
        </w:tc>
        <w:tc>
          <w:tcPr>
            <w:tcW w:w="746" w:type="pct"/>
            <w:tcBorders>
              <w:top w:val="nil"/>
              <w:left w:val="nil"/>
              <w:bottom w:val="single" w:sz="8" w:space="0" w:color="auto"/>
              <w:right w:val="single" w:sz="8" w:space="0" w:color="auto"/>
            </w:tcBorders>
            <w:shd w:val="clear" w:color="000000" w:fill="FFFFFF"/>
            <w:vAlign w:val="center"/>
            <w:hideMark/>
          </w:tcPr>
          <w:p w14:paraId="370E0622"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546</w:t>
            </w:r>
          </w:p>
        </w:tc>
      </w:tr>
      <w:tr w:rsidR="00BE0470" w:rsidRPr="00BE0470" w14:paraId="6AD66164"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FFFFFF"/>
            <w:vAlign w:val="center"/>
            <w:hideMark/>
          </w:tcPr>
          <w:p w14:paraId="2671E672"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Pendientes</w:t>
            </w:r>
          </w:p>
        </w:tc>
        <w:tc>
          <w:tcPr>
            <w:tcW w:w="784" w:type="pct"/>
            <w:tcBorders>
              <w:top w:val="nil"/>
              <w:left w:val="nil"/>
              <w:bottom w:val="single" w:sz="8" w:space="0" w:color="auto"/>
              <w:right w:val="single" w:sz="8" w:space="0" w:color="auto"/>
            </w:tcBorders>
            <w:shd w:val="clear" w:color="000000" w:fill="FFFFFF"/>
            <w:vAlign w:val="center"/>
            <w:hideMark/>
          </w:tcPr>
          <w:p w14:paraId="7AA258D6"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1 108</w:t>
            </w:r>
          </w:p>
        </w:tc>
        <w:tc>
          <w:tcPr>
            <w:tcW w:w="784" w:type="pct"/>
            <w:tcBorders>
              <w:top w:val="nil"/>
              <w:left w:val="nil"/>
              <w:bottom w:val="single" w:sz="8" w:space="0" w:color="auto"/>
              <w:right w:val="single" w:sz="8" w:space="0" w:color="auto"/>
            </w:tcBorders>
            <w:shd w:val="clear" w:color="000000" w:fill="FFFFFF"/>
            <w:vAlign w:val="center"/>
            <w:hideMark/>
          </w:tcPr>
          <w:p w14:paraId="4136F723"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787</w:t>
            </w:r>
          </w:p>
        </w:tc>
        <w:tc>
          <w:tcPr>
            <w:tcW w:w="784" w:type="pct"/>
            <w:tcBorders>
              <w:top w:val="nil"/>
              <w:left w:val="nil"/>
              <w:bottom w:val="single" w:sz="8" w:space="0" w:color="auto"/>
              <w:right w:val="single" w:sz="8" w:space="0" w:color="auto"/>
            </w:tcBorders>
            <w:shd w:val="clear" w:color="000000" w:fill="FFFFFF"/>
            <w:vAlign w:val="center"/>
            <w:hideMark/>
          </w:tcPr>
          <w:p w14:paraId="74B3DB0B"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255</w:t>
            </w:r>
          </w:p>
        </w:tc>
        <w:tc>
          <w:tcPr>
            <w:tcW w:w="858" w:type="pct"/>
            <w:tcBorders>
              <w:top w:val="nil"/>
              <w:left w:val="nil"/>
              <w:bottom w:val="single" w:sz="8" w:space="0" w:color="auto"/>
              <w:right w:val="single" w:sz="8" w:space="0" w:color="auto"/>
            </w:tcBorders>
            <w:shd w:val="clear" w:color="000000" w:fill="FFFFFF"/>
            <w:vAlign w:val="center"/>
            <w:hideMark/>
          </w:tcPr>
          <w:p w14:paraId="32E73354"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87</w:t>
            </w:r>
          </w:p>
        </w:tc>
        <w:tc>
          <w:tcPr>
            <w:tcW w:w="746" w:type="pct"/>
            <w:tcBorders>
              <w:top w:val="nil"/>
              <w:left w:val="nil"/>
              <w:bottom w:val="single" w:sz="8" w:space="0" w:color="auto"/>
              <w:right w:val="single" w:sz="8" w:space="0" w:color="auto"/>
            </w:tcBorders>
            <w:shd w:val="clear" w:color="000000" w:fill="FFFFFF"/>
            <w:vAlign w:val="center"/>
            <w:hideMark/>
          </w:tcPr>
          <w:p w14:paraId="6AA8DA94" w14:textId="77777777" w:rsidR="00BE0470" w:rsidRPr="00BE0470" w:rsidRDefault="00BE0470" w:rsidP="00BE0470">
            <w:pPr>
              <w:spacing w:after="0" w:line="240" w:lineRule="auto"/>
              <w:jc w:val="center"/>
              <w:rPr>
                <w:rFonts w:ascii="Book Antiqua" w:eastAsia="Times New Roman" w:hAnsi="Book Antiqua" w:cs="Calibri"/>
                <w:color w:val="000000"/>
                <w:lang w:eastAsia="es-CR"/>
              </w:rPr>
            </w:pPr>
            <w:r w:rsidRPr="00BE0470">
              <w:rPr>
                <w:rFonts w:ascii="Book Antiqua" w:eastAsia="Times New Roman" w:hAnsi="Book Antiqua" w:cs="Calibri"/>
                <w:color w:val="000000"/>
                <w:lang w:eastAsia="es-CR"/>
              </w:rPr>
              <w:t>53</w:t>
            </w:r>
          </w:p>
        </w:tc>
      </w:tr>
      <w:tr w:rsidR="00BE0470" w:rsidRPr="00BE0470" w14:paraId="53B3AD32" w14:textId="77777777" w:rsidTr="00BE0470">
        <w:trPr>
          <w:trHeight w:val="300"/>
        </w:trPr>
        <w:tc>
          <w:tcPr>
            <w:tcW w:w="1045" w:type="pct"/>
            <w:tcBorders>
              <w:top w:val="nil"/>
              <w:left w:val="single" w:sz="8" w:space="0" w:color="auto"/>
              <w:bottom w:val="single" w:sz="8" w:space="0" w:color="auto"/>
              <w:right w:val="single" w:sz="8" w:space="0" w:color="auto"/>
            </w:tcBorders>
            <w:shd w:val="clear" w:color="000000" w:fill="0070C0"/>
            <w:vAlign w:val="center"/>
            <w:hideMark/>
          </w:tcPr>
          <w:p w14:paraId="3D631C4F"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Total señalados</w:t>
            </w:r>
          </w:p>
        </w:tc>
        <w:tc>
          <w:tcPr>
            <w:tcW w:w="784" w:type="pct"/>
            <w:tcBorders>
              <w:top w:val="nil"/>
              <w:left w:val="nil"/>
              <w:bottom w:val="single" w:sz="8" w:space="0" w:color="auto"/>
              <w:right w:val="single" w:sz="8" w:space="0" w:color="auto"/>
            </w:tcBorders>
            <w:shd w:val="clear" w:color="000000" w:fill="0070C0"/>
            <w:vAlign w:val="center"/>
            <w:hideMark/>
          </w:tcPr>
          <w:p w14:paraId="1E41DA98"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12 169</w:t>
            </w:r>
          </w:p>
        </w:tc>
        <w:tc>
          <w:tcPr>
            <w:tcW w:w="784" w:type="pct"/>
            <w:tcBorders>
              <w:top w:val="nil"/>
              <w:left w:val="nil"/>
              <w:bottom w:val="single" w:sz="8" w:space="0" w:color="auto"/>
              <w:right w:val="single" w:sz="8" w:space="0" w:color="auto"/>
            </w:tcBorders>
            <w:shd w:val="clear" w:color="000000" w:fill="0070C0"/>
            <w:vAlign w:val="center"/>
            <w:hideMark/>
          </w:tcPr>
          <w:p w14:paraId="5F6BAF2A"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12 445</w:t>
            </w:r>
          </w:p>
        </w:tc>
        <w:tc>
          <w:tcPr>
            <w:tcW w:w="784" w:type="pct"/>
            <w:tcBorders>
              <w:top w:val="nil"/>
              <w:left w:val="nil"/>
              <w:bottom w:val="single" w:sz="8" w:space="0" w:color="auto"/>
              <w:right w:val="single" w:sz="8" w:space="0" w:color="auto"/>
            </w:tcBorders>
            <w:shd w:val="clear" w:color="000000" w:fill="0070C0"/>
            <w:vAlign w:val="center"/>
            <w:hideMark/>
          </w:tcPr>
          <w:p w14:paraId="412BD612"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12 034</w:t>
            </w:r>
          </w:p>
        </w:tc>
        <w:tc>
          <w:tcPr>
            <w:tcW w:w="858" w:type="pct"/>
            <w:tcBorders>
              <w:top w:val="nil"/>
              <w:left w:val="nil"/>
              <w:bottom w:val="single" w:sz="8" w:space="0" w:color="auto"/>
              <w:right w:val="single" w:sz="8" w:space="0" w:color="auto"/>
            </w:tcBorders>
            <w:shd w:val="clear" w:color="000000" w:fill="0070C0"/>
            <w:vAlign w:val="center"/>
            <w:hideMark/>
          </w:tcPr>
          <w:p w14:paraId="49C03506"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6 404</w:t>
            </w:r>
          </w:p>
        </w:tc>
        <w:tc>
          <w:tcPr>
            <w:tcW w:w="746" w:type="pct"/>
            <w:tcBorders>
              <w:top w:val="nil"/>
              <w:left w:val="nil"/>
              <w:bottom w:val="single" w:sz="8" w:space="0" w:color="auto"/>
              <w:right w:val="single" w:sz="8" w:space="0" w:color="auto"/>
            </w:tcBorders>
            <w:shd w:val="clear" w:color="000000" w:fill="0070C0"/>
            <w:vAlign w:val="center"/>
            <w:hideMark/>
          </w:tcPr>
          <w:p w14:paraId="6DBF01C4" w14:textId="77777777" w:rsidR="00BE0470" w:rsidRPr="00BE0470" w:rsidRDefault="00BE0470" w:rsidP="00BE0470">
            <w:pPr>
              <w:spacing w:after="0" w:line="240" w:lineRule="auto"/>
              <w:jc w:val="center"/>
              <w:rPr>
                <w:rFonts w:ascii="Book Antiqua" w:eastAsia="Times New Roman" w:hAnsi="Book Antiqua" w:cs="Calibri"/>
                <w:b/>
                <w:bCs/>
                <w:color w:val="FFFFFF"/>
                <w:lang w:eastAsia="es-CR"/>
              </w:rPr>
            </w:pPr>
            <w:r w:rsidRPr="00BE0470">
              <w:rPr>
                <w:rFonts w:ascii="Book Antiqua" w:eastAsia="Times New Roman" w:hAnsi="Book Antiqua" w:cs="Calibri"/>
                <w:b/>
                <w:bCs/>
                <w:color w:val="FFFFFF"/>
                <w:lang w:eastAsia="es-CR"/>
              </w:rPr>
              <w:t>10 618</w:t>
            </w:r>
          </w:p>
        </w:tc>
      </w:tr>
      <w:tr w:rsidR="00BE0470" w:rsidRPr="00BE0470" w14:paraId="05649A8D" w14:textId="77777777" w:rsidTr="00BE0470">
        <w:trPr>
          <w:trHeight w:val="880"/>
        </w:trPr>
        <w:tc>
          <w:tcPr>
            <w:tcW w:w="1045" w:type="pct"/>
            <w:tcBorders>
              <w:top w:val="nil"/>
              <w:left w:val="single" w:sz="8" w:space="0" w:color="auto"/>
              <w:bottom w:val="single" w:sz="8" w:space="0" w:color="auto"/>
              <w:right w:val="single" w:sz="8" w:space="0" w:color="auto"/>
            </w:tcBorders>
            <w:shd w:val="clear" w:color="000000" w:fill="B8CCE4"/>
            <w:vAlign w:val="center"/>
            <w:hideMark/>
          </w:tcPr>
          <w:p w14:paraId="2F082DB5"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Señalamientos Promedio por mes</w:t>
            </w:r>
          </w:p>
        </w:tc>
        <w:tc>
          <w:tcPr>
            <w:tcW w:w="784" w:type="pct"/>
            <w:tcBorders>
              <w:top w:val="nil"/>
              <w:left w:val="nil"/>
              <w:bottom w:val="single" w:sz="8" w:space="0" w:color="auto"/>
              <w:right w:val="single" w:sz="8" w:space="0" w:color="auto"/>
            </w:tcBorders>
            <w:shd w:val="clear" w:color="000000" w:fill="B8CCE4"/>
            <w:vAlign w:val="center"/>
            <w:hideMark/>
          </w:tcPr>
          <w:p w14:paraId="67CE4AB9"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1082</w:t>
            </w:r>
          </w:p>
        </w:tc>
        <w:tc>
          <w:tcPr>
            <w:tcW w:w="784" w:type="pct"/>
            <w:tcBorders>
              <w:top w:val="nil"/>
              <w:left w:val="nil"/>
              <w:bottom w:val="single" w:sz="8" w:space="0" w:color="auto"/>
              <w:right w:val="single" w:sz="8" w:space="0" w:color="auto"/>
            </w:tcBorders>
            <w:shd w:val="clear" w:color="000000" w:fill="B8CCE4"/>
            <w:vAlign w:val="center"/>
            <w:hideMark/>
          </w:tcPr>
          <w:p w14:paraId="70159078"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1106</w:t>
            </w:r>
          </w:p>
        </w:tc>
        <w:tc>
          <w:tcPr>
            <w:tcW w:w="784" w:type="pct"/>
            <w:tcBorders>
              <w:top w:val="nil"/>
              <w:left w:val="nil"/>
              <w:bottom w:val="single" w:sz="8" w:space="0" w:color="auto"/>
              <w:right w:val="single" w:sz="8" w:space="0" w:color="auto"/>
            </w:tcBorders>
            <w:shd w:val="clear" w:color="000000" w:fill="B8CCE4"/>
            <w:vAlign w:val="center"/>
            <w:hideMark/>
          </w:tcPr>
          <w:p w14:paraId="06542FB4"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1070</w:t>
            </w:r>
          </w:p>
        </w:tc>
        <w:tc>
          <w:tcPr>
            <w:tcW w:w="858" w:type="pct"/>
            <w:tcBorders>
              <w:top w:val="nil"/>
              <w:left w:val="nil"/>
              <w:bottom w:val="single" w:sz="8" w:space="0" w:color="auto"/>
              <w:right w:val="single" w:sz="8" w:space="0" w:color="auto"/>
            </w:tcBorders>
            <w:shd w:val="clear" w:color="000000" w:fill="B8CCE4"/>
            <w:vAlign w:val="center"/>
            <w:hideMark/>
          </w:tcPr>
          <w:p w14:paraId="66B6B347"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569</w:t>
            </w:r>
          </w:p>
        </w:tc>
        <w:tc>
          <w:tcPr>
            <w:tcW w:w="746" w:type="pct"/>
            <w:tcBorders>
              <w:top w:val="nil"/>
              <w:left w:val="nil"/>
              <w:bottom w:val="single" w:sz="8" w:space="0" w:color="auto"/>
              <w:right w:val="single" w:sz="8" w:space="0" w:color="auto"/>
            </w:tcBorders>
            <w:shd w:val="clear" w:color="000000" w:fill="B8CCE4"/>
            <w:vAlign w:val="center"/>
            <w:hideMark/>
          </w:tcPr>
          <w:p w14:paraId="0A088F0D"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944</w:t>
            </w:r>
          </w:p>
        </w:tc>
      </w:tr>
      <w:tr w:rsidR="00BE0470" w:rsidRPr="00BE0470" w14:paraId="453F5DBE" w14:textId="77777777" w:rsidTr="00BE0470">
        <w:trPr>
          <w:trHeight w:val="880"/>
        </w:trPr>
        <w:tc>
          <w:tcPr>
            <w:tcW w:w="1045" w:type="pct"/>
            <w:tcBorders>
              <w:top w:val="nil"/>
              <w:left w:val="single" w:sz="8" w:space="0" w:color="auto"/>
              <w:bottom w:val="single" w:sz="8" w:space="0" w:color="auto"/>
              <w:right w:val="single" w:sz="8" w:space="0" w:color="auto"/>
            </w:tcBorders>
            <w:shd w:val="clear" w:color="000000" w:fill="B8CCE4"/>
            <w:vAlign w:val="center"/>
            <w:hideMark/>
          </w:tcPr>
          <w:p w14:paraId="7F89C8DE"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lastRenderedPageBreak/>
              <w:t>Porcentaje Efectividad por periodo</w:t>
            </w:r>
          </w:p>
        </w:tc>
        <w:tc>
          <w:tcPr>
            <w:tcW w:w="784" w:type="pct"/>
            <w:tcBorders>
              <w:top w:val="nil"/>
              <w:left w:val="nil"/>
              <w:bottom w:val="single" w:sz="8" w:space="0" w:color="auto"/>
              <w:right w:val="single" w:sz="8" w:space="0" w:color="auto"/>
            </w:tcBorders>
            <w:shd w:val="clear" w:color="000000" w:fill="B8CCE4"/>
            <w:vAlign w:val="center"/>
            <w:hideMark/>
          </w:tcPr>
          <w:p w14:paraId="63EBEEF2"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56%</w:t>
            </w:r>
          </w:p>
        </w:tc>
        <w:tc>
          <w:tcPr>
            <w:tcW w:w="784" w:type="pct"/>
            <w:tcBorders>
              <w:top w:val="nil"/>
              <w:left w:val="nil"/>
              <w:bottom w:val="single" w:sz="8" w:space="0" w:color="auto"/>
              <w:right w:val="single" w:sz="8" w:space="0" w:color="auto"/>
            </w:tcBorders>
            <w:shd w:val="clear" w:color="000000" w:fill="B8CCE4"/>
            <w:vAlign w:val="center"/>
            <w:hideMark/>
          </w:tcPr>
          <w:p w14:paraId="6D3AB552"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59%</w:t>
            </w:r>
          </w:p>
        </w:tc>
        <w:tc>
          <w:tcPr>
            <w:tcW w:w="784" w:type="pct"/>
            <w:tcBorders>
              <w:top w:val="nil"/>
              <w:left w:val="nil"/>
              <w:bottom w:val="single" w:sz="8" w:space="0" w:color="auto"/>
              <w:right w:val="single" w:sz="8" w:space="0" w:color="auto"/>
            </w:tcBorders>
            <w:shd w:val="clear" w:color="000000" w:fill="B8CCE4"/>
            <w:vAlign w:val="center"/>
            <w:hideMark/>
          </w:tcPr>
          <w:p w14:paraId="004AEADA"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62%</w:t>
            </w:r>
          </w:p>
        </w:tc>
        <w:tc>
          <w:tcPr>
            <w:tcW w:w="858" w:type="pct"/>
            <w:tcBorders>
              <w:top w:val="nil"/>
              <w:left w:val="nil"/>
              <w:bottom w:val="single" w:sz="8" w:space="0" w:color="auto"/>
              <w:right w:val="single" w:sz="8" w:space="0" w:color="auto"/>
            </w:tcBorders>
            <w:shd w:val="clear" w:color="000000" w:fill="B8CCE4"/>
            <w:vAlign w:val="center"/>
            <w:hideMark/>
          </w:tcPr>
          <w:p w14:paraId="55205B93"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46%</w:t>
            </w:r>
          </w:p>
        </w:tc>
        <w:tc>
          <w:tcPr>
            <w:tcW w:w="746" w:type="pct"/>
            <w:tcBorders>
              <w:top w:val="nil"/>
              <w:left w:val="nil"/>
              <w:bottom w:val="single" w:sz="8" w:space="0" w:color="auto"/>
              <w:right w:val="single" w:sz="8" w:space="0" w:color="auto"/>
            </w:tcBorders>
            <w:shd w:val="clear" w:color="000000" w:fill="B8CCE4"/>
            <w:vAlign w:val="center"/>
            <w:hideMark/>
          </w:tcPr>
          <w:p w14:paraId="556600F3" w14:textId="77777777" w:rsidR="00BE0470" w:rsidRPr="00BE0470" w:rsidRDefault="00BE0470" w:rsidP="00BE0470">
            <w:pPr>
              <w:spacing w:after="0" w:line="240" w:lineRule="auto"/>
              <w:jc w:val="center"/>
              <w:rPr>
                <w:rFonts w:ascii="Book Antiqua" w:eastAsia="Times New Roman" w:hAnsi="Book Antiqua" w:cs="Calibri"/>
                <w:b/>
                <w:bCs/>
                <w:color w:val="000000"/>
                <w:lang w:eastAsia="es-CR"/>
              </w:rPr>
            </w:pPr>
            <w:r w:rsidRPr="00BE0470">
              <w:rPr>
                <w:rFonts w:ascii="Book Antiqua" w:eastAsia="Times New Roman" w:hAnsi="Book Antiqua" w:cs="Calibri"/>
                <w:b/>
                <w:bCs/>
                <w:color w:val="000000"/>
                <w:lang w:eastAsia="es-CR"/>
              </w:rPr>
              <w:t>67%</w:t>
            </w:r>
          </w:p>
        </w:tc>
      </w:tr>
    </w:tbl>
    <w:p w14:paraId="2F4C74AD" w14:textId="1D247C03" w:rsidR="00C36C20" w:rsidRDefault="004248CC" w:rsidP="004248CC">
      <w:pPr>
        <w:spacing w:after="0" w:line="276" w:lineRule="auto"/>
        <w:rPr>
          <w:rFonts w:ascii="Book Antiqua" w:eastAsia="Calibri" w:hAnsi="Book Antiqua" w:cs="Arial"/>
          <w:i/>
          <w:iCs/>
          <w:sz w:val="20"/>
          <w:szCs w:val="20"/>
        </w:rPr>
      </w:pPr>
      <w:r w:rsidRPr="004248CC">
        <w:rPr>
          <w:rFonts w:ascii="Book Antiqua" w:eastAsia="Calibri" w:hAnsi="Book Antiqua" w:cs="Arial"/>
          <w:i/>
          <w:iCs/>
          <w:sz w:val="20"/>
          <w:szCs w:val="20"/>
        </w:rPr>
        <w:t>Fuente: Subproceso de Modernización Institucional, con datos de los Juzgados Especializados de Familia, del 201</w:t>
      </w:r>
      <w:r>
        <w:rPr>
          <w:rFonts w:ascii="Book Antiqua" w:eastAsia="Calibri" w:hAnsi="Book Antiqua" w:cs="Arial"/>
          <w:i/>
          <w:iCs/>
          <w:sz w:val="20"/>
          <w:szCs w:val="20"/>
        </w:rPr>
        <w:t>7</w:t>
      </w:r>
      <w:r w:rsidRPr="004248CC">
        <w:rPr>
          <w:rFonts w:ascii="Book Antiqua" w:eastAsia="Calibri" w:hAnsi="Book Antiqua" w:cs="Arial"/>
          <w:i/>
          <w:iCs/>
          <w:sz w:val="20"/>
          <w:szCs w:val="20"/>
        </w:rPr>
        <w:t xml:space="preserve"> al 20</w:t>
      </w:r>
      <w:r>
        <w:rPr>
          <w:rFonts w:ascii="Book Antiqua" w:eastAsia="Calibri" w:hAnsi="Book Antiqua" w:cs="Arial"/>
          <w:i/>
          <w:iCs/>
          <w:sz w:val="20"/>
          <w:szCs w:val="20"/>
        </w:rPr>
        <w:t>2</w:t>
      </w:r>
      <w:r w:rsidRPr="004248CC">
        <w:rPr>
          <w:rFonts w:ascii="Book Antiqua" w:eastAsia="Calibri" w:hAnsi="Book Antiqua" w:cs="Arial"/>
          <w:i/>
          <w:iCs/>
          <w:sz w:val="20"/>
          <w:szCs w:val="20"/>
        </w:rPr>
        <w:t>1</w:t>
      </w:r>
      <w:r>
        <w:rPr>
          <w:rFonts w:ascii="Book Antiqua" w:eastAsia="Calibri" w:hAnsi="Book Antiqua" w:cs="Arial"/>
          <w:i/>
          <w:iCs/>
          <w:sz w:val="20"/>
          <w:szCs w:val="20"/>
        </w:rPr>
        <w:t>.</w:t>
      </w:r>
    </w:p>
    <w:p w14:paraId="1BB63C4F" w14:textId="60B29C17" w:rsidR="002946EB" w:rsidRDefault="002946EB" w:rsidP="004248CC">
      <w:pPr>
        <w:spacing w:after="0" w:line="276" w:lineRule="auto"/>
        <w:rPr>
          <w:rFonts w:ascii="Book Antiqua" w:eastAsia="Calibri" w:hAnsi="Book Antiqua" w:cs="Arial"/>
          <w:i/>
          <w:iCs/>
          <w:sz w:val="20"/>
          <w:szCs w:val="20"/>
        </w:rPr>
      </w:pPr>
      <w:bookmarkStart w:id="18" w:name="_Hlk97283229"/>
      <w:r>
        <w:rPr>
          <w:rFonts w:ascii="Book Antiqua" w:eastAsia="Calibri" w:hAnsi="Book Antiqua" w:cs="Arial"/>
          <w:i/>
          <w:iCs/>
          <w:sz w:val="20"/>
          <w:szCs w:val="20"/>
        </w:rPr>
        <w:t xml:space="preserve">Nota: No se recibió la información del el Juzgado de Familia del II C.J. Alajuela y el Juzgado de Familia de Puntarenas </w:t>
      </w:r>
      <w:r w:rsidR="004566F4">
        <w:rPr>
          <w:rFonts w:ascii="Book Antiqua" w:eastAsia="Calibri" w:hAnsi="Book Antiqua" w:cs="Arial"/>
          <w:i/>
          <w:iCs/>
          <w:sz w:val="20"/>
          <w:szCs w:val="20"/>
        </w:rPr>
        <w:t>indicó que</w:t>
      </w:r>
      <w:r>
        <w:rPr>
          <w:rFonts w:ascii="Book Antiqua" w:eastAsia="Calibri" w:hAnsi="Book Antiqua" w:cs="Arial"/>
          <w:i/>
          <w:iCs/>
          <w:sz w:val="20"/>
          <w:szCs w:val="20"/>
        </w:rPr>
        <w:t xml:space="preserve"> por problemas con la Agenda Cronos</w:t>
      </w:r>
      <w:r w:rsidR="004566F4">
        <w:rPr>
          <w:rFonts w:ascii="Book Antiqua" w:eastAsia="Calibri" w:hAnsi="Book Antiqua" w:cs="Arial"/>
          <w:i/>
          <w:iCs/>
          <w:sz w:val="20"/>
          <w:szCs w:val="20"/>
        </w:rPr>
        <w:t xml:space="preserve"> no fue posible remitir lo solicitado</w:t>
      </w:r>
      <w:r>
        <w:rPr>
          <w:rFonts w:ascii="Book Antiqua" w:eastAsia="Calibri" w:hAnsi="Book Antiqua" w:cs="Arial"/>
          <w:i/>
          <w:iCs/>
          <w:sz w:val="20"/>
          <w:szCs w:val="20"/>
        </w:rPr>
        <w:t xml:space="preserve">. </w:t>
      </w:r>
    </w:p>
    <w:bookmarkEnd w:id="18"/>
    <w:p w14:paraId="7B4156A4" w14:textId="7E7C5FD6" w:rsidR="004248CC" w:rsidRDefault="004248CC" w:rsidP="004248CC">
      <w:pPr>
        <w:spacing w:after="0" w:line="276" w:lineRule="auto"/>
        <w:rPr>
          <w:rFonts w:ascii="Book Antiqua" w:eastAsia="Calibri" w:hAnsi="Book Antiqua" w:cs="Arial"/>
          <w:i/>
          <w:iCs/>
          <w:sz w:val="20"/>
          <w:szCs w:val="20"/>
        </w:rPr>
      </w:pPr>
    </w:p>
    <w:p w14:paraId="7E8365DD" w14:textId="1EDC26C6" w:rsidR="00F40A13" w:rsidRDefault="00F40A13" w:rsidP="00F40A13">
      <w:pPr>
        <w:spacing w:after="0" w:line="276" w:lineRule="auto"/>
        <w:jc w:val="both"/>
        <w:rPr>
          <w:rFonts w:ascii="Book Antiqua" w:eastAsia="Calibri" w:hAnsi="Book Antiqua" w:cs="Arial"/>
          <w:sz w:val="24"/>
          <w:szCs w:val="24"/>
        </w:rPr>
      </w:pPr>
      <w:r w:rsidRPr="00F40A13">
        <w:rPr>
          <w:rFonts w:ascii="Book Antiqua" w:eastAsia="Calibri" w:hAnsi="Book Antiqua" w:cs="Arial"/>
          <w:sz w:val="24"/>
          <w:szCs w:val="24"/>
        </w:rPr>
        <w:t>La efectividad de las audiencias señaladas en la Agenda Cronos del 201</w:t>
      </w:r>
      <w:r>
        <w:rPr>
          <w:rFonts w:ascii="Book Antiqua" w:eastAsia="Calibri" w:hAnsi="Book Antiqua" w:cs="Arial"/>
          <w:sz w:val="24"/>
          <w:szCs w:val="24"/>
        </w:rPr>
        <w:t>7</w:t>
      </w:r>
      <w:r w:rsidRPr="00F40A13">
        <w:rPr>
          <w:rFonts w:ascii="Book Antiqua" w:eastAsia="Calibri" w:hAnsi="Book Antiqua" w:cs="Arial"/>
          <w:sz w:val="24"/>
          <w:szCs w:val="24"/>
        </w:rPr>
        <w:t xml:space="preserve"> al 20</w:t>
      </w:r>
      <w:r>
        <w:rPr>
          <w:rFonts w:ascii="Book Antiqua" w:eastAsia="Calibri" w:hAnsi="Book Antiqua" w:cs="Arial"/>
          <w:sz w:val="24"/>
          <w:szCs w:val="24"/>
        </w:rPr>
        <w:t>2</w:t>
      </w:r>
      <w:r w:rsidRPr="00F40A13">
        <w:rPr>
          <w:rFonts w:ascii="Book Antiqua" w:eastAsia="Calibri" w:hAnsi="Book Antiqua" w:cs="Arial"/>
          <w:sz w:val="24"/>
          <w:szCs w:val="24"/>
        </w:rPr>
        <w:t xml:space="preserve">1, en los Juzgados Especializados de Familia, en promedio es de un </w:t>
      </w:r>
      <w:r w:rsidRPr="00BE0470">
        <w:rPr>
          <w:rFonts w:ascii="Book Antiqua" w:eastAsia="Calibri" w:hAnsi="Book Antiqua" w:cs="Arial"/>
          <w:sz w:val="24"/>
          <w:szCs w:val="24"/>
        </w:rPr>
        <w:t>5</w:t>
      </w:r>
      <w:r w:rsidR="00BE0470" w:rsidRPr="00BE0470">
        <w:rPr>
          <w:rFonts w:ascii="Book Antiqua" w:eastAsia="Calibri" w:hAnsi="Book Antiqua" w:cs="Arial"/>
          <w:sz w:val="24"/>
          <w:szCs w:val="24"/>
        </w:rPr>
        <w:t>8</w:t>
      </w:r>
      <w:r w:rsidRPr="00BE0470">
        <w:rPr>
          <w:rFonts w:ascii="Book Antiqua" w:eastAsia="Calibri" w:hAnsi="Book Antiqua" w:cs="Arial"/>
          <w:sz w:val="24"/>
          <w:szCs w:val="24"/>
        </w:rPr>
        <w:t>%</w:t>
      </w:r>
      <w:r w:rsidRPr="00F40A13">
        <w:rPr>
          <w:rFonts w:ascii="Book Antiqua" w:eastAsia="Calibri" w:hAnsi="Book Antiqua" w:cs="Arial"/>
          <w:sz w:val="24"/>
          <w:szCs w:val="24"/>
        </w:rPr>
        <w:t xml:space="preserve"> de realización y un promedio mensual de </w:t>
      </w:r>
      <w:r w:rsidR="00BE0470">
        <w:rPr>
          <w:rFonts w:ascii="Book Antiqua" w:eastAsia="Calibri" w:hAnsi="Book Antiqua" w:cs="Arial"/>
          <w:sz w:val="24"/>
          <w:szCs w:val="24"/>
        </w:rPr>
        <w:t>954</w:t>
      </w:r>
      <w:r w:rsidRPr="00F40A13">
        <w:rPr>
          <w:rFonts w:ascii="Book Antiqua" w:eastAsia="Calibri" w:hAnsi="Book Antiqua" w:cs="Arial"/>
          <w:sz w:val="24"/>
          <w:szCs w:val="24"/>
        </w:rPr>
        <w:t xml:space="preserve"> señalamientos, siendo el </w:t>
      </w:r>
      <w:r w:rsidRPr="00BE0470">
        <w:rPr>
          <w:rFonts w:ascii="Book Antiqua" w:eastAsia="Calibri" w:hAnsi="Book Antiqua" w:cs="Arial"/>
          <w:sz w:val="24"/>
          <w:szCs w:val="24"/>
        </w:rPr>
        <w:t>20</w:t>
      </w:r>
      <w:r w:rsidR="00BE0470" w:rsidRPr="00BE0470">
        <w:rPr>
          <w:rFonts w:ascii="Book Antiqua" w:eastAsia="Calibri" w:hAnsi="Book Antiqua" w:cs="Arial"/>
          <w:sz w:val="24"/>
          <w:szCs w:val="24"/>
        </w:rPr>
        <w:t>2</w:t>
      </w:r>
      <w:r w:rsidRPr="00BE0470">
        <w:rPr>
          <w:rFonts w:ascii="Book Antiqua" w:eastAsia="Calibri" w:hAnsi="Book Antiqua" w:cs="Arial"/>
          <w:sz w:val="24"/>
          <w:szCs w:val="24"/>
        </w:rPr>
        <w:t>1</w:t>
      </w:r>
      <w:r w:rsidRPr="00F40A13">
        <w:rPr>
          <w:rFonts w:ascii="Book Antiqua" w:eastAsia="Calibri" w:hAnsi="Book Antiqua" w:cs="Arial"/>
          <w:sz w:val="24"/>
          <w:szCs w:val="24"/>
        </w:rPr>
        <w:t xml:space="preserve"> el de </w:t>
      </w:r>
      <w:r w:rsidRPr="00BE0470">
        <w:rPr>
          <w:rFonts w:ascii="Book Antiqua" w:eastAsia="Calibri" w:hAnsi="Book Antiqua" w:cs="Arial"/>
          <w:sz w:val="24"/>
          <w:szCs w:val="24"/>
        </w:rPr>
        <w:t>mayor efectividad con un 6</w:t>
      </w:r>
      <w:r w:rsidR="00BE0470" w:rsidRPr="00BE0470">
        <w:rPr>
          <w:rFonts w:ascii="Book Antiqua" w:eastAsia="Calibri" w:hAnsi="Book Antiqua" w:cs="Arial"/>
          <w:sz w:val="24"/>
          <w:szCs w:val="24"/>
        </w:rPr>
        <w:t>7</w:t>
      </w:r>
      <w:r w:rsidRPr="00BE0470">
        <w:rPr>
          <w:rFonts w:ascii="Book Antiqua" w:eastAsia="Calibri" w:hAnsi="Book Antiqua" w:cs="Arial"/>
          <w:sz w:val="24"/>
          <w:szCs w:val="24"/>
        </w:rPr>
        <w:t>% y el menor en el 20</w:t>
      </w:r>
      <w:r w:rsidR="00BE0470" w:rsidRPr="00BE0470">
        <w:rPr>
          <w:rFonts w:ascii="Book Antiqua" w:eastAsia="Calibri" w:hAnsi="Book Antiqua" w:cs="Arial"/>
          <w:sz w:val="24"/>
          <w:szCs w:val="24"/>
        </w:rPr>
        <w:t>20</w:t>
      </w:r>
      <w:r w:rsidRPr="00BE0470">
        <w:rPr>
          <w:rFonts w:ascii="Book Antiqua" w:eastAsia="Calibri" w:hAnsi="Book Antiqua" w:cs="Arial"/>
          <w:sz w:val="24"/>
          <w:szCs w:val="24"/>
        </w:rPr>
        <w:t xml:space="preserve"> con un </w:t>
      </w:r>
      <w:r w:rsidR="00BE0470" w:rsidRPr="00BE0470">
        <w:rPr>
          <w:rFonts w:ascii="Book Antiqua" w:eastAsia="Calibri" w:hAnsi="Book Antiqua" w:cs="Arial"/>
          <w:sz w:val="24"/>
          <w:szCs w:val="24"/>
        </w:rPr>
        <w:t>46</w:t>
      </w:r>
      <w:r w:rsidRPr="00BE0470">
        <w:rPr>
          <w:rFonts w:ascii="Book Antiqua" w:eastAsia="Calibri" w:hAnsi="Book Antiqua" w:cs="Arial"/>
          <w:sz w:val="24"/>
          <w:szCs w:val="24"/>
        </w:rPr>
        <w:t>%; lo que refleja</w:t>
      </w:r>
      <w:r w:rsidRPr="00F40A13">
        <w:rPr>
          <w:rFonts w:ascii="Book Antiqua" w:eastAsia="Calibri" w:hAnsi="Book Antiqua" w:cs="Arial"/>
          <w:sz w:val="24"/>
          <w:szCs w:val="24"/>
        </w:rPr>
        <w:t xml:space="preserve"> </w:t>
      </w:r>
      <w:r w:rsidRPr="00BE0470">
        <w:rPr>
          <w:rFonts w:ascii="Book Antiqua" w:eastAsia="Calibri" w:hAnsi="Book Antiqua" w:cs="Arial"/>
          <w:sz w:val="24"/>
          <w:szCs w:val="24"/>
        </w:rPr>
        <w:t xml:space="preserve">un aumento de un </w:t>
      </w:r>
      <w:r w:rsidR="00BE0470" w:rsidRPr="00BE0470">
        <w:rPr>
          <w:rFonts w:ascii="Book Antiqua" w:eastAsia="Calibri" w:hAnsi="Book Antiqua" w:cs="Arial"/>
          <w:sz w:val="24"/>
          <w:szCs w:val="24"/>
        </w:rPr>
        <w:t>12</w:t>
      </w:r>
      <w:r w:rsidRPr="00BE0470">
        <w:rPr>
          <w:rFonts w:ascii="Book Antiqua" w:eastAsia="Calibri" w:hAnsi="Book Antiqua" w:cs="Arial"/>
          <w:sz w:val="24"/>
          <w:szCs w:val="24"/>
        </w:rPr>
        <w:t>%</w:t>
      </w:r>
      <w:r w:rsidRPr="00F40A13">
        <w:rPr>
          <w:rFonts w:ascii="Book Antiqua" w:eastAsia="Calibri" w:hAnsi="Book Antiqua" w:cs="Arial"/>
          <w:sz w:val="24"/>
          <w:szCs w:val="24"/>
        </w:rPr>
        <w:t xml:space="preserve"> de la efectividad de las audiencias durante los últimos cinco años. </w:t>
      </w:r>
      <w:r w:rsidR="00FD0E90">
        <w:rPr>
          <w:rFonts w:ascii="Book Antiqua" w:eastAsia="Calibri" w:hAnsi="Book Antiqua" w:cs="Arial"/>
          <w:sz w:val="24"/>
          <w:szCs w:val="24"/>
        </w:rPr>
        <w:t>Debe indicarse que en el 2020, existió una alta tasa de audiencias su</w:t>
      </w:r>
      <w:r w:rsidR="004F4D50">
        <w:rPr>
          <w:rFonts w:ascii="Book Antiqua" w:eastAsia="Calibri" w:hAnsi="Book Antiqua" w:cs="Arial"/>
          <w:sz w:val="24"/>
          <w:szCs w:val="24"/>
        </w:rPr>
        <w:t>s</w:t>
      </w:r>
      <w:r w:rsidR="00FD0E90">
        <w:rPr>
          <w:rFonts w:ascii="Book Antiqua" w:eastAsia="Calibri" w:hAnsi="Book Antiqua" w:cs="Arial"/>
          <w:sz w:val="24"/>
          <w:szCs w:val="24"/>
        </w:rPr>
        <w:t xml:space="preserve">pendidas motivadas por la pandemia </w:t>
      </w:r>
      <w:r w:rsidR="009A4115">
        <w:rPr>
          <w:rFonts w:ascii="Book Antiqua" w:eastAsia="Calibri" w:hAnsi="Book Antiqua" w:cs="Arial"/>
          <w:sz w:val="24"/>
          <w:szCs w:val="24"/>
        </w:rPr>
        <w:t>Covid</w:t>
      </w:r>
      <w:r w:rsidR="00FD0E90">
        <w:rPr>
          <w:rFonts w:ascii="Book Antiqua" w:eastAsia="Calibri" w:hAnsi="Book Antiqua" w:cs="Arial"/>
          <w:sz w:val="24"/>
          <w:szCs w:val="24"/>
        </w:rPr>
        <w:t xml:space="preserve"> 19.</w:t>
      </w:r>
    </w:p>
    <w:p w14:paraId="3942D97B" w14:textId="77777777" w:rsidR="00FD0E90" w:rsidRPr="00F40A13" w:rsidRDefault="00FD0E90" w:rsidP="00F40A13">
      <w:pPr>
        <w:spacing w:after="0" w:line="276" w:lineRule="auto"/>
        <w:jc w:val="both"/>
        <w:rPr>
          <w:rFonts w:ascii="Book Antiqua" w:eastAsia="Calibri" w:hAnsi="Book Antiqua" w:cs="Arial"/>
          <w:sz w:val="24"/>
          <w:szCs w:val="24"/>
        </w:rPr>
      </w:pPr>
    </w:p>
    <w:p w14:paraId="11E7D0FD" w14:textId="553DA322" w:rsidR="00F40A13" w:rsidRPr="00F40A13" w:rsidRDefault="00F40A13" w:rsidP="00F40A13">
      <w:pPr>
        <w:spacing w:after="0" w:line="276" w:lineRule="auto"/>
        <w:jc w:val="both"/>
        <w:rPr>
          <w:rFonts w:ascii="Book Antiqua" w:eastAsia="Calibri" w:hAnsi="Book Antiqua" w:cs="Arial"/>
          <w:sz w:val="24"/>
          <w:szCs w:val="24"/>
        </w:rPr>
      </w:pPr>
      <w:r w:rsidRPr="00F40A13">
        <w:rPr>
          <w:rFonts w:ascii="Book Antiqua" w:eastAsia="Calibri" w:hAnsi="Book Antiqua" w:cs="Arial"/>
          <w:sz w:val="24"/>
          <w:szCs w:val="24"/>
        </w:rPr>
        <w:t xml:space="preserve">Del cuadro anterior se evidencia que </w:t>
      </w:r>
      <w:r w:rsidR="004F4D50">
        <w:rPr>
          <w:rFonts w:ascii="Book Antiqua" w:eastAsia="Calibri" w:hAnsi="Book Antiqua" w:cs="Arial"/>
          <w:sz w:val="24"/>
          <w:szCs w:val="24"/>
        </w:rPr>
        <w:t xml:space="preserve">anualmente </w:t>
      </w:r>
      <w:r w:rsidRPr="00F40A13">
        <w:rPr>
          <w:rFonts w:ascii="Book Antiqua" w:eastAsia="Calibri" w:hAnsi="Book Antiqua" w:cs="Arial"/>
          <w:sz w:val="24"/>
          <w:szCs w:val="24"/>
        </w:rPr>
        <w:t xml:space="preserve">los despachos no actualizan los datos en la Agenda Cronos, como se observa, hay más de </w:t>
      </w:r>
      <w:r w:rsidR="00D66F4A" w:rsidRPr="00D66F4A">
        <w:rPr>
          <w:rFonts w:ascii="Book Antiqua" w:eastAsia="Calibri" w:hAnsi="Book Antiqua" w:cs="Arial"/>
          <w:sz w:val="24"/>
          <w:szCs w:val="24"/>
        </w:rPr>
        <w:t>2</w:t>
      </w:r>
      <w:r w:rsidRPr="00D66F4A">
        <w:rPr>
          <w:rFonts w:ascii="Book Antiqua" w:eastAsia="Calibri" w:hAnsi="Book Antiqua" w:cs="Arial"/>
          <w:sz w:val="24"/>
          <w:szCs w:val="24"/>
        </w:rPr>
        <w:t xml:space="preserve"> 000 audiencias en estado “Pendiente” desde el 201</w:t>
      </w:r>
      <w:r w:rsidR="00D66F4A" w:rsidRPr="00D66F4A">
        <w:rPr>
          <w:rFonts w:ascii="Book Antiqua" w:eastAsia="Calibri" w:hAnsi="Book Antiqua" w:cs="Arial"/>
          <w:sz w:val="24"/>
          <w:szCs w:val="24"/>
        </w:rPr>
        <w:t>7</w:t>
      </w:r>
      <w:r w:rsidRPr="00D66F4A">
        <w:rPr>
          <w:rFonts w:ascii="Book Antiqua" w:eastAsia="Calibri" w:hAnsi="Book Antiqua" w:cs="Arial"/>
          <w:sz w:val="24"/>
          <w:szCs w:val="24"/>
        </w:rPr>
        <w:t>, situación que debe ser corregida</w:t>
      </w:r>
      <w:r w:rsidRPr="00F40A13">
        <w:rPr>
          <w:rFonts w:ascii="Book Antiqua" w:eastAsia="Calibri" w:hAnsi="Book Antiqua" w:cs="Arial"/>
          <w:sz w:val="24"/>
          <w:szCs w:val="24"/>
        </w:rPr>
        <w:t xml:space="preserve"> </w:t>
      </w:r>
      <w:r w:rsidR="001C0DBC">
        <w:rPr>
          <w:rFonts w:ascii="Book Antiqua" w:eastAsia="Calibri" w:hAnsi="Book Antiqua" w:cs="Arial"/>
          <w:sz w:val="24"/>
          <w:szCs w:val="24"/>
        </w:rPr>
        <w:t>incluso como parte de las inconsistencias mes a mes, durante los 5 primeros días del mes. Si</w:t>
      </w:r>
      <w:r w:rsidR="009A4115">
        <w:rPr>
          <w:rFonts w:ascii="Book Antiqua" w:eastAsia="Calibri" w:hAnsi="Book Antiqua" w:cs="Arial"/>
          <w:sz w:val="24"/>
          <w:szCs w:val="24"/>
        </w:rPr>
        <w:t xml:space="preserve"> </w:t>
      </w:r>
      <w:r w:rsidR="001C0DBC">
        <w:rPr>
          <w:rFonts w:ascii="Book Antiqua" w:eastAsia="Calibri" w:hAnsi="Book Antiqua" w:cs="Arial"/>
          <w:sz w:val="24"/>
          <w:szCs w:val="24"/>
        </w:rPr>
        <w:t xml:space="preserve">las actualizaciones se realizan posterior a esos 5 días, no se visualizarán los cambios, ya que los informes mensuales representan el estado de la oficina a la fecha generada “foto”.  </w:t>
      </w:r>
      <w:r w:rsidRPr="00F40A13">
        <w:rPr>
          <w:rFonts w:ascii="Book Antiqua" w:eastAsia="Calibri" w:hAnsi="Book Antiqua" w:cs="Arial"/>
          <w:sz w:val="24"/>
          <w:szCs w:val="24"/>
        </w:rPr>
        <w:t>e</w:t>
      </w:r>
      <w:r w:rsidR="0001082E">
        <w:rPr>
          <w:rFonts w:ascii="Book Antiqua" w:eastAsia="Calibri" w:hAnsi="Book Antiqua" w:cs="Arial"/>
          <w:sz w:val="24"/>
          <w:szCs w:val="24"/>
        </w:rPr>
        <w:t xml:space="preserve"> </w:t>
      </w:r>
      <w:r w:rsidR="009A4115">
        <w:rPr>
          <w:rFonts w:ascii="Book Antiqua" w:eastAsia="Calibri" w:hAnsi="Book Antiqua" w:cs="Arial"/>
          <w:sz w:val="24"/>
          <w:szCs w:val="24"/>
        </w:rPr>
        <w:t>E</w:t>
      </w:r>
      <w:r w:rsidRPr="00F40A13">
        <w:rPr>
          <w:rFonts w:ascii="Book Antiqua" w:eastAsia="Calibri" w:hAnsi="Book Antiqua" w:cs="Arial"/>
          <w:sz w:val="24"/>
          <w:szCs w:val="24"/>
        </w:rPr>
        <w:t>s de suma importancia que los datos que ingresan los Despachos estén actualizados, ya que lo que no se registre, no se considera formalmente en los datos estadísticos</w:t>
      </w:r>
      <w:r w:rsidR="00FD0E90">
        <w:rPr>
          <w:rFonts w:ascii="Book Antiqua" w:eastAsia="Calibri" w:hAnsi="Book Antiqua" w:cs="Arial"/>
          <w:sz w:val="24"/>
          <w:szCs w:val="24"/>
        </w:rPr>
        <w:t>, al finalizar cada mes no puede existir audiencias pendientes porque tuvieron que haber sido realizadas o no realizadas</w:t>
      </w:r>
    </w:p>
    <w:p w14:paraId="05493D93" w14:textId="77777777" w:rsidR="00F40A13" w:rsidRPr="00F40A13" w:rsidRDefault="00F40A13" w:rsidP="00F40A13">
      <w:pPr>
        <w:spacing w:after="0" w:line="276" w:lineRule="auto"/>
        <w:jc w:val="both"/>
        <w:rPr>
          <w:rFonts w:ascii="Book Antiqua" w:eastAsia="Calibri" w:hAnsi="Book Antiqua" w:cs="Arial"/>
          <w:sz w:val="24"/>
          <w:szCs w:val="24"/>
        </w:rPr>
      </w:pPr>
    </w:p>
    <w:p w14:paraId="1FEAE93A" w14:textId="1804A219" w:rsidR="00F40A13" w:rsidRPr="00F40A13" w:rsidRDefault="00F40A13" w:rsidP="00F40A13">
      <w:pPr>
        <w:spacing w:after="0" w:line="276" w:lineRule="auto"/>
        <w:jc w:val="both"/>
        <w:rPr>
          <w:rFonts w:ascii="Book Antiqua" w:eastAsia="Calibri" w:hAnsi="Book Antiqua" w:cs="Arial"/>
          <w:sz w:val="24"/>
          <w:szCs w:val="24"/>
        </w:rPr>
      </w:pPr>
      <w:r w:rsidRPr="00F40A13">
        <w:rPr>
          <w:rFonts w:ascii="Book Antiqua" w:eastAsia="Calibri" w:hAnsi="Book Antiqua" w:cs="Arial"/>
          <w:sz w:val="24"/>
          <w:szCs w:val="24"/>
        </w:rPr>
        <w:t>En el siguiente cuadro, se comparan los datos registrados por los Despachos y los resultados del sistema SIGMA durante el 20</w:t>
      </w:r>
      <w:r w:rsidR="00D72FDB">
        <w:rPr>
          <w:rFonts w:ascii="Book Antiqua" w:eastAsia="Calibri" w:hAnsi="Book Antiqua" w:cs="Arial"/>
          <w:sz w:val="24"/>
          <w:szCs w:val="24"/>
        </w:rPr>
        <w:t>2</w:t>
      </w:r>
      <w:r w:rsidRPr="00F40A13">
        <w:rPr>
          <w:rFonts w:ascii="Book Antiqua" w:eastAsia="Calibri" w:hAnsi="Book Antiqua" w:cs="Arial"/>
          <w:sz w:val="24"/>
          <w:szCs w:val="24"/>
        </w:rPr>
        <w:t>1:</w:t>
      </w:r>
    </w:p>
    <w:p w14:paraId="047596F9" w14:textId="77777777" w:rsidR="005664B0" w:rsidRPr="004248CC" w:rsidRDefault="005664B0" w:rsidP="004248CC">
      <w:pPr>
        <w:spacing w:after="0" w:line="276" w:lineRule="auto"/>
        <w:rPr>
          <w:rFonts w:ascii="Book Antiqua" w:eastAsia="Calibri" w:hAnsi="Book Antiqua" w:cs="Arial"/>
          <w:i/>
          <w:iCs/>
          <w:sz w:val="20"/>
          <w:szCs w:val="20"/>
        </w:rPr>
      </w:pPr>
    </w:p>
    <w:p w14:paraId="54AE5D76" w14:textId="50DBD389" w:rsidR="00D01233" w:rsidRPr="00D01233" w:rsidRDefault="00D01233" w:rsidP="00D0123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01233">
        <w:rPr>
          <w:rFonts w:ascii="Book Antiqua" w:eastAsia="Calibri" w:hAnsi="Book Antiqua" w:cs="Arial"/>
          <w:b/>
          <w:bCs/>
          <w:color w:val="1F497D"/>
          <w:szCs w:val="24"/>
          <w:lang w:val="es-ES" w:eastAsia="es-ES"/>
        </w:rPr>
        <w:t xml:space="preserve">Cuadro </w:t>
      </w:r>
      <w:r w:rsidRPr="00D01233">
        <w:rPr>
          <w:rFonts w:ascii="Book Antiqua" w:eastAsia="Calibri" w:hAnsi="Book Antiqua" w:cs="Arial"/>
          <w:b/>
          <w:bCs/>
          <w:color w:val="1F497D"/>
          <w:szCs w:val="24"/>
          <w:lang w:val="es-ES" w:eastAsia="es-ES"/>
        </w:rPr>
        <w:fldChar w:fldCharType="begin"/>
      </w:r>
      <w:r w:rsidRPr="00D01233">
        <w:rPr>
          <w:rFonts w:ascii="Book Antiqua" w:eastAsia="Calibri" w:hAnsi="Book Antiqua" w:cs="Arial"/>
          <w:b/>
          <w:bCs/>
          <w:color w:val="1F497D"/>
          <w:szCs w:val="24"/>
          <w:lang w:val="es-ES" w:eastAsia="es-ES"/>
        </w:rPr>
        <w:instrText xml:space="preserve"> SEQ Cuadro \* ARABIC </w:instrText>
      </w:r>
      <w:r w:rsidRPr="00D01233">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10</w:t>
      </w:r>
      <w:r w:rsidRPr="00D01233">
        <w:rPr>
          <w:rFonts w:ascii="Book Antiqua" w:eastAsia="Calibri" w:hAnsi="Book Antiqua" w:cs="Arial"/>
          <w:b/>
          <w:bCs/>
          <w:color w:val="1F497D"/>
          <w:szCs w:val="24"/>
          <w:lang w:val="es-ES" w:eastAsia="es-ES"/>
        </w:rPr>
        <w:fldChar w:fldCharType="end"/>
      </w:r>
    </w:p>
    <w:p w14:paraId="4044499D" w14:textId="111F9DB6" w:rsidR="00D01233" w:rsidRPr="00D01233" w:rsidRDefault="00D01233" w:rsidP="00D01233">
      <w:pPr>
        <w:keepNext/>
        <w:numPr>
          <w:ilvl w:val="12"/>
          <w:numId w:val="0"/>
        </w:numPr>
        <w:spacing w:after="0" w:line="276" w:lineRule="auto"/>
        <w:jc w:val="center"/>
        <w:rPr>
          <w:rFonts w:ascii="Book Antiqua" w:eastAsia="Times New Roman" w:hAnsi="Book Antiqua" w:cs="Arial"/>
          <w:b/>
          <w:bCs/>
          <w:color w:val="1F497D"/>
          <w:lang w:eastAsia="es-ES"/>
        </w:rPr>
      </w:pPr>
      <w:r w:rsidRPr="00D01233">
        <w:rPr>
          <w:rFonts w:ascii="Book Antiqua" w:eastAsia="Times New Roman" w:hAnsi="Book Antiqua" w:cs="Arial"/>
          <w:b/>
          <w:bCs/>
          <w:color w:val="1F497D"/>
          <w:lang w:eastAsia="es-ES"/>
        </w:rPr>
        <w:t>Registro de audiencias 20</w:t>
      </w:r>
      <w:r w:rsidR="00FD0221">
        <w:rPr>
          <w:rFonts w:ascii="Book Antiqua" w:eastAsia="Times New Roman" w:hAnsi="Book Antiqua" w:cs="Arial"/>
          <w:b/>
          <w:bCs/>
          <w:color w:val="1F497D"/>
          <w:lang w:eastAsia="es-ES"/>
        </w:rPr>
        <w:t>2</w:t>
      </w:r>
      <w:r w:rsidRPr="00D01233">
        <w:rPr>
          <w:rFonts w:ascii="Book Antiqua" w:eastAsia="Times New Roman" w:hAnsi="Book Antiqua" w:cs="Arial"/>
          <w:b/>
          <w:bCs/>
          <w:color w:val="1F497D"/>
          <w:lang w:eastAsia="es-ES"/>
        </w:rPr>
        <w:t>1, Juzgados Especializados de Familia y Sistema SIGMA</w:t>
      </w:r>
    </w:p>
    <w:tbl>
      <w:tblPr>
        <w:tblW w:w="5000" w:type="pct"/>
        <w:tblCellMar>
          <w:left w:w="70" w:type="dxa"/>
          <w:right w:w="70" w:type="dxa"/>
        </w:tblCellMar>
        <w:tblLook w:val="04A0" w:firstRow="1" w:lastRow="0" w:firstColumn="1" w:lastColumn="0" w:noHBand="0" w:noVBand="1"/>
      </w:tblPr>
      <w:tblGrid>
        <w:gridCol w:w="4167"/>
        <w:gridCol w:w="1972"/>
        <w:gridCol w:w="1116"/>
        <w:gridCol w:w="1563"/>
      </w:tblGrid>
      <w:tr w:rsidR="00D66F4A" w:rsidRPr="00D66F4A" w14:paraId="1C39DFB9" w14:textId="77777777" w:rsidTr="00D66F4A">
        <w:trPr>
          <w:trHeight w:val="880"/>
        </w:trPr>
        <w:tc>
          <w:tcPr>
            <w:tcW w:w="2363"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6107BC8B" w14:textId="77777777" w:rsidR="00D66F4A" w:rsidRPr="00D66F4A" w:rsidRDefault="00D66F4A" w:rsidP="00D66F4A">
            <w:pPr>
              <w:spacing w:after="0" w:line="240" w:lineRule="auto"/>
              <w:jc w:val="center"/>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Despacho</w:t>
            </w:r>
          </w:p>
        </w:tc>
        <w:tc>
          <w:tcPr>
            <w:tcW w:w="1118" w:type="pct"/>
            <w:tcBorders>
              <w:top w:val="single" w:sz="8" w:space="0" w:color="auto"/>
              <w:left w:val="nil"/>
              <w:bottom w:val="single" w:sz="8" w:space="0" w:color="auto"/>
              <w:right w:val="single" w:sz="8" w:space="0" w:color="auto"/>
            </w:tcBorders>
            <w:shd w:val="clear" w:color="000000" w:fill="002060"/>
            <w:vAlign w:val="center"/>
            <w:hideMark/>
          </w:tcPr>
          <w:p w14:paraId="00D913D1" w14:textId="77777777" w:rsidR="00D66F4A" w:rsidRPr="00D66F4A" w:rsidRDefault="00D66F4A" w:rsidP="00D66F4A">
            <w:pPr>
              <w:spacing w:after="0" w:line="240" w:lineRule="auto"/>
              <w:jc w:val="center"/>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Control del Despacho (Agenda Cronos) 2021</w:t>
            </w:r>
          </w:p>
        </w:tc>
        <w:tc>
          <w:tcPr>
            <w:tcW w:w="633" w:type="pct"/>
            <w:tcBorders>
              <w:top w:val="single" w:sz="8" w:space="0" w:color="auto"/>
              <w:left w:val="nil"/>
              <w:bottom w:val="single" w:sz="8" w:space="0" w:color="auto"/>
              <w:right w:val="single" w:sz="8" w:space="0" w:color="auto"/>
            </w:tcBorders>
            <w:shd w:val="clear" w:color="000000" w:fill="002060"/>
            <w:vAlign w:val="center"/>
            <w:hideMark/>
          </w:tcPr>
          <w:p w14:paraId="22D9DAF2" w14:textId="77777777" w:rsidR="00D66F4A" w:rsidRPr="00D66F4A" w:rsidRDefault="00D66F4A" w:rsidP="00D66F4A">
            <w:pPr>
              <w:spacing w:after="0" w:line="240" w:lineRule="auto"/>
              <w:jc w:val="center"/>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SIGMA 2021</w:t>
            </w:r>
          </w:p>
        </w:tc>
        <w:tc>
          <w:tcPr>
            <w:tcW w:w="886" w:type="pct"/>
            <w:tcBorders>
              <w:top w:val="single" w:sz="8" w:space="0" w:color="auto"/>
              <w:left w:val="nil"/>
              <w:bottom w:val="single" w:sz="8" w:space="0" w:color="auto"/>
              <w:right w:val="single" w:sz="8" w:space="0" w:color="auto"/>
            </w:tcBorders>
            <w:shd w:val="clear" w:color="000000" w:fill="002060"/>
            <w:vAlign w:val="center"/>
            <w:hideMark/>
          </w:tcPr>
          <w:p w14:paraId="1AB13B3A" w14:textId="77777777" w:rsidR="00D66F4A" w:rsidRPr="00D66F4A" w:rsidRDefault="00D66F4A" w:rsidP="00D66F4A">
            <w:pPr>
              <w:spacing w:after="0" w:line="240" w:lineRule="auto"/>
              <w:jc w:val="center"/>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Diferencia</w:t>
            </w:r>
          </w:p>
        </w:tc>
      </w:tr>
      <w:tr w:rsidR="00D66F4A" w:rsidRPr="00D66F4A" w14:paraId="77744ADA" w14:textId="77777777" w:rsidTr="00D66F4A">
        <w:trPr>
          <w:trHeight w:val="35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73488E83"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 xml:space="preserve">Juzgado de Familia III Circ. Jud. San José </w:t>
            </w:r>
          </w:p>
        </w:tc>
        <w:tc>
          <w:tcPr>
            <w:tcW w:w="1118" w:type="pct"/>
            <w:tcBorders>
              <w:top w:val="nil"/>
              <w:left w:val="nil"/>
              <w:bottom w:val="single" w:sz="8" w:space="0" w:color="auto"/>
              <w:right w:val="single" w:sz="8" w:space="0" w:color="auto"/>
            </w:tcBorders>
            <w:shd w:val="clear" w:color="000000" w:fill="FFFFFF"/>
            <w:noWrap/>
            <w:vAlign w:val="center"/>
            <w:hideMark/>
          </w:tcPr>
          <w:p w14:paraId="41903907"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1144</w:t>
            </w:r>
          </w:p>
        </w:tc>
        <w:tc>
          <w:tcPr>
            <w:tcW w:w="633" w:type="pct"/>
            <w:tcBorders>
              <w:top w:val="nil"/>
              <w:left w:val="nil"/>
              <w:bottom w:val="single" w:sz="8" w:space="0" w:color="auto"/>
              <w:right w:val="single" w:sz="8" w:space="0" w:color="auto"/>
            </w:tcBorders>
            <w:shd w:val="clear" w:color="000000" w:fill="FFFFFF"/>
            <w:noWrap/>
            <w:vAlign w:val="center"/>
            <w:hideMark/>
          </w:tcPr>
          <w:p w14:paraId="54E8A652"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837</w:t>
            </w:r>
          </w:p>
        </w:tc>
        <w:tc>
          <w:tcPr>
            <w:tcW w:w="886" w:type="pct"/>
            <w:tcBorders>
              <w:top w:val="nil"/>
              <w:left w:val="nil"/>
              <w:bottom w:val="single" w:sz="8" w:space="0" w:color="auto"/>
              <w:right w:val="single" w:sz="8" w:space="0" w:color="auto"/>
            </w:tcBorders>
            <w:shd w:val="clear" w:color="auto" w:fill="auto"/>
            <w:noWrap/>
            <w:vAlign w:val="center"/>
            <w:hideMark/>
          </w:tcPr>
          <w:p w14:paraId="7C417D63"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307</w:t>
            </w:r>
          </w:p>
        </w:tc>
      </w:tr>
      <w:tr w:rsidR="00D66F4A" w:rsidRPr="00D66F4A" w14:paraId="54D5F0CB" w14:textId="77777777" w:rsidTr="00D66F4A">
        <w:trPr>
          <w:trHeight w:val="24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43689231"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lastRenderedPageBreak/>
              <w:t>Juzgado Familia Cartago</w:t>
            </w:r>
          </w:p>
        </w:tc>
        <w:tc>
          <w:tcPr>
            <w:tcW w:w="1118" w:type="pct"/>
            <w:tcBorders>
              <w:top w:val="nil"/>
              <w:left w:val="nil"/>
              <w:bottom w:val="single" w:sz="8" w:space="0" w:color="auto"/>
              <w:right w:val="single" w:sz="8" w:space="0" w:color="auto"/>
            </w:tcBorders>
            <w:shd w:val="clear" w:color="000000" w:fill="FFFFFF"/>
            <w:noWrap/>
            <w:vAlign w:val="center"/>
            <w:hideMark/>
          </w:tcPr>
          <w:p w14:paraId="1DBD4B87"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1 409</w:t>
            </w:r>
          </w:p>
        </w:tc>
        <w:tc>
          <w:tcPr>
            <w:tcW w:w="633" w:type="pct"/>
            <w:tcBorders>
              <w:top w:val="nil"/>
              <w:left w:val="nil"/>
              <w:bottom w:val="single" w:sz="8" w:space="0" w:color="auto"/>
              <w:right w:val="single" w:sz="8" w:space="0" w:color="auto"/>
            </w:tcBorders>
            <w:shd w:val="clear" w:color="000000" w:fill="FFFFFF"/>
            <w:noWrap/>
            <w:vAlign w:val="center"/>
            <w:hideMark/>
          </w:tcPr>
          <w:p w14:paraId="020738D6"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1382</w:t>
            </w:r>
          </w:p>
        </w:tc>
        <w:tc>
          <w:tcPr>
            <w:tcW w:w="886" w:type="pct"/>
            <w:tcBorders>
              <w:top w:val="nil"/>
              <w:left w:val="nil"/>
              <w:bottom w:val="single" w:sz="8" w:space="0" w:color="auto"/>
              <w:right w:val="single" w:sz="8" w:space="0" w:color="auto"/>
            </w:tcBorders>
            <w:shd w:val="clear" w:color="auto" w:fill="auto"/>
            <w:noWrap/>
            <w:vAlign w:val="center"/>
            <w:hideMark/>
          </w:tcPr>
          <w:p w14:paraId="6A1C2575"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27</w:t>
            </w:r>
          </w:p>
        </w:tc>
      </w:tr>
      <w:tr w:rsidR="00D66F4A" w:rsidRPr="00D66F4A" w14:paraId="043450FE" w14:textId="77777777" w:rsidTr="00D66F4A">
        <w:trPr>
          <w:trHeight w:val="25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2E836CD2"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Heredia</w:t>
            </w:r>
          </w:p>
        </w:tc>
        <w:tc>
          <w:tcPr>
            <w:tcW w:w="1118" w:type="pct"/>
            <w:tcBorders>
              <w:top w:val="nil"/>
              <w:left w:val="nil"/>
              <w:bottom w:val="single" w:sz="8" w:space="0" w:color="auto"/>
              <w:right w:val="single" w:sz="8" w:space="0" w:color="auto"/>
            </w:tcBorders>
            <w:shd w:val="clear" w:color="000000" w:fill="FFFFFF"/>
            <w:noWrap/>
            <w:vAlign w:val="center"/>
            <w:hideMark/>
          </w:tcPr>
          <w:p w14:paraId="02F27C4D"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1549</w:t>
            </w:r>
          </w:p>
        </w:tc>
        <w:tc>
          <w:tcPr>
            <w:tcW w:w="633" w:type="pct"/>
            <w:tcBorders>
              <w:top w:val="nil"/>
              <w:left w:val="nil"/>
              <w:bottom w:val="single" w:sz="8" w:space="0" w:color="auto"/>
              <w:right w:val="single" w:sz="8" w:space="0" w:color="auto"/>
            </w:tcBorders>
            <w:shd w:val="clear" w:color="000000" w:fill="FFFFFF"/>
            <w:noWrap/>
            <w:vAlign w:val="center"/>
            <w:hideMark/>
          </w:tcPr>
          <w:p w14:paraId="2B973871"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1474</w:t>
            </w:r>
          </w:p>
        </w:tc>
        <w:tc>
          <w:tcPr>
            <w:tcW w:w="886" w:type="pct"/>
            <w:tcBorders>
              <w:top w:val="nil"/>
              <w:left w:val="nil"/>
              <w:bottom w:val="single" w:sz="8" w:space="0" w:color="auto"/>
              <w:right w:val="single" w:sz="8" w:space="0" w:color="auto"/>
            </w:tcBorders>
            <w:shd w:val="clear" w:color="auto" w:fill="auto"/>
            <w:noWrap/>
            <w:vAlign w:val="center"/>
            <w:hideMark/>
          </w:tcPr>
          <w:p w14:paraId="635D0FCF"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75</w:t>
            </w:r>
          </w:p>
        </w:tc>
      </w:tr>
      <w:tr w:rsidR="00D66F4A" w:rsidRPr="00D66F4A" w14:paraId="053F9794" w14:textId="77777777" w:rsidTr="00D66F4A">
        <w:trPr>
          <w:trHeight w:val="30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6613DD1D"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I Circ. Jud. Alajuela</w:t>
            </w:r>
          </w:p>
        </w:tc>
        <w:tc>
          <w:tcPr>
            <w:tcW w:w="1118" w:type="pct"/>
            <w:tcBorders>
              <w:top w:val="nil"/>
              <w:left w:val="nil"/>
              <w:bottom w:val="single" w:sz="8" w:space="0" w:color="auto"/>
              <w:right w:val="single" w:sz="8" w:space="0" w:color="auto"/>
            </w:tcBorders>
            <w:shd w:val="clear" w:color="000000" w:fill="FFFFFF"/>
            <w:noWrap/>
            <w:vAlign w:val="center"/>
            <w:hideMark/>
          </w:tcPr>
          <w:p w14:paraId="23168E42"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1 219</w:t>
            </w:r>
          </w:p>
        </w:tc>
        <w:tc>
          <w:tcPr>
            <w:tcW w:w="633" w:type="pct"/>
            <w:tcBorders>
              <w:top w:val="nil"/>
              <w:left w:val="nil"/>
              <w:bottom w:val="single" w:sz="8" w:space="0" w:color="auto"/>
              <w:right w:val="single" w:sz="8" w:space="0" w:color="auto"/>
            </w:tcBorders>
            <w:shd w:val="clear" w:color="000000" w:fill="FFFFFF"/>
            <w:noWrap/>
            <w:vAlign w:val="center"/>
            <w:hideMark/>
          </w:tcPr>
          <w:p w14:paraId="335C42F5"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1117</w:t>
            </w:r>
          </w:p>
        </w:tc>
        <w:tc>
          <w:tcPr>
            <w:tcW w:w="886" w:type="pct"/>
            <w:tcBorders>
              <w:top w:val="nil"/>
              <w:left w:val="nil"/>
              <w:bottom w:val="single" w:sz="8" w:space="0" w:color="auto"/>
              <w:right w:val="single" w:sz="8" w:space="0" w:color="auto"/>
            </w:tcBorders>
            <w:shd w:val="clear" w:color="auto" w:fill="auto"/>
            <w:noWrap/>
            <w:vAlign w:val="center"/>
            <w:hideMark/>
          </w:tcPr>
          <w:p w14:paraId="758187B1"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102</w:t>
            </w:r>
          </w:p>
        </w:tc>
      </w:tr>
      <w:tr w:rsidR="00D66F4A" w:rsidRPr="00D66F4A" w14:paraId="53A664A2" w14:textId="77777777" w:rsidTr="00D66F4A">
        <w:trPr>
          <w:trHeight w:val="25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73A6A90F"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I Circ. Jud. Zona Atlántica</w:t>
            </w:r>
          </w:p>
        </w:tc>
        <w:tc>
          <w:tcPr>
            <w:tcW w:w="1118" w:type="pct"/>
            <w:tcBorders>
              <w:top w:val="nil"/>
              <w:left w:val="nil"/>
              <w:bottom w:val="single" w:sz="8" w:space="0" w:color="auto"/>
              <w:right w:val="single" w:sz="8" w:space="0" w:color="auto"/>
            </w:tcBorders>
            <w:shd w:val="clear" w:color="000000" w:fill="FFFFFF"/>
            <w:noWrap/>
            <w:vAlign w:val="center"/>
            <w:hideMark/>
          </w:tcPr>
          <w:p w14:paraId="5BB0894D"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1316</w:t>
            </w:r>
          </w:p>
        </w:tc>
        <w:tc>
          <w:tcPr>
            <w:tcW w:w="633" w:type="pct"/>
            <w:tcBorders>
              <w:top w:val="nil"/>
              <w:left w:val="nil"/>
              <w:bottom w:val="single" w:sz="8" w:space="0" w:color="auto"/>
              <w:right w:val="single" w:sz="8" w:space="0" w:color="auto"/>
            </w:tcBorders>
            <w:shd w:val="clear" w:color="000000" w:fill="FFFFFF"/>
            <w:noWrap/>
            <w:vAlign w:val="center"/>
            <w:hideMark/>
          </w:tcPr>
          <w:p w14:paraId="1E903BB2"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655</w:t>
            </w:r>
          </w:p>
        </w:tc>
        <w:tc>
          <w:tcPr>
            <w:tcW w:w="886" w:type="pct"/>
            <w:tcBorders>
              <w:top w:val="nil"/>
              <w:left w:val="nil"/>
              <w:bottom w:val="single" w:sz="8" w:space="0" w:color="auto"/>
              <w:right w:val="single" w:sz="8" w:space="0" w:color="auto"/>
            </w:tcBorders>
            <w:shd w:val="clear" w:color="auto" w:fill="auto"/>
            <w:noWrap/>
            <w:vAlign w:val="center"/>
            <w:hideMark/>
          </w:tcPr>
          <w:p w14:paraId="1E4EE4A6"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661</w:t>
            </w:r>
          </w:p>
        </w:tc>
      </w:tr>
      <w:tr w:rsidR="00D66F4A" w:rsidRPr="00D66F4A" w14:paraId="73C9EF16" w14:textId="77777777" w:rsidTr="00D66F4A">
        <w:trPr>
          <w:trHeight w:val="29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316F7AC3"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 xml:space="preserve">Juzgado Familia I Circ. Jud. Zona Sur </w:t>
            </w:r>
          </w:p>
        </w:tc>
        <w:tc>
          <w:tcPr>
            <w:tcW w:w="1118" w:type="pct"/>
            <w:tcBorders>
              <w:top w:val="nil"/>
              <w:left w:val="nil"/>
              <w:bottom w:val="single" w:sz="8" w:space="0" w:color="auto"/>
              <w:right w:val="single" w:sz="8" w:space="0" w:color="auto"/>
            </w:tcBorders>
            <w:shd w:val="clear" w:color="000000" w:fill="FFFFFF"/>
            <w:noWrap/>
            <w:vAlign w:val="center"/>
            <w:hideMark/>
          </w:tcPr>
          <w:p w14:paraId="1CC55180"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679</w:t>
            </w:r>
          </w:p>
        </w:tc>
        <w:tc>
          <w:tcPr>
            <w:tcW w:w="633" w:type="pct"/>
            <w:tcBorders>
              <w:top w:val="nil"/>
              <w:left w:val="nil"/>
              <w:bottom w:val="single" w:sz="8" w:space="0" w:color="auto"/>
              <w:right w:val="single" w:sz="8" w:space="0" w:color="auto"/>
            </w:tcBorders>
            <w:shd w:val="clear" w:color="000000" w:fill="FFFFFF"/>
            <w:noWrap/>
            <w:vAlign w:val="center"/>
            <w:hideMark/>
          </w:tcPr>
          <w:p w14:paraId="58D459FD"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631</w:t>
            </w:r>
          </w:p>
        </w:tc>
        <w:tc>
          <w:tcPr>
            <w:tcW w:w="886" w:type="pct"/>
            <w:tcBorders>
              <w:top w:val="nil"/>
              <w:left w:val="nil"/>
              <w:bottom w:val="single" w:sz="8" w:space="0" w:color="auto"/>
              <w:right w:val="single" w:sz="8" w:space="0" w:color="auto"/>
            </w:tcBorders>
            <w:shd w:val="clear" w:color="auto" w:fill="auto"/>
            <w:noWrap/>
            <w:vAlign w:val="center"/>
            <w:hideMark/>
          </w:tcPr>
          <w:p w14:paraId="658D2B7B"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48</w:t>
            </w:r>
          </w:p>
        </w:tc>
      </w:tr>
      <w:tr w:rsidR="00D66F4A" w:rsidRPr="00D66F4A" w14:paraId="4C0669D0" w14:textId="77777777" w:rsidTr="00D66F4A">
        <w:trPr>
          <w:trHeight w:val="32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24E6244B"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II Circ. Jud. Alajuela</w:t>
            </w:r>
          </w:p>
        </w:tc>
        <w:tc>
          <w:tcPr>
            <w:tcW w:w="1118" w:type="pct"/>
            <w:tcBorders>
              <w:top w:val="nil"/>
              <w:left w:val="nil"/>
              <w:bottom w:val="single" w:sz="8" w:space="0" w:color="auto"/>
              <w:right w:val="single" w:sz="8" w:space="0" w:color="auto"/>
            </w:tcBorders>
            <w:shd w:val="clear" w:color="000000" w:fill="FFFFFF"/>
            <w:noWrap/>
            <w:vAlign w:val="center"/>
            <w:hideMark/>
          </w:tcPr>
          <w:p w14:paraId="2C0B0A1E"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 </w:t>
            </w:r>
          </w:p>
        </w:tc>
        <w:tc>
          <w:tcPr>
            <w:tcW w:w="633" w:type="pct"/>
            <w:tcBorders>
              <w:top w:val="nil"/>
              <w:left w:val="nil"/>
              <w:bottom w:val="single" w:sz="8" w:space="0" w:color="auto"/>
              <w:right w:val="single" w:sz="8" w:space="0" w:color="auto"/>
            </w:tcBorders>
            <w:shd w:val="clear" w:color="000000" w:fill="FFFFFF"/>
            <w:noWrap/>
            <w:vAlign w:val="center"/>
            <w:hideMark/>
          </w:tcPr>
          <w:p w14:paraId="3E8FF591"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783</w:t>
            </w:r>
          </w:p>
        </w:tc>
        <w:tc>
          <w:tcPr>
            <w:tcW w:w="886" w:type="pct"/>
            <w:tcBorders>
              <w:top w:val="nil"/>
              <w:left w:val="nil"/>
              <w:bottom w:val="single" w:sz="8" w:space="0" w:color="auto"/>
              <w:right w:val="single" w:sz="8" w:space="0" w:color="auto"/>
            </w:tcBorders>
            <w:shd w:val="clear" w:color="auto" w:fill="auto"/>
            <w:noWrap/>
            <w:vAlign w:val="center"/>
            <w:hideMark/>
          </w:tcPr>
          <w:p w14:paraId="33CC9F42"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-783</w:t>
            </w:r>
          </w:p>
        </w:tc>
      </w:tr>
      <w:tr w:rsidR="00D66F4A" w:rsidRPr="00D66F4A" w14:paraId="52667637" w14:textId="77777777" w:rsidTr="00D66F4A">
        <w:trPr>
          <w:trHeight w:val="33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2D162B4D"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II Circ. Jud. San José</w:t>
            </w:r>
          </w:p>
        </w:tc>
        <w:tc>
          <w:tcPr>
            <w:tcW w:w="1118" w:type="pct"/>
            <w:tcBorders>
              <w:top w:val="nil"/>
              <w:left w:val="nil"/>
              <w:bottom w:val="single" w:sz="8" w:space="0" w:color="auto"/>
              <w:right w:val="single" w:sz="8" w:space="0" w:color="auto"/>
            </w:tcBorders>
            <w:shd w:val="clear" w:color="000000" w:fill="FFFFFF"/>
            <w:noWrap/>
            <w:vAlign w:val="center"/>
            <w:hideMark/>
          </w:tcPr>
          <w:p w14:paraId="4688018A"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899</w:t>
            </w:r>
          </w:p>
        </w:tc>
        <w:tc>
          <w:tcPr>
            <w:tcW w:w="633" w:type="pct"/>
            <w:tcBorders>
              <w:top w:val="nil"/>
              <w:left w:val="nil"/>
              <w:bottom w:val="single" w:sz="8" w:space="0" w:color="auto"/>
              <w:right w:val="single" w:sz="8" w:space="0" w:color="auto"/>
            </w:tcBorders>
            <w:shd w:val="clear" w:color="000000" w:fill="FFFFFF"/>
            <w:noWrap/>
            <w:vAlign w:val="center"/>
            <w:hideMark/>
          </w:tcPr>
          <w:p w14:paraId="6AAFD96E"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893</w:t>
            </w:r>
          </w:p>
        </w:tc>
        <w:tc>
          <w:tcPr>
            <w:tcW w:w="886" w:type="pct"/>
            <w:tcBorders>
              <w:top w:val="nil"/>
              <w:left w:val="nil"/>
              <w:bottom w:val="single" w:sz="8" w:space="0" w:color="auto"/>
              <w:right w:val="single" w:sz="8" w:space="0" w:color="auto"/>
            </w:tcBorders>
            <w:shd w:val="clear" w:color="auto" w:fill="auto"/>
            <w:noWrap/>
            <w:vAlign w:val="center"/>
            <w:hideMark/>
          </w:tcPr>
          <w:p w14:paraId="77354A0B"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w:t>
            </w:r>
          </w:p>
        </w:tc>
      </w:tr>
      <w:tr w:rsidR="00D66F4A" w:rsidRPr="00D66F4A" w14:paraId="1EBC7DEA" w14:textId="77777777" w:rsidTr="00D66F4A">
        <w:trPr>
          <w:trHeight w:val="33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3FD1FD50"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II Circ. Jud. Zona Atlántica</w:t>
            </w:r>
          </w:p>
        </w:tc>
        <w:tc>
          <w:tcPr>
            <w:tcW w:w="1118" w:type="pct"/>
            <w:tcBorders>
              <w:top w:val="nil"/>
              <w:left w:val="nil"/>
              <w:bottom w:val="single" w:sz="8" w:space="0" w:color="auto"/>
              <w:right w:val="single" w:sz="8" w:space="0" w:color="auto"/>
            </w:tcBorders>
            <w:shd w:val="clear" w:color="000000" w:fill="FFFFFF"/>
            <w:noWrap/>
            <w:vAlign w:val="center"/>
            <w:hideMark/>
          </w:tcPr>
          <w:p w14:paraId="75EFBE06"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879</w:t>
            </w:r>
          </w:p>
        </w:tc>
        <w:tc>
          <w:tcPr>
            <w:tcW w:w="633" w:type="pct"/>
            <w:tcBorders>
              <w:top w:val="nil"/>
              <w:left w:val="nil"/>
              <w:bottom w:val="single" w:sz="8" w:space="0" w:color="auto"/>
              <w:right w:val="single" w:sz="8" w:space="0" w:color="auto"/>
            </w:tcBorders>
            <w:shd w:val="clear" w:color="000000" w:fill="FFFFFF"/>
            <w:noWrap/>
            <w:vAlign w:val="center"/>
            <w:hideMark/>
          </w:tcPr>
          <w:p w14:paraId="0959F5D4"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824</w:t>
            </w:r>
          </w:p>
        </w:tc>
        <w:tc>
          <w:tcPr>
            <w:tcW w:w="886" w:type="pct"/>
            <w:tcBorders>
              <w:top w:val="nil"/>
              <w:left w:val="nil"/>
              <w:bottom w:val="single" w:sz="8" w:space="0" w:color="auto"/>
              <w:right w:val="single" w:sz="8" w:space="0" w:color="auto"/>
            </w:tcBorders>
            <w:shd w:val="clear" w:color="auto" w:fill="auto"/>
            <w:noWrap/>
            <w:vAlign w:val="center"/>
            <w:hideMark/>
          </w:tcPr>
          <w:p w14:paraId="5B386D0D"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55</w:t>
            </w:r>
          </w:p>
        </w:tc>
      </w:tr>
      <w:tr w:rsidR="00D66F4A" w:rsidRPr="00D66F4A" w14:paraId="2E0EABE9" w14:textId="77777777" w:rsidTr="00D66F4A">
        <w:trPr>
          <w:trHeight w:val="30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40374CF4"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Puntarenas</w:t>
            </w:r>
          </w:p>
        </w:tc>
        <w:tc>
          <w:tcPr>
            <w:tcW w:w="1118" w:type="pct"/>
            <w:tcBorders>
              <w:top w:val="nil"/>
              <w:left w:val="nil"/>
              <w:bottom w:val="single" w:sz="8" w:space="0" w:color="auto"/>
              <w:right w:val="single" w:sz="8" w:space="0" w:color="auto"/>
            </w:tcBorders>
            <w:shd w:val="clear" w:color="000000" w:fill="FFFFFF"/>
            <w:noWrap/>
            <w:vAlign w:val="center"/>
            <w:hideMark/>
          </w:tcPr>
          <w:p w14:paraId="24900967"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 </w:t>
            </w:r>
          </w:p>
        </w:tc>
        <w:tc>
          <w:tcPr>
            <w:tcW w:w="633" w:type="pct"/>
            <w:tcBorders>
              <w:top w:val="nil"/>
              <w:left w:val="nil"/>
              <w:bottom w:val="single" w:sz="8" w:space="0" w:color="auto"/>
              <w:right w:val="single" w:sz="8" w:space="0" w:color="auto"/>
            </w:tcBorders>
            <w:shd w:val="clear" w:color="000000" w:fill="FFFFFF"/>
            <w:noWrap/>
            <w:vAlign w:val="center"/>
            <w:hideMark/>
          </w:tcPr>
          <w:p w14:paraId="44C58950"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638</w:t>
            </w:r>
          </w:p>
        </w:tc>
        <w:tc>
          <w:tcPr>
            <w:tcW w:w="886" w:type="pct"/>
            <w:tcBorders>
              <w:top w:val="nil"/>
              <w:left w:val="nil"/>
              <w:bottom w:val="single" w:sz="8" w:space="0" w:color="auto"/>
              <w:right w:val="single" w:sz="8" w:space="0" w:color="auto"/>
            </w:tcBorders>
            <w:shd w:val="clear" w:color="auto" w:fill="auto"/>
            <w:noWrap/>
            <w:vAlign w:val="center"/>
            <w:hideMark/>
          </w:tcPr>
          <w:p w14:paraId="6931942F"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-638</w:t>
            </w:r>
          </w:p>
        </w:tc>
      </w:tr>
      <w:tr w:rsidR="00D66F4A" w:rsidRPr="00D66F4A" w14:paraId="4E00A1E5" w14:textId="77777777" w:rsidTr="00D66F4A">
        <w:trPr>
          <w:trHeight w:val="35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03E5E583"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Familia, Niñez y Adolescencia</w:t>
            </w:r>
          </w:p>
        </w:tc>
        <w:tc>
          <w:tcPr>
            <w:tcW w:w="1118" w:type="pct"/>
            <w:tcBorders>
              <w:top w:val="nil"/>
              <w:left w:val="nil"/>
              <w:bottom w:val="single" w:sz="8" w:space="0" w:color="auto"/>
              <w:right w:val="single" w:sz="8" w:space="0" w:color="auto"/>
            </w:tcBorders>
            <w:shd w:val="clear" w:color="000000" w:fill="FFFFFF"/>
            <w:noWrap/>
            <w:vAlign w:val="center"/>
            <w:hideMark/>
          </w:tcPr>
          <w:p w14:paraId="25A27A3B"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844</w:t>
            </w:r>
          </w:p>
        </w:tc>
        <w:tc>
          <w:tcPr>
            <w:tcW w:w="633" w:type="pct"/>
            <w:tcBorders>
              <w:top w:val="nil"/>
              <w:left w:val="nil"/>
              <w:bottom w:val="single" w:sz="8" w:space="0" w:color="auto"/>
              <w:right w:val="single" w:sz="8" w:space="0" w:color="auto"/>
            </w:tcBorders>
            <w:shd w:val="clear" w:color="000000" w:fill="FFFFFF"/>
            <w:noWrap/>
            <w:vAlign w:val="center"/>
            <w:hideMark/>
          </w:tcPr>
          <w:p w14:paraId="6537E047"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 </w:t>
            </w:r>
          </w:p>
        </w:tc>
        <w:tc>
          <w:tcPr>
            <w:tcW w:w="886" w:type="pct"/>
            <w:tcBorders>
              <w:top w:val="nil"/>
              <w:left w:val="nil"/>
              <w:bottom w:val="single" w:sz="8" w:space="0" w:color="auto"/>
              <w:right w:val="single" w:sz="8" w:space="0" w:color="auto"/>
            </w:tcBorders>
            <w:shd w:val="clear" w:color="auto" w:fill="auto"/>
            <w:noWrap/>
            <w:vAlign w:val="center"/>
            <w:hideMark/>
          </w:tcPr>
          <w:p w14:paraId="2BA40280"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844</w:t>
            </w:r>
          </w:p>
        </w:tc>
      </w:tr>
      <w:tr w:rsidR="00D66F4A" w:rsidRPr="00D66F4A" w14:paraId="5BF2990F" w14:textId="77777777" w:rsidTr="00D66F4A">
        <w:trPr>
          <w:trHeight w:val="34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094FAD47"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Primero de Familia San José</w:t>
            </w:r>
          </w:p>
        </w:tc>
        <w:tc>
          <w:tcPr>
            <w:tcW w:w="1118" w:type="pct"/>
            <w:tcBorders>
              <w:top w:val="nil"/>
              <w:left w:val="nil"/>
              <w:bottom w:val="single" w:sz="8" w:space="0" w:color="auto"/>
              <w:right w:val="single" w:sz="8" w:space="0" w:color="auto"/>
            </w:tcBorders>
            <w:shd w:val="clear" w:color="000000" w:fill="FFFFFF"/>
            <w:noWrap/>
            <w:vAlign w:val="center"/>
            <w:hideMark/>
          </w:tcPr>
          <w:p w14:paraId="50B74386"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900</w:t>
            </w:r>
          </w:p>
        </w:tc>
        <w:tc>
          <w:tcPr>
            <w:tcW w:w="633" w:type="pct"/>
            <w:tcBorders>
              <w:top w:val="nil"/>
              <w:left w:val="nil"/>
              <w:bottom w:val="single" w:sz="8" w:space="0" w:color="auto"/>
              <w:right w:val="single" w:sz="8" w:space="0" w:color="auto"/>
            </w:tcBorders>
            <w:shd w:val="clear" w:color="000000" w:fill="FFFFFF"/>
            <w:noWrap/>
            <w:vAlign w:val="center"/>
            <w:hideMark/>
          </w:tcPr>
          <w:p w14:paraId="21A65781"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893</w:t>
            </w:r>
          </w:p>
        </w:tc>
        <w:tc>
          <w:tcPr>
            <w:tcW w:w="886" w:type="pct"/>
            <w:tcBorders>
              <w:top w:val="nil"/>
              <w:left w:val="nil"/>
              <w:bottom w:val="single" w:sz="8" w:space="0" w:color="auto"/>
              <w:right w:val="single" w:sz="8" w:space="0" w:color="auto"/>
            </w:tcBorders>
            <w:shd w:val="clear" w:color="auto" w:fill="auto"/>
            <w:noWrap/>
            <w:vAlign w:val="center"/>
            <w:hideMark/>
          </w:tcPr>
          <w:p w14:paraId="0577B1F4"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7</w:t>
            </w:r>
          </w:p>
        </w:tc>
      </w:tr>
      <w:tr w:rsidR="00D66F4A" w:rsidRPr="00D66F4A" w14:paraId="5A3A09DC" w14:textId="77777777" w:rsidTr="00D66F4A">
        <w:trPr>
          <w:trHeight w:val="250"/>
        </w:trPr>
        <w:tc>
          <w:tcPr>
            <w:tcW w:w="2363" w:type="pct"/>
            <w:tcBorders>
              <w:top w:val="nil"/>
              <w:left w:val="single" w:sz="8" w:space="0" w:color="auto"/>
              <w:bottom w:val="single" w:sz="8" w:space="0" w:color="auto"/>
              <w:right w:val="single" w:sz="8" w:space="0" w:color="auto"/>
            </w:tcBorders>
            <w:shd w:val="clear" w:color="000000" w:fill="FFFFFF"/>
            <w:vAlign w:val="center"/>
            <w:hideMark/>
          </w:tcPr>
          <w:p w14:paraId="04E6AFDE" w14:textId="77777777" w:rsidR="00D66F4A" w:rsidRPr="00D66F4A" w:rsidRDefault="00D66F4A" w:rsidP="00D66F4A">
            <w:pPr>
              <w:spacing w:after="0" w:line="240" w:lineRule="auto"/>
              <w:rPr>
                <w:rFonts w:ascii="Book Antiqua" w:eastAsia="Times New Roman" w:hAnsi="Book Antiqua" w:cs="Calibri"/>
                <w:b/>
                <w:bCs/>
                <w:color w:val="000000"/>
                <w:lang w:eastAsia="es-CR"/>
              </w:rPr>
            </w:pPr>
            <w:r w:rsidRPr="00D66F4A">
              <w:rPr>
                <w:rFonts w:ascii="Book Antiqua" w:eastAsia="Times New Roman" w:hAnsi="Book Antiqua" w:cs="Calibri"/>
                <w:b/>
                <w:bCs/>
                <w:color w:val="000000"/>
                <w:lang w:eastAsia="es-CR"/>
              </w:rPr>
              <w:t>Juzgado Segundo de Familia San José</w:t>
            </w:r>
          </w:p>
        </w:tc>
        <w:tc>
          <w:tcPr>
            <w:tcW w:w="1118" w:type="pct"/>
            <w:tcBorders>
              <w:top w:val="nil"/>
              <w:left w:val="nil"/>
              <w:bottom w:val="single" w:sz="8" w:space="0" w:color="auto"/>
              <w:right w:val="single" w:sz="8" w:space="0" w:color="auto"/>
            </w:tcBorders>
            <w:shd w:val="clear" w:color="000000" w:fill="FFFFFF"/>
            <w:noWrap/>
            <w:vAlign w:val="center"/>
            <w:hideMark/>
          </w:tcPr>
          <w:p w14:paraId="20F57BD7"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1657</w:t>
            </w:r>
          </w:p>
        </w:tc>
        <w:tc>
          <w:tcPr>
            <w:tcW w:w="633" w:type="pct"/>
            <w:tcBorders>
              <w:top w:val="nil"/>
              <w:left w:val="nil"/>
              <w:bottom w:val="single" w:sz="8" w:space="0" w:color="auto"/>
              <w:right w:val="single" w:sz="8" w:space="0" w:color="auto"/>
            </w:tcBorders>
            <w:shd w:val="clear" w:color="000000" w:fill="FFFFFF"/>
            <w:noWrap/>
            <w:vAlign w:val="center"/>
            <w:hideMark/>
          </w:tcPr>
          <w:p w14:paraId="049CB6AF"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928</w:t>
            </w:r>
          </w:p>
        </w:tc>
        <w:tc>
          <w:tcPr>
            <w:tcW w:w="886" w:type="pct"/>
            <w:tcBorders>
              <w:top w:val="nil"/>
              <w:left w:val="nil"/>
              <w:bottom w:val="single" w:sz="8" w:space="0" w:color="auto"/>
              <w:right w:val="single" w:sz="8" w:space="0" w:color="auto"/>
            </w:tcBorders>
            <w:shd w:val="clear" w:color="auto" w:fill="auto"/>
            <w:noWrap/>
            <w:vAlign w:val="center"/>
            <w:hideMark/>
          </w:tcPr>
          <w:p w14:paraId="0B19074F" w14:textId="77777777" w:rsidR="00D66F4A" w:rsidRPr="00D66F4A" w:rsidRDefault="00D66F4A" w:rsidP="00D66F4A">
            <w:pPr>
              <w:spacing w:after="0" w:line="240" w:lineRule="auto"/>
              <w:jc w:val="center"/>
              <w:rPr>
                <w:rFonts w:ascii="Book Antiqua" w:eastAsia="Times New Roman" w:hAnsi="Book Antiqua" w:cs="Calibri"/>
                <w:color w:val="000000"/>
                <w:lang w:eastAsia="es-CR"/>
              </w:rPr>
            </w:pPr>
            <w:r w:rsidRPr="00D66F4A">
              <w:rPr>
                <w:rFonts w:ascii="Book Antiqua" w:eastAsia="Times New Roman" w:hAnsi="Book Antiqua" w:cs="Calibri"/>
                <w:color w:val="000000"/>
                <w:lang w:eastAsia="es-CR"/>
              </w:rPr>
              <w:t>729</w:t>
            </w:r>
          </w:p>
        </w:tc>
      </w:tr>
      <w:tr w:rsidR="00D66F4A" w:rsidRPr="00D66F4A" w14:paraId="067FF894" w14:textId="77777777" w:rsidTr="00D66F4A">
        <w:trPr>
          <w:trHeight w:val="300"/>
        </w:trPr>
        <w:tc>
          <w:tcPr>
            <w:tcW w:w="2363" w:type="pct"/>
            <w:tcBorders>
              <w:top w:val="nil"/>
              <w:left w:val="single" w:sz="8" w:space="0" w:color="auto"/>
              <w:bottom w:val="single" w:sz="8" w:space="0" w:color="auto"/>
              <w:right w:val="single" w:sz="8" w:space="0" w:color="auto"/>
            </w:tcBorders>
            <w:shd w:val="clear" w:color="000000" w:fill="808080"/>
            <w:noWrap/>
            <w:vAlign w:val="center"/>
            <w:hideMark/>
          </w:tcPr>
          <w:p w14:paraId="7F99248B" w14:textId="77777777" w:rsidR="00D66F4A" w:rsidRPr="00D66F4A" w:rsidRDefault="00D66F4A" w:rsidP="00D66F4A">
            <w:pPr>
              <w:spacing w:after="0" w:line="240" w:lineRule="auto"/>
              <w:jc w:val="right"/>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Total</w:t>
            </w:r>
          </w:p>
        </w:tc>
        <w:tc>
          <w:tcPr>
            <w:tcW w:w="1118" w:type="pct"/>
            <w:tcBorders>
              <w:top w:val="nil"/>
              <w:left w:val="nil"/>
              <w:bottom w:val="single" w:sz="8" w:space="0" w:color="auto"/>
              <w:right w:val="single" w:sz="8" w:space="0" w:color="auto"/>
            </w:tcBorders>
            <w:shd w:val="clear" w:color="000000" w:fill="808080"/>
            <w:noWrap/>
            <w:vAlign w:val="center"/>
            <w:hideMark/>
          </w:tcPr>
          <w:p w14:paraId="311BF0B8" w14:textId="77777777" w:rsidR="00D66F4A" w:rsidRPr="00D66F4A" w:rsidRDefault="00D66F4A" w:rsidP="00D66F4A">
            <w:pPr>
              <w:spacing w:after="0" w:line="240" w:lineRule="auto"/>
              <w:jc w:val="center"/>
              <w:rPr>
                <w:rFonts w:ascii="Book Antiqua" w:eastAsia="Times New Roman" w:hAnsi="Book Antiqua" w:cs="Calibri"/>
                <w:b/>
                <w:bCs/>
                <w:color w:val="FFFFFF"/>
                <w:lang w:eastAsia="es-CR"/>
              </w:rPr>
            </w:pPr>
            <w:r w:rsidRPr="00D66F4A">
              <w:rPr>
                <w:rFonts w:ascii="Book Antiqua" w:eastAsia="Times New Roman" w:hAnsi="Book Antiqua" w:cs="Calibri"/>
                <w:b/>
                <w:bCs/>
                <w:color w:val="FFFFFF"/>
                <w:lang w:eastAsia="es-CR"/>
              </w:rPr>
              <w:t>12495</w:t>
            </w:r>
          </w:p>
        </w:tc>
        <w:tc>
          <w:tcPr>
            <w:tcW w:w="633" w:type="pct"/>
            <w:tcBorders>
              <w:top w:val="nil"/>
              <w:left w:val="nil"/>
              <w:bottom w:val="single" w:sz="8" w:space="0" w:color="auto"/>
              <w:right w:val="single" w:sz="8" w:space="0" w:color="auto"/>
            </w:tcBorders>
            <w:shd w:val="clear" w:color="000000" w:fill="808080"/>
            <w:noWrap/>
            <w:vAlign w:val="center"/>
            <w:hideMark/>
          </w:tcPr>
          <w:p w14:paraId="17EE7F04" w14:textId="5F08BE80" w:rsidR="00D66F4A" w:rsidRPr="00D66F4A" w:rsidRDefault="00D66F4A" w:rsidP="00D66F4A">
            <w:pPr>
              <w:spacing w:after="0" w:line="240" w:lineRule="auto"/>
              <w:jc w:val="center"/>
              <w:rPr>
                <w:rFonts w:ascii="Book Antiqua" w:eastAsia="Times New Roman" w:hAnsi="Book Antiqua" w:cs="Calibri"/>
                <w:b/>
                <w:bCs/>
                <w:color w:val="FFFFFF"/>
                <w:lang w:eastAsia="es-CR"/>
              </w:rPr>
            </w:pPr>
            <w:r>
              <w:rPr>
                <w:rFonts w:ascii="Book Antiqua" w:eastAsia="Times New Roman" w:hAnsi="Book Antiqua" w:cs="Calibri"/>
                <w:b/>
                <w:bCs/>
                <w:color w:val="FFFFFF"/>
                <w:lang w:eastAsia="es-CR"/>
              </w:rPr>
              <w:t>11055</w:t>
            </w:r>
          </w:p>
        </w:tc>
        <w:tc>
          <w:tcPr>
            <w:tcW w:w="886" w:type="pct"/>
            <w:tcBorders>
              <w:top w:val="nil"/>
              <w:left w:val="nil"/>
              <w:bottom w:val="single" w:sz="8" w:space="0" w:color="auto"/>
              <w:right w:val="single" w:sz="8" w:space="0" w:color="auto"/>
            </w:tcBorders>
            <w:shd w:val="clear" w:color="000000" w:fill="808080"/>
            <w:noWrap/>
            <w:vAlign w:val="center"/>
            <w:hideMark/>
          </w:tcPr>
          <w:p w14:paraId="338B6A76" w14:textId="1BF41261" w:rsidR="00D66F4A" w:rsidRPr="00D66F4A" w:rsidRDefault="00CF7099" w:rsidP="00D66F4A">
            <w:pPr>
              <w:spacing w:after="0" w:line="240" w:lineRule="auto"/>
              <w:jc w:val="center"/>
              <w:rPr>
                <w:rFonts w:ascii="Book Antiqua" w:eastAsia="Times New Roman" w:hAnsi="Book Antiqua" w:cs="Calibri"/>
                <w:b/>
                <w:bCs/>
                <w:color w:val="FFFFFF"/>
                <w:lang w:eastAsia="es-CR"/>
              </w:rPr>
            </w:pPr>
            <w:r>
              <w:rPr>
                <w:rFonts w:ascii="Book Antiqua" w:eastAsia="Times New Roman" w:hAnsi="Book Antiqua" w:cs="Calibri"/>
                <w:b/>
                <w:bCs/>
                <w:color w:val="FFFFFF"/>
                <w:lang w:eastAsia="es-CR"/>
              </w:rPr>
              <w:t>1440</w:t>
            </w:r>
          </w:p>
        </w:tc>
      </w:tr>
    </w:tbl>
    <w:p w14:paraId="2C3A3D7A" w14:textId="4EE2E566" w:rsidR="006E6743" w:rsidRDefault="006E6743" w:rsidP="006E6743">
      <w:pPr>
        <w:spacing w:after="0" w:line="276" w:lineRule="auto"/>
        <w:jc w:val="both"/>
        <w:rPr>
          <w:rFonts w:ascii="Book Antiqua" w:eastAsia="Calibri" w:hAnsi="Book Antiqua" w:cs="Arial"/>
          <w:bCs/>
          <w:i/>
          <w:sz w:val="20"/>
          <w:szCs w:val="20"/>
        </w:rPr>
      </w:pPr>
      <w:r w:rsidRPr="006E6743">
        <w:rPr>
          <w:rFonts w:ascii="Book Antiqua" w:eastAsia="Calibri" w:hAnsi="Book Antiqua" w:cs="Arial"/>
          <w:bCs/>
          <w:i/>
          <w:sz w:val="20"/>
          <w:szCs w:val="20"/>
        </w:rPr>
        <w:t>Fuente: Subproceso de Modernización Institucional, con datos de los Juzgados Especializados de Familia 20</w:t>
      </w:r>
      <w:r>
        <w:rPr>
          <w:rFonts w:ascii="Book Antiqua" w:eastAsia="Calibri" w:hAnsi="Book Antiqua" w:cs="Arial"/>
          <w:bCs/>
          <w:i/>
          <w:sz w:val="20"/>
          <w:szCs w:val="20"/>
        </w:rPr>
        <w:t>2</w:t>
      </w:r>
      <w:r w:rsidRPr="006E6743">
        <w:rPr>
          <w:rFonts w:ascii="Book Antiqua" w:eastAsia="Calibri" w:hAnsi="Book Antiqua" w:cs="Arial"/>
          <w:bCs/>
          <w:i/>
          <w:sz w:val="20"/>
          <w:szCs w:val="20"/>
        </w:rPr>
        <w:t>1</w:t>
      </w:r>
      <w:r w:rsidR="00D66F4A">
        <w:rPr>
          <w:rFonts w:ascii="Book Antiqua" w:eastAsia="Calibri" w:hAnsi="Book Antiqua" w:cs="Arial"/>
          <w:bCs/>
          <w:i/>
          <w:sz w:val="20"/>
          <w:szCs w:val="20"/>
        </w:rPr>
        <w:t xml:space="preserve"> y SIGMA.</w:t>
      </w:r>
    </w:p>
    <w:p w14:paraId="6793091C" w14:textId="77777777" w:rsidR="004566F4" w:rsidRDefault="004566F4" w:rsidP="004566F4">
      <w:pPr>
        <w:spacing w:after="0" w:line="276" w:lineRule="auto"/>
        <w:rPr>
          <w:rFonts w:ascii="Book Antiqua" w:eastAsia="Calibri" w:hAnsi="Book Antiqua" w:cs="Arial"/>
          <w:i/>
          <w:iCs/>
          <w:sz w:val="20"/>
          <w:szCs w:val="20"/>
        </w:rPr>
      </w:pPr>
      <w:r>
        <w:rPr>
          <w:rFonts w:ascii="Book Antiqua" w:eastAsia="Calibri" w:hAnsi="Book Antiqua" w:cs="Arial"/>
          <w:i/>
          <w:iCs/>
          <w:sz w:val="20"/>
          <w:szCs w:val="20"/>
        </w:rPr>
        <w:t xml:space="preserve">Nota: No se recibió la información del el Juzgado de Familia del II C.J. Alajuela y el Juzgado de Familia de Puntarenas indicó que por problemas con la Agenda Cronos no fue posible remitir lo solicitado. </w:t>
      </w:r>
    </w:p>
    <w:p w14:paraId="2851D52B" w14:textId="666B88F1" w:rsidR="006E6743" w:rsidRDefault="006E6743" w:rsidP="006E6743">
      <w:pPr>
        <w:spacing w:after="0" w:line="276" w:lineRule="auto"/>
        <w:jc w:val="both"/>
        <w:rPr>
          <w:rFonts w:ascii="Book Antiqua" w:eastAsia="Calibri" w:hAnsi="Book Antiqua" w:cs="Arial"/>
          <w:bCs/>
          <w:i/>
          <w:sz w:val="20"/>
          <w:szCs w:val="20"/>
        </w:rPr>
      </w:pPr>
    </w:p>
    <w:p w14:paraId="533A3EA3" w14:textId="1AAB0927" w:rsidR="006B1195" w:rsidRPr="006B1195" w:rsidRDefault="006B1195" w:rsidP="006B1195">
      <w:pPr>
        <w:spacing w:after="0" w:line="276" w:lineRule="auto"/>
        <w:jc w:val="both"/>
        <w:rPr>
          <w:rFonts w:ascii="Book Antiqua" w:eastAsia="Calibri" w:hAnsi="Book Antiqua" w:cs="Arial"/>
          <w:sz w:val="24"/>
          <w:szCs w:val="24"/>
        </w:rPr>
      </w:pPr>
      <w:r w:rsidRPr="006B1195">
        <w:rPr>
          <w:rFonts w:ascii="Book Antiqua" w:eastAsia="Calibri" w:hAnsi="Book Antiqua" w:cs="Arial"/>
          <w:sz w:val="24"/>
          <w:szCs w:val="24"/>
        </w:rPr>
        <w:t xml:space="preserve">De los resultados anteriores, se evidencia que estos </w:t>
      </w:r>
      <w:r w:rsidRPr="00D66F4A">
        <w:rPr>
          <w:rFonts w:ascii="Book Antiqua" w:eastAsia="Calibri" w:hAnsi="Book Antiqua" w:cs="Arial"/>
          <w:sz w:val="24"/>
          <w:szCs w:val="24"/>
        </w:rPr>
        <w:t>difieren p</w:t>
      </w:r>
      <w:r w:rsidRPr="006B1195">
        <w:rPr>
          <w:rFonts w:ascii="Book Antiqua" w:eastAsia="Calibri" w:hAnsi="Book Antiqua" w:cs="Arial"/>
          <w:sz w:val="24"/>
          <w:szCs w:val="24"/>
        </w:rPr>
        <w:t xml:space="preserve">ara todos los Juzgados Especializados en Familia, registrando una diferencia en el total de un </w:t>
      </w:r>
      <w:r w:rsidR="00CF16A0" w:rsidRPr="00CF16A0">
        <w:rPr>
          <w:rFonts w:ascii="Book Antiqua" w:eastAsia="Calibri" w:hAnsi="Book Antiqua" w:cs="Arial"/>
          <w:sz w:val="24"/>
          <w:szCs w:val="24"/>
        </w:rPr>
        <w:t>1</w:t>
      </w:r>
      <w:r w:rsidRPr="00CF16A0">
        <w:rPr>
          <w:rFonts w:ascii="Book Antiqua" w:eastAsia="Calibri" w:hAnsi="Book Antiqua" w:cs="Arial"/>
          <w:sz w:val="24"/>
          <w:szCs w:val="24"/>
        </w:rPr>
        <w:t>2%</w:t>
      </w:r>
      <w:r w:rsidRPr="006B1195">
        <w:rPr>
          <w:rFonts w:ascii="Book Antiqua" w:eastAsia="Calibri" w:hAnsi="Book Antiqua" w:cs="Arial"/>
          <w:sz w:val="24"/>
          <w:szCs w:val="24"/>
        </w:rPr>
        <w:t xml:space="preserve"> entre el SIGMA y los datos de los Despachos. De lo anterior, confirma que los Despachos no están realizando las revisiones de la información que se ingresa en los sistemas, por lo tanto, los datos registrados a través de este módulo no son fieles a la realidad de los Juzgados, sin embargo hay que aclarar que la Institución ha generado múltiples circulares en la</w:t>
      </w:r>
      <w:r w:rsidR="00CF16A0">
        <w:rPr>
          <w:rFonts w:ascii="Book Antiqua" w:eastAsia="Calibri" w:hAnsi="Book Antiqua" w:cs="Arial"/>
          <w:sz w:val="24"/>
          <w:szCs w:val="24"/>
        </w:rPr>
        <w:t>s</w:t>
      </w:r>
      <w:r w:rsidRPr="006B1195">
        <w:rPr>
          <w:rFonts w:ascii="Book Antiqua" w:eastAsia="Calibri" w:hAnsi="Book Antiqua" w:cs="Arial"/>
          <w:sz w:val="24"/>
          <w:szCs w:val="24"/>
        </w:rPr>
        <w:t xml:space="preserve"> que </w:t>
      </w:r>
      <w:r w:rsidR="00CF16A0">
        <w:rPr>
          <w:rFonts w:ascii="Book Antiqua" w:eastAsia="Calibri" w:hAnsi="Book Antiqua" w:cs="Arial"/>
          <w:sz w:val="24"/>
          <w:szCs w:val="24"/>
        </w:rPr>
        <w:t xml:space="preserve">se indica que </w:t>
      </w:r>
      <w:r w:rsidRPr="006B1195">
        <w:rPr>
          <w:rFonts w:ascii="Book Antiqua" w:eastAsia="Calibri" w:hAnsi="Book Antiqua" w:cs="Arial"/>
          <w:sz w:val="24"/>
          <w:szCs w:val="24"/>
        </w:rPr>
        <w:t>es obligación de las personas técnicas y juzgadoras mantener la información actualizada en los sistema, lo cual también fue retomado en el informe de hallazgos de la Contraloría General de la República</w:t>
      </w:r>
      <w:r w:rsidR="001C0DBC">
        <w:rPr>
          <w:rFonts w:ascii="Book Antiqua" w:eastAsia="Calibri" w:hAnsi="Book Antiqua" w:cs="Arial"/>
          <w:sz w:val="24"/>
          <w:szCs w:val="24"/>
        </w:rPr>
        <w:t>; incluso la circular 170-2020 establece la</w:t>
      </w:r>
      <w:r w:rsidR="001C0DBC" w:rsidRPr="001D0C10">
        <w:rPr>
          <w:rFonts w:ascii="Book Antiqua" w:eastAsia="Calibri" w:hAnsi="Book Antiqua" w:cs="Arial"/>
          <w:i/>
          <w:iCs/>
          <w:sz w:val="24"/>
          <w:szCs w:val="24"/>
        </w:rPr>
        <w:t xml:space="preserve"> </w:t>
      </w:r>
      <w:r w:rsidR="001C0DBC">
        <w:rPr>
          <w:rFonts w:ascii="Book Antiqua" w:eastAsia="Calibri" w:hAnsi="Book Antiqua" w:cs="Arial"/>
          <w:i/>
          <w:iCs/>
          <w:sz w:val="24"/>
          <w:szCs w:val="24"/>
        </w:rPr>
        <w:t>“o</w:t>
      </w:r>
      <w:r w:rsidR="001C0DBC" w:rsidRPr="001D0C10">
        <w:rPr>
          <w:rFonts w:ascii="Book Antiqua" w:eastAsia="Calibri" w:hAnsi="Book Antiqua" w:cs="Arial"/>
          <w:i/>
          <w:iCs/>
          <w:sz w:val="24"/>
          <w:szCs w:val="24"/>
        </w:rPr>
        <w:t>bligación de cumplir con la corrección de inconsistencias de manera permanente, cumplimiento de circulares y actualización de los controles implementados bajo apercibimiento de aplicar el régimen disciplinario por su incumplimiento.”</w:t>
      </w:r>
      <w:r w:rsidRPr="006B1195">
        <w:rPr>
          <w:rFonts w:ascii="Book Antiqua" w:eastAsia="Calibri" w:hAnsi="Book Antiqua" w:cs="Arial"/>
          <w:sz w:val="24"/>
          <w:szCs w:val="24"/>
        </w:rPr>
        <w:t xml:space="preserve"> </w:t>
      </w:r>
    </w:p>
    <w:p w14:paraId="7C81CC27" w14:textId="77777777" w:rsidR="006B1195" w:rsidRPr="006B1195" w:rsidRDefault="006B1195" w:rsidP="006B1195">
      <w:pPr>
        <w:spacing w:after="0" w:line="276" w:lineRule="auto"/>
        <w:jc w:val="both"/>
        <w:rPr>
          <w:rFonts w:ascii="Book Antiqua" w:eastAsia="Calibri" w:hAnsi="Book Antiqua" w:cs="Arial"/>
          <w:sz w:val="24"/>
          <w:szCs w:val="24"/>
        </w:rPr>
      </w:pPr>
    </w:p>
    <w:p w14:paraId="1A81F0C7" w14:textId="08D8727E" w:rsidR="006B1195" w:rsidRDefault="006B1195" w:rsidP="006B1195">
      <w:pPr>
        <w:spacing w:after="0" w:line="276" w:lineRule="auto"/>
        <w:jc w:val="both"/>
        <w:rPr>
          <w:rFonts w:ascii="Book Antiqua" w:eastAsia="Calibri" w:hAnsi="Book Antiqua" w:cs="Arial"/>
          <w:sz w:val="24"/>
          <w:szCs w:val="24"/>
        </w:rPr>
      </w:pPr>
      <w:r w:rsidRPr="006B1195">
        <w:rPr>
          <w:rFonts w:ascii="Book Antiqua" w:eastAsia="Calibri" w:hAnsi="Book Antiqua" w:cs="Arial"/>
          <w:sz w:val="24"/>
          <w:szCs w:val="24"/>
        </w:rPr>
        <w:t>En el siguiente cuadro, se muestra la cantidad de audiencias realizadas en los Juzgados Especializados de Familia por persona juzgadora durante el periodo 2018 al 2019.</w:t>
      </w:r>
    </w:p>
    <w:p w14:paraId="0358E0D8" w14:textId="1C4F1B6B" w:rsidR="00671025" w:rsidRPr="00671025" w:rsidRDefault="00671025" w:rsidP="0067102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71025">
        <w:rPr>
          <w:rFonts w:ascii="Book Antiqua" w:eastAsia="Calibri" w:hAnsi="Book Antiqua" w:cs="Arial"/>
          <w:b/>
          <w:bCs/>
          <w:color w:val="1F497D"/>
          <w:szCs w:val="24"/>
          <w:lang w:val="es-ES" w:eastAsia="es-ES"/>
        </w:rPr>
        <w:lastRenderedPageBreak/>
        <w:t xml:space="preserve">Cuadro </w:t>
      </w:r>
      <w:r w:rsidRPr="00671025">
        <w:rPr>
          <w:rFonts w:ascii="Book Antiqua" w:eastAsia="Calibri" w:hAnsi="Book Antiqua" w:cs="Arial"/>
          <w:b/>
          <w:bCs/>
          <w:color w:val="1F497D"/>
          <w:szCs w:val="24"/>
          <w:lang w:val="es-ES" w:eastAsia="es-ES"/>
        </w:rPr>
        <w:fldChar w:fldCharType="begin"/>
      </w:r>
      <w:r w:rsidRPr="00671025">
        <w:rPr>
          <w:rFonts w:ascii="Book Antiqua" w:eastAsia="Calibri" w:hAnsi="Book Antiqua" w:cs="Arial"/>
          <w:b/>
          <w:bCs/>
          <w:color w:val="1F497D"/>
          <w:szCs w:val="24"/>
          <w:lang w:val="es-ES" w:eastAsia="es-ES"/>
        </w:rPr>
        <w:instrText xml:space="preserve"> SEQ Cuadro \* ARABIC </w:instrText>
      </w:r>
      <w:r w:rsidRPr="0067102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11</w:t>
      </w:r>
      <w:r w:rsidRPr="00671025">
        <w:rPr>
          <w:rFonts w:ascii="Book Antiqua" w:eastAsia="Calibri" w:hAnsi="Book Antiqua" w:cs="Arial"/>
          <w:b/>
          <w:bCs/>
          <w:color w:val="1F497D"/>
          <w:szCs w:val="24"/>
          <w:lang w:val="es-ES" w:eastAsia="es-ES"/>
        </w:rPr>
        <w:fldChar w:fldCharType="end"/>
      </w:r>
    </w:p>
    <w:p w14:paraId="03B66835" w14:textId="77777777" w:rsidR="00671025" w:rsidRPr="00671025" w:rsidRDefault="00671025" w:rsidP="0067102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71025">
        <w:rPr>
          <w:rFonts w:ascii="Book Antiqua" w:eastAsia="Calibri" w:hAnsi="Book Antiqua" w:cs="Arial"/>
          <w:b/>
          <w:bCs/>
          <w:color w:val="1F497D"/>
          <w:szCs w:val="24"/>
          <w:lang w:val="es-ES" w:eastAsia="es-ES"/>
        </w:rPr>
        <w:t xml:space="preserve">Cantidad promedio de audiencias realizadas </w:t>
      </w:r>
    </w:p>
    <w:p w14:paraId="07C87367" w14:textId="5923D209" w:rsidR="00671025" w:rsidRPr="00671025" w:rsidRDefault="00671025" w:rsidP="0067102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71025">
        <w:rPr>
          <w:rFonts w:ascii="Book Antiqua" w:eastAsia="Calibri" w:hAnsi="Book Antiqua" w:cs="Arial"/>
          <w:b/>
          <w:bCs/>
          <w:color w:val="1F497D"/>
          <w:szCs w:val="24"/>
          <w:lang w:val="es-ES" w:eastAsia="es-ES"/>
        </w:rPr>
        <w:t>por persona juzgadora, periodo 20</w:t>
      </w:r>
      <w:r>
        <w:rPr>
          <w:rFonts w:ascii="Book Antiqua" w:eastAsia="Calibri" w:hAnsi="Book Antiqua" w:cs="Arial"/>
          <w:b/>
          <w:bCs/>
          <w:color w:val="1F497D"/>
          <w:szCs w:val="24"/>
          <w:lang w:val="es-ES" w:eastAsia="es-ES"/>
        </w:rPr>
        <w:t>20</w:t>
      </w:r>
      <w:r w:rsidRPr="00671025">
        <w:rPr>
          <w:rFonts w:ascii="Book Antiqua" w:eastAsia="Calibri" w:hAnsi="Book Antiqua" w:cs="Arial"/>
          <w:b/>
          <w:bCs/>
          <w:color w:val="1F497D"/>
          <w:szCs w:val="24"/>
          <w:lang w:val="es-ES" w:eastAsia="es-ES"/>
        </w:rPr>
        <w:t xml:space="preserve"> al 20</w:t>
      </w:r>
      <w:r>
        <w:rPr>
          <w:rFonts w:ascii="Book Antiqua" w:eastAsia="Calibri" w:hAnsi="Book Antiqua" w:cs="Arial"/>
          <w:b/>
          <w:bCs/>
          <w:color w:val="1F497D"/>
          <w:szCs w:val="24"/>
          <w:lang w:val="es-ES" w:eastAsia="es-ES"/>
        </w:rPr>
        <w:t>2</w:t>
      </w:r>
      <w:r w:rsidRPr="00671025">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2722"/>
        <w:gridCol w:w="1228"/>
        <w:gridCol w:w="1228"/>
        <w:gridCol w:w="1200"/>
        <w:gridCol w:w="1240"/>
        <w:gridCol w:w="1200"/>
      </w:tblGrid>
      <w:tr w:rsidR="00743FCB" w:rsidRPr="00743FCB" w14:paraId="67098E85" w14:textId="77777777" w:rsidTr="00743FCB">
        <w:trPr>
          <w:trHeight w:val="880"/>
        </w:trPr>
        <w:tc>
          <w:tcPr>
            <w:tcW w:w="1555" w:type="pct"/>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1B86F9D0"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Despacho</w:t>
            </w:r>
          </w:p>
        </w:tc>
        <w:tc>
          <w:tcPr>
            <w:tcW w:w="681" w:type="pct"/>
            <w:tcBorders>
              <w:top w:val="single" w:sz="8" w:space="0" w:color="auto"/>
              <w:left w:val="nil"/>
              <w:bottom w:val="single" w:sz="8" w:space="0" w:color="auto"/>
              <w:right w:val="single" w:sz="8" w:space="0" w:color="auto"/>
            </w:tcBorders>
            <w:shd w:val="clear" w:color="000000" w:fill="002060"/>
            <w:vAlign w:val="center"/>
            <w:hideMark/>
          </w:tcPr>
          <w:p w14:paraId="242A570A"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Total Aud. Realizadas 2020</w:t>
            </w:r>
          </w:p>
        </w:tc>
        <w:tc>
          <w:tcPr>
            <w:tcW w:w="691" w:type="pct"/>
            <w:tcBorders>
              <w:top w:val="single" w:sz="8" w:space="0" w:color="auto"/>
              <w:left w:val="nil"/>
              <w:bottom w:val="single" w:sz="8" w:space="0" w:color="auto"/>
              <w:right w:val="single" w:sz="8" w:space="0" w:color="auto"/>
            </w:tcBorders>
            <w:shd w:val="clear" w:color="000000" w:fill="002060"/>
            <w:vAlign w:val="center"/>
            <w:hideMark/>
          </w:tcPr>
          <w:p w14:paraId="0759D023"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Total Aud. Realizadas 2021</w:t>
            </w:r>
          </w:p>
        </w:tc>
        <w:tc>
          <w:tcPr>
            <w:tcW w:w="691" w:type="pct"/>
            <w:tcBorders>
              <w:top w:val="single" w:sz="8" w:space="0" w:color="auto"/>
              <w:left w:val="nil"/>
              <w:bottom w:val="single" w:sz="8" w:space="0" w:color="auto"/>
              <w:right w:val="single" w:sz="8" w:space="0" w:color="auto"/>
            </w:tcBorders>
            <w:shd w:val="clear" w:color="000000" w:fill="002060"/>
            <w:vAlign w:val="center"/>
            <w:hideMark/>
          </w:tcPr>
          <w:p w14:paraId="1B92765B"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Promedio mensual 2020 al 2021</w:t>
            </w:r>
          </w:p>
        </w:tc>
        <w:tc>
          <w:tcPr>
            <w:tcW w:w="691" w:type="pct"/>
            <w:tcBorders>
              <w:top w:val="single" w:sz="8" w:space="0" w:color="auto"/>
              <w:left w:val="nil"/>
              <w:bottom w:val="single" w:sz="8" w:space="0" w:color="auto"/>
              <w:right w:val="single" w:sz="8" w:space="0" w:color="auto"/>
            </w:tcBorders>
            <w:shd w:val="clear" w:color="000000" w:fill="002060"/>
            <w:vAlign w:val="center"/>
            <w:hideMark/>
          </w:tcPr>
          <w:p w14:paraId="5CD337E8"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Cantidad de personas juzgadoras</w:t>
            </w:r>
          </w:p>
        </w:tc>
        <w:tc>
          <w:tcPr>
            <w:tcW w:w="691" w:type="pct"/>
            <w:tcBorders>
              <w:top w:val="nil"/>
              <w:left w:val="nil"/>
              <w:bottom w:val="nil"/>
              <w:right w:val="single" w:sz="8" w:space="0" w:color="auto"/>
            </w:tcBorders>
            <w:shd w:val="clear" w:color="000000" w:fill="002060"/>
            <w:vAlign w:val="center"/>
            <w:hideMark/>
          </w:tcPr>
          <w:p w14:paraId="2E1497A0"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Cantidad mensual por Juez o Jueza</w:t>
            </w:r>
          </w:p>
        </w:tc>
      </w:tr>
      <w:tr w:rsidR="00743FCB" w:rsidRPr="00743FCB" w14:paraId="5FB924D5" w14:textId="77777777" w:rsidTr="00743FCB">
        <w:trPr>
          <w:trHeight w:val="67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4AD6366"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de Familia III Circ. Jud. San José</w:t>
            </w:r>
          </w:p>
        </w:tc>
        <w:tc>
          <w:tcPr>
            <w:tcW w:w="681" w:type="pct"/>
            <w:tcBorders>
              <w:top w:val="nil"/>
              <w:left w:val="nil"/>
              <w:bottom w:val="single" w:sz="8" w:space="0" w:color="auto"/>
              <w:right w:val="single" w:sz="8" w:space="0" w:color="auto"/>
            </w:tcBorders>
            <w:shd w:val="clear" w:color="000000" w:fill="FFFFFF"/>
            <w:vAlign w:val="center"/>
            <w:hideMark/>
          </w:tcPr>
          <w:p w14:paraId="3ACB2D2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264</w:t>
            </w:r>
          </w:p>
        </w:tc>
        <w:tc>
          <w:tcPr>
            <w:tcW w:w="691" w:type="pct"/>
            <w:tcBorders>
              <w:top w:val="nil"/>
              <w:left w:val="nil"/>
              <w:bottom w:val="single" w:sz="8" w:space="0" w:color="auto"/>
              <w:right w:val="single" w:sz="8" w:space="0" w:color="auto"/>
            </w:tcBorders>
            <w:shd w:val="clear" w:color="000000" w:fill="FFFFFF"/>
            <w:noWrap/>
            <w:vAlign w:val="center"/>
            <w:hideMark/>
          </w:tcPr>
          <w:p w14:paraId="1F8FF6A1"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643</w:t>
            </w:r>
          </w:p>
        </w:tc>
        <w:tc>
          <w:tcPr>
            <w:tcW w:w="691" w:type="pct"/>
            <w:tcBorders>
              <w:top w:val="nil"/>
              <w:left w:val="nil"/>
              <w:bottom w:val="single" w:sz="8" w:space="0" w:color="auto"/>
              <w:right w:val="single" w:sz="8" w:space="0" w:color="auto"/>
            </w:tcBorders>
            <w:shd w:val="clear" w:color="000000" w:fill="FFFFFF"/>
            <w:noWrap/>
            <w:vAlign w:val="center"/>
            <w:hideMark/>
          </w:tcPr>
          <w:p w14:paraId="70F54093"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40</w:t>
            </w:r>
          </w:p>
        </w:tc>
        <w:tc>
          <w:tcPr>
            <w:tcW w:w="691" w:type="pct"/>
            <w:tcBorders>
              <w:top w:val="nil"/>
              <w:left w:val="nil"/>
              <w:bottom w:val="single" w:sz="8" w:space="0" w:color="auto"/>
              <w:right w:val="single" w:sz="8" w:space="0" w:color="auto"/>
            </w:tcBorders>
            <w:shd w:val="clear" w:color="auto" w:fill="auto"/>
            <w:noWrap/>
            <w:vAlign w:val="center"/>
            <w:hideMark/>
          </w:tcPr>
          <w:p w14:paraId="0BBB293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w:t>
            </w:r>
          </w:p>
        </w:tc>
        <w:tc>
          <w:tcPr>
            <w:tcW w:w="691" w:type="pct"/>
            <w:tcBorders>
              <w:top w:val="single" w:sz="8" w:space="0" w:color="auto"/>
              <w:left w:val="nil"/>
              <w:bottom w:val="single" w:sz="8" w:space="0" w:color="auto"/>
              <w:right w:val="single" w:sz="8" w:space="0" w:color="auto"/>
            </w:tcBorders>
            <w:shd w:val="clear" w:color="auto" w:fill="auto"/>
            <w:noWrap/>
            <w:vAlign w:val="center"/>
            <w:hideMark/>
          </w:tcPr>
          <w:p w14:paraId="2627CB9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13</w:t>
            </w:r>
          </w:p>
        </w:tc>
      </w:tr>
      <w:tr w:rsidR="00743FCB" w:rsidRPr="00743FCB" w14:paraId="1FC3F025" w14:textId="77777777" w:rsidTr="00743FCB">
        <w:trPr>
          <w:trHeight w:val="34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5CC6F132"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Cartago</w:t>
            </w:r>
          </w:p>
        </w:tc>
        <w:tc>
          <w:tcPr>
            <w:tcW w:w="681" w:type="pct"/>
            <w:tcBorders>
              <w:top w:val="nil"/>
              <w:left w:val="nil"/>
              <w:bottom w:val="single" w:sz="8" w:space="0" w:color="auto"/>
              <w:right w:val="single" w:sz="8" w:space="0" w:color="auto"/>
            </w:tcBorders>
            <w:shd w:val="clear" w:color="000000" w:fill="FFFFFF"/>
            <w:vAlign w:val="center"/>
            <w:hideMark/>
          </w:tcPr>
          <w:p w14:paraId="571FE1A1"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717</w:t>
            </w:r>
          </w:p>
        </w:tc>
        <w:tc>
          <w:tcPr>
            <w:tcW w:w="691" w:type="pct"/>
            <w:tcBorders>
              <w:top w:val="nil"/>
              <w:left w:val="nil"/>
              <w:bottom w:val="single" w:sz="8" w:space="0" w:color="auto"/>
              <w:right w:val="single" w:sz="8" w:space="0" w:color="auto"/>
            </w:tcBorders>
            <w:shd w:val="clear" w:color="000000" w:fill="FFFFFF"/>
            <w:noWrap/>
            <w:vAlign w:val="center"/>
            <w:hideMark/>
          </w:tcPr>
          <w:p w14:paraId="7D1FCEDA"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1096</w:t>
            </w:r>
          </w:p>
        </w:tc>
        <w:tc>
          <w:tcPr>
            <w:tcW w:w="691" w:type="pct"/>
            <w:tcBorders>
              <w:top w:val="nil"/>
              <w:left w:val="nil"/>
              <w:bottom w:val="single" w:sz="8" w:space="0" w:color="auto"/>
              <w:right w:val="single" w:sz="8" w:space="0" w:color="auto"/>
            </w:tcBorders>
            <w:shd w:val="clear" w:color="000000" w:fill="FFFFFF"/>
            <w:noWrap/>
            <w:vAlign w:val="center"/>
            <w:hideMark/>
          </w:tcPr>
          <w:p w14:paraId="484F7A9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81</w:t>
            </w:r>
          </w:p>
        </w:tc>
        <w:tc>
          <w:tcPr>
            <w:tcW w:w="691" w:type="pct"/>
            <w:tcBorders>
              <w:top w:val="nil"/>
              <w:left w:val="nil"/>
              <w:bottom w:val="single" w:sz="8" w:space="0" w:color="auto"/>
              <w:right w:val="single" w:sz="8" w:space="0" w:color="auto"/>
            </w:tcBorders>
            <w:shd w:val="clear" w:color="auto" w:fill="auto"/>
            <w:noWrap/>
            <w:vAlign w:val="center"/>
            <w:hideMark/>
          </w:tcPr>
          <w:p w14:paraId="2C1E637F"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w:t>
            </w:r>
          </w:p>
        </w:tc>
        <w:tc>
          <w:tcPr>
            <w:tcW w:w="691" w:type="pct"/>
            <w:tcBorders>
              <w:top w:val="nil"/>
              <w:left w:val="nil"/>
              <w:bottom w:val="single" w:sz="8" w:space="0" w:color="auto"/>
              <w:right w:val="single" w:sz="8" w:space="0" w:color="auto"/>
            </w:tcBorders>
            <w:shd w:val="clear" w:color="auto" w:fill="auto"/>
            <w:noWrap/>
            <w:vAlign w:val="center"/>
            <w:hideMark/>
          </w:tcPr>
          <w:p w14:paraId="24DBCFE9"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27</w:t>
            </w:r>
          </w:p>
        </w:tc>
      </w:tr>
      <w:tr w:rsidR="00743FCB" w:rsidRPr="00743FCB" w14:paraId="4C628C1D" w14:textId="77777777" w:rsidTr="00743FCB">
        <w:trPr>
          <w:trHeight w:val="47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3AE06E65"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Heredia</w:t>
            </w:r>
          </w:p>
        </w:tc>
        <w:tc>
          <w:tcPr>
            <w:tcW w:w="681" w:type="pct"/>
            <w:tcBorders>
              <w:top w:val="nil"/>
              <w:left w:val="nil"/>
              <w:bottom w:val="single" w:sz="8" w:space="0" w:color="auto"/>
              <w:right w:val="single" w:sz="8" w:space="0" w:color="auto"/>
            </w:tcBorders>
            <w:shd w:val="clear" w:color="000000" w:fill="FFFFFF"/>
            <w:vAlign w:val="center"/>
            <w:hideMark/>
          </w:tcPr>
          <w:p w14:paraId="4EF7DFF3"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378</w:t>
            </w:r>
          </w:p>
        </w:tc>
        <w:tc>
          <w:tcPr>
            <w:tcW w:w="691" w:type="pct"/>
            <w:tcBorders>
              <w:top w:val="nil"/>
              <w:left w:val="nil"/>
              <w:bottom w:val="single" w:sz="8" w:space="0" w:color="auto"/>
              <w:right w:val="single" w:sz="8" w:space="0" w:color="auto"/>
            </w:tcBorders>
            <w:shd w:val="clear" w:color="000000" w:fill="FFFFFF"/>
            <w:noWrap/>
            <w:vAlign w:val="center"/>
            <w:hideMark/>
          </w:tcPr>
          <w:p w14:paraId="16573D2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1092</w:t>
            </w:r>
          </w:p>
        </w:tc>
        <w:tc>
          <w:tcPr>
            <w:tcW w:w="691" w:type="pct"/>
            <w:tcBorders>
              <w:top w:val="nil"/>
              <w:left w:val="nil"/>
              <w:bottom w:val="single" w:sz="8" w:space="0" w:color="auto"/>
              <w:right w:val="single" w:sz="8" w:space="0" w:color="auto"/>
            </w:tcBorders>
            <w:shd w:val="clear" w:color="000000" w:fill="FFFFFF"/>
            <w:noWrap/>
            <w:vAlign w:val="center"/>
            <w:hideMark/>
          </w:tcPr>
          <w:p w14:paraId="2BD1CCC6"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65</w:t>
            </w:r>
          </w:p>
        </w:tc>
        <w:tc>
          <w:tcPr>
            <w:tcW w:w="691" w:type="pct"/>
            <w:tcBorders>
              <w:top w:val="nil"/>
              <w:left w:val="nil"/>
              <w:bottom w:val="single" w:sz="8" w:space="0" w:color="auto"/>
              <w:right w:val="single" w:sz="8" w:space="0" w:color="auto"/>
            </w:tcBorders>
            <w:shd w:val="clear" w:color="auto" w:fill="auto"/>
            <w:noWrap/>
            <w:vAlign w:val="center"/>
            <w:hideMark/>
          </w:tcPr>
          <w:p w14:paraId="2AA985F9"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w:t>
            </w:r>
          </w:p>
        </w:tc>
        <w:tc>
          <w:tcPr>
            <w:tcW w:w="691" w:type="pct"/>
            <w:tcBorders>
              <w:top w:val="nil"/>
              <w:left w:val="nil"/>
              <w:bottom w:val="single" w:sz="8" w:space="0" w:color="auto"/>
              <w:right w:val="single" w:sz="8" w:space="0" w:color="auto"/>
            </w:tcBorders>
            <w:shd w:val="clear" w:color="auto" w:fill="auto"/>
            <w:noWrap/>
            <w:vAlign w:val="center"/>
            <w:hideMark/>
          </w:tcPr>
          <w:p w14:paraId="44856438"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16</w:t>
            </w:r>
          </w:p>
        </w:tc>
      </w:tr>
      <w:tr w:rsidR="00743FCB" w:rsidRPr="00743FCB" w14:paraId="4439C945" w14:textId="77777777" w:rsidTr="00743FCB">
        <w:trPr>
          <w:trHeight w:val="54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BA61138"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 Circ. Jud. Alajuela</w:t>
            </w:r>
          </w:p>
        </w:tc>
        <w:tc>
          <w:tcPr>
            <w:tcW w:w="681" w:type="pct"/>
            <w:tcBorders>
              <w:top w:val="nil"/>
              <w:left w:val="nil"/>
              <w:bottom w:val="single" w:sz="8" w:space="0" w:color="auto"/>
              <w:right w:val="single" w:sz="8" w:space="0" w:color="auto"/>
            </w:tcBorders>
            <w:shd w:val="clear" w:color="000000" w:fill="FFFFFF"/>
            <w:vAlign w:val="center"/>
            <w:hideMark/>
          </w:tcPr>
          <w:p w14:paraId="2CEF85A2"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214</w:t>
            </w:r>
          </w:p>
        </w:tc>
        <w:tc>
          <w:tcPr>
            <w:tcW w:w="691" w:type="pct"/>
            <w:tcBorders>
              <w:top w:val="nil"/>
              <w:left w:val="nil"/>
              <w:bottom w:val="single" w:sz="8" w:space="0" w:color="auto"/>
              <w:right w:val="single" w:sz="8" w:space="0" w:color="auto"/>
            </w:tcBorders>
            <w:shd w:val="clear" w:color="000000" w:fill="FFFFFF"/>
            <w:noWrap/>
            <w:vAlign w:val="center"/>
            <w:hideMark/>
          </w:tcPr>
          <w:p w14:paraId="7BE66E1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757</w:t>
            </w:r>
          </w:p>
        </w:tc>
        <w:tc>
          <w:tcPr>
            <w:tcW w:w="691" w:type="pct"/>
            <w:tcBorders>
              <w:top w:val="nil"/>
              <w:left w:val="nil"/>
              <w:bottom w:val="single" w:sz="8" w:space="0" w:color="auto"/>
              <w:right w:val="single" w:sz="8" w:space="0" w:color="auto"/>
            </w:tcBorders>
            <w:shd w:val="clear" w:color="000000" w:fill="FFFFFF"/>
            <w:noWrap/>
            <w:vAlign w:val="center"/>
            <w:hideMark/>
          </w:tcPr>
          <w:p w14:paraId="521A6B2E"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43</w:t>
            </w:r>
          </w:p>
        </w:tc>
        <w:tc>
          <w:tcPr>
            <w:tcW w:w="691" w:type="pct"/>
            <w:tcBorders>
              <w:top w:val="nil"/>
              <w:left w:val="nil"/>
              <w:bottom w:val="single" w:sz="8" w:space="0" w:color="auto"/>
              <w:right w:val="single" w:sz="8" w:space="0" w:color="auto"/>
            </w:tcBorders>
            <w:shd w:val="clear" w:color="auto" w:fill="auto"/>
            <w:noWrap/>
            <w:vAlign w:val="center"/>
            <w:hideMark/>
          </w:tcPr>
          <w:p w14:paraId="5A8EA33E"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w:t>
            </w:r>
          </w:p>
        </w:tc>
        <w:tc>
          <w:tcPr>
            <w:tcW w:w="691" w:type="pct"/>
            <w:tcBorders>
              <w:top w:val="nil"/>
              <w:left w:val="nil"/>
              <w:bottom w:val="single" w:sz="8" w:space="0" w:color="auto"/>
              <w:right w:val="single" w:sz="8" w:space="0" w:color="auto"/>
            </w:tcBorders>
            <w:shd w:val="clear" w:color="auto" w:fill="auto"/>
            <w:noWrap/>
            <w:vAlign w:val="center"/>
            <w:hideMark/>
          </w:tcPr>
          <w:p w14:paraId="2D197211"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14</w:t>
            </w:r>
          </w:p>
        </w:tc>
      </w:tr>
      <w:tr w:rsidR="00743FCB" w:rsidRPr="00743FCB" w14:paraId="12FD8607" w14:textId="77777777" w:rsidTr="00743FCB">
        <w:trPr>
          <w:trHeight w:val="70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7EB46C3"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 Circ. Jud. Zona Atlántica</w:t>
            </w:r>
          </w:p>
        </w:tc>
        <w:tc>
          <w:tcPr>
            <w:tcW w:w="681" w:type="pct"/>
            <w:tcBorders>
              <w:top w:val="nil"/>
              <w:left w:val="nil"/>
              <w:bottom w:val="single" w:sz="8" w:space="0" w:color="auto"/>
              <w:right w:val="single" w:sz="8" w:space="0" w:color="auto"/>
            </w:tcBorders>
            <w:shd w:val="clear" w:color="000000" w:fill="FFFFFF"/>
            <w:vAlign w:val="center"/>
            <w:hideMark/>
          </w:tcPr>
          <w:p w14:paraId="180699DC"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70</w:t>
            </w:r>
          </w:p>
        </w:tc>
        <w:tc>
          <w:tcPr>
            <w:tcW w:w="691" w:type="pct"/>
            <w:tcBorders>
              <w:top w:val="nil"/>
              <w:left w:val="nil"/>
              <w:bottom w:val="single" w:sz="8" w:space="0" w:color="auto"/>
              <w:right w:val="single" w:sz="8" w:space="0" w:color="auto"/>
            </w:tcBorders>
            <w:shd w:val="clear" w:color="000000" w:fill="FFFFFF"/>
            <w:noWrap/>
            <w:vAlign w:val="center"/>
            <w:hideMark/>
          </w:tcPr>
          <w:p w14:paraId="50493981"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404</w:t>
            </w:r>
          </w:p>
        </w:tc>
        <w:tc>
          <w:tcPr>
            <w:tcW w:w="691" w:type="pct"/>
            <w:tcBorders>
              <w:top w:val="nil"/>
              <w:left w:val="nil"/>
              <w:bottom w:val="single" w:sz="8" w:space="0" w:color="auto"/>
              <w:right w:val="single" w:sz="8" w:space="0" w:color="auto"/>
            </w:tcBorders>
            <w:shd w:val="clear" w:color="000000" w:fill="FFFFFF"/>
            <w:noWrap/>
            <w:vAlign w:val="center"/>
            <w:hideMark/>
          </w:tcPr>
          <w:p w14:paraId="242FE6A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21</w:t>
            </w:r>
          </w:p>
        </w:tc>
        <w:tc>
          <w:tcPr>
            <w:tcW w:w="691" w:type="pct"/>
            <w:tcBorders>
              <w:top w:val="nil"/>
              <w:left w:val="nil"/>
              <w:bottom w:val="single" w:sz="8" w:space="0" w:color="auto"/>
              <w:right w:val="single" w:sz="8" w:space="0" w:color="auto"/>
            </w:tcBorders>
            <w:shd w:val="clear" w:color="auto" w:fill="auto"/>
            <w:noWrap/>
            <w:vAlign w:val="center"/>
            <w:hideMark/>
          </w:tcPr>
          <w:p w14:paraId="5CAF5D0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4E905AF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11</w:t>
            </w:r>
          </w:p>
        </w:tc>
      </w:tr>
      <w:tr w:rsidR="00743FCB" w:rsidRPr="00743FCB" w14:paraId="011E1AE9" w14:textId="77777777" w:rsidTr="00743FCB">
        <w:trPr>
          <w:trHeight w:val="54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230B700B"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 Circ. Jud. Zona Sur</w:t>
            </w:r>
          </w:p>
        </w:tc>
        <w:tc>
          <w:tcPr>
            <w:tcW w:w="681" w:type="pct"/>
            <w:tcBorders>
              <w:top w:val="nil"/>
              <w:left w:val="nil"/>
              <w:bottom w:val="single" w:sz="8" w:space="0" w:color="auto"/>
              <w:right w:val="single" w:sz="8" w:space="0" w:color="auto"/>
            </w:tcBorders>
            <w:shd w:val="clear" w:color="000000" w:fill="FFFFFF"/>
            <w:vAlign w:val="center"/>
            <w:hideMark/>
          </w:tcPr>
          <w:p w14:paraId="08D6240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143</w:t>
            </w:r>
          </w:p>
        </w:tc>
        <w:tc>
          <w:tcPr>
            <w:tcW w:w="691" w:type="pct"/>
            <w:tcBorders>
              <w:top w:val="nil"/>
              <w:left w:val="nil"/>
              <w:bottom w:val="single" w:sz="8" w:space="0" w:color="auto"/>
              <w:right w:val="single" w:sz="8" w:space="0" w:color="auto"/>
            </w:tcBorders>
            <w:shd w:val="clear" w:color="000000" w:fill="FFFFFF"/>
            <w:noWrap/>
            <w:vAlign w:val="center"/>
            <w:hideMark/>
          </w:tcPr>
          <w:p w14:paraId="1A2FCADA"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342</w:t>
            </w:r>
          </w:p>
        </w:tc>
        <w:tc>
          <w:tcPr>
            <w:tcW w:w="691" w:type="pct"/>
            <w:tcBorders>
              <w:top w:val="nil"/>
              <w:left w:val="nil"/>
              <w:bottom w:val="single" w:sz="8" w:space="0" w:color="auto"/>
              <w:right w:val="single" w:sz="8" w:space="0" w:color="auto"/>
            </w:tcBorders>
            <w:shd w:val="clear" w:color="000000" w:fill="FFFFFF"/>
            <w:noWrap/>
            <w:vAlign w:val="center"/>
            <w:hideMark/>
          </w:tcPr>
          <w:p w14:paraId="3685BF2C"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22</w:t>
            </w:r>
          </w:p>
        </w:tc>
        <w:tc>
          <w:tcPr>
            <w:tcW w:w="691" w:type="pct"/>
            <w:tcBorders>
              <w:top w:val="nil"/>
              <w:left w:val="nil"/>
              <w:bottom w:val="single" w:sz="8" w:space="0" w:color="auto"/>
              <w:right w:val="single" w:sz="8" w:space="0" w:color="auto"/>
            </w:tcBorders>
            <w:shd w:val="clear" w:color="auto" w:fill="auto"/>
            <w:noWrap/>
            <w:vAlign w:val="center"/>
            <w:hideMark/>
          </w:tcPr>
          <w:p w14:paraId="4403DABE"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62EB8A1B"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11</w:t>
            </w:r>
          </w:p>
        </w:tc>
      </w:tr>
      <w:tr w:rsidR="00743FCB" w:rsidRPr="00743FCB" w14:paraId="76413015" w14:textId="77777777" w:rsidTr="00743FCB">
        <w:trPr>
          <w:trHeight w:val="54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AFAFBBD"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II Circ. Jud. Alajuela</w:t>
            </w:r>
          </w:p>
        </w:tc>
        <w:tc>
          <w:tcPr>
            <w:tcW w:w="681" w:type="pct"/>
            <w:tcBorders>
              <w:top w:val="nil"/>
              <w:left w:val="nil"/>
              <w:bottom w:val="single" w:sz="8" w:space="0" w:color="auto"/>
              <w:right w:val="single" w:sz="8" w:space="0" w:color="auto"/>
            </w:tcBorders>
            <w:shd w:val="clear" w:color="000000" w:fill="FFFFFF"/>
            <w:vAlign w:val="center"/>
            <w:hideMark/>
          </w:tcPr>
          <w:p w14:paraId="09986A1D"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000000" w:fill="FFFFFF"/>
            <w:noWrap/>
            <w:vAlign w:val="center"/>
            <w:hideMark/>
          </w:tcPr>
          <w:p w14:paraId="372BA17E"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000000" w:fill="FFFFFF"/>
            <w:noWrap/>
            <w:vAlign w:val="center"/>
            <w:hideMark/>
          </w:tcPr>
          <w:p w14:paraId="1FDF392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auto" w:fill="auto"/>
            <w:noWrap/>
            <w:vAlign w:val="center"/>
            <w:hideMark/>
          </w:tcPr>
          <w:p w14:paraId="519FCFCD"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7AF3CE6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r>
      <w:tr w:rsidR="00743FCB" w:rsidRPr="00743FCB" w14:paraId="6E4F6639" w14:textId="77777777" w:rsidTr="00743FCB">
        <w:trPr>
          <w:trHeight w:val="58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3DDE9588"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II Circ. Jud. San José</w:t>
            </w:r>
          </w:p>
        </w:tc>
        <w:tc>
          <w:tcPr>
            <w:tcW w:w="681" w:type="pct"/>
            <w:tcBorders>
              <w:top w:val="nil"/>
              <w:left w:val="nil"/>
              <w:bottom w:val="single" w:sz="8" w:space="0" w:color="auto"/>
              <w:right w:val="single" w:sz="8" w:space="0" w:color="auto"/>
            </w:tcBorders>
            <w:shd w:val="clear" w:color="000000" w:fill="FFFFFF"/>
            <w:vAlign w:val="center"/>
            <w:hideMark/>
          </w:tcPr>
          <w:p w14:paraId="1F1B5EA5"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497</w:t>
            </w:r>
          </w:p>
        </w:tc>
        <w:tc>
          <w:tcPr>
            <w:tcW w:w="691" w:type="pct"/>
            <w:tcBorders>
              <w:top w:val="nil"/>
              <w:left w:val="nil"/>
              <w:bottom w:val="single" w:sz="8" w:space="0" w:color="auto"/>
              <w:right w:val="single" w:sz="8" w:space="0" w:color="auto"/>
            </w:tcBorders>
            <w:shd w:val="clear" w:color="000000" w:fill="FFFFFF"/>
            <w:noWrap/>
            <w:vAlign w:val="center"/>
            <w:hideMark/>
          </w:tcPr>
          <w:p w14:paraId="780AAA6B"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661</w:t>
            </w:r>
          </w:p>
        </w:tc>
        <w:tc>
          <w:tcPr>
            <w:tcW w:w="691" w:type="pct"/>
            <w:tcBorders>
              <w:top w:val="nil"/>
              <w:left w:val="nil"/>
              <w:bottom w:val="single" w:sz="8" w:space="0" w:color="auto"/>
              <w:right w:val="single" w:sz="8" w:space="0" w:color="auto"/>
            </w:tcBorders>
            <w:shd w:val="clear" w:color="000000" w:fill="FFFFFF"/>
            <w:noWrap/>
            <w:vAlign w:val="center"/>
            <w:hideMark/>
          </w:tcPr>
          <w:p w14:paraId="4C38B9D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51</w:t>
            </w:r>
          </w:p>
        </w:tc>
        <w:tc>
          <w:tcPr>
            <w:tcW w:w="691" w:type="pct"/>
            <w:tcBorders>
              <w:top w:val="nil"/>
              <w:left w:val="nil"/>
              <w:bottom w:val="single" w:sz="8" w:space="0" w:color="auto"/>
              <w:right w:val="single" w:sz="8" w:space="0" w:color="auto"/>
            </w:tcBorders>
            <w:shd w:val="clear" w:color="auto" w:fill="auto"/>
            <w:noWrap/>
            <w:vAlign w:val="center"/>
            <w:hideMark/>
          </w:tcPr>
          <w:p w14:paraId="373E4765"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w:t>
            </w:r>
          </w:p>
        </w:tc>
        <w:tc>
          <w:tcPr>
            <w:tcW w:w="691" w:type="pct"/>
            <w:tcBorders>
              <w:top w:val="nil"/>
              <w:left w:val="nil"/>
              <w:bottom w:val="single" w:sz="8" w:space="0" w:color="auto"/>
              <w:right w:val="single" w:sz="8" w:space="0" w:color="auto"/>
            </w:tcBorders>
            <w:shd w:val="clear" w:color="auto" w:fill="auto"/>
            <w:noWrap/>
            <w:vAlign w:val="center"/>
            <w:hideMark/>
          </w:tcPr>
          <w:p w14:paraId="6B45C2CF"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13</w:t>
            </w:r>
          </w:p>
        </w:tc>
      </w:tr>
      <w:tr w:rsidR="00743FCB" w:rsidRPr="00743FCB" w14:paraId="6A1B9E53" w14:textId="77777777" w:rsidTr="00743FCB">
        <w:trPr>
          <w:trHeight w:val="51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7118F9D"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II Circ. Jud. Zona Atlántica</w:t>
            </w:r>
          </w:p>
        </w:tc>
        <w:tc>
          <w:tcPr>
            <w:tcW w:w="681" w:type="pct"/>
            <w:tcBorders>
              <w:top w:val="nil"/>
              <w:left w:val="nil"/>
              <w:bottom w:val="single" w:sz="8" w:space="0" w:color="auto"/>
              <w:right w:val="single" w:sz="8" w:space="0" w:color="auto"/>
            </w:tcBorders>
            <w:shd w:val="clear" w:color="000000" w:fill="FFFFFF"/>
            <w:vAlign w:val="center"/>
            <w:hideMark/>
          </w:tcPr>
          <w:p w14:paraId="77BF846D"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246</w:t>
            </w:r>
          </w:p>
        </w:tc>
        <w:tc>
          <w:tcPr>
            <w:tcW w:w="691" w:type="pct"/>
            <w:tcBorders>
              <w:top w:val="nil"/>
              <w:left w:val="nil"/>
              <w:bottom w:val="single" w:sz="8" w:space="0" w:color="auto"/>
              <w:right w:val="single" w:sz="8" w:space="0" w:color="auto"/>
            </w:tcBorders>
            <w:shd w:val="clear" w:color="000000" w:fill="FFFFFF"/>
            <w:noWrap/>
            <w:vAlign w:val="center"/>
            <w:hideMark/>
          </w:tcPr>
          <w:p w14:paraId="09483653"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601</w:t>
            </w:r>
          </w:p>
        </w:tc>
        <w:tc>
          <w:tcPr>
            <w:tcW w:w="691" w:type="pct"/>
            <w:tcBorders>
              <w:top w:val="nil"/>
              <w:left w:val="nil"/>
              <w:bottom w:val="single" w:sz="8" w:space="0" w:color="auto"/>
              <w:right w:val="single" w:sz="8" w:space="0" w:color="auto"/>
            </w:tcBorders>
            <w:shd w:val="clear" w:color="000000" w:fill="FFFFFF"/>
            <w:noWrap/>
            <w:vAlign w:val="center"/>
            <w:hideMark/>
          </w:tcPr>
          <w:p w14:paraId="3258B0D8"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38</w:t>
            </w:r>
          </w:p>
        </w:tc>
        <w:tc>
          <w:tcPr>
            <w:tcW w:w="691" w:type="pct"/>
            <w:tcBorders>
              <w:top w:val="nil"/>
              <w:left w:val="nil"/>
              <w:bottom w:val="single" w:sz="8" w:space="0" w:color="auto"/>
              <w:right w:val="single" w:sz="8" w:space="0" w:color="auto"/>
            </w:tcBorders>
            <w:shd w:val="clear" w:color="auto" w:fill="auto"/>
            <w:noWrap/>
            <w:vAlign w:val="center"/>
            <w:hideMark/>
          </w:tcPr>
          <w:p w14:paraId="0F852C22"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02FAC9C8"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19</w:t>
            </w:r>
          </w:p>
        </w:tc>
      </w:tr>
      <w:tr w:rsidR="00743FCB" w:rsidRPr="00743FCB" w14:paraId="5722E3D9" w14:textId="77777777" w:rsidTr="00743FCB">
        <w:trPr>
          <w:trHeight w:val="38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4095B77D"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Puntarenas</w:t>
            </w:r>
          </w:p>
        </w:tc>
        <w:tc>
          <w:tcPr>
            <w:tcW w:w="681" w:type="pct"/>
            <w:tcBorders>
              <w:top w:val="nil"/>
              <w:left w:val="nil"/>
              <w:bottom w:val="single" w:sz="8" w:space="0" w:color="auto"/>
              <w:right w:val="single" w:sz="8" w:space="0" w:color="auto"/>
            </w:tcBorders>
            <w:shd w:val="clear" w:color="000000" w:fill="FFFFFF"/>
            <w:vAlign w:val="center"/>
            <w:hideMark/>
          </w:tcPr>
          <w:p w14:paraId="4AACFF0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000000" w:fill="FFFFFF"/>
            <w:noWrap/>
            <w:vAlign w:val="center"/>
            <w:hideMark/>
          </w:tcPr>
          <w:p w14:paraId="69C016AA"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000000" w:fill="FFFFFF"/>
            <w:noWrap/>
            <w:vAlign w:val="center"/>
            <w:hideMark/>
          </w:tcPr>
          <w:p w14:paraId="09326C46"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c>
          <w:tcPr>
            <w:tcW w:w="691" w:type="pct"/>
            <w:tcBorders>
              <w:top w:val="nil"/>
              <w:left w:val="nil"/>
              <w:bottom w:val="single" w:sz="8" w:space="0" w:color="auto"/>
              <w:right w:val="single" w:sz="8" w:space="0" w:color="auto"/>
            </w:tcBorders>
            <w:shd w:val="clear" w:color="auto" w:fill="auto"/>
            <w:noWrap/>
            <w:vAlign w:val="center"/>
            <w:hideMark/>
          </w:tcPr>
          <w:p w14:paraId="6E707E36"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6CA6D41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 </w:t>
            </w:r>
          </w:p>
        </w:tc>
      </w:tr>
      <w:tr w:rsidR="00743FCB" w:rsidRPr="00743FCB" w14:paraId="011F30DC" w14:textId="77777777" w:rsidTr="00743FCB">
        <w:trPr>
          <w:trHeight w:val="51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08BDAEA"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Familia, Niñez y Adolescencia</w:t>
            </w:r>
          </w:p>
        </w:tc>
        <w:tc>
          <w:tcPr>
            <w:tcW w:w="681" w:type="pct"/>
            <w:tcBorders>
              <w:top w:val="nil"/>
              <w:left w:val="nil"/>
              <w:bottom w:val="single" w:sz="8" w:space="0" w:color="auto"/>
              <w:right w:val="single" w:sz="8" w:space="0" w:color="auto"/>
            </w:tcBorders>
            <w:shd w:val="clear" w:color="000000" w:fill="FFFFFF"/>
            <w:vAlign w:val="center"/>
            <w:hideMark/>
          </w:tcPr>
          <w:p w14:paraId="405A301B"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284</w:t>
            </w:r>
          </w:p>
        </w:tc>
        <w:tc>
          <w:tcPr>
            <w:tcW w:w="691" w:type="pct"/>
            <w:tcBorders>
              <w:top w:val="nil"/>
              <w:left w:val="nil"/>
              <w:bottom w:val="single" w:sz="8" w:space="0" w:color="auto"/>
              <w:right w:val="single" w:sz="8" w:space="0" w:color="auto"/>
            </w:tcBorders>
            <w:shd w:val="clear" w:color="000000" w:fill="FFFFFF"/>
            <w:noWrap/>
            <w:vAlign w:val="center"/>
            <w:hideMark/>
          </w:tcPr>
          <w:p w14:paraId="5EF44144"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625</w:t>
            </w:r>
          </w:p>
        </w:tc>
        <w:tc>
          <w:tcPr>
            <w:tcW w:w="691" w:type="pct"/>
            <w:tcBorders>
              <w:top w:val="nil"/>
              <w:left w:val="nil"/>
              <w:bottom w:val="single" w:sz="8" w:space="0" w:color="auto"/>
              <w:right w:val="single" w:sz="8" w:space="0" w:color="auto"/>
            </w:tcBorders>
            <w:shd w:val="clear" w:color="000000" w:fill="FFFFFF"/>
            <w:noWrap/>
            <w:vAlign w:val="center"/>
            <w:hideMark/>
          </w:tcPr>
          <w:p w14:paraId="5B78B62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40</w:t>
            </w:r>
          </w:p>
        </w:tc>
        <w:tc>
          <w:tcPr>
            <w:tcW w:w="691" w:type="pct"/>
            <w:tcBorders>
              <w:top w:val="nil"/>
              <w:left w:val="nil"/>
              <w:bottom w:val="single" w:sz="8" w:space="0" w:color="auto"/>
              <w:right w:val="single" w:sz="8" w:space="0" w:color="auto"/>
            </w:tcBorders>
            <w:shd w:val="clear" w:color="auto" w:fill="auto"/>
            <w:noWrap/>
            <w:vAlign w:val="center"/>
            <w:hideMark/>
          </w:tcPr>
          <w:p w14:paraId="40F0D7F3"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w:t>
            </w:r>
          </w:p>
        </w:tc>
        <w:tc>
          <w:tcPr>
            <w:tcW w:w="691" w:type="pct"/>
            <w:tcBorders>
              <w:top w:val="nil"/>
              <w:left w:val="nil"/>
              <w:bottom w:val="single" w:sz="8" w:space="0" w:color="auto"/>
              <w:right w:val="single" w:sz="8" w:space="0" w:color="auto"/>
            </w:tcBorders>
            <w:shd w:val="clear" w:color="auto" w:fill="auto"/>
            <w:noWrap/>
            <w:vAlign w:val="center"/>
            <w:hideMark/>
          </w:tcPr>
          <w:p w14:paraId="729960B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20</w:t>
            </w:r>
          </w:p>
        </w:tc>
      </w:tr>
      <w:tr w:rsidR="00743FCB" w:rsidRPr="00743FCB" w14:paraId="55461BA5" w14:textId="77777777" w:rsidTr="00743FCB">
        <w:trPr>
          <w:trHeight w:val="54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24A21136"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Primero de Familia San José</w:t>
            </w:r>
          </w:p>
        </w:tc>
        <w:tc>
          <w:tcPr>
            <w:tcW w:w="681" w:type="pct"/>
            <w:tcBorders>
              <w:top w:val="nil"/>
              <w:left w:val="nil"/>
              <w:bottom w:val="single" w:sz="8" w:space="0" w:color="auto"/>
              <w:right w:val="single" w:sz="8" w:space="0" w:color="auto"/>
            </w:tcBorders>
            <w:shd w:val="clear" w:color="000000" w:fill="FFFFFF"/>
            <w:vAlign w:val="center"/>
            <w:hideMark/>
          </w:tcPr>
          <w:p w14:paraId="787AFB5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244</w:t>
            </w:r>
          </w:p>
        </w:tc>
        <w:tc>
          <w:tcPr>
            <w:tcW w:w="691" w:type="pct"/>
            <w:tcBorders>
              <w:top w:val="nil"/>
              <w:left w:val="nil"/>
              <w:bottom w:val="single" w:sz="8" w:space="0" w:color="auto"/>
              <w:right w:val="single" w:sz="8" w:space="0" w:color="auto"/>
            </w:tcBorders>
            <w:shd w:val="clear" w:color="000000" w:fill="FFFFFF"/>
            <w:noWrap/>
            <w:vAlign w:val="center"/>
            <w:hideMark/>
          </w:tcPr>
          <w:p w14:paraId="21082855"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529</w:t>
            </w:r>
          </w:p>
        </w:tc>
        <w:tc>
          <w:tcPr>
            <w:tcW w:w="691" w:type="pct"/>
            <w:tcBorders>
              <w:top w:val="nil"/>
              <w:left w:val="nil"/>
              <w:bottom w:val="single" w:sz="8" w:space="0" w:color="auto"/>
              <w:right w:val="single" w:sz="8" w:space="0" w:color="auto"/>
            </w:tcBorders>
            <w:shd w:val="clear" w:color="000000" w:fill="FFFFFF"/>
            <w:noWrap/>
            <w:vAlign w:val="center"/>
            <w:hideMark/>
          </w:tcPr>
          <w:p w14:paraId="51001547"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34</w:t>
            </w:r>
          </w:p>
        </w:tc>
        <w:tc>
          <w:tcPr>
            <w:tcW w:w="691" w:type="pct"/>
            <w:tcBorders>
              <w:top w:val="nil"/>
              <w:left w:val="nil"/>
              <w:bottom w:val="single" w:sz="8" w:space="0" w:color="auto"/>
              <w:right w:val="single" w:sz="8" w:space="0" w:color="auto"/>
            </w:tcBorders>
            <w:shd w:val="clear" w:color="auto" w:fill="auto"/>
            <w:noWrap/>
            <w:vAlign w:val="center"/>
            <w:hideMark/>
          </w:tcPr>
          <w:p w14:paraId="0B3D1AD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w:t>
            </w:r>
          </w:p>
        </w:tc>
        <w:tc>
          <w:tcPr>
            <w:tcW w:w="691" w:type="pct"/>
            <w:tcBorders>
              <w:top w:val="nil"/>
              <w:left w:val="nil"/>
              <w:bottom w:val="single" w:sz="8" w:space="0" w:color="auto"/>
              <w:right w:val="single" w:sz="8" w:space="0" w:color="auto"/>
            </w:tcBorders>
            <w:shd w:val="clear" w:color="auto" w:fill="auto"/>
            <w:noWrap/>
            <w:vAlign w:val="center"/>
            <w:hideMark/>
          </w:tcPr>
          <w:p w14:paraId="423A651F"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11</w:t>
            </w:r>
          </w:p>
        </w:tc>
      </w:tr>
      <w:tr w:rsidR="00743FCB" w:rsidRPr="00743FCB" w14:paraId="2CD2BD88" w14:textId="77777777" w:rsidTr="00743FCB">
        <w:trPr>
          <w:trHeight w:val="520"/>
        </w:trPr>
        <w:tc>
          <w:tcPr>
            <w:tcW w:w="1555" w:type="pct"/>
            <w:tcBorders>
              <w:top w:val="nil"/>
              <w:left w:val="single" w:sz="8" w:space="0" w:color="auto"/>
              <w:bottom w:val="single" w:sz="8" w:space="0" w:color="auto"/>
              <w:right w:val="single" w:sz="8" w:space="0" w:color="auto"/>
            </w:tcBorders>
            <w:shd w:val="clear" w:color="000000" w:fill="FFFFFF"/>
            <w:vAlign w:val="center"/>
            <w:hideMark/>
          </w:tcPr>
          <w:p w14:paraId="7D9F6A6B" w14:textId="77777777" w:rsidR="00743FCB" w:rsidRPr="00743FCB" w:rsidRDefault="00743FCB" w:rsidP="00743FCB">
            <w:pPr>
              <w:spacing w:after="0" w:line="240" w:lineRule="auto"/>
              <w:rPr>
                <w:rFonts w:ascii="Book Antiqua" w:eastAsia="Times New Roman" w:hAnsi="Book Antiqua" w:cs="Calibri"/>
                <w:b/>
                <w:bCs/>
                <w:color w:val="000000"/>
                <w:lang w:eastAsia="es-CR"/>
              </w:rPr>
            </w:pPr>
            <w:r w:rsidRPr="00743FCB">
              <w:rPr>
                <w:rFonts w:ascii="Book Antiqua" w:eastAsia="Times New Roman" w:hAnsi="Book Antiqua" w:cs="Calibri"/>
                <w:b/>
                <w:bCs/>
                <w:color w:val="000000"/>
                <w:lang w:eastAsia="es-CR"/>
              </w:rPr>
              <w:t>Juzgado Segundo de Familia San José</w:t>
            </w:r>
          </w:p>
        </w:tc>
        <w:tc>
          <w:tcPr>
            <w:tcW w:w="681" w:type="pct"/>
            <w:tcBorders>
              <w:top w:val="nil"/>
              <w:left w:val="nil"/>
              <w:bottom w:val="single" w:sz="8" w:space="0" w:color="auto"/>
              <w:right w:val="single" w:sz="8" w:space="0" w:color="auto"/>
            </w:tcBorders>
            <w:shd w:val="clear" w:color="000000" w:fill="FFFFFF"/>
            <w:vAlign w:val="center"/>
            <w:hideMark/>
          </w:tcPr>
          <w:p w14:paraId="67C29722"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110</w:t>
            </w:r>
          </w:p>
        </w:tc>
        <w:tc>
          <w:tcPr>
            <w:tcW w:w="691" w:type="pct"/>
            <w:tcBorders>
              <w:top w:val="nil"/>
              <w:left w:val="nil"/>
              <w:bottom w:val="single" w:sz="8" w:space="0" w:color="auto"/>
              <w:right w:val="single" w:sz="8" w:space="0" w:color="auto"/>
            </w:tcBorders>
            <w:shd w:val="clear" w:color="000000" w:fill="FFFFFF"/>
            <w:noWrap/>
            <w:vAlign w:val="center"/>
            <w:hideMark/>
          </w:tcPr>
          <w:p w14:paraId="2F2CF4C1"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1150</w:t>
            </w:r>
          </w:p>
        </w:tc>
        <w:tc>
          <w:tcPr>
            <w:tcW w:w="691" w:type="pct"/>
            <w:tcBorders>
              <w:top w:val="nil"/>
              <w:left w:val="nil"/>
              <w:bottom w:val="single" w:sz="8" w:space="0" w:color="auto"/>
              <w:right w:val="single" w:sz="8" w:space="0" w:color="auto"/>
            </w:tcBorders>
            <w:shd w:val="clear" w:color="000000" w:fill="FFFFFF"/>
            <w:noWrap/>
            <w:vAlign w:val="center"/>
            <w:hideMark/>
          </w:tcPr>
          <w:p w14:paraId="6AB65E30"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56</w:t>
            </w:r>
          </w:p>
        </w:tc>
        <w:tc>
          <w:tcPr>
            <w:tcW w:w="691" w:type="pct"/>
            <w:tcBorders>
              <w:top w:val="nil"/>
              <w:left w:val="nil"/>
              <w:bottom w:val="single" w:sz="8" w:space="0" w:color="auto"/>
              <w:right w:val="single" w:sz="8" w:space="0" w:color="auto"/>
            </w:tcBorders>
            <w:shd w:val="clear" w:color="auto" w:fill="auto"/>
            <w:noWrap/>
            <w:vAlign w:val="center"/>
            <w:hideMark/>
          </w:tcPr>
          <w:p w14:paraId="71483B9D"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3</w:t>
            </w:r>
          </w:p>
        </w:tc>
        <w:tc>
          <w:tcPr>
            <w:tcW w:w="691" w:type="pct"/>
            <w:tcBorders>
              <w:top w:val="nil"/>
              <w:left w:val="nil"/>
              <w:bottom w:val="single" w:sz="8" w:space="0" w:color="auto"/>
              <w:right w:val="single" w:sz="8" w:space="0" w:color="auto"/>
            </w:tcBorders>
            <w:shd w:val="clear" w:color="auto" w:fill="auto"/>
            <w:noWrap/>
            <w:vAlign w:val="center"/>
            <w:hideMark/>
          </w:tcPr>
          <w:p w14:paraId="7B23F09D" w14:textId="77777777" w:rsidR="00743FCB" w:rsidRPr="00743FCB" w:rsidRDefault="00743FCB" w:rsidP="00743FCB">
            <w:pPr>
              <w:spacing w:after="0" w:line="240" w:lineRule="auto"/>
              <w:jc w:val="center"/>
              <w:rPr>
                <w:rFonts w:ascii="Book Antiqua" w:eastAsia="Times New Roman" w:hAnsi="Book Antiqua" w:cs="Calibri"/>
                <w:color w:val="000000"/>
                <w:lang w:eastAsia="es-CR"/>
              </w:rPr>
            </w:pPr>
            <w:r w:rsidRPr="00743FCB">
              <w:rPr>
                <w:rFonts w:ascii="Book Antiqua" w:eastAsia="Times New Roman" w:hAnsi="Book Antiqua" w:cs="Calibri"/>
                <w:color w:val="000000"/>
                <w:lang w:eastAsia="es-CR"/>
              </w:rPr>
              <w:t>19</w:t>
            </w:r>
          </w:p>
        </w:tc>
      </w:tr>
      <w:tr w:rsidR="00743FCB" w:rsidRPr="00743FCB" w14:paraId="3C0A32B7" w14:textId="77777777" w:rsidTr="00743FCB">
        <w:trPr>
          <w:trHeight w:val="300"/>
        </w:trPr>
        <w:tc>
          <w:tcPr>
            <w:tcW w:w="4309" w:type="pct"/>
            <w:gridSpan w:val="5"/>
            <w:tcBorders>
              <w:top w:val="single" w:sz="8" w:space="0" w:color="auto"/>
              <w:left w:val="single" w:sz="8" w:space="0" w:color="auto"/>
              <w:bottom w:val="single" w:sz="8" w:space="0" w:color="auto"/>
              <w:right w:val="single" w:sz="8" w:space="0" w:color="000000"/>
            </w:tcBorders>
            <w:shd w:val="clear" w:color="000000" w:fill="808080"/>
            <w:vAlign w:val="center"/>
            <w:hideMark/>
          </w:tcPr>
          <w:p w14:paraId="2BBDE60C" w14:textId="77777777" w:rsidR="00743FCB" w:rsidRPr="00743FCB" w:rsidRDefault="00743FCB" w:rsidP="00743FCB">
            <w:pPr>
              <w:spacing w:after="0" w:line="240" w:lineRule="auto"/>
              <w:jc w:val="right"/>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Promedio mensual por persona juzgadora</w:t>
            </w:r>
          </w:p>
        </w:tc>
        <w:tc>
          <w:tcPr>
            <w:tcW w:w="691" w:type="pct"/>
            <w:tcBorders>
              <w:top w:val="nil"/>
              <w:left w:val="nil"/>
              <w:bottom w:val="single" w:sz="8" w:space="0" w:color="auto"/>
              <w:right w:val="single" w:sz="8" w:space="0" w:color="auto"/>
            </w:tcBorders>
            <w:shd w:val="clear" w:color="000000" w:fill="808080"/>
            <w:noWrap/>
            <w:vAlign w:val="center"/>
            <w:hideMark/>
          </w:tcPr>
          <w:p w14:paraId="2F2F1375" w14:textId="77777777" w:rsidR="00743FCB" w:rsidRPr="00743FCB" w:rsidRDefault="00743FCB" w:rsidP="00743FCB">
            <w:pPr>
              <w:spacing w:after="0" w:line="240" w:lineRule="auto"/>
              <w:jc w:val="center"/>
              <w:rPr>
                <w:rFonts w:ascii="Book Antiqua" w:eastAsia="Times New Roman" w:hAnsi="Book Antiqua" w:cs="Calibri"/>
                <w:b/>
                <w:bCs/>
                <w:color w:val="FFFFFF"/>
                <w:lang w:eastAsia="es-CR"/>
              </w:rPr>
            </w:pPr>
            <w:r w:rsidRPr="00743FCB">
              <w:rPr>
                <w:rFonts w:ascii="Book Antiqua" w:eastAsia="Times New Roman" w:hAnsi="Book Antiqua" w:cs="Calibri"/>
                <w:b/>
                <w:bCs/>
                <w:color w:val="FFFFFF"/>
                <w:lang w:eastAsia="es-CR"/>
              </w:rPr>
              <w:t>16</w:t>
            </w:r>
          </w:p>
        </w:tc>
      </w:tr>
    </w:tbl>
    <w:p w14:paraId="49388D85" w14:textId="0627E64C" w:rsidR="00E84D97" w:rsidRPr="00743FCB" w:rsidRDefault="00743FCB" w:rsidP="006B1195">
      <w:pPr>
        <w:spacing w:after="0" w:line="276" w:lineRule="auto"/>
        <w:jc w:val="both"/>
        <w:rPr>
          <w:rFonts w:ascii="Book Antiqua" w:eastAsia="Calibri" w:hAnsi="Book Antiqua" w:cs="Arial"/>
          <w:i/>
          <w:iCs/>
        </w:rPr>
      </w:pPr>
      <w:r w:rsidRPr="00743FCB">
        <w:rPr>
          <w:rFonts w:ascii="Book Antiqua" w:eastAsia="Calibri" w:hAnsi="Book Antiqua" w:cs="Arial"/>
          <w:i/>
          <w:iCs/>
        </w:rPr>
        <w:t xml:space="preserve">Fuente: </w:t>
      </w:r>
      <w:r>
        <w:rPr>
          <w:rFonts w:ascii="Book Antiqua" w:eastAsia="Calibri" w:hAnsi="Book Antiqua" w:cs="Arial"/>
          <w:i/>
          <w:iCs/>
        </w:rPr>
        <w:t>Modernización Institucional, con datos de los Juzgados Especializados de Familia, del 2020 al 2021.</w:t>
      </w:r>
    </w:p>
    <w:p w14:paraId="61747389" w14:textId="77777777" w:rsidR="004566F4" w:rsidRDefault="004566F4" w:rsidP="004566F4">
      <w:pPr>
        <w:spacing w:after="0" w:line="276" w:lineRule="auto"/>
        <w:rPr>
          <w:rFonts w:ascii="Book Antiqua" w:eastAsia="Calibri" w:hAnsi="Book Antiqua" w:cs="Arial"/>
          <w:i/>
          <w:iCs/>
          <w:sz w:val="20"/>
          <w:szCs w:val="20"/>
        </w:rPr>
      </w:pPr>
      <w:r>
        <w:rPr>
          <w:rFonts w:ascii="Book Antiqua" w:eastAsia="Calibri" w:hAnsi="Book Antiqua" w:cs="Arial"/>
          <w:i/>
          <w:iCs/>
          <w:sz w:val="20"/>
          <w:szCs w:val="20"/>
        </w:rPr>
        <w:t xml:space="preserve">Nota: No se recibió la información del el Juzgado de Familia del II C.J. Alajuela y el Juzgado de Familia de Puntarenas indicó que por problemas con la Agenda Cronos no fue posible remitir lo solicitado. </w:t>
      </w:r>
    </w:p>
    <w:p w14:paraId="06F949CC" w14:textId="0ED1683E" w:rsidR="006E6743" w:rsidRDefault="006E6743" w:rsidP="006E6743">
      <w:pPr>
        <w:spacing w:after="0" w:line="276" w:lineRule="auto"/>
        <w:jc w:val="both"/>
        <w:rPr>
          <w:rFonts w:ascii="Book Antiqua" w:eastAsia="Calibri" w:hAnsi="Book Antiqua" w:cs="Arial"/>
          <w:bCs/>
          <w:i/>
          <w:iCs/>
        </w:rPr>
      </w:pPr>
    </w:p>
    <w:p w14:paraId="1298C9AC" w14:textId="77777777" w:rsidR="004566F4" w:rsidRPr="00743FCB" w:rsidRDefault="004566F4" w:rsidP="006E6743">
      <w:pPr>
        <w:spacing w:after="0" w:line="276" w:lineRule="auto"/>
        <w:jc w:val="both"/>
        <w:rPr>
          <w:rFonts w:ascii="Book Antiqua" w:eastAsia="Calibri" w:hAnsi="Book Antiqua" w:cs="Arial"/>
          <w:bCs/>
          <w:i/>
          <w:iCs/>
        </w:rPr>
      </w:pPr>
    </w:p>
    <w:p w14:paraId="1707F5FC" w14:textId="50AF46A3" w:rsidR="005E587F" w:rsidRPr="005E587F" w:rsidRDefault="0016355B" w:rsidP="007B701C">
      <w:pPr>
        <w:spacing w:line="276" w:lineRule="auto"/>
        <w:jc w:val="both"/>
        <w:rPr>
          <w:rFonts w:ascii="Book Antiqua" w:eastAsia="Times New Roman" w:hAnsi="Book Antiqua" w:cs="Times New Roman"/>
          <w:sz w:val="24"/>
          <w:szCs w:val="24"/>
          <w:lang w:eastAsia="es-CR"/>
        </w:rPr>
      </w:pPr>
      <w:r w:rsidRPr="0016355B">
        <w:rPr>
          <w:rFonts w:ascii="Book Antiqua" w:eastAsia="Calibri" w:hAnsi="Book Antiqua" w:cs="Arial"/>
          <w:sz w:val="24"/>
          <w:szCs w:val="24"/>
        </w:rPr>
        <w:t xml:space="preserve">Como se observa, durante el periodo analizado los Juzgados Especializados de Familia, realizan </w:t>
      </w:r>
      <w:r w:rsidRPr="002946EB">
        <w:rPr>
          <w:rFonts w:ascii="Book Antiqua" w:eastAsia="Calibri" w:hAnsi="Book Antiqua" w:cs="Arial"/>
          <w:sz w:val="24"/>
          <w:szCs w:val="24"/>
        </w:rPr>
        <w:t xml:space="preserve">entre </w:t>
      </w:r>
      <w:r w:rsidR="002946EB" w:rsidRPr="002946EB">
        <w:rPr>
          <w:rFonts w:ascii="Book Antiqua" w:eastAsia="Calibri" w:hAnsi="Book Antiqua" w:cs="Arial"/>
          <w:sz w:val="24"/>
          <w:szCs w:val="24"/>
        </w:rPr>
        <w:t>11</w:t>
      </w:r>
      <w:r w:rsidRPr="002946EB">
        <w:rPr>
          <w:rFonts w:ascii="Book Antiqua" w:eastAsia="Calibri" w:hAnsi="Book Antiqua" w:cs="Arial"/>
          <w:sz w:val="24"/>
          <w:szCs w:val="24"/>
        </w:rPr>
        <w:t xml:space="preserve"> a </w:t>
      </w:r>
      <w:r w:rsidR="002946EB" w:rsidRPr="002946EB">
        <w:rPr>
          <w:rFonts w:ascii="Book Antiqua" w:eastAsia="Calibri" w:hAnsi="Book Antiqua" w:cs="Arial"/>
          <w:sz w:val="24"/>
          <w:szCs w:val="24"/>
        </w:rPr>
        <w:t>27</w:t>
      </w:r>
      <w:r w:rsidRPr="0016355B">
        <w:rPr>
          <w:rFonts w:ascii="Book Antiqua" w:eastAsia="Calibri" w:hAnsi="Book Antiqua" w:cs="Arial"/>
          <w:sz w:val="24"/>
          <w:szCs w:val="24"/>
        </w:rPr>
        <w:t xml:space="preserve"> audiencias al mes por persona juzgadora, para un </w:t>
      </w:r>
      <w:r w:rsidRPr="0016355B">
        <w:rPr>
          <w:rFonts w:ascii="Book Antiqua" w:eastAsia="Calibri" w:hAnsi="Book Antiqua" w:cs="Arial"/>
          <w:sz w:val="24"/>
          <w:szCs w:val="24"/>
        </w:rPr>
        <w:lastRenderedPageBreak/>
        <w:t xml:space="preserve">promedio de </w:t>
      </w:r>
      <w:r w:rsidR="007C530C">
        <w:rPr>
          <w:rFonts w:ascii="Book Antiqua" w:eastAsia="Calibri" w:hAnsi="Book Antiqua" w:cs="Arial"/>
          <w:sz w:val="24"/>
          <w:szCs w:val="24"/>
        </w:rPr>
        <w:t>16</w:t>
      </w:r>
      <w:r w:rsidRPr="0016355B">
        <w:rPr>
          <w:rFonts w:ascii="Book Antiqua" w:eastAsia="Calibri" w:hAnsi="Book Antiqua" w:cs="Arial"/>
          <w:sz w:val="24"/>
          <w:szCs w:val="24"/>
        </w:rPr>
        <w:t xml:space="preserve"> audiencias realizadas por mes por plaza. Valor que se puede </w:t>
      </w:r>
      <w:r w:rsidR="003221D1">
        <w:rPr>
          <w:rFonts w:ascii="Book Antiqua" w:eastAsia="Calibri" w:hAnsi="Book Antiqua" w:cs="Arial"/>
          <w:sz w:val="24"/>
          <w:szCs w:val="24"/>
        </w:rPr>
        <w:t>considerar</w:t>
      </w:r>
      <w:r w:rsidRPr="0016355B">
        <w:rPr>
          <w:rFonts w:ascii="Book Antiqua" w:eastAsia="Calibri" w:hAnsi="Book Antiqua" w:cs="Arial"/>
          <w:sz w:val="24"/>
          <w:szCs w:val="24"/>
        </w:rPr>
        <w:t xml:space="preserve"> como referencia para la definición de la cuota de audiencias por mes, </w:t>
      </w:r>
      <w:r w:rsidRPr="0016355B">
        <w:rPr>
          <w:rFonts w:ascii="Book Antiqua" w:eastAsia="Times New Roman" w:hAnsi="Book Antiqua" w:cs="Times New Roman"/>
          <w:sz w:val="24"/>
          <w:szCs w:val="24"/>
          <w:lang w:eastAsia="es-CR"/>
        </w:rPr>
        <w:t xml:space="preserve">pero que se definirá en el proceso de seguimiento de la materia por parte de esta Dirección en Coordinación con la Comisión de la Jurisdicción de </w:t>
      </w:r>
      <w:r w:rsidRPr="005E1E11">
        <w:rPr>
          <w:rFonts w:ascii="Book Antiqua" w:eastAsia="Times New Roman" w:hAnsi="Book Antiqua" w:cs="Times New Roman"/>
          <w:sz w:val="24"/>
          <w:szCs w:val="24"/>
          <w:lang w:eastAsia="es-CR"/>
        </w:rPr>
        <w:t>Familia</w:t>
      </w:r>
      <w:r w:rsidR="00B028F4">
        <w:rPr>
          <w:rFonts w:ascii="Book Antiqua" w:eastAsia="Times New Roman" w:hAnsi="Book Antiqua" w:cs="Times New Roman"/>
          <w:sz w:val="24"/>
          <w:szCs w:val="24"/>
          <w:lang w:eastAsia="es-CR"/>
        </w:rPr>
        <w:t>; e</w:t>
      </w:r>
      <w:r w:rsidRPr="0016355B">
        <w:rPr>
          <w:rFonts w:ascii="Book Antiqua" w:eastAsia="Calibri" w:hAnsi="Book Antiqua" w:cs="Arial"/>
          <w:sz w:val="24"/>
          <w:szCs w:val="24"/>
        </w:rPr>
        <w:t>s importante señalar que bajo el sistema de oralidad de</w:t>
      </w:r>
      <w:r w:rsidR="005E1E11">
        <w:rPr>
          <w:rFonts w:ascii="Book Antiqua" w:eastAsia="Calibri" w:hAnsi="Book Antiqua" w:cs="Arial"/>
          <w:sz w:val="24"/>
          <w:szCs w:val="24"/>
        </w:rPr>
        <w:t>l</w:t>
      </w:r>
      <w:r w:rsidRPr="0016355B">
        <w:rPr>
          <w:rFonts w:ascii="Book Antiqua" w:eastAsia="Calibri" w:hAnsi="Book Antiqua" w:cs="Arial"/>
          <w:sz w:val="24"/>
          <w:szCs w:val="24"/>
        </w:rPr>
        <w:t xml:space="preserve"> CPF, se esperaría </w:t>
      </w:r>
      <w:r w:rsidR="005E587F" w:rsidRPr="005E587F">
        <w:rPr>
          <w:rFonts w:ascii="Book Antiqua" w:eastAsia="Calibri" w:hAnsi="Book Antiqua" w:cs="Arial"/>
          <w:sz w:val="24"/>
          <w:szCs w:val="24"/>
        </w:rPr>
        <w:t xml:space="preserve">la realización de más audiencias, situación que debe ser analizada </w:t>
      </w:r>
      <w:r w:rsidR="00FC3CA9">
        <w:rPr>
          <w:rFonts w:ascii="Book Antiqua" w:eastAsia="Calibri" w:hAnsi="Book Antiqua" w:cs="Arial"/>
          <w:sz w:val="24"/>
          <w:szCs w:val="24"/>
        </w:rPr>
        <w:t xml:space="preserve">para </w:t>
      </w:r>
      <w:r w:rsidR="005E587F" w:rsidRPr="005E587F">
        <w:rPr>
          <w:rFonts w:ascii="Book Antiqua" w:eastAsia="Calibri" w:hAnsi="Book Antiqua" w:cs="Arial"/>
          <w:sz w:val="24"/>
          <w:szCs w:val="24"/>
        </w:rPr>
        <w:t>esta cuota.</w:t>
      </w:r>
    </w:p>
    <w:p w14:paraId="3C245938" w14:textId="7AC92EEE" w:rsidR="005E587F" w:rsidRPr="005D4D70" w:rsidRDefault="005E587F" w:rsidP="005E587F">
      <w:pPr>
        <w:spacing w:after="0" w:line="276" w:lineRule="auto"/>
        <w:jc w:val="both"/>
        <w:rPr>
          <w:rFonts w:ascii="Book Antiqua" w:eastAsia="Calibri" w:hAnsi="Book Antiqua" w:cs="Arial"/>
          <w:sz w:val="24"/>
          <w:szCs w:val="24"/>
        </w:rPr>
      </w:pPr>
      <w:r w:rsidRPr="00F83B44">
        <w:rPr>
          <w:rFonts w:ascii="Book Antiqua" w:eastAsia="Calibri" w:hAnsi="Book Antiqua" w:cs="Arial"/>
          <w:sz w:val="24"/>
          <w:szCs w:val="24"/>
        </w:rPr>
        <w:t>Para el 202</w:t>
      </w:r>
      <w:r w:rsidR="006419A0" w:rsidRPr="00F83B44">
        <w:rPr>
          <w:rFonts w:ascii="Book Antiqua" w:eastAsia="Calibri" w:hAnsi="Book Antiqua" w:cs="Arial"/>
          <w:sz w:val="24"/>
          <w:szCs w:val="24"/>
        </w:rPr>
        <w:t>1</w:t>
      </w:r>
      <w:r w:rsidRPr="00F83B44">
        <w:rPr>
          <w:rFonts w:ascii="Book Antiqua" w:eastAsia="Calibri" w:hAnsi="Book Antiqua" w:cs="Arial"/>
          <w:sz w:val="24"/>
          <w:szCs w:val="24"/>
        </w:rPr>
        <w:t>, conforme al seguimiento realizado a la Jurisdicción de Familia, debe considerarse lo expuesto en el oficio 1</w:t>
      </w:r>
      <w:r w:rsidR="0067526D" w:rsidRPr="00F83B44">
        <w:rPr>
          <w:rFonts w:ascii="Book Antiqua" w:eastAsia="Calibri" w:hAnsi="Book Antiqua" w:cs="Arial"/>
          <w:sz w:val="24"/>
          <w:szCs w:val="24"/>
        </w:rPr>
        <w:t>360</w:t>
      </w:r>
      <w:r w:rsidRPr="00F83B44">
        <w:rPr>
          <w:rFonts w:ascii="Book Antiqua" w:eastAsia="Calibri" w:hAnsi="Book Antiqua" w:cs="Arial"/>
          <w:sz w:val="24"/>
          <w:szCs w:val="24"/>
        </w:rPr>
        <w:t>-PLA-202</w:t>
      </w:r>
      <w:r w:rsidR="0067526D" w:rsidRPr="00F83B44">
        <w:rPr>
          <w:rFonts w:ascii="Book Antiqua" w:eastAsia="Calibri" w:hAnsi="Book Antiqua" w:cs="Arial"/>
          <w:sz w:val="24"/>
          <w:szCs w:val="24"/>
        </w:rPr>
        <w:t>1</w:t>
      </w:r>
      <w:r w:rsidRPr="00F83B44">
        <w:rPr>
          <w:rFonts w:ascii="Book Antiqua" w:eastAsia="Calibri" w:hAnsi="Book Antiqua" w:cs="Arial"/>
          <w:sz w:val="24"/>
          <w:szCs w:val="24"/>
          <w:lang w:val="es-MX"/>
        </w:rPr>
        <w:t>/ 31</w:t>
      </w:r>
      <w:r w:rsidR="005D4D70" w:rsidRPr="00F83B44">
        <w:rPr>
          <w:rFonts w:ascii="Book Antiqua" w:eastAsia="Calibri" w:hAnsi="Book Antiqua" w:cs="Arial"/>
          <w:sz w:val="24"/>
          <w:szCs w:val="24"/>
          <w:lang w:val="es-MX"/>
        </w:rPr>
        <w:t>2</w:t>
      </w:r>
      <w:r w:rsidRPr="00F83B44">
        <w:rPr>
          <w:rFonts w:ascii="Book Antiqua" w:eastAsia="Calibri" w:hAnsi="Book Antiqua" w:cs="Arial"/>
          <w:sz w:val="24"/>
          <w:szCs w:val="24"/>
          <w:lang w:val="es-MX"/>
        </w:rPr>
        <w:t>-CACMFJ-JEF-202</w:t>
      </w:r>
      <w:r w:rsidR="005D4D70" w:rsidRPr="00F83B44">
        <w:rPr>
          <w:rFonts w:ascii="Book Antiqua" w:eastAsia="Calibri" w:hAnsi="Book Antiqua" w:cs="Arial"/>
          <w:sz w:val="24"/>
          <w:szCs w:val="24"/>
          <w:lang w:val="es-MX"/>
        </w:rPr>
        <w:t>1</w:t>
      </w:r>
      <w:r w:rsidRPr="00F83B44">
        <w:rPr>
          <w:rFonts w:ascii="Book Antiqua" w:eastAsia="Calibri" w:hAnsi="Book Antiqua" w:cs="Arial"/>
          <w:sz w:val="24"/>
          <w:szCs w:val="24"/>
          <w:lang w:val="es-MX"/>
        </w:rPr>
        <w:t xml:space="preserve"> del 1</w:t>
      </w:r>
      <w:r w:rsidR="005D4D70" w:rsidRPr="00F83B44">
        <w:rPr>
          <w:rFonts w:ascii="Book Antiqua" w:eastAsia="Calibri" w:hAnsi="Book Antiqua" w:cs="Arial"/>
          <w:sz w:val="24"/>
          <w:szCs w:val="24"/>
          <w:lang w:val="es-MX"/>
        </w:rPr>
        <w:t>7</w:t>
      </w:r>
      <w:r w:rsidRPr="00F83B44">
        <w:rPr>
          <w:rFonts w:ascii="Book Antiqua" w:eastAsia="Calibri" w:hAnsi="Book Antiqua" w:cs="Arial"/>
          <w:sz w:val="24"/>
          <w:szCs w:val="24"/>
          <w:lang w:val="es-MX"/>
        </w:rPr>
        <w:t xml:space="preserve"> de </w:t>
      </w:r>
      <w:r w:rsidR="005D4D70" w:rsidRPr="00F83B44">
        <w:rPr>
          <w:rFonts w:ascii="Book Antiqua" w:eastAsia="Calibri" w:hAnsi="Book Antiqua" w:cs="Arial"/>
          <w:sz w:val="24"/>
          <w:szCs w:val="24"/>
          <w:lang w:val="es-MX"/>
        </w:rPr>
        <w:t>noviembre</w:t>
      </w:r>
      <w:r w:rsidRPr="00F83B44">
        <w:rPr>
          <w:rFonts w:ascii="Book Antiqua" w:eastAsia="Calibri" w:hAnsi="Book Antiqua" w:cs="Arial"/>
          <w:sz w:val="24"/>
          <w:szCs w:val="24"/>
          <w:lang w:val="es-MX"/>
        </w:rPr>
        <w:t xml:space="preserve"> 202</w:t>
      </w:r>
      <w:r w:rsidR="005D4D70" w:rsidRPr="00F83B44">
        <w:rPr>
          <w:rFonts w:ascii="Book Antiqua" w:eastAsia="Calibri" w:hAnsi="Book Antiqua" w:cs="Arial"/>
          <w:sz w:val="24"/>
          <w:szCs w:val="24"/>
          <w:lang w:val="es-MX"/>
        </w:rPr>
        <w:t>1</w:t>
      </w:r>
      <w:r w:rsidRPr="00F83B44">
        <w:rPr>
          <w:rFonts w:ascii="Book Antiqua" w:eastAsia="Calibri" w:hAnsi="Book Antiqua" w:cs="Arial"/>
          <w:sz w:val="24"/>
          <w:szCs w:val="24"/>
          <w:lang w:val="es-MX"/>
        </w:rPr>
        <w:t xml:space="preserve">, así como lo indicado en el oficio 1992-PLA-EV-2020 de esta Dirección en donde se hace un resumen de los </w:t>
      </w:r>
      <w:r w:rsidRPr="00F83B44">
        <w:rPr>
          <w:rFonts w:ascii="Book Antiqua" w:eastAsia="Calibri" w:hAnsi="Book Antiqua" w:cs="Arial"/>
          <w:sz w:val="24"/>
          <w:szCs w:val="24"/>
        </w:rPr>
        <w:t>factores externos que han afectado al Poder Judicial en general, y por ende a los Juzgados de Familia e indicadores como la cantidad de audiencias programadas y celebradas.</w:t>
      </w:r>
      <w:r w:rsidRPr="005D4D70">
        <w:rPr>
          <w:rFonts w:ascii="Book Antiqua" w:eastAsia="Calibri" w:hAnsi="Book Antiqua" w:cs="Arial"/>
          <w:sz w:val="24"/>
          <w:szCs w:val="24"/>
        </w:rPr>
        <w:t xml:space="preserve">  </w:t>
      </w:r>
    </w:p>
    <w:p w14:paraId="597F9A73" w14:textId="77777777" w:rsidR="005E587F" w:rsidRPr="005E587F" w:rsidRDefault="005E587F" w:rsidP="005E587F">
      <w:pPr>
        <w:spacing w:after="0" w:line="276" w:lineRule="auto"/>
        <w:jc w:val="both"/>
        <w:rPr>
          <w:rFonts w:ascii="Book Antiqua" w:eastAsia="Calibri" w:hAnsi="Book Antiqua" w:cs="Arial"/>
          <w:sz w:val="24"/>
          <w:szCs w:val="24"/>
          <w:highlight w:val="cyan"/>
        </w:rPr>
      </w:pPr>
    </w:p>
    <w:p w14:paraId="0F551734" w14:textId="77777777" w:rsidR="005E587F" w:rsidRPr="00522C54" w:rsidRDefault="005E587F" w:rsidP="005E587F">
      <w:pPr>
        <w:spacing w:after="0" w:line="276" w:lineRule="auto"/>
        <w:jc w:val="both"/>
        <w:rPr>
          <w:rFonts w:ascii="Book Antiqua" w:eastAsia="Calibri" w:hAnsi="Book Antiqua" w:cs="Arial"/>
          <w:sz w:val="24"/>
          <w:szCs w:val="24"/>
        </w:rPr>
      </w:pPr>
      <w:r w:rsidRPr="00522C54">
        <w:rPr>
          <w:rFonts w:ascii="Book Antiqua" w:eastAsia="Calibri" w:hAnsi="Book Antiqua" w:cs="Arial"/>
          <w:sz w:val="24"/>
          <w:szCs w:val="24"/>
        </w:rPr>
        <w:t xml:space="preserve">A continuación, se incluye un extracto del oficio 1992-PLA-EV-2020. </w:t>
      </w:r>
    </w:p>
    <w:p w14:paraId="7910FB88" w14:textId="77777777" w:rsidR="003221D1" w:rsidRDefault="003221D1" w:rsidP="00F56F12">
      <w:pPr>
        <w:spacing w:after="0" w:line="276" w:lineRule="auto"/>
        <w:jc w:val="both"/>
        <w:rPr>
          <w:rFonts w:ascii="Book Antiqua" w:eastAsia="Calibri" w:hAnsi="Book Antiqua" w:cs="Arial"/>
          <w:i/>
          <w:iCs/>
          <w:sz w:val="24"/>
          <w:szCs w:val="24"/>
        </w:rPr>
      </w:pPr>
    </w:p>
    <w:p w14:paraId="125B4FE9" w14:textId="6F35ABE9" w:rsidR="00F56F12" w:rsidRPr="00522C54" w:rsidRDefault="00F56F12" w:rsidP="00F56F12">
      <w:pPr>
        <w:spacing w:after="0" w:line="276" w:lineRule="auto"/>
        <w:jc w:val="both"/>
        <w:rPr>
          <w:rFonts w:ascii="Book Antiqua" w:eastAsia="Calibri" w:hAnsi="Book Antiqua" w:cs="Arial"/>
          <w:i/>
          <w:iCs/>
          <w:sz w:val="24"/>
          <w:szCs w:val="24"/>
        </w:rPr>
      </w:pPr>
      <w:r w:rsidRPr="00522C54">
        <w:rPr>
          <w:rFonts w:ascii="Book Antiqua" w:eastAsia="Calibri" w:hAnsi="Book Antiqua" w:cs="Arial"/>
          <w:i/>
          <w:iCs/>
          <w:sz w:val="24"/>
          <w:szCs w:val="24"/>
        </w:rPr>
        <w:t>“…</w:t>
      </w:r>
    </w:p>
    <w:p w14:paraId="5415565D" w14:textId="77777777" w:rsidR="00F56F12" w:rsidRPr="00522C54" w:rsidRDefault="00F56F12" w:rsidP="0090609F">
      <w:pPr>
        <w:numPr>
          <w:ilvl w:val="0"/>
          <w:numId w:val="9"/>
        </w:numPr>
        <w:spacing w:after="0" w:line="276" w:lineRule="auto"/>
        <w:jc w:val="both"/>
        <w:rPr>
          <w:rFonts w:ascii="Book Antiqua" w:eastAsia="Calibri" w:hAnsi="Book Antiqua" w:cs="Arial"/>
          <w:i/>
          <w:iCs/>
          <w:sz w:val="24"/>
          <w:szCs w:val="24"/>
        </w:rPr>
      </w:pPr>
      <w:r w:rsidRPr="00522C54">
        <w:rPr>
          <w:rFonts w:ascii="Book Antiqua" w:eastAsia="Calibri" w:hAnsi="Book Antiqua" w:cs="Arial"/>
          <w:i/>
          <w:iCs/>
          <w:sz w:val="24"/>
          <w:szCs w:val="24"/>
          <w:lang w:val="es-MX"/>
        </w:rPr>
        <w:t xml:space="preserve">Pandemia por Covid-19 ha afectado a todo el país y el Poder Judicial no es la excepción. </w:t>
      </w:r>
    </w:p>
    <w:p w14:paraId="47D87C36" w14:textId="77777777" w:rsidR="003221D1" w:rsidRDefault="003221D1" w:rsidP="005D4D70">
      <w:pPr>
        <w:spacing w:line="276" w:lineRule="auto"/>
        <w:jc w:val="both"/>
        <w:rPr>
          <w:rFonts w:ascii="Book Antiqua" w:hAnsi="Book Antiqua"/>
          <w:sz w:val="24"/>
          <w:szCs w:val="24"/>
        </w:rPr>
      </w:pPr>
    </w:p>
    <w:p w14:paraId="2D1FCEF8" w14:textId="1B8E9435" w:rsidR="005D4D70" w:rsidRPr="005D4D70" w:rsidRDefault="005D4D70" w:rsidP="005D4D70">
      <w:pPr>
        <w:spacing w:line="276" w:lineRule="auto"/>
        <w:jc w:val="both"/>
        <w:rPr>
          <w:rFonts w:ascii="Book Antiqua" w:hAnsi="Book Antiqua"/>
          <w:sz w:val="24"/>
          <w:szCs w:val="24"/>
        </w:rPr>
      </w:pPr>
      <w:r w:rsidRPr="005D4D70">
        <w:rPr>
          <w:rFonts w:ascii="Book Antiqua" w:hAnsi="Book Antiqua"/>
          <w:sz w:val="24"/>
          <w:szCs w:val="24"/>
        </w:rPr>
        <w:t xml:space="preserve">A continuación, se incluye un extracto del oficio </w:t>
      </w:r>
      <w:r w:rsidRPr="007C530C">
        <w:rPr>
          <w:rFonts w:ascii="Book Antiqua" w:hAnsi="Book Antiqua"/>
          <w:sz w:val="24"/>
          <w:szCs w:val="24"/>
        </w:rPr>
        <w:t xml:space="preserve">1360-PLA-2021 / 312-CACMFJ-JEF-2021 del 17 de noviembre 2021 en donde se puede ver </w:t>
      </w:r>
      <w:r w:rsidR="00B248D5" w:rsidRPr="007C530C">
        <w:rPr>
          <w:rFonts w:ascii="Book Antiqua" w:hAnsi="Book Antiqua"/>
          <w:sz w:val="24"/>
          <w:szCs w:val="24"/>
        </w:rPr>
        <w:t>que la totalidad</w:t>
      </w:r>
      <w:r w:rsidR="00B248D5" w:rsidRPr="00B248D5">
        <w:rPr>
          <w:rFonts w:ascii="Book Antiqua" w:hAnsi="Book Antiqua"/>
          <w:sz w:val="24"/>
          <w:szCs w:val="24"/>
        </w:rPr>
        <w:t xml:space="preserve"> de las oficinas jurisdiccionales </w:t>
      </w:r>
      <w:r w:rsidR="00F67A36" w:rsidRPr="00F67A36">
        <w:rPr>
          <w:rFonts w:ascii="Book Antiqua" w:hAnsi="Book Antiqua"/>
          <w:sz w:val="24"/>
          <w:szCs w:val="24"/>
        </w:rPr>
        <w:t>de Familia presentaron medidas sanitarias por alerta naranja</w:t>
      </w:r>
      <w:r w:rsidR="00F67A36">
        <w:rPr>
          <w:rFonts w:ascii="Book Antiqua" w:hAnsi="Book Antiqua"/>
          <w:sz w:val="24"/>
          <w:szCs w:val="24"/>
        </w:rPr>
        <w:t>.</w:t>
      </w:r>
    </w:p>
    <w:p w14:paraId="024CE97A" w14:textId="77777777" w:rsidR="005D4D70" w:rsidRPr="005D4D70" w:rsidRDefault="005D4D70" w:rsidP="005D4D70">
      <w:pPr>
        <w:spacing w:line="276" w:lineRule="auto"/>
        <w:jc w:val="both"/>
        <w:rPr>
          <w:rFonts w:ascii="Book Antiqua" w:hAnsi="Book Antiqua"/>
          <w:sz w:val="24"/>
          <w:szCs w:val="24"/>
        </w:rPr>
      </w:pPr>
      <w:r w:rsidRPr="005D4D70">
        <w:rPr>
          <w:rFonts w:ascii="Book Antiqua" w:hAnsi="Book Antiqua"/>
          <w:sz w:val="24"/>
          <w:szCs w:val="24"/>
        </w:rPr>
        <w:t>“…</w:t>
      </w:r>
    </w:p>
    <w:p w14:paraId="08D3AF5E" w14:textId="345BD45F" w:rsidR="00B248D5" w:rsidRDefault="00B248D5" w:rsidP="00B248D5">
      <w:pPr>
        <w:spacing w:after="200" w:line="240" w:lineRule="auto"/>
        <w:jc w:val="both"/>
        <w:rPr>
          <w:rFonts w:ascii="Book Antiqua" w:eastAsia="Calibri" w:hAnsi="Book Antiqua" w:cs="Arial"/>
          <w:i/>
          <w:iCs/>
          <w:sz w:val="24"/>
          <w:szCs w:val="24"/>
          <w:lang w:val="es-MX"/>
        </w:rPr>
      </w:pPr>
      <w:r w:rsidRPr="00B248D5">
        <w:rPr>
          <w:rFonts w:ascii="Book Antiqua" w:eastAsia="Calibri" w:hAnsi="Book Antiqua" w:cs="Arial"/>
          <w:i/>
          <w:iCs/>
          <w:sz w:val="24"/>
          <w:szCs w:val="24"/>
          <w:lang w:val="es-MX"/>
        </w:rPr>
        <w:t xml:space="preserve">Para los meses de análisis, mayo, junio, julio, agosto y setiembre pasado se tiene que la totalidad de las oficinas jurisdiccionales se encontraron en alerta naranja según se muestra: </w:t>
      </w:r>
    </w:p>
    <w:p w14:paraId="41EF1D93" w14:textId="77777777" w:rsidR="00F83B44" w:rsidRPr="00B248D5" w:rsidRDefault="00F83B44" w:rsidP="00B248D5">
      <w:pPr>
        <w:spacing w:after="200" w:line="240" w:lineRule="auto"/>
        <w:jc w:val="both"/>
        <w:rPr>
          <w:rFonts w:ascii="Book Antiqua" w:eastAsia="Calibri" w:hAnsi="Book Antiqua" w:cs="Arial"/>
          <w:i/>
          <w:iCs/>
          <w:sz w:val="24"/>
          <w:szCs w:val="24"/>
          <w:lang w:val="es-MX"/>
        </w:rPr>
      </w:pPr>
    </w:p>
    <w:p w14:paraId="0EFA3D4E" w14:textId="2241CF40" w:rsidR="00F67A36" w:rsidRDefault="00ED16C7" w:rsidP="002768C1">
      <w:pPr>
        <w:spacing w:line="276" w:lineRule="auto"/>
        <w:jc w:val="center"/>
        <w:rPr>
          <w:rFonts w:ascii="Book Antiqua" w:hAnsi="Book Antiqua"/>
          <w:sz w:val="24"/>
          <w:szCs w:val="24"/>
        </w:rPr>
      </w:pPr>
      <w:r w:rsidRPr="00ED16C7">
        <w:rPr>
          <w:rFonts w:ascii="Book Antiqua" w:eastAsia="Calibri" w:hAnsi="Book Antiqua" w:cs="Times New Roman"/>
          <w:noProof/>
        </w:rPr>
        <w:lastRenderedPageBreak/>
        <w:drawing>
          <wp:inline distT="0" distB="0" distL="0" distR="0" wp14:anchorId="77E77CB3" wp14:editId="06A7DB56">
            <wp:extent cx="4500979" cy="4313555"/>
            <wp:effectExtent l="0" t="0" r="0" b="0"/>
            <wp:docPr id="9" name="Imagen 9"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Mapa&#10;&#10;Descripción generada automáticamente"/>
                    <pic:cNvPicPr/>
                  </pic:nvPicPr>
                  <pic:blipFill>
                    <a:blip r:embed="rId20"/>
                    <a:stretch>
                      <a:fillRect/>
                    </a:stretch>
                  </pic:blipFill>
                  <pic:spPr>
                    <a:xfrm>
                      <a:off x="0" y="0"/>
                      <a:ext cx="4508126" cy="4320405"/>
                    </a:xfrm>
                    <a:prstGeom prst="rect">
                      <a:avLst/>
                    </a:prstGeom>
                  </pic:spPr>
                </pic:pic>
              </a:graphicData>
            </a:graphic>
          </wp:inline>
        </w:drawing>
      </w:r>
    </w:p>
    <w:p w14:paraId="51B89B9F" w14:textId="77777777" w:rsidR="00ED16C7" w:rsidRDefault="00ED16C7" w:rsidP="002768C1">
      <w:pPr>
        <w:spacing w:line="276" w:lineRule="auto"/>
        <w:jc w:val="center"/>
        <w:rPr>
          <w:rFonts w:ascii="Book Antiqua" w:hAnsi="Book Antiqua"/>
          <w:sz w:val="24"/>
          <w:szCs w:val="24"/>
        </w:rPr>
      </w:pPr>
    </w:p>
    <w:p w14:paraId="56D1D6CB" w14:textId="77777777" w:rsidR="00D72478" w:rsidRPr="007C530C" w:rsidRDefault="00D72478" w:rsidP="0090609F">
      <w:pPr>
        <w:numPr>
          <w:ilvl w:val="0"/>
          <w:numId w:val="9"/>
        </w:numPr>
        <w:spacing w:after="0" w:line="276" w:lineRule="auto"/>
        <w:jc w:val="both"/>
        <w:rPr>
          <w:rFonts w:ascii="Book Antiqua" w:eastAsia="Calibri" w:hAnsi="Book Antiqua" w:cs="Arial"/>
          <w:i/>
          <w:iCs/>
          <w:sz w:val="24"/>
          <w:szCs w:val="24"/>
        </w:rPr>
      </w:pPr>
      <w:r w:rsidRPr="007C530C">
        <w:rPr>
          <w:rFonts w:ascii="Book Antiqua" w:eastAsia="Calibri" w:hAnsi="Book Antiqua" w:cs="Arial"/>
          <w:i/>
          <w:iCs/>
          <w:sz w:val="24"/>
          <w:szCs w:val="24"/>
          <w:lang w:val="es-MX"/>
        </w:rPr>
        <w:t xml:space="preserve">Cierres colectivos y temporales que se han dado a nivel institucional, para desinfección y limpieza por casos positivos de Covid-19; o cantidad de personal en cuarentena. </w:t>
      </w:r>
    </w:p>
    <w:p w14:paraId="4B2A0F46" w14:textId="77777777" w:rsidR="00D72478" w:rsidRPr="00D72478" w:rsidRDefault="00D72478" w:rsidP="00D72478">
      <w:pPr>
        <w:spacing w:after="0" w:line="276" w:lineRule="auto"/>
        <w:ind w:left="720"/>
        <w:jc w:val="both"/>
        <w:rPr>
          <w:rFonts w:ascii="Book Antiqua" w:eastAsia="Calibri" w:hAnsi="Book Antiqua" w:cs="Arial"/>
          <w:i/>
          <w:iCs/>
          <w:sz w:val="24"/>
          <w:szCs w:val="24"/>
          <w:lang w:val="es-MX"/>
        </w:rPr>
      </w:pPr>
    </w:p>
    <w:p w14:paraId="50CBC3C7" w14:textId="77777777" w:rsidR="009E56C9" w:rsidRPr="009E56C9" w:rsidRDefault="009E56C9" w:rsidP="009E56C9">
      <w:pPr>
        <w:spacing w:after="0" w:line="276" w:lineRule="auto"/>
        <w:jc w:val="both"/>
        <w:rPr>
          <w:rFonts w:ascii="Book Antiqua" w:eastAsia="Times New Roman" w:hAnsi="Book Antiqua" w:cs="Arial"/>
          <w:i/>
          <w:iCs/>
          <w:sz w:val="24"/>
          <w:szCs w:val="24"/>
          <w:lang w:eastAsia="es-ES"/>
        </w:rPr>
      </w:pPr>
      <w:r w:rsidRPr="009E56C9">
        <w:rPr>
          <w:rFonts w:ascii="Book Antiqua" w:eastAsia="Times New Roman" w:hAnsi="Book Antiqua" w:cs="Arial"/>
          <w:i/>
          <w:iCs/>
          <w:sz w:val="24"/>
          <w:szCs w:val="24"/>
          <w:lang w:eastAsia="es-ES"/>
        </w:rPr>
        <w:t>Se solicitó información a la Dirección Ejecutiva sobre las acciones que se han realizado en las diferentes oficinas por el cierre temporal de las oficinas para efectuar los procesos de desinfección por casos reportados de COVID 19 y en el siguiente cuadro se detalla la información remitida al Consejo Superior:</w:t>
      </w:r>
    </w:p>
    <w:p w14:paraId="0C7C3EA4" w14:textId="5F37E0F5" w:rsidR="009E56C9" w:rsidRDefault="009E56C9" w:rsidP="009E56C9">
      <w:pPr>
        <w:spacing w:after="0" w:line="276" w:lineRule="auto"/>
        <w:jc w:val="both"/>
        <w:rPr>
          <w:rFonts w:ascii="Book Antiqua" w:eastAsia="Calibri" w:hAnsi="Book Antiqua" w:cs="Arial"/>
          <w:i/>
          <w:iCs/>
          <w:lang w:val="es-MX"/>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1"/>
        <w:gridCol w:w="3928"/>
      </w:tblGrid>
      <w:tr w:rsidR="009E56C9" w:rsidRPr="009E56C9" w14:paraId="3A5DEC14" w14:textId="77777777" w:rsidTr="00306313">
        <w:tc>
          <w:tcPr>
            <w:tcW w:w="4601" w:type="dxa"/>
            <w:shd w:val="clear" w:color="auto" w:fill="auto"/>
          </w:tcPr>
          <w:p w14:paraId="1D23F3BA" w14:textId="77777777" w:rsidR="009E56C9" w:rsidRPr="009E56C9" w:rsidRDefault="009E56C9" w:rsidP="009E56C9">
            <w:pPr>
              <w:spacing w:after="0" w:line="276" w:lineRule="auto"/>
              <w:jc w:val="center"/>
              <w:rPr>
                <w:rFonts w:ascii="Book Antiqua" w:eastAsia="Times New Roman" w:hAnsi="Book Antiqua" w:cs="Times New Roman"/>
                <w:b/>
                <w:bCs/>
                <w:sz w:val="24"/>
                <w:szCs w:val="24"/>
                <w:lang w:val="es-ES_tradnl"/>
              </w:rPr>
            </w:pPr>
            <w:r w:rsidRPr="009E56C9">
              <w:rPr>
                <w:rFonts w:ascii="Book Antiqua" w:eastAsia="Times New Roman" w:hAnsi="Book Antiqua" w:cs="Times New Roman"/>
                <w:b/>
                <w:bCs/>
                <w:sz w:val="24"/>
                <w:szCs w:val="24"/>
                <w:lang w:val="es-ES_tradnl"/>
              </w:rPr>
              <w:t>Instancia institucional</w:t>
            </w:r>
          </w:p>
        </w:tc>
        <w:tc>
          <w:tcPr>
            <w:tcW w:w="3928" w:type="dxa"/>
            <w:shd w:val="clear" w:color="auto" w:fill="auto"/>
          </w:tcPr>
          <w:p w14:paraId="0749EEE1" w14:textId="77777777" w:rsidR="009E56C9" w:rsidRPr="009E56C9" w:rsidRDefault="009E56C9" w:rsidP="009E56C9">
            <w:pPr>
              <w:spacing w:after="0" w:line="276" w:lineRule="auto"/>
              <w:jc w:val="center"/>
              <w:rPr>
                <w:rFonts w:ascii="Book Antiqua" w:eastAsia="Times New Roman" w:hAnsi="Book Antiqua" w:cs="Times New Roman"/>
                <w:b/>
                <w:bCs/>
                <w:sz w:val="24"/>
                <w:szCs w:val="24"/>
                <w:lang w:val="es-ES_tradnl"/>
              </w:rPr>
            </w:pPr>
            <w:r w:rsidRPr="009E56C9">
              <w:rPr>
                <w:rFonts w:ascii="Book Antiqua" w:eastAsia="Times New Roman" w:hAnsi="Book Antiqua" w:cs="Times New Roman"/>
                <w:b/>
                <w:bCs/>
                <w:sz w:val="24"/>
                <w:szCs w:val="24"/>
                <w:lang w:val="es-ES_tradnl"/>
              </w:rPr>
              <w:t>Reportes generados</w:t>
            </w:r>
          </w:p>
        </w:tc>
      </w:tr>
      <w:tr w:rsidR="009E56C9" w:rsidRPr="009E56C9" w14:paraId="130A14E5" w14:textId="77777777" w:rsidTr="00306313">
        <w:tc>
          <w:tcPr>
            <w:tcW w:w="4601" w:type="dxa"/>
            <w:shd w:val="clear" w:color="auto" w:fill="auto"/>
          </w:tcPr>
          <w:p w14:paraId="403699E6" w14:textId="77777777" w:rsidR="009E56C9" w:rsidRPr="009E56C9" w:rsidRDefault="009E56C9" w:rsidP="009E56C9">
            <w:pPr>
              <w:spacing w:after="0" w:line="276" w:lineRule="auto"/>
              <w:jc w:val="both"/>
              <w:rPr>
                <w:rFonts w:ascii="Book Antiqua" w:eastAsia="Times New Roman" w:hAnsi="Book Antiqua" w:cs="Times New Roman"/>
                <w:sz w:val="24"/>
                <w:szCs w:val="24"/>
                <w:highlight w:val="yellow"/>
                <w:lang w:val="es-ES_tradnl"/>
              </w:rPr>
            </w:pPr>
            <w:r w:rsidRPr="009E56C9">
              <w:rPr>
                <w:rFonts w:ascii="Book Antiqua" w:eastAsia="Times New Roman" w:hAnsi="Book Antiqua" w:cs="Times New Roman"/>
                <w:sz w:val="24"/>
                <w:szCs w:val="24"/>
                <w:lang w:val="es-ES_tradnl"/>
              </w:rPr>
              <w:t>Dirección Ejecutiva</w:t>
            </w:r>
          </w:p>
        </w:tc>
        <w:tc>
          <w:tcPr>
            <w:tcW w:w="3928" w:type="dxa"/>
            <w:shd w:val="clear" w:color="auto" w:fill="auto"/>
          </w:tcPr>
          <w:p w14:paraId="09BAF635"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376" w:dyaOrig="893" w14:anchorId="0274F2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7.5pt;height:44pt" o:ole="">
                  <v:imagedata r:id="rId21" o:title=""/>
                </v:shape>
                <o:OLEObject Type="Embed" ProgID="Acrobat.Document.DC" ShapeID="_x0000_i1026" DrawAspect="Icon" ObjectID="_1718086570" r:id="rId22"/>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508" w:dyaOrig="983" w14:anchorId="5B74D49F">
                <v:shape id="_x0000_i1027" type="#_x0000_t75" style="width:74.5pt;height:49.5pt" o:ole="">
                  <v:imagedata r:id="rId23" o:title=""/>
                </v:shape>
                <o:OLEObject Type="Embed" ProgID="Acrobat.Document.DC" ShapeID="_x0000_i1027" DrawAspect="Icon" ObjectID="_1718086571" r:id="rId24"/>
              </w:object>
            </w:r>
          </w:p>
          <w:p w14:paraId="64840713"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2C0DC3D0">
                <v:shape id="_x0000_i1028" type="#_x0000_t75" style="width:74.5pt;height:49.5pt" o:ole="">
                  <v:imagedata r:id="rId25" o:title=""/>
                </v:shape>
                <o:OLEObject Type="Embed" ProgID="Acrobat.Document.DC" ShapeID="_x0000_i1028" DrawAspect="Icon" ObjectID="_1718086572" r:id="rId26"/>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508" w:dyaOrig="983" w14:anchorId="271DCA32">
                <v:shape id="_x0000_i1029" type="#_x0000_t75" style="width:74.5pt;height:49.5pt" o:ole="">
                  <v:imagedata r:id="rId27" o:title=""/>
                </v:shape>
                <o:OLEObject Type="Embed" ProgID="Acrobat.Document.DC" ShapeID="_x0000_i1029" DrawAspect="Icon" ObjectID="_1718086573" r:id="rId28"/>
              </w:object>
            </w:r>
          </w:p>
          <w:p w14:paraId="38104A1B"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3CE2AC84">
                <v:shape id="_x0000_i1030" type="#_x0000_t75" style="width:74.5pt;height:49.5pt" o:ole="">
                  <v:imagedata r:id="rId29" o:title=""/>
                </v:shape>
                <o:OLEObject Type="Embed" ProgID="Acrobat.Document.DC" ShapeID="_x0000_i1030" DrawAspect="Icon" ObjectID="_1718086574" r:id="rId30"/>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508" w:dyaOrig="983" w14:anchorId="5F012150">
                <v:shape id="_x0000_i1031" type="#_x0000_t75" style="width:74.5pt;height:49.5pt" o:ole="">
                  <v:imagedata r:id="rId31" o:title=""/>
                </v:shape>
                <o:OLEObject Type="Embed" ProgID="Acrobat.Document.DC" ShapeID="_x0000_i1031" DrawAspect="Icon" ObjectID="_1718086575" r:id="rId32"/>
              </w:object>
            </w:r>
          </w:p>
          <w:p w14:paraId="63F7BE5B" w14:textId="39AD420C"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4967E057">
                <v:shape id="_x0000_i1032" type="#_x0000_t75" style="width:74.5pt;height:49.5pt" o:ole="">
                  <v:imagedata r:id="rId33" o:title=""/>
                </v:shape>
                <o:OLEObject Type="Embed" ProgID="Acrobat.Document.DC" ShapeID="_x0000_i1032" DrawAspect="Icon" ObjectID="_1718086576" r:id="rId34"/>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376" w:dyaOrig="893" w14:anchorId="3116411F">
                <v:shape id="_x0000_i1033" type="#_x0000_t75" style="width:67.5pt;height:44pt" o:ole="">
                  <v:imagedata r:id="rId35" o:title=""/>
                </v:shape>
                <o:OLEObject Type="Embed" ProgID="Acrobat.Document.DC" ShapeID="_x0000_i1033" DrawAspect="Icon" ObjectID="_1718086577" r:id="rId36"/>
              </w:object>
            </w:r>
          </w:p>
          <w:p w14:paraId="324E8D04" w14:textId="77777777" w:rsidR="009E56C9" w:rsidRPr="009E56C9" w:rsidRDefault="009E56C9" w:rsidP="009E56C9">
            <w:pPr>
              <w:spacing w:after="0" w:line="276" w:lineRule="auto"/>
              <w:jc w:val="center"/>
              <w:rPr>
                <w:rFonts w:ascii="Book Antiqua" w:eastAsia="Times New Roman" w:hAnsi="Book Antiqua" w:cs="Times New Roman"/>
                <w:sz w:val="24"/>
                <w:szCs w:val="24"/>
                <w:highlight w:val="yellow"/>
                <w:lang w:val="es-ES_tradnl"/>
              </w:rPr>
            </w:pPr>
            <w:r w:rsidRPr="009E56C9">
              <w:rPr>
                <w:rFonts w:ascii="Book Antiqua" w:eastAsia="Times New Roman" w:hAnsi="Book Antiqua" w:cs="Times New Roman"/>
                <w:sz w:val="24"/>
                <w:szCs w:val="24"/>
                <w:lang w:val="es-ES_tradnl"/>
              </w:rPr>
              <w:object w:dxaOrig="1508" w:dyaOrig="983" w14:anchorId="3DCD2218">
                <v:shape id="_x0000_i1034" type="#_x0000_t75" style="width:74.5pt;height:49.5pt" o:ole="">
                  <v:imagedata r:id="rId37" o:title=""/>
                </v:shape>
                <o:OLEObject Type="Embed" ProgID="Acrobat.Document.DC" ShapeID="_x0000_i1034" DrawAspect="Icon" ObjectID="_1718086578" r:id="rId38"/>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508" w:dyaOrig="983" w14:anchorId="01A1D8C6">
                <v:shape id="_x0000_i1035" type="#_x0000_t75" style="width:74.5pt;height:49.5pt" o:ole="">
                  <v:imagedata r:id="rId39" o:title=""/>
                </v:shape>
                <o:OLEObject Type="Embed" ProgID="Acrobat.Document.DC" ShapeID="_x0000_i1035" DrawAspect="Icon" ObjectID="_1718086579" r:id="rId40"/>
              </w:object>
            </w:r>
          </w:p>
          <w:p w14:paraId="0A8491C5"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3905E68B">
                <v:shape id="_x0000_i1036" type="#_x0000_t75" style="width:74.5pt;height:49.5pt" o:ole="">
                  <v:imagedata r:id="rId41" o:title=""/>
                </v:shape>
                <o:OLEObject Type="Embed" ProgID="Acrobat.Document.DC" ShapeID="_x0000_i1036" DrawAspect="Icon" ObjectID="_1718086580" r:id="rId42"/>
              </w:object>
            </w:r>
            <w:r w:rsidRPr="009E56C9">
              <w:rPr>
                <w:rFonts w:ascii="Book Antiqua" w:eastAsia="Times New Roman" w:hAnsi="Book Antiqua" w:cs="Times New Roman"/>
                <w:sz w:val="24"/>
                <w:szCs w:val="24"/>
                <w:lang w:val="es-ES_tradnl"/>
              </w:rPr>
              <w:t xml:space="preserve">          </w:t>
            </w:r>
            <w:r w:rsidRPr="009E56C9">
              <w:rPr>
                <w:rFonts w:ascii="Book Antiqua" w:eastAsia="Times New Roman" w:hAnsi="Book Antiqua" w:cs="Times New Roman"/>
                <w:sz w:val="24"/>
                <w:szCs w:val="24"/>
                <w:lang w:val="es-ES_tradnl"/>
              </w:rPr>
              <w:object w:dxaOrig="1508" w:dyaOrig="983" w14:anchorId="326A2855">
                <v:shape id="_x0000_i1037" type="#_x0000_t75" style="width:74.5pt;height:49.5pt" o:ole="">
                  <v:imagedata r:id="rId43" o:title=""/>
                </v:shape>
                <o:OLEObject Type="Embed" ProgID="Acrobat.Document.DC" ShapeID="_x0000_i1037" DrawAspect="Icon" ObjectID="_1718086581" r:id="rId44"/>
              </w:object>
            </w:r>
          </w:p>
          <w:p w14:paraId="1AD8F8B4"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2D9A0EE9">
                <v:shape id="_x0000_i1038" type="#_x0000_t75" style="width:74.5pt;height:49.5pt" o:ole="">
                  <v:imagedata r:id="rId45" o:title=""/>
                </v:shape>
                <o:OLEObject Type="Embed" ProgID="Acrobat.Document.DC" ShapeID="_x0000_i1038" DrawAspect="Icon" ObjectID="_1718086582" r:id="rId46"/>
              </w:object>
            </w:r>
          </w:p>
          <w:p w14:paraId="10C9C578"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0A3AC5CF">
                <v:shape id="_x0000_i1039" type="#_x0000_t75" style="width:74.5pt;height:49.5pt" o:ole="">
                  <v:imagedata r:id="rId47" o:title=""/>
                </v:shape>
                <o:OLEObject Type="Embed" ProgID="Acrobat.Document.DC" ShapeID="_x0000_i1039" DrawAspect="Icon" ObjectID="_1718086583" r:id="rId48"/>
              </w:object>
            </w:r>
            <w:r w:rsidRPr="009E56C9">
              <w:rPr>
                <w:rFonts w:ascii="Book Antiqua" w:eastAsia="Times New Roman" w:hAnsi="Book Antiqua" w:cs="Times New Roman"/>
                <w:sz w:val="24"/>
                <w:szCs w:val="24"/>
                <w:lang w:val="es-ES_tradnl"/>
              </w:rPr>
              <w:object w:dxaOrig="1508" w:dyaOrig="983" w14:anchorId="0BC33C6B">
                <v:shape id="_x0000_i1040" type="#_x0000_t75" style="width:74.5pt;height:49.5pt" o:ole="">
                  <v:imagedata r:id="rId49" o:title=""/>
                </v:shape>
                <o:OLEObject Type="Embed" ProgID="Acrobat.Document.DC" ShapeID="_x0000_i1040" DrawAspect="Icon" ObjectID="_1718086584" r:id="rId50"/>
              </w:object>
            </w:r>
          </w:p>
          <w:p w14:paraId="27A9494A"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r w:rsidRPr="009E56C9">
              <w:rPr>
                <w:rFonts w:ascii="Book Antiqua" w:eastAsia="Times New Roman" w:hAnsi="Book Antiqua" w:cs="Times New Roman"/>
                <w:sz w:val="24"/>
                <w:szCs w:val="24"/>
                <w:lang w:val="es-ES_tradnl"/>
              </w:rPr>
              <w:object w:dxaOrig="1508" w:dyaOrig="983" w14:anchorId="5BF17A69">
                <v:shape id="_x0000_i1041" type="#_x0000_t75" style="width:74.5pt;height:49.5pt" o:ole="">
                  <v:imagedata r:id="rId51" o:title=""/>
                </v:shape>
                <o:OLEObject Type="Embed" ProgID="Acrobat.Document.DC" ShapeID="_x0000_i1041" DrawAspect="Icon" ObjectID="_1718086585" r:id="rId52"/>
              </w:object>
            </w:r>
            <w:r w:rsidRPr="009E56C9">
              <w:rPr>
                <w:rFonts w:ascii="Book Antiqua" w:eastAsia="Times New Roman" w:hAnsi="Book Antiqua" w:cs="Times New Roman"/>
                <w:sz w:val="24"/>
                <w:szCs w:val="24"/>
                <w:lang w:val="es-ES_tradnl"/>
              </w:rPr>
              <w:object w:dxaOrig="1508" w:dyaOrig="983" w14:anchorId="59F1E80F">
                <v:shape id="_x0000_i1042" type="#_x0000_t75" style="width:74.5pt;height:49.5pt" o:ole="">
                  <v:imagedata r:id="rId53" o:title=""/>
                </v:shape>
                <o:OLEObject Type="Embed" ProgID="Acrobat.Document.DC" ShapeID="_x0000_i1042" DrawAspect="Icon" ObjectID="_1718086586" r:id="rId54"/>
              </w:object>
            </w:r>
            <w:r w:rsidRPr="009E56C9">
              <w:rPr>
                <w:rFonts w:ascii="Book Antiqua" w:eastAsia="Times New Roman" w:hAnsi="Book Antiqua" w:cs="Times New Roman"/>
                <w:sz w:val="24"/>
                <w:szCs w:val="24"/>
                <w:lang w:val="es-ES_tradnl"/>
              </w:rPr>
              <w:object w:dxaOrig="1508" w:dyaOrig="983" w14:anchorId="30606017">
                <v:shape id="_x0000_i1043" type="#_x0000_t75" style="width:74.5pt;height:49.5pt" o:ole="">
                  <v:imagedata r:id="rId55" o:title=""/>
                </v:shape>
                <o:OLEObject Type="Embed" ProgID="Acrobat.Document.DC" ShapeID="_x0000_i1043" DrawAspect="Icon" ObjectID="_1718086587" r:id="rId56"/>
              </w:object>
            </w:r>
            <w:r w:rsidRPr="009E56C9">
              <w:rPr>
                <w:rFonts w:ascii="Book Antiqua" w:eastAsia="Times New Roman" w:hAnsi="Book Antiqua" w:cs="Times New Roman"/>
                <w:sz w:val="24"/>
                <w:szCs w:val="24"/>
                <w:lang w:val="es-ES_tradnl"/>
              </w:rPr>
              <w:object w:dxaOrig="1508" w:dyaOrig="983" w14:anchorId="7C53279F">
                <v:shape id="_x0000_i1044" type="#_x0000_t75" style="width:74.5pt;height:49.5pt" o:ole="">
                  <v:imagedata r:id="rId57" o:title=""/>
                </v:shape>
                <o:OLEObject Type="Embed" ProgID="Acrobat.Document.DC" ShapeID="_x0000_i1044" DrawAspect="Icon" ObjectID="_1718086588" r:id="rId58"/>
              </w:object>
            </w:r>
          </w:p>
          <w:p w14:paraId="246D544E" w14:textId="77777777" w:rsidR="009E56C9" w:rsidRPr="009E56C9" w:rsidRDefault="009E56C9" w:rsidP="009E56C9">
            <w:pPr>
              <w:spacing w:after="0" w:line="276" w:lineRule="auto"/>
              <w:jc w:val="center"/>
              <w:rPr>
                <w:rFonts w:ascii="Book Antiqua" w:eastAsia="Times New Roman" w:hAnsi="Book Antiqua" w:cs="Times New Roman"/>
                <w:sz w:val="24"/>
                <w:szCs w:val="24"/>
                <w:lang w:val="es-ES_tradnl"/>
              </w:rPr>
            </w:pPr>
          </w:p>
          <w:p w14:paraId="11480590" w14:textId="77777777" w:rsidR="009E56C9" w:rsidRPr="009E56C9" w:rsidRDefault="009E56C9" w:rsidP="009E56C9">
            <w:pPr>
              <w:spacing w:after="0" w:line="276" w:lineRule="auto"/>
              <w:jc w:val="center"/>
              <w:rPr>
                <w:rFonts w:ascii="Book Antiqua" w:eastAsia="Times New Roman" w:hAnsi="Book Antiqua" w:cs="Times New Roman"/>
                <w:sz w:val="24"/>
                <w:szCs w:val="24"/>
                <w:highlight w:val="yellow"/>
                <w:lang w:val="es-ES_tradnl"/>
              </w:rPr>
            </w:pPr>
          </w:p>
        </w:tc>
      </w:tr>
    </w:tbl>
    <w:p w14:paraId="7DBE0FEF" w14:textId="7F764A78" w:rsidR="009E56C9" w:rsidRDefault="009E56C9" w:rsidP="009E56C9">
      <w:pPr>
        <w:spacing w:after="0" w:line="276" w:lineRule="auto"/>
        <w:jc w:val="both"/>
        <w:rPr>
          <w:rFonts w:ascii="Book Antiqua" w:eastAsia="Calibri" w:hAnsi="Book Antiqua" w:cs="Arial"/>
          <w:i/>
          <w:iCs/>
          <w:lang w:val="es-MX"/>
        </w:rPr>
      </w:pPr>
    </w:p>
    <w:p w14:paraId="76CDDBF2" w14:textId="77777777" w:rsidR="00AF54E2" w:rsidRPr="00AF54E2" w:rsidRDefault="00AF54E2" w:rsidP="00AF54E2">
      <w:pPr>
        <w:spacing w:after="0" w:line="276" w:lineRule="auto"/>
        <w:jc w:val="both"/>
        <w:rPr>
          <w:rFonts w:ascii="Book Antiqua" w:eastAsia="Times New Roman" w:hAnsi="Book Antiqua" w:cs="Times New Roman"/>
          <w:i/>
          <w:iCs/>
          <w:sz w:val="24"/>
          <w:szCs w:val="24"/>
          <w:lang w:val="es-ES_tradnl"/>
        </w:rPr>
      </w:pPr>
      <w:r w:rsidRPr="00AF54E2">
        <w:rPr>
          <w:rFonts w:ascii="Book Antiqua" w:eastAsia="Times New Roman" w:hAnsi="Book Antiqua" w:cs="Times New Roman"/>
          <w:i/>
          <w:iCs/>
          <w:sz w:val="24"/>
          <w:szCs w:val="24"/>
          <w:lang w:val="es-ES_tradnl"/>
        </w:rPr>
        <w:t xml:space="preserve">De la información anterior, en resumen </w:t>
      </w:r>
      <w:bookmarkStart w:id="19" w:name="_Hlk87814218"/>
      <w:r w:rsidRPr="00AF54E2">
        <w:rPr>
          <w:rFonts w:ascii="Book Antiqua" w:eastAsia="Times New Roman" w:hAnsi="Book Antiqua" w:cs="Times New Roman"/>
          <w:i/>
          <w:iCs/>
          <w:sz w:val="24"/>
          <w:szCs w:val="24"/>
          <w:lang w:val="es-ES_tradnl"/>
        </w:rPr>
        <w:t xml:space="preserve">la cantidad de oficinas desinfectadas fueron las siguientes: 298 en mayo 2021, 230 junio 2021, 159 julio 2021, 209 de agosto 2021 y 112  al 10 de setiembre del 2021, por lo que se concluye que la pandemia COVID 19, ha tenido una afectación directa en los despachos del Poder Judicial, dado a que se han dado cierres de oficinas, desinfecciones y personal que se ha contagiado de dicha enfermedad, lo cual repercute </w:t>
      </w:r>
      <w:r w:rsidRPr="00AF54E2">
        <w:rPr>
          <w:rFonts w:ascii="Book Antiqua" w:eastAsia="Times New Roman" w:hAnsi="Book Antiqua" w:cs="Times New Roman"/>
          <w:i/>
          <w:iCs/>
          <w:sz w:val="24"/>
          <w:szCs w:val="24"/>
          <w:lang w:val="es-ES_tradnl"/>
        </w:rPr>
        <w:lastRenderedPageBreak/>
        <w:t>en el servicio público y se han tenido que diseñar estrategias institucionales para poder enfrentar dichas adversidades.</w:t>
      </w:r>
    </w:p>
    <w:bookmarkEnd w:id="19"/>
    <w:p w14:paraId="0B73DC18" w14:textId="76CF3292" w:rsidR="00E36743" w:rsidRDefault="00E36743" w:rsidP="009E56C9">
      <w:pPr>
        <w:spacing w:after="0" w:line="276" w:lineRule="auto"/>
        <w:jc w:val="both"/>
        <w:rPr>
          <w:rFonts w:ascii="Book Antiqua" w:eastAsia="Calibri" w:hAnsi="Book Antiqua" w:cs="Arial"/>
          <w:i/>
          <w:iCs/>
          <w:lang w:val="es-MX"/>
        </w:rPr>
      </w:pPr>
    </w:p>
    <w:p w14:paraId="411C43C0" w14:textId="7680D451" w:rsidR="00E36743" w:rsidRDefault="00E36743" w:rsidP="0090609F">
      <w:pPr>
        <w:pStyle w:val="Prrafodelista"/>
        <w:numPr>
          <w:ilvl w:val="0"/>
          <w:numId w:val="9"/>
        </w:numPr>
        <w:spacing w:after="0" w:line="276" w:lineRule="auto"/>
        <w:jc w:val="both"/>
        <w:rPr>
          <w:rFonts w:ascii="Book Antiqua" w:eastAsia="Calibri" w:hAnsi="Book Antiqua" w:cs="Arial"/>
          <w:i/>
          <w:iCs/>
          <w:lang w:val="es-MX"/>
        </w:rPr>
      </w:pPr>
      <w:r w:rsidRPr="00E36743">
        <w:rPr>
          <w:rFonts w:ascii="Book Antiqua" w:eastAsia="Calibri" w:hAnsi="Book Antiqua" w:cs="Arial"/>
          <w:i/>
          <w:iCs/>
          <w:lang w:val="es-MX"/>
        </w:rPr>
        <w:t>Respecto al seguimiento de la jurisdicción de familia se tiene que mediante oficio 941-PLA-MI-2021 la Dirección de Planificación solicitó al CACMFJ exonerar a los despachos judiciales que atienden las materias de familia y pensiones alimentarias, tanto en su versión especializada como mixta, de la generación de las “plantillas One Drive”, utilizadas para recolectar información para rendir informes, según lo dispuesto por Corte Plena; es sesión 26-2020 del 13 de mayo de 2020. Con la finalidad de optimizar la utilización de la herramienta de indicadores de gestión que se usa en los despachos que atienden materia de familia y materia de pensiones alimentarias.</w:t>
      </w:r>
    </w:p>
    <w:p w14:paraId="475E163F" w14:textId="7A371414" w:rsidR="00E36743" w:rsidRDefault="00E36743" w:rsidP="00E36743">
      <w:pPr>
        <w:spacing w:after="0" w:line="276" w:lineRule="auto"/>
        <w:jc w:val="both"/>
        <w:rPr>
          <w:rFonts w:ascii="Book Antiqua" w:eastAsia="Calibri" w:hAnsi="Book Antiqua" w:cs="Arial"/>
          <w:i/>
          <w:iCs/>
          <w:lang w:val="es-MX"/>
        </w:rPr>
      </w:pPr>
    </w:p>
    <w:p w14:paraId="2E0A3562" w14:textId="58AEBCA7" w:rsidR="0054258A" w:rsidRDefault="0054258A" w:rsidP="00E36743">
      <w:pPr>
        <w:spacing w:after="0" w:line="276" w:lineRule="auto"/>
        <w:jc w:val="both"/>
        <w:rPr>
          <w:rFonts w:ascii="Book Antiqua" w:eastAsia="Calibri" w:hAnsi="Book Antiqua" w:cs="Arial"/>
          <w:i/>
          <w:iCs/>
          <w:lang w:val="es-MX"/>
        </w:rPr>
      </w:pPr>
    </w:p>
    <w:p w14:paraId="603D6E42" w14:textId="77777777" w:rsidR="00E36743" w:rsidRPr="00E36743" w:rsidRDefault="00E36743" w:rsidP="00E36743">
      <w:pPr>
        <w:spacing w:after="0" w:line="240" w:lineRule="auto"/>
        <w:jc w:val="center"/>
        <w:rPr>
          <w:rFonts w:ascii="Book Antiqua" w:eastAsia="Calibri" w:hAnsi="Book Antiqua" w:cs="Tahoma"/>
        </w:rPr>
      </w:pPr>
      <w:r w:rsidRPr="00E36743">
        <w:rPr>
          <w:rFonts w:ascii="Book Antiqua" w:eastAsia="Times New Roman" w:hAnsi="Book Antiqua" w:cs="Tahoma"/>
          <w:b/>
          <w:bCs/>
        </w:rPr>
        <w:t>Figura N°10</w:t>
      </w:r>
    </w:p>
    <w:p w14:paraId="2FBBC6EC" w14:textId="0D412CF0" w:rsidR="00E36743" w:rsidRPr="00E36743" w:rsidRDefault="00E36743" w:rsidP="00E36743">
      <w:pPr>
        <w:spacing w:after="0" w:line="240" w:lineRule="auto"/>
        <w:jc w:val="center"/>
        <w:rPr>
          <w:rFonts w:ascii="Book Antiqua" w:eastAsia="Calibri" w:hAnsi="Book Antiqua" w:cs="Tahoma"/>
        </w:rPr>
      </w:pPr>
      <w:r w:rsidRPr="00E36743">
        <w:rPr>
          <w:rFonts w:ascii="Book Antiqua" w:eastAsia="Times New Roman" w:hAnsi="Book Antiqua" w:cs="Tahoma"/>
          <w:b/>
          <w:bCs/>
        </w:rPr>
        <w:t>Resultados de la jurisdicción de familia</w:t>
      </w:r>
    </w:p>
    <w:p w14:paraId="51CB299E" w14:textId="77777777" w:rsidR="00E36743" w:rsidRPr="00E36743" w:rsidRDefault="00E36743" w:rsidP="00E36743">
      <w:pPr>
        <w:spacing w:after="0" w:line="240" w:lineRule="auto"/>
        <w:ind w:right="-141"/>
        <w:jc w:val="center"/>
        <w:rPr>
          <w:rFonts w:ascii="Book Antiqua" w:eastAsia="Times New Roman" w:hAnsi="Book Antiqua" w:cs="Tahoma"/>
          <w:b/>
          <w:bCs/>
        </w:rPr>
      </w:pPr>
      <w:r w:rsidRPr="00E36743">
        <w:rPr>
          <w:rFonts w:ascii="Book Antiqua" w:eastAsia="Times New Roman" w:hAnsi="Book Antiqua" w:cs="Tahoma"/>
          <w:b/>
          <w:bCs/>
        </w:rPr>
        <w:t>mayo a setiembre 2021</w:t>
      </w:r>
    </w:p>
    <w:p w14:paraId="50E10CD6" w14:textId="64B66194" w:rsidR="00E36743" w:rsidRDefault="00E36743" w:rsidP="00E36743">
      <w:pPr>
        <w:spacing w:after="0" w:line="276" w:lineRule="auto"/>
        <w:jc w:val="both"/>
        <w:rPr>
          <w:rFonts w:ascii="Book Antiqua" w:eastAsia="Calibri" w:hAnsi="Book Antiqua" w:cs="Arial"/>
          <w:i/>
          <w:iCs/>
          <w:lang w:val="es-MX"/>
        </w:rPr>
      </w:pPr>
    </w:p>
    <w:p w14:paraId="43CA63ED" w14:textId="466849EC" w:rsidR="00E36743" w:rsidRDefault="00E36743" w:rsidP="00E36743">
      <w:pPr>
        <w:spacing w:after="0" w:line="276" w:lineRule="auto"/>
        <w:jc w:val="both"/>
        <w:rPr>
          <w:rFonts w:ascii="Book Antiqua" w:eastAsia="Calibri" w:hAnsi="Book Antiqua" w:cs="Arial"/>
          <w:i/>
          <w:iCs/>
          <w:lang w:val="es-MX"/>
        </w:rPr>
      </w:pPr>
    </w:p>
    <w:p w14:paraId="29E8BFDF" w14:textId="43630FB8" w:rsidR="00E36743" w:rsidRDefault="00E36743" w:rsidP="0054258A">
      <w:pPr>
        <w:spacing w:after="0" w:line="276" w:lineRule="auto"/>
        <w:jc w:val="center"/>
        <w:rPr>
          <w:rFonts w:ascii="Book Antiqua" w:eastAsia="Calibri" w:hAnsi="Book Antiqua" w:cs="Arial"/>
          <w:i/>
          <w:iCs/>
          <w:lang w:val="es-MX"/>
        </w:rPr>
      </w:pPr>
      <w:r w:rsidRPr="00E36743">
        <w:rPr>
          <w:noProof/>
        </w:rPr>
        <w:drawing>
          <wp:inline distT="0" distB="0" distL="0" distR="0" wp14:anchorId="2DF2FCCA" wp14:editId="55BD0564">
            <wp:extent cx="4660900" cy="2809302"/>
            <wp:effectExtent l="0" t="0" r="635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67751" cy="2813431"/>
                    </a:xfrm>
                    <a:prstGeom prst="rect">
                      <a:avLst/>
                    </a:prstGeom>
                    <a:noFill/>
                    <a:ln>
                      <a:noFill/>
                    </a:ln>
                  </pic:spPr>
                </pic:pic>
              </a:graphicData>
            </a:graphic>
          </wp:inline>
        </w:drawing>
      </w:r>
    </w:p>
    <w:p w14:paraId="1590567C" w14:textId="5D528B64" w:rsidR="00E36743" w:rsidRDefault="00E36743" w:rsidP="00E36743">
      <w:pPr>
        <w:spacing w:after="0" w:line="276" w:lineRule="auto"/>
        <w:jc w:val="both"/>
        <w:rPr>
          <w:rFonts w:ascii="Book Antiqua" w:eastAsia="Calibri" w:hAnsi="Book Antiqua" w:cs="Arial"/>
          <w:i/>
          <w:iCs/>
          <w:lang w:val="es-MX"/>
        </w:rPr>
      </w:pPr>
    </w:p>
    <w:p w14:paraId="42BA6BF2" w14:textId="5A3CFC25" w:rsidR="00E36743" w:rsidRDefault="00E36743" w:rsidP="00E36743">
      <w:pPr>
        <w:spacing w:after="0" w:line="276" w:lineRule="auto"/>
        <w:jc w:val="both"/>
        <w:rPr>
          <w:rFonts w:ascii="Book Antiqua" w:eastAsia="Calibri" w:hAnsi="Book Antiqua" w:cs="Arial"/>
          <w:i/>
          <w:iCs/>
          <w:lang w:val="es-MX"/>
        </w:rPr>
      </w:pPr>
    </w:p>
    <w:p w14:paraId="05D4118A" w14:textId="3EBA858E" w:rsidR="00E36743" w:rsidRPr="00E36743" w:rsidRDefault="00E36743" w:rsidP="00E36743">
      <w:pPr>
        <w:spacing w:after="0" w:line="276" w:lineRule="auto"/>
        <w:jc w:val="both"/>
        <w:rPr>
          <w:rFonts w:ascii="Book Antiqua" w:eastAsia="Calibri" w:hAnsi="Book Antiqua" w:cs="Arial"/>
          <w:i/>
          <w:iCs/>
          <w:lang w:val="es-MX"/>
        </w:rPr>
      </w:pPr>
      <w:r>
        <w:rPr>
          <w:rFonts w:ascii="Book Antiqua" w:eastAsia="Calibri" w:hAnsi="Book Antiqua" w:cs="Arial"/>
          <w:i/>
          <w:iCs/>
          <w:lang w:val="es-MX"/>
        </w:rPr>
        <w:t>A</w:t>
      </w:r>
      <w:r w:rsidRPr="00E36743">
        <w:rPr>
          <w:rFonts w:ascii="Book Antiqua" w:eastAsia="Calibri" w:hAnsi="Book Antiqua" w:cs="Arial"/>
          <w:i/>
          <w:iCs/>
          <w:lang w:val="es-MX"/>
        </w:rPr>
        <w:t xml:space="preserve"> pesar de la emergencia COVID-19 y de la etapa en la que se encuentra esta jurisdicción de cara a la entrada en vigencia del nuevo Código Procesal de Familia, los despachos continúan con la programación y realización de sus funciones, además con el cumplimiento de lo establecido en los protocolos de actuación, dictando, en los meses de estudio, 28.488 sentencias, obteniendo un rendimiento general que supera el 100% en las 3 materias de esta jurisdicción, en el caso de los escritos </w:t>
      </w:r>
      <w:r w:rsidRPr="00E36743">
        <w:rPr>
          <w:rFonts w:ascii="Book Antiqua" w:eastAsia="Calibri" w:hAnsi="Book Antiqua" w:cs="Arial"/>
          <w:i/>
          <w:iCs/>
          <w:lang w:val="es-MX"/>
        </w:rPr>
        <w:lastRenderedPageBreak/>
        <w:t>se firmaron 660.480 y se realizaron 19.219 audiencias entre presenciales y virtuales. Respecto al circulante final de 247.248, representa una disminución del 1% referente al 2019 y de un 3% en relación con el 2020.</w:t>
      </w:r>
    </w:p>
    <w:p w14:paraId="3DFDC53E" w14:textId="4B849EBC" w:rsidR="00E36743" w:rsidRDefault="00E36743" w:rsidP="009E56C9">
      <w:pPr>
        <w:spacing w:after="0" w:line="276" w:lineRule="auto"/>
        <w:jc w:val="both"/>
        <w:rPr>
          <w:rFonts w:ascii="Book Antiqua" w:eastAsia="Calibri" w:hAnsi="Book Antiqua" w:cs="Arial"/>
          <w:i/>
          <w:iCs/>
          <w:lang w:val="es-MX"/>
        </w:rPr>
      </w:pPr>
    </w:p>
    <w:p w14:paraId="39CA6984" w14:textId="253EB0EA" w:rsidR="00E36743" w:rsidRDefault="00E36743" w:rsidP="009E56C9">
      <w:pPr>
        <w:spacing w:after="0" w:line="276" w:lineRule="auto"/>
        <w:jc w:val="both"/>
        <w:rPr>
          <w:rFonts w:ascii="Book Antiqua" w:eastAsia="Calibri" w:hAnsi="Book Antiqua" w:cs="Arial"/>
          <w:i/>
          <w:iCs/>
          <w:lang w:val="es-MX"/>
        </w:rPr>
      </w:pPr>
    </w:p>
    <w:p w14:paraId="7115D12E" w14:textId="0B3D1C9B" w:rsidR="00E36743" w:rsidRPr="00662E4D" w:rsidRDefault="00662E4D" w:rsidP="0090609F">
      <w:pPr>
        <w:pStyle w:val="Prrafodelista"/>
        <w:numPr>
          <w:ilvl w:val="0"/>
          <w:numId w:val="9"/>
        </w:numPr>
        <w:spacing w:after="0" w:line="276" w:lineRule="auto"/>
        <w:jc w:val="both"/>
        <w:rPr>
          <w:rFonts w:ascii="Book Antiqua" w:eastAsia="Calibri" w:hAnsi="Book Antiqua" w:cs="Arial"/>
          <w:i/>
          <w:iCs/>
          <w:lang w:val="es-MX"/>
        </w:rPr>
      </w:pPr>
      <w:r w:rsidRPr="00662E4D">
        <w:rPr>
          <w:rFonts w:ascii="Book Antiqua" w:eastAsia="Calibri" w:hAnsi="Book Antiqua" w:cs="Arial"/>
          <w:i/>
          <w:iCs/>
          <w:lang w:val="es-MX"/>
        </w:rPr>
        <w:t>Por otra parte, el CACMFJ continuó con la revisión de la cantidad de audiencias programadas de las jurisdicciones a cargo, así como las realizadas, no realizadas, suspendidas y dejadas sin efecto. Para estos efectos, y con el fin de que los despachos judiciales invirtieran menor tiempo en labores administrativas y en su lugar, lo realizaran en labores jurisdiccionales, el CACMFJ coordinó con el Subproceso de Estadística de la Dirección de Planificación la obtención de los datos de las audiencias mediante informes generados desde el Sistema SIGMA.</w:t>
      </w:r>
    </w:p>
    <w:p w14:paraId="35FB3A6F" w14:textId="01FD7FA2" w:rsidR="00E36743" w:rsidRDefault="00E36743" w:rsidP="009E56C9">
      <w:pPr>
        <w:spacing w:after="0" w:line="276" w:lineRule="auto"/>
        <w:jc w:val="both"/>
        <w:rPr>
          <w:rFonts w:ascii="Book Antiqua" w:eastAsia="Calibri" w:hAnsi="Book Antiqua" w:cs="Arial"/>
          <w:i/>
          <w:iCs/>
          <w:lang w:val="es-MX"/>
        </w:rPr>
      </w:pPr>
    </w:p>
    <w:p w14:paraId="0592E88E" w14:textId="77777777" w:rsidR="00662E4D" w:rsidRPr="00FD69D3" w:rsidRDefault="00662E4D" w:rsidP="00662E4D">
      <w:pPr>
        <w:tabs>
          <w:tab w:val="left" w:pos="426"/>
          <w:tab w:val="left" w:pos="993"/>
          <w:tab w:val="left" w:pos="1276"/>
          <w:tab w:val="left" w:pos="3130"/>
          <w:tab w:val="center" w:pos="4419"/>
        </w:tabs>
        <w:spacing w:after="0" w:line="240" w:lineRule="auto"/>
        <w:jc w:val="center"/>
        <w:rPr>
          <w:rFonts w:ascii="Book Antiqua" w:eastAsia="Times New Roman" w:hAnsi="Book Antiqua" w:cs="Tahoma"/>
          <w:b/>
          <w:bCs/>
          <w:i/>
          <w:iCs/>
          <w:sz w:val="24"/>
          <w:szCs w:val="24"/>
        </w:rPr>
      </w:pPr>
      <w:r w:rsidRPr="00FD69D3">
        <w:rPr>
          <w:rFonts w:ascii="Book Antiqua" w:eastAsia="Times New Roman" w:hAnsi="Book Antiqua" w:cs="Tahoma"/>
          <w:b/>
          <w:bCs/>
          <w:i/>
          <w:iCs/>
          <w:sz w:val="24"/>
          <w:szCs w:val="24"/>
        </w:rPr>
        <w:t>Figura N°26</w:t>
      </w:r>
    </w:p>
    <w:p w14:paraId="6FF05557" w14:textId="77777777" w:rsidR="00662E4D" w:rsidRPr="00FD69D3" w:rsidRDefault="00662E4D" w:rsidP="00662E4D">
      <w:pPr>
        <w:tabs>
          <w:tab w:val="left" w:pos="426"/>
          <w:tab w:val="left" w:pos="993"/>
          <w:tab w:val="left" w:pos="1276"/>
          <w:tab w:val="left" w:pos="3130"/>
          <w:tab w:val="center" w:pos="4419"/>
        </w:tabs>
        <w:spacing w:after="0" w:line="240" w:lineRule="auto"/>
        <w:jc w:val="center"/>
        <w:rPr>
          <w:rFonts w:ascii="Book Antiqua" w:eastAsia="Times New Roman" w:hAnsi="Book Antiqua" w:cs="Tahoma"/>
          <w:b/>
          <w:bCs/>
          <w:i/>
          <w:iCs/>
          <w:sz w:val="24"/>
          <w:szCs w:val="24"/>
        </w:rPr>
      </w:pPr>
      <w:r w:rsidRPr="00FD69D3">
        <w:rPr>
          <w:rFonts w:ascii="Book Antiqua" w:eastAsia="Times New Roman" w:hAnsi="Book Antiqua" w:cs="Tahoma"/>
          <w:b/>
          <w:bCs/>
          <w:i/>
          <w:iCs/>
          <w:sz w:val="24"/>
          <w:szCs w:val="24"/>
        </w:rPr>
        <w:t>Resultado de audiencias-familia</w:t>
      </w:r>
    </w:p>
    <w:p w14:paraId="7206EEED" w14:textId="77777777" w:rsidR="00662E4D" w:rsidRPr="00FD69D3" w:rsidRDefault="00662E4D" w:rsidP="00662E4D">
      <w:pPr>
        <w:tabs>
          <w:tab w:val="left" w:pos="426"/>
          <w:tab w:val="left" w:pos="993"/>
          <w:tab w:val="left" w:pos="1276"/>
          <w:tab w:val="left" w:pos="3130"/>
          <w:tab w:val="center" w:pos="4419"/>
        </w:tabs>
        <w:spacing w:after="0" w:line="240" w:lineRule="auto"/>
        <w:jc w:val="center"/>
        <w:rPr>
          <w:rFonts w:ascii="Book Antiqua" w:eastAsia="Times New Roman" w:hAnsi="Book Antiqua" w:cs="Tahoma"/>
          <w:b/>
          <w:bCs/>
          <w:i/>
          <w:iCs/>
          <w:sz w:val="24"/>
          <w:szCs w:val="24"/>
        </w:rPr>
      </w:pPr>
      <w:r w:rsidRPr="00FD69D3">
        <w:rPr>
          <w:rFonts w:ascii="Book Antiqua" w:eastAsia="Times New Roman" w:hAnsi="Book Antiqua" w:cs="Tahoma"/>
          <w:b/>
          <w:bCs/>
          <w:i/>
          <w:iCs/>
          <w:sz w:val="24"/>
          <w:szCs w:val="24"/>
        </w:rPr>
        <w:t>mayo a setiembre 2021</w:t>
      </w:r>
    </w:p>
    <w:p w14:paraId="1BFB2217" w14:textId="5FEB8CB3" w:rsidR="00E36743" w:rsidRDefault="00E36743" w:rsidP="009E56C9">
      <w:pPr>
        <w:spacing w:after="0" w:line="276" w:lineRule="auto"/>
        <w:jc w:val="both"/>
        <w:rPr>
          <w:rFonts w:ascii="Book Antiqua" w:eastAsia="Calibri" w:hAnsi="Book Antiqua" w:cs="Arial"/>
          <w:i/>
          <w:iCs/>
          <w:lang w:val="es-MX"/>
        </w:rPr>
      </w:pPr>
    </w:p>
    <w:p w14:paraId="6A819AFF" w14:textId="44653B5F" w:rsidR="00662E4D" w:rsidRDefault="00662E4D" w:rsidP="00662E4D">
      <w:pPr>
        <w:spacing w:after="0" w:line="276" w:lineRule="auto"/>
        <w:jc w:val="center"/>
        <w:rPr>
          <w:rFonts w:ascii="Book Antiqua" w:eastAsia="Calibri" w:hAnsi="Book Antiqua" w:cs="Arial"/>
          <w:i/>
          <w:iCs/>
          <w:lang w:val="es-MX"/>
        </w:rPr>
      </w:pPr>
      <w:r w:rsidRPr="00FD69D3">
        <w:rPr>
          <w:rFonts w:ascii="Book Antiqua" w:eastAsia="Calibri" w:hAnsi="Book Antiqua" w:cs="Times New Roman"/>
          <w:noProof/>
        </w:rPr>
        <w:drawing>
          <wp:inline distT="0" distB="0" distL="0" distR="0" wp14:anchorId="7AA3917C" wp14:editId="1440A2A8">
            <wp:extent cx="4775200" cy="2685307"/>
            <wp:effectExtent l="0" t="0" r="6350" b="1270"/>
            <wp:docPr id="133" name="Imagen 13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60"/>
                    <a:stretch>
                      <a:fillRect/>
                    </a:stretch>
                  </pic:blipFill>
                  <pic:spPr>
                    <a:xfrm>
                      <a:off x="0" y="0"/>
                      <a:ext cx="4784945" cy="2690787"/>
                    </a:xfrm>
                    <a:prstGeom prst="rect">
                      <a:avLst/>
                    </a:prstGeom>
                  </pic:spPr>
                </pic:pic>
              </a:graphicData>
            </a:graphic>
          </wp:inline>
        </w:drawing>
      </w:r>
    </w:p>
    <w:p w14:paraId="49C702B8" w14:textId="72C02901" w:rsidR="00662E4D" w:rsidRDefault="00662E4D" w:rsidP="009E56C9">
      <w:pPr>
        <w:spacing w:after="0" w:line="276" w:lineRule="auto"/>
        <w:jc w:val="both"/>
        <w:rPr>
          <w:rFonts w:ascii="Book Antiqua" w:eastAsia="Calibri" w:hAnsi="Book Antiqua" w:cs="Arial"/>
          <w:i/>
          <w:iCs/>
          <w:lang w:val="es-MX"/>
        </w:rPr>
      </w:pPr>
    </w:p>
    <w:p w14:paraId="50F1F53C" w14:textId="1D12E030" w:rsidR="00662E4D" w:rsidRDefault="00662E4D" w:rsidP="009E56C9">
      <w:pPr>
        <w:spacing w:after="0" w:line="276" w:lineRule="auto"/>
        <w:jc w:val="both"/>
        <w:rPr>
          <w:rFonts w:ascii="Book Antiqua" w:eastAsia="Calibri" w:hAnsi="Book Antiqua" w:cs="Arial"/>
          <w:i/>
          <w:iCs/>
          <w:lang w:val="es-MX"/>
        </w:rPr>
      </w:pPr>
    </w:p>
    <w:p w14:paraId="782F5C10" w14:textId="4BEBCEB8" w:rsidR="00662E4D" w:rsidRDefault="00662E4D" w:rsidP="009E56C9">
      <w:pPr>
        <w:spacing w:after="0" w:line="276" w:lineRule="auto"/>
        <w:jc w:val="both"/>
        <w:rPr>
          <w:rFonts w:ascii="Book Antiqua" w:eastAsia="Calibri" w:hAnsi="Book Antiqua" w:cs="Arial"/>
          <w:i/>
          <w:iCs/>
          <w:lang w:val="es-MX"/>
        </w:rPr>
      </w:pPr>
    </w:p>
    <w:p w14:paraId="55684A9F" w14:textId="77777777" w:rsidR="00662E4D" w:rsidRPr="00662E4D" w:rsidRDefault="00662E4D" w:rsidP="00662E4D">
      <w:pPr>
        <w:spacing w:after="0" w:line="276" w:lineRule="auto"/>
        <w:jc w:val="both"/>
        <w:rPr>
          <w:rFonts w:ascii="Book Antiqua" w:eastAsia="Calibri" w:hAnsi="Book Antiqua" w:cs="Arial"/>
          <w:i/>
          <w:iCs/>
          <w:lang w:val="es-MX"/>
        </w:rPr>
      </w:pPr>
      <w:r w:rsidRPr="00662E4D">
        <w:rPr>
          <w:rFonts w:ascii="Book Antiqua" w:eastAsia="Calibri" w:hAnsi="Book Antiqua" w:cs="Arial"/>
          <w:i/>
          <w:iCs/>
          <w:lang w:val="es-MX"/>
        </w:rPr>
        <w:t>De las 1625 audiencias no realizadas en materia de familia, el 52% corresponde a inasistencia de las partes, el 24% a cambios en las fechas de señalamiento y un 24% a otros motivos tales como:</w:t>
      </w:r>
    </w:p>
    <w:p w14:paraId="1DCDE82E" w14:textId="593B2FF5" w:rsidR="00662E4D" w:rsidRDefault="00662E4D" w:rsidP="00550598">
      <w:pPr>
        <w:spacing w:after="0" w:line="276" w:lineRule="auto"/>
        <w:jc w:val="both"/>
        <w:rPr>
          <w:rFonts w:ascii="Book Antiqua" w:eastAsia="Calibri" w:hAnsi="Book Antiqua" w:cs="Arial"/>
          <w:i/>
          <w:iCs/>
          <w:lang w:val="es-MX"/>
        </w:rPr>
      </w:pPr>
      <w:r w:rsidRPr="00662E4D">
        <w:rPr>
          <w:rFonts w:ascii="Book Antiqua" w:eastAsia="Calibri" w:hAnsi="Book Antiqua" w:cs="Arial"/>
          <w:i/>
          <w:iCs/>
          <w:lang w:val="es-MX"/>
        </w:rPr>
        <w:tab/>
      </w:r>
    </w:p>
    <w:tbl>
      <w:tblPr>
        <w:tblW w:w="912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600" w:firstRow="0" w:lastRow="0" w:firstColumn="0" w:lastColumn="0" w:noHBand="1" w:noVBand="1"/>
      </w:tblPr>
      <w:tblGrid>
        <w:gridCol w:w="9120"/>
      </w:tblGrid>
      <w:tr w:rsidR="00550598" w:rsidRPr="00550598" w14:paraId="21490024" w14:textId="77777777" w:rsidTr="00550598">
        <w:trPr>
          <w:trHeight w:val="380"/>
        </w:trPr>
        <w:tc>
          <w:tcPr>
            <w:tcW w:w="9120" w:type="dxa"/>
            <w:shd w:val="clear" w:color="auto" w:fill="FFFFFF"/>
            <w:tcMar>
              <w:top w:w="12" w:type="dxa"/>
              <w:left w:w="12" w:type="dxa"/>
              <w:bottom w:w="0" w:type="dxa"/>
              <w:right w:w="12" w:type="dxa"/>
            </w:tcMar>
            <w:vAlign w:val="center"/>
            <w:hideMark/>
          </w:tcPr>
          <w:p w14:paraId="5734D7D6"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Actividad Procesal Defectuosa</w:t>
            </w:r>
          </w:p>
        </w:tc>
      </w:tr>
      <w:tr w:rsidR="00550598" w:rsidRPr="00550598" w14:paraId="288A2644" w14:textId="77777777" w:rsidTr="00550598">
        <w:trPr>
          <w:trHeight w:val="380"/>
        </w:trPr>
        <w:tc>
          <w:tcPr>
            <w:tcW w:w="9120" w:type="dxa"/>
            <w:shd w:val="clear" w:color="auto" w:fill="FFFFFF"/>
            <w:tcMar>
              <w:top w:w="12" w:type="dxa"/>
              <w:left w:w="12" w:type="dxa"/>
              <w:bottom w:w="0" w:type="dxa"/>
              <w:right w:w="12" w:type="dxa"/>
            </w:tcMar>
            <w:vAlign w:val="center"/>
            <w:hideMark/>
          </w:tcPr>
          <w:p w14:paraId="08971EED"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Archivo del Expediente</w:t>
            </w:r>
          </w:p>
        </w:tc>
      </w:tr>
      <w:tr w:rsidR="00550598" w:rsidRPr="00550598" w14:paraId="09B0479D" w14:textId="77777777" w:rsidTr="00550598">
        <w:trPr>
          <w:trHeight w:val="380"/>
        </w:trPr>
        <w:tc>
          <w:tcPr>
            <w:tcW w:w="9120" w:type="dxa"/>
            <w:shd w:val="clear" w:color="auto" w:fill="FFFFFF"/>
            <w:tcMar>
              <w:top w:w="12" w:type="dxa"/>
              <w:left w:w="12" w:type="dxa"/>
              <w:bottom w:w="0" w:type="dxa"/>
              <w:right w:w="12" w:type="dxa"/>
            </w:tcMar>
            <w:vAlign w:val="center"/>
            <w:hideMark/>
          </w:tcPr>
          <w:p w14:paraId="56EAD312"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lang w:val="es-ES"/>
              </w:rPr>
              <w:lastRenderedPageBreak/>
              <w:t>No se citó o notificó a las partes</w:t>
            </w:r>
          </w:p>
        </w:tc>
      </w:tr>
      <w:tr w:rsidR="00550598" w:rsidRPr="00550598" w14:paraId="0FBE2F84" w14:textId="77777777" w:rsidTr="00550598">
        <w:trPr>
          <w:trHeight w:val="380"/>
        </w:trPr>
        <w:tc>
          <w:tcPr>
            <w:tcW w:w="9120" w:type="dxa"/>
            <w:shd w:val="clear" w:color="auto" w:fill="FFFFFF"/>
            <w:tcMar>
              <w:top w:w="12" w:type="dxa"/>
              <w:left w:w="12" w:type="dxa"/>
              <w:bottom w:w="0" w:type="dxa"/>
              <w:right w:w="12" w:type="dxa"/>
            </w:tcMar>
            <w:vAlign w:val="center"/>
          </w:tcPr>
          <w:p w14:paraId="4AB7FEFE"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Enfermedad de la parte o abogado/a</w:t>
            </w:r>
          </w:p>
        </w:tc>
      </w:tr>
      <w:tr w:rsidR="00550598" w:rsidRPr="00550598" w14:paraId="201D6D85" w14:textId="77777777" w:rsidTr="00550598">
        <w:trPr>
          <w:trHeight w:val="380"/>
        </w:trPr>
        <w:tc>
          <w:tcPr>
            <w:tcW w:w="9120" w:type="dxa"/>
            <w:shd w:val="clear" w:color="auto" w:fill="FFFFFF"/>
            <w:tcMar>
              <w:top w:w="12" w:type="dxa"/>
              <w:left w:w="12" w:type="dxa"/>
              <w:bottom w:w="0" w:type="dxa"/>
              <w:right w:w="12" w:type="dxa"/>
            </w:tcMar>
            <w:vAlign w:val="center"/>
          </w:tcPr>
          <w:p w14:paraId="0E319B3F"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Motivo o fuerza mayor</w:t>
            </w:r>
          </w:p>
        </w:tc>
      </w:tr>
      <w:tr w:rsidR="00550598" w:rsidRPr="00550598" w14:paraId="150E866D" w14:textId="77777777" w:rsidTr="00550598">
        <w:trPr>
          <w:trHeight w:val="380"/>
        </w:trPr>
        <w:tc>
          <w:tcPr>
            <w:tcW w:w="9120" w:type="dxa"/>
            <w:shd w:val="clear" w:color="auto" w:fill="FFFFFF"/>
            <w:tcMar>
              <w:top w:w="12" w:type="dxa"/>
              <w:left w:w="12" w:type="dxa"/>
              <w:bottom w:w="0" w:type="dxa"/>
              <w:right w:w="12" w:type="dxa"/>
            </w:tcMar>
            <w:vAlign w:val="center"/>
          </w:tcPr>
          <w:p w14:paraId="23FF528C"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Circular 47-2020</w:t>
            </w:r>
          </w:p>
        </w:tc>
      </w:tr>
      <w:tr w:rsidR="00550598" w:rsidRPr="00550598" w14:paraId="7EE849D7" w14:textId="77777777" w:rsidTr="00550598">
        <w:trPr>
          <w:trHeight w:val="380"/>
        </w:trPr>
        <w:tc>
          <w:tcPr>
            <w:tcW w:w="9120" w:type="dxa"/>
            <w:shd w:val="clear" w:color="auto" w:fill="FFFFFF"/>
            <w:tcMar>
              <w:top w:w="12" w:type="dxa"/>
              <w:left w:w="12" w:type="dxa"/>
              <w:bottom w:w="0" w:type="dxa"/>
              <w:right w:w="12" w:type="dxa"/>
            </w:tcMar>
            <w:vAlign w:val="center"/>
          </w:tcPr>
          <w:p w14:paraId="6947B499"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Desistimiento del proceso</w:t>
            </w:r>
          </w:p>
        </w:tc>
      </w:tr>
      <w:tr w:rsidR="00550598" w:rsidRPr="00550598" w14:paraId="476D5048" w14:textId="77777777" w:rsidTr="00550598">
        <w:trPr>
          <w:trHeight w:val="380"/>
        </w:trPr>
        <w:tc>
          <w:tcPr>
            <w:tcW w:w="9120" w:type="dxa"/>
            <w:shd w:val="clear" w:color="auto" w:fill="FFFFFF"/>
            <w:tcMar>
              <w:top w:w="12" w:type="dxa"/>
              <w:left w:w="12" w:type="dxa"/>
              <w:bottom w:w="0" w:type="dxa"/>
              <w:right w:w="12" w:type="dxa"/>
            </w:tcMar>
            <w:vAlign w:val="center"/>
          </w:tcPr>
          <w:p w14:paraId="3065AB67"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Incapacidad médica persona juzgadora</w:t>
            </w:r>
          </w:p>
        </w:tc>
      </w:tr>
      <w:tr w:rsidR="00550598" w:rsidRPr="00550598" w14:paraId="6BEDC5AE" w14:textId="77777777" w:rsidTr="00550598">
        <w:trPr>
          <w:trHeight w:val="380"/>
        </w:trPr>
        <w:tc>
          <w:tcPr>
            <w:tcW w:w="9120" w:type="dxa"/>
            <w:shd w:val="clear" w:color="auto" w:fill="FFFFFF"/>
            <w:tcMar>
              <w:top w:w="12" w:type="dxa"/>
              <w:left w:w="12" w:type="dxa"/>
              <w:bottom w:w="0" w:type="dxa"/>
              <w:right w:w="12" w:type="dxa"/>
            </w:tcMar>
            <w:vAlign w:val="center"/>
          </w:tcPr>
          <w:p w14:paraId="47ADA708"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Muerte de una de las partes</w:t>
            </w:r>
          </w:p>
        </w:tc>
      </w:tr>
      <w:tr w:rsidR="00550598" w:rsidRPr="00550598" w14:paraId="05CBC482" w14:textId="77777777" w:rsidTr="00550598">
        <w:trPr>
          <w:trHeight w:val="380"/>
        </w:trPr>
        <w:tc>
          <w:tcPr>
            <w:tcW w:w="9120" w:type="dxa"/>
            <w:shd w:val="clear" w:color="auto" w:fill="FFFFFF"/>
            <w:tcMar>
              <w:top w:w="12" w:type="dxa"/>
              <w:left w:w="12" w:type="dxa"/>
              <w:bottom w:w="0" w:type="dxa"/>
              <w:right w:w="12" w:type="dxa"/>
            </w:tcMar>
            <w:vAlign w:val="center"/>
          </w:tcPr>
          <w:p w14:paraId="1BC59402" w14:textId="77777777" w:rsidR="00550598" w:rsidRPr="00550598" w:rsidRDefault="00550598" w:rsidP="0090609F">
            <w:pPr>
              <w:numPr>
                <w:ilvl w:val="0"/>
                <w:numId w:val="25"/>
              </w:numPr>
              <w:tabs>
                <w:tab w:val="left" w:pos="426"/>
                <w:tab w:val="left" w:pos="993"/>
                <w:tab w:val="left" w:pos="1276"/>
                <w:tab w:val="left" w:pos="3130"/>
                <w:tab w:val="center" w:pos="4419"/>
              </w:tabs>
              <w:spacing w:after="0" w:line="240" w:lineRule="auto"/>
              <w:jc w:val="both"/>
              <w:rPr>
                <w:rFonts w:ascii="Book Antiqua" w:eastAsia="Times New Roman" w:hAnsi="Book Antiqua" w:cs="Tahoma"/>
                <w:i/>
                <w:iCs/>
              </w:rPr>
            </w:pPr>
            <w:r w:rsidRPr="00550598">
              <w:rPr>
                <w:rFonts w:ascii="Book Antiqua" w:eastAsia="Times New Roman" w:hAnsi="Book Antiqua" w:cs="Tahoma"/>
                <w:i/>
                <w:iCs/>
              </w:rPr>
              <w:t>Cortes del fluido eléctrico</w:t>
            </w:r>
          </w:p>
        </w:tc>
      </w:tr>
      <w:tr w:rsidR="00550598" w:rsidRPr="00550598" w14:paraId="7291A543" w14:textId="77777777" w:rsidTr="00550598">
        <w:trPr>
          <w:trHeight w:val="380"/>
        </w:trPr>
        <w:tc>
          <w:tcPr>
            <w:tcW w:w="9120" w:type="dxa"/>
            <w:shd w:val="clear" w:color="auto" w:fill="FFFFFF"/>
            <w:tcMar>
              <w:top w:w="12" w:type="dxa"/>
              <w:left w:w="12" w:type="dxa"/>
              <w:bottom w:w="0" w:type="dxa"/>
              <w:right w:w="12" w:type="dxa"/>
            </w:tcMar>
            <w:vAlign w:val="center"/>
          </w:tcPr>
          <w:p w14:paraId="753E500B" w14:textId="77777777" w:rsidR="00550598" w:rsidRPr="00550598" w:rsidRDefault="00550598" w:rsidP="0090609F">
            <w:pPr>
              <w:numPr>
                <w:ilvl w:val="0"/>
                <w:numId w:val="24"/>
              </w:numPr>
              <w:tabs>
                <w:tab w:val="left" w:pos="426"/>
                <w:tab w:val="num" w:pos="720"/>
                <w:tab w:val="left" w:pos="993"/>
                <w:tab w:val="left" w:pos="1276"/>
                <w:tab w:val="left" w:pos="3130"/>
                <w:tab w:val="center" w:pos="4419"/>
              </w:tabs>
              <w:spacing w:after="0" w:line="240" w:lineRule="auto"/>
              <w:contextualSpacing/>
              <w:jc w:val="both"/>
              <w:rPr>
                <w:rFonts w:ascii="Book Antiqua" w:eastAsia="Times New Roman" w:hAnsi="Book Antiqua" w:cs="Tahoma"/>
                <w:i/>
                <w:iCs/>
              </w:rPr>
            </w:pPr>
            <w:r w:rsidRPr="00550598">
              <w:rPr>
                <w:rFonts w:ascii="Book Antiqua" w:eastAsia="Times New Roman" w:hAnsi="Book Antiqua" w:cs="Tahoma"/>
                <w:i/>
                <w:iCs/>
              </w:rPr>
              <w:t>Superposición de audiencias</w:t>
            </w:r>
          </w:p>
        </w:tc>
      </w:tr>
    </w:tbl>
    <w:p w14:paraId="7F50E5A7" w14:textId="77777777" w:rsidR="00662E4D" w:rsidRPr="00662E4D" w:rsidRDefault="00662E4D" w:rsidP="00662E4D">
      <w:pPr>
        <w:spacing w:after="0" w:line="276" w:lineRule="auto"/>
        <w:jc w:val="both"/>
        <w:rPr>
          <w:rFonts w:ascii="Book Antiqua" w:eastAsia="Calibri" w:hAnsi="Book Antiqua" w:cs="Arial"/>
          <w:i/>
          <w:iCs/>
          <w:lang w:val="es-MX"/>
        </w:rPr>
      </w:pPr>
    </w:p>
    <w:p w14:paraId="30663AE4" w14:textId="5D8739AB" w:rsidR="00662E4D" w:rsidRDefault="00662E4D" w:rsidP="00662E4D">
      <w:pPr>
        <w:spacing w:after="0" w:line="276" w:lineRule="auto"/>
        <w:jc w:val="both"/>
        <w:rPr>
          <w:rFonts w:ascii="Book Antiqua" w:eastAsia="Calibri" w:hAnsi="Book Antiqua" w:cs="Arial"/>
          <w:i/>
          <w:iCs/>
          <w:lang w:val="es-MX"/>
        </w:rPr>
      </w:pPr>
      <w:r w:rsidRPr="00662E4D">
        <w:rPr>
          <w:rFonts w:ascii="Book Antiqua" w:eastAsia="Calibri" w:hAnsi="Book Antiqua" w:cs="Arial"/>
          <w:i/>
          <w:iCs/>
          <w:lang w:val="es-MX"/>
        </w:rPr>
        <w:t>En el caso de las audiencias suspendidas o dejadas sin efecto, los principales motivos son cambio en la fecha del señalamiento e inasistencia de las partes.</w:t>
      </w:r>
    </w:p>
    <w:p w14:paraId="345016A6" w14:textId="7F81ABED" w:rsidR="00662E4D" w:rsidRDefault="00662E4D" w:rsidP="009E56C9">
      <w:pPr>
        <w:spacing w:after="0" w:line="276" w:lineRule="auto"/>
        <w:jc w:val="both"/>
        <w:rPr>
          <w:rFonts w:ascii="Book Antiqua" w:eastAsia="Calibri" w:hAnsi="Book Antiqua" w:cs="Arial"/>
          <w:i/>
          <w:iCs/>
          <w:lang w:val="es-MX"/>
        </w:rPr>
      </w:pPr>
    </w:p>
    <w:p w14:paraId="3BB0C7CE" w14:textId="18505D16" w:rsidR="00F930FD" w:rsidRPr="00F930FD" w:rsidRDefault="00F930FD" w:rsidP="00F930FD">
      <w:pPr>
        <w:spacing w:after="0" w:line="276" w:lineRule="auto"/>
        <w:ind w:right="566"/>
        <w:jc w:val="both"/>
        <w:rPr>
          <w:rFonts w:ascii="Book Antiqua" w:eastAsia="Calibri" w:hAnsi="Book Antiqua" w:cs="Arial"/>
          <w:i/>
          <w:iCs/>
          <w:sz w:val="24"/>
          <w:szCs w:val="24"/>
        </w:rPr>
      </w:pPr>
      <w:r w:rsidRPr="00F930FD">
        <w:rPr>
          <w:rFonts w:ascii="Book Antiqua" w:eastAsia="Calibri" w:hAnsi="Book Antiqua" w:cs="Arial"/>
          <w:i/>
          <w:iCs/>
          <w:sz w:val="24"/>
          <w:szCs w:val="24"/>
        </w:rPr>
        <w:t xml:space="preserve">También se destaca que de </w:t>
      </w:r>
      <w:r w:rsidR="00FD69D3">
        <w:rPr>
          <w:rFonts w:ascii="Book Antiqua" w:eastAsia="Calibri" w:hAnsi="Book Antiqua" w:cs="Arial"/>
          <w:i/>
          <w:iCs/>
          <w:sz w:val="24"/>
          <w:szCs w:val="24"/>
        </w:rPr>
        <w:t>mayo</w:t>
      </w:r>
      <w:r w:rsidRPr="00F930FD">
        <w:rPr>
          <w:rFonts w:ascii="Book Antiqua" w:eastAsia="Calibri" w:hAnsi="Book Antiqua" w:cs="Arial"/>
          <w:i/>
          <w:iCs/>
          <w:sz w:val="24"/>
          <w:szCs w:val="24"/>
        </w:rPr>
        <w:t xml:space="preserve"> a septiembre los juzgados de Pensiones Alimentarias ocuparon el segundo lugar en efectividad de audiencia a nivel de todas las materias y el sexto lugar lo tuvo la jurisdicción de Familia.</w:t>
      </w:r>
    </w:p>
    <w:p w14:paraId="7D60E805" w14:textId="77777777" w:rsidR="00FF44FC" w:rsidRPr="00FF44FC" w:rsidRDefault="00FF44FC" w:rsidP="00FF44FC">
      <w:pPr>
        <w:spacing w:after="0" w:line="276" w:lineRule="auto"/>
        <w:jc w:val="both"/>
        <w:rPr>
          <w:rFonts w:ascii="Book Antiqua" w:eastAsia="Calibri" w:hAnsi="Book Antiqua" w:cs="Arial"/>
          <w:i/>
          <w:iCs/>
          <w:sz w:val="24"/>
          <w:szCs w:val="24"/>
        </w:rPr>
      </w:pPr>
    </w:p>
    <w:p w14:paraId="5677EAD9" w14:textId="21DB99E3" w:rsidR="00FF44FC" w:rsidRPr="00FF44FC" w:rsidRDefault="00FF44FC" w:rsidP="00FF44FC">
      <w:pPr>
        <w:spacing w:after="0" w:line="276" w:lineRule="auto"/>
        <w:jc w:val="both"/>
        <w:rPr>
          <w:rFonts w:ascii="Book Antiqua" w:eastAsia="Calibri" w:hAnsi="Book Antiqua" w:cs="Arial"/>
          <w:sz w:val="24"/>
          <w:szCs w:val="24"/>
        </w:rPr>
      </w:pPr>
      <w:r w:rsidRPr="00FF44FC">
        <w:rPr>
          <w:rFonts w:ascii="Book Antiqua" w:eastAsia="Calibri" w:hAnsi="Book Antiqua" w:cs="Arial"/>
          <w:sz w:val="24"/>
          <w:szCs w:val="24"/>
        </w:rPr>
        <w:t>De manera complementaria puede indicarse que</w:t>
      </w:r>
      <w:r w:rsidR="004B2A45">
        <w:rPr>
          <w:rFonts w:ascii="Book Antiqua" w:eastAsia="Calibri" w:hAnsi="Book Antiqua" w:cs="Arial"/>
          <w:sz w:val="24"/>
          <w:szCs w:val="24"/>
        </w:rPr>
        <w:t xml:space="preserve"> </w:t>
      </w:r>
      <w:r w:rsidRPr="00FF44FC">
        <w:rPr>
          <w:rFonts w:ascii="Book Antiqua" w:eastAsia="Calibri" w:hAnsi="Book Antiqua" w:cs="Arial"/>
          <w:sz w:val="24"/>
          <w:szCs w:val="24"/>
        </w:rPr>
        <w:t xml:space="preserve">según </w:t>
      </w:r>
      <w:r w:rsidR="004B2A45">
        <w:rPr>
          <w:rFonts w:ascii="Book Antiqua" w:eastAsia="Calibri" w:hAnsi="Book Antiqua" w:cs="Arial"/>
          <w:sz w:val="24"/>
          <w:szCs w:val="24"/>
        </w:rPr>
        <w:t xml:space="preserve">el </w:t>
      </w:r>
      <w:r w:rsidRPr="008451F8">
        <w:rPr>
          <w:rFonts w:ascii="Book Antiqua" w:eastAsia="Calibri" w:hAnsi="Book Antiqua" w:cs="Arial"/>
          <w:sz w:val="24"/>
          <w:szCs w:val="24"/>
        </w:rPr>
        <w:t xml:space="preserve">informe </w:t>
      </w:r>
      <w:r w:rsidR="004B2A45" w:rsidRPr="008451F8">
        <w:rPr>
          <w:rFonts w:ascii="Book Antiqua" w:eastAsia="Calibri" w:hAnsi="Book Antiqua" w:cs="Arial"/>
          <w:sz w:val="24"/>
          <w:szCs w:val="24"/>
        </w:rPr>
        <w:t>1</w:t>
      </w:r>
      <w:r w:rsidRPr="008451F8">
        <w:rPr>
          <w:rFonts w:ascii="Book Antiqua" w:eastAsia="Calibri" w:hAnsi="Book Antiqua" w:cs="Arial"/>
          <w:sz w:val="24"/>
          <w:szCs w:val="24"/>
        </w:rPr>
        <w:t>3</w:t>
      </w:r>
      <w:r w:rsidR="004B2A45" w:rsidRPr="008451F8">
        <w:rPr>
          <w:rFonts w:ascii="Book Antiqua" w:eastAsia="Calibri" w:hAnsi="Book Antiqua" w:cs="Arial"/>
          <w:sz w:val="24"/>
          <w:szCs w:val="24"/>
        </w:rPr>
        <w:t>6</w:t>
      </w:r>
      <w:r w:rsidRPr="008451F8">
        <w:rPr>
          <w:rFonts w:ascii="Book Antiqua" w:eastAsia="Calibri" w:hAnsi="Book Antiqua" w:cs="Arial"/>
          <w:sz w:val="24"/>
          <w:szCs w:val="24"/>
        </w:rPr>
        <w:t xml:space="preserve">0-PLA-MI-2021, los Juzgados </w:t>
      </w:r>
      <w:r w:rsidR="008451F8" w:rsidRPr="008451F8">
        <w:rPr>
          <w:rFonts w:ascii="Book Antiqua" w:eastAsia="Calibri" w:hAnsi="Book Antiqua" w:cs="Arial"/>
          <w:sz w:val="24"/>
          <w:szCs w:val="24"/>
        </w:rPr>
        <w:t>Familia</w:t>
      </w:r>
      <w:r w:rsidR="00CB3BAB">
        <w:rPr>
          <w:rFonts w:ascii="Book Antiqua" w:eastAsia="Calibri" w:hAnsi="Book Antiqua" w:cs="Arial"/>
          <w:sz w:val="24"/>
          <w:szCs w:val="24"/>
        </w:rPr>
        <w:t xml:space="preserve"> a nivel de audiencias</w:t>
      </w:r>
      <w:r w:rsidRPr="008451F8">
        <w:rPr>
          <w:rFonts w:ascii="Book Antiqua" w:eastAsia="Calibri" w:hAnsi="Book Antiqua" w:cs="Arial"/>
          <w:sz w:val="24"/>
          <w:szCs w:val="24"/>
        </w:rPr>
        <w:t xml:space="preserve"> ocupan el </w:t>
      </w:r>
      <w:r w:rsidR="008451F8" w:rsidRPr="008451F8">
        <w:rPr>
          <w:rFonts w:ascii="Book Antiqua" w:eastAsia="Calibri" w:hAnsi="Book Antiqua" w:cs="Arial"/>
          <w:sz w:val="24"/>
          <w:szCs w:val="24"/>
        </w:rPr>
        <w:t>cuarto</w:t>
      </w:r>
      <w:r w:rsidRPr="008451F8">
        <w:rPr>
          <w:rFonts w:ascii="Book Antiqua" w:eastAsia="Calibri" w:hAnsi="Book Antiqua" w:cs="Arial"/>
          <w:sz w:val="24"/>
          <w:szCs w:val="24"/>
        </w:rPr>
        <w:t xml:space="preserve"> lugar más alto en efectividad y los</w:t>
      </w:r>
      <w:r w:rsidRPr="00FF44FC">
        <w:rPr>
          <w:rFonts w:ascii="Book Antiqua" w:eastAsia="Calibri" w:hAnsi="Book Antiqua" w:cs="Arial"/>
          <w:sz w:val="24"/>
          <w:szCs w:val="24"/>
        </w:rPr>
        <w:t xml:space="preserve"> de </w:t>
      </w:r>
      <w:r w:rsidR="008451F8">
        <w:rPr>
          <w:rFonts w:ascii="Book Antiqua" w:eastAsia="Calibri" w:hAnsi="Book Antiqua" w:cs="Arial"/>
          <w:sz w:val="24"/>
          <w:szCs w:val="24"/>
        </w:rPr>
        <w:t>Pensiones Alimentarias</w:t>
      </w:r>
      <w:r w:rsidRPr="00FF44FC">
        <w:rPr>
          <w:rFonts w:ascii="Book Antiqua" w:eastAsia="Calibri" w:hAnsi="Book Antiqua" w:cs="Arial"/>
          <w:sz w:val="24"/>
          <w:szCs w:val="24"/>
        </w:rPr>
        <w:t xml:space="preserve"> el </w:t>
      </w:r>
      <w:r w:rsidR="008451F8">
        <w:rPr>
          <w:rFonts w:ascii="Book Antiqua" w:eastAsia="Calibri" w:hAnsi="Book Antiqua" w:cs="Arial"/>
          <w:sz w:val="24"/>
          <w:szCs w:val="24"/>
        </w:rPr>
        <w:t>sétimo</w:t>
      </w:r>
      <w:r w:rsidRPr="00FF44FC">
        <w:rPr>
          <w:rFonts w:ascii="Book Antiqua" w:eastAsia="Calibri" w:hAnsi="Book Antiqua" w:cs="Arial"/>
          <w:sz w:val="24"/>
          <w:szCs w:val="24"/>
        </w:rPr>
        <w:t xml:space="preserve"> a nivel nacional</w:t>
      </w:r>
      <w:r w:rsidR="0060576A">
        <w:rPr>
          <w:rFonts w:ascii="Book Antiqua" w:eastAsia="Calibri" w:hAnsi="Book Antiqua" w:cs="Arial"/>
          <w:sz w:val="24"/>
          <w:szCs w:val="24"/>
        </w:rPr>
        <w:t xml:space="preserve"> en el periodo de mayo a setiembre 2021</w:t>
      </w:r>
      <w:r w:rsidRPr="00FF44FC">
        <w:rPr>
          <w:rFonts w:ascii="Book Antiqua" w:eastAsia="Calibri" w:hAnsi="Book Antiqua" w:cs="Arial"/>
          <w:sz w:val="24"/>
          <w:szCs w:val="24"/>
        </w:rPr>
        <w:t xml:space="preserve">, tal como se detalla en </w:t>
      </w:r>
      <w:r w:rsidR="0060576A">
        <w:rPr>
          <w:rFonts w:ascii="Book Antiqua" w:eastAsia="Calibri" w:hAnsi="Book Antiqua" w:cs="Arial"/>
          <w:sz w:val="24"/>
          <w:szCs w:val="24"/>
        </w:rPr>
        <w:t>la siguiente imagen</w:t>
      </w:r>
      <w:r w:rsidRPr="00FF44FC">
        <w:rPr>
          <w:rFonts w:ascii="Book Antiqua" w:eastAsia="Calibri" w:hAnsi="Book Antiqua" w:cs="Arial"/>
          <w:sz w:val="24"/>
          <w:szCs w:val="24"/>
        </w:rPr>
        <w:t>:</w:t>
      </w:r>
    </w:p>
    <w:p w14:paraId="29C0F6CC" w14:textId="5721FDFB" w:rsidR="00F67A36" w:rsidRDefault="00F67A36" w:rsidP="009C01E1">
      <w:pPr>
        <w:spacing w:line="276" w:lineRule="auto"/>
        <w:jc w:val="both"/>
        <w:rPr>
          <w:rFonts w:ascii="Book Antiqua" w:hAnsi="Book Antiqua"/>
          <w:sz w:val="24"/>
          <w:szCs w:val="24"/>
        </w:rPr>
      </w:pPr>
    </w:p>
    <w:tbl>
      <w:tblPr>
        <w:tblW w:w="7080" w:type="dxa"/>
        <w:jc w:val="center"/>
        <w:tblCellMar>
          <w:left w:w="70" w:type="dxa"/>
          <w:right w:w="70" w:type="dxa"/>
        </w:tblCellMar>
        <w:tblLook w:val="04A0" w:firstRow="1" w:lastRow="0" w:firstColumn="1" w:lastColumn="0" w:noHBand="0" w:noVBand="1"/>
      </w:tblPr>
      <w:tblGrid>
        <w:gridCol w:w="2420"/>
        <w:gridCol w:w="1200"/>
        <w:gridCol w:w="1100"/>
        <w:gridCol w:w="1180"/>
        <w:gridCol w:w="1180"/>
      </w:tblGrid>
      <w:tr w:rsidR="008451F8" w:rsidRPr="008451F8" w14:paraId="505D7F4B" w14:textId="77777777" w:rsidTr="00306313">
        <w:trPr>
          <w:trHeight w:val="660"/>
          <w:jc w:val="center"/>
        </w:trPr>
        <w:tc>
          <w:tcPr>
            <w:tcW w:w="2420" w:type="dxa"/>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7DB32754" w14:textId="77777777" w:rsidR="008451F8" w:rsidRPr="008451F8" w:rsidRDefault="008451F8" w:rsidP="008451F8">
            <w:pPr>
              <w:spacing w:after="0" w:line="276" w:lineRule="auto"/>
              <w:jc w:val="center"/>
              <w:rPr>
                <w:rFonts w:ascii="Book Antiqua" w:eastAsia="Times New Roman" w:hAnsi="Book Antiqua" w:cs="Calibri"/>
                <w:b/>
                <w:bCs/>
                <w:color w:val="FFFFFF"/>
                <w:sz w:val="16"/>
                <w:szCs w:val="16"/>
                <w:lang w:eastAsia="es-CR"/>
              </w:rPr>
            </w:pPr>
            <w:r w:rsidRPr="008451F8">
              <w:rPr>
                <w:rFonts w:ascii="Book Antiqua" w:eastAsia="Times New Roman" w:hAnsi="Book Antiqua" w:cs="Calibri"/>
                <w:b/>
                <w:bCs/>
                <w:color w:val="FFFFFF"/>
                <w:sz w:val="16"/>
                <w:szCs w:val="16"/>
                <w:lang w:eastAsia="es-CR"/>
              </w:rPr>
              <w:t>Materia</w:t>
            </w:r>
          </w:p>
        </w:tc>
        <w:tc>
          <w:tcPr>
            <w:tcW w:w="1200" w:type="dxa"/>
            <w:tcBorders>
              <w:top w:val="single" w:sz="4" w:space="0" w:color="auto"/>
              <w:left w:val="nil"/>
              <w:bottom w:val="single" w:sz="4" w:space="0" w:color="auto"/>
              <w:right w:val="single" w:sz="4" w:space="0" w:color="auto"/>
            </w:tcBorders>
            <w:shd w:val="clear" w:color="000000" w:fill="305496"/>
            <w:noWrap/>
            <w:vAlign w:val="center"/>
            <w:hideMark/>
          </w:tcPr>
          <w:p w14:paraId="5CF8B727" w14:textId="77777777" w:rsidR="008451F8" w:rsidRPr="008451F8" w:rsidRDefault="008451F8" w:rsidP="008451F8">
            <w:pPr>
              <w:spacing w:after="0" w:line="276" w:lineRule="auto"/>
              <w:jc w:val="center"/>
              <w:rPr>
                <w:rFonts w:ascii="Book Antiqua" w:eastAsia="Times New Roman" w:hAnsi="Book Antiqua" w:cs="Calibri"/>
                <w:b/>
                <w:bCs/>
                <w:color w:val="FFFFFF"/>
                <w:sz w:val="16"/>
                <w:szCs w:val="16"/>
                <w:lang w:eastAsia="es-CR"/>
              </w:rPr>
            </w:pPr>
            <w:r w:rsidRPr="008451F8">
              <w:rPr>
                <w:rFonts w:ascii="Book Antiqua" w:eastAsia="Times New Roman" w:hAnsi="Book Antiqua" w:cs="Calibri"/>
                <w:b/>
                <w:bCs/>
                <w:color w:val="FFFFFF"/>
                <w:sz w:val="16"/>
                <w:szCs w:val="16"/>
                <w:lang w:eastAsia="es-CR"/>
              </w:rPr>
              <w:t>Realizadas</w:t>
            </w:r>
          </w:p>
        </w:tc>
        <w:tc>
          <w:tcPr>
            <w:tcW w:w="1100" w:type="dxa"/>
            <w:tcBorders>
              <w:top w:val="single" w:sz="4" w:space="0" w:color="auto"/>
              <w:left w:val="nil"/>
              <w:bottom w:val="single" w:sz="4" w:space="0" w:color="auto"/>
              <w:right w:val="single" w:sz="4" w:space="0" w:color="auto"/>
            </w:tcBorders>
            <w:shd w:val="clear" w:color="000000" w:fill="305496"/>
            <w:vAlign w:val="center"/>
            <w:hideMark/>
          </w:tcPr>
          <w:p w14:paraId="4C9733E6" w14:textId="77777777" w:rsidR="008451F8" w:rsidRPr="008451F8" w:rsidRDefault="008451F8" w:rsidP="008451F8">
            <w:pPr>
              <w:spacing w:after="0" w:line="276" w:lineRule="auto"/>
              <w:jc w:val="center"/>
              <w:rPr>
                <w:rFonts w:ascii="Book Antiqua" w:eastAsia="Times New Roman" w:hAnsi="Book Antiqua" w:cs="Calibri"/>
                <w:b/>
                <w:bCs/>
                <w:color w:val="FFFFFF"/>
                <w:sz w:val="16"/>
                <w:szCs w:val="16"/>
                <w:lang w:eastAsia="es-CR"/>
              </w:rPr>
            </w:pPr>
            <w:r w:rsidRPr="008451F8">
              <w:rPr>
                <w:rFonts w:ascii="Book Antiqua" w:eastAsia="Times New Roman" w:hAnsi="Book Antiqua" w:cs="Calibri"/>
                <w:b/>
                <w:bCs/>
                <w:color w:val="FFFFFF"/>
                <w:sz w:val="16"/>
                <w:szCs w:val="16"/>
                <w:lang w:eastAsia="es-CR"/>
              </w:rPr>
              <w:t>No realizadas</w:t>
            </w:r>
          </w:p>
        </w:tc>
        <w:tc>
          <w:tcPr>
            <w:tcW w:w="1180" w:type="dxa"/>
            <w:tcBorders>
              <w:top w:val="single" w:sz="4" w:space="0" w:color="auto"/>
              <w:left w:val="nil"/>
              <w:bottom w:val="single" w:sz="4" w:space="0" w:color="auto"/>
              <w:right w:val="single" w:sz="4" w:space="0" w:color="auto"/>
            </w:tcBorders>
            <w:shd w:val="clear" w:color="000000" w:fill="305496"/>
            <w:vAlign w:val="center"/>
            <w:hideMark/>
          </w:tcPr>
          <w:p w14:paraId="5FAEEB80" w14:textId="77777777" w:rsidR="008451F8" w:rsidRPr="008451F8" w:rsidRDefault="008451F8" w:rsidP="008451F8">
            <w:pPr>
              <w:spacing w:after="0" w:line="276" w:lineRule="auto"/>
              <w:jc w:val="center"/>
              <w:rPr>
                <w:rFonts w:ascii="Book Antiqua" w:eastAsia="Times New Roman" w:hAnsi="Book Antiqua" w:cs="Calibri"/>
                <w:b/>
                <w:bCs/>
                <w:color w:val="FFFFFF"/>
                <w:sz w:val="16"/>
                <w:szCs w:val="16"/>
                <w:lang w:eastAsia="es-CR"/>
              </w:rPr>
            </w:pPr>
            <w:r w:rsidRPr="008451F8">
              <w:rPr>
                <w:rFonts w:ascii="Book Antiqua" w:eastAsia="Times New Roman" w:hAnsi="Book Antiqua" w:cs="Calibri"/>
                <w:b/>
                <w:bCs/>
                <w:color w:val="FFFFFF"/>
                <w:sz w:val="16"/>
                <w:szCs w:val="16"/>
                <w:lang w:eastAsia="es-CR"/>
              </w:rPr>
              <w:t>% Efectividad</w:t>
            </w:r>
          </w:p>
        </w:tc>
        <w:tc>
          <w:tcPr>
            <w:tcW w:w="1180" w:type="dxa"/>
            <w:tcBorders>
              <w:top w:val="single" w:sz="4" w:space="0" w:color="auto"/>
              <w:left w:val="nil"/>
              <w:bottom w:val="single" w:sz="4" w:space="0" w:color="auto"/>
              <w:right w:val="single" w:sz="4" w:space="0" w:color="auto"/>
            </w:tcBorders>
            <w:shd w:val="clear" w:color="000000" w:fill="305496"/>
            <w:vAlign w:val="center"/>
            <w:hideMark/>
          </w:tcPr>
          <w:p w14:paraId="548D6B62" w14:textId="77777777" w:rsidR="008451F8" w:rsidRPr="008451F8" w:rsidRDefault="008451F8" w:rsidP="008451F8">
            <w:pPr>
              <w:spacing w:after="0" w:line="276" w:lineRule="auto"/>
              <w:jc w:val="center"/>
              <w:rPr>
                <w:rFonts w:ascii="Book Antiqua" w:eastAsia="Times New Roman" w:hAnsi="Book Antiqua" w:cs="Calibri"/>
                <w:b/>
                <w:bCs/>
                <w:color w:val="FFFFFF"/>
                <w:sz w:val="16"/>
                <w:szCs w:val="16"/>
                <w:lang w:eastAsia="es-CR"/>
              </w:rPr>
            </w:pPr>
            <w:r w:rsidRPr="008451F8">
              <w:rPr>
                <w:rFonts w:ascii="Book Antiqua" w:eastAsia="Times New Roman" w:hAnsi="Book Antiqua" w:cs="Calibri"/>
                <w:b/>
                <w:bCs/>
                <w:color w:val="FFFFFF"/>
                <w:sz w:val="16"/>
                <w:szCs w:val="16"/>
                <w:lang w:eastAsia="es-CR"/>
              </w:rPr>
              <w:t>Pendiente Setiembre</w:t>
            </w:r>
          </w:p>
        </w:tc>
      </w:tr>
      <w:tr w:rsidR="008451F8" w:rsidRPr="008451F8" w14:paraId="5C3BFA64"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000000" w:fill="DDEBF7"/>
            <w:noWrap/>
            <w:vAlign w:val="center"/>
            <w:hideMark/>
          </w:tcPr>
          <w:p w14:paraId="2DE94148" w14:textId="77777777" w:rsidR="008451F8" w:rsidRPr="008451F8" w:rsidRDefault="008451F8" w:rsidP="008451F8">
            <w:pPr>
              <w:spacing w:after="0" w:line="276" w:lineRule="auto"/>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Total General</w:t>
            </w:r>
          </w:p>
        </w:tc>
        <w:tc>
          <w:tcPr>
            <w:tcW w:w="1200" w:type="dxa"/>
            <w:tcBorders>
              <w:top w:val="nil"/>
              <w:left w:val="nil"/>
              <w:bottom w:val="single" w:sz="4" w:space="0" w:color="auto"/>
              <w:right w:val="single" w:sz="4" w:space="0" w:color="auto"/>
            </w:tcBorders>
            <w:shd w:val="clear" w:color="000000" w:fill="DDEBF7"/>
            <w:noWrap/>
            <w:vAlign w:val="center"/>
            <w:hideMark/>
          </w:tcPr>
          <w:p w14:paraId="687A233F"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100498</w:t>
            </w:r>
          </w:p>
        </w:tc>
        <w:tc>
          <w:tcPr>
            <w:tcW w:w="1100" w:type="dxa"/>
            <w:tcBorders>
              <w:top w:val="nil"/>
              <w:left w:val="nil"/>
              <w:bottom w:val="single" w:sz="4" w:space="0" w:color="auto"/>
              <w:right w:val="single" w:sz="4" w:space="0" w:color="auto"/>
            </w:tcBorders>
            <w:shd w:val="clear" w:color="000000" w:fill="DDEBF7"/>
            <w:noWrap/>
            <w:vAlign w:val="center"/>
            <w:hideMark/>
          </w:tcPr>
          <w:p w14:paraId="30A71BA7"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65820</w:t>
            </w:r>
          </w:p>
        </w:tc>
        <w:tc>
          <w:tcPr>
            <w:tcW w:w="1180" w:type="dxa"/>
            <w:tcBorders>
              <w:top w:val="nil"/>
              <w:left w:val="nil"/>
              <w:bottom w:val="single" w:sz="4" w:space="0" w:color="auto"/>
              <w:right w:val="single" w:sz="4" w:space="0" w:color="auto"/>
            </w:tcBorders>
            <w:shd w:val="clear" w:color="000000" w:fill="DDEBF7"/>
            <w:noWrap/>
            <w:vAlign w:val="center"/>
            <w:hideMark/>
          </w:tcPr>
          <w:p w14:paraId="15DCA180"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60,43%</w:t>
            </w:r>
          </w:p>
        </w:tc>
        <w:tc>
          <w:tcPr>
            <w:tcW w:w="1180" w:type="dxa"/>
            <w:tcBorders>
              <w:top w:val="nil"/>
              <w:left w:val="nil"/>
              <w:bottom w:val="single" w:sz="4" w:space="0" w:color="auto"/>
              <w:right w:val="single" w:sz="4" w:space="0" w:color="auto"/>
            </w:tcBorders>
            <w:shd w:val="clear" w:color="000000" w:fill="DDEBF7"/>
            <w:noWrap/>
            <w:vAlign w:val="center"/>
            <w:hideMark/>
          </w:tcPr>
          <w:p w14:paraId="4C2C5815"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2290</w:t>
            </w:r>
          </w:p>
        </w:tc>
      </w:tr>
      <w:tr w:rsidR="008451F8" w:rsidRPr="008451F8" w14:paraId="5840F910"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000000" w:fill="DDEBF7"/>
            <w:noWrap/>
            <w:vAlign w:val="center"/>
            <w:hideMark/>
          </w:tcPr>
          <w:p w14:paraId="0401A33A" w14:textId="77777777" w:rsidR="008451F8" w:rsidRPr="008451F8" w:rsidRDefault="008451F8" w:rsidP="008451F8">
            <w:pPr>
              <w:spacing w:after="0" w:line="276" w:lineRule="auto"/>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No Penal</w:t>
            </w:r>
          </w:p>
        </w:tc>
        <w:tc>
          <w:tcPr>
            <w:tcW w:w="1200" w:type="dxa"/>
            <w:tcBorders>
              <w:top w:val="nil"/>
              <w:left w:val="nil"/>
              <w:bottom w:val="single" w:sz="4" w:space="0" w:color="auto"/>
              <w:right w:val="single" w:sz="4" w:space="0" w:color="auto"/>
            </w:tcBorders>
            <w:shd w:val="clear" w:color="000000" w:fill="DDEBF7"/>
            <w:noWrap/>
            <w:vAlign w:val="center"/>
            <w:hideMark/>
          </w:tcPr>
          <w:p w14:paraId="4DDF93D4"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59358</w:t>
            </w:r>
          </w:p>
        </w:tc>
        <w:tc>
          <w:tcPr>
            <w:tcW w:w="1100" w:type="dxa"/>
            <w:tcBorders>
              <w:top w:val="nil"/>
              <w:left w:val="nil"/>
              <w:bottom w:val="single" w:sz="4" w:space="0" w:color="auto"/>
              <w:right w:val="single" w:sz="4" w:space="0" w:color="auto"/>
            </w:tcBorders>
            <w:shd w:val="clear" w:color="000000" w:fill="DDEBF7"/>
            <w:noWrap/>
            <w:vAlign w:val="center"/>
            <w:hideMark/>
          </w:tcPr>
          <w:p w14:paraId="153708DB"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43875</w:t>
            </w:r>
          </w:p>
        </w:tc>
        <w:tc>
          <w:tcPr>
            <w:tcW w:w="1180" w:type="dxa"/>
            <w:tcBorders>
              <w:top w:val="nil"/>
              <w:left w:val="nil"/>
              <w:bottom w:val="single" w:sz="4" w:space="0" w:color="auto"/>
              <w:right w:val="single" w:sz="4" w:space="0" w:color="auto"/>
            </w:tcBorders>
            <w:shd w:val="clear" w:color="000000" w:fill="DDEBF7"/>
            <w:noWrap/>
            <w:vAlign w:val="center"/>
            <w:hideMark/>
          </w:tcPr>
          <w:p w14:paraId="7B5B6F0E"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57,50%</w:t>
            </w:r>
          </w:p>
        </w:tc>
        <w:tc>
          <w:tcPr>
            <w:tcW w:w="1180" w:type="dxa"/>
            <w:tcBorders>
              <w:top w:val="nil"/>
              <w:left w:val="nil"/>
              <w:bottom w:val="single" w:sz="4" w:space="0" w:color="auto"/>
              <w:right w:val="single" w:sz="4" w:space="0" w:color="auto"/>
            </w:tcBorders>
            <w:shd w:val="clear" w:color="000000" w:fill="DDEBF7"/>
            <w:noWrap/>
            <w:vAlign w:val="center"/>
            <w:hideMark/>
          </w:tcPr>
          <w:p w14:paraId="7DC06072"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1207</w:t>
            </w:r>
          </w:p>
        </w:tc>
      </w:tr>
      <w:tr w:rsidR="008451F8" w:rsidRPr="008451F8" w14:paraId="7AF22EAF"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4F9FBA32"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Agrario</w:t>
            </w:r>
          </w:p>
        </w:tc>
        <w:tc>
          <w:tcPr>
            <w:tcW w:w="1200" w:type="dxa"/>
            <w:tcBorders>
              <w:top w:val="nil"/>
              <w:left w:val="nil"/>
              <w:bottom w:val="single" w:sz="4" w:space="0" w:color="auto"/>
              <w:right w:val="single" w:sz="4" w:space="0" w:color="auto"/>
            </w:tcBorders>
            <w:shd w:val="clear" w:color="auto" w:fill="auto"/>
            <w:noWrap/>
            <w:vAlign w:val="center"/>
            <w:hideMark/>
          </w:tcPr>
          <w:p w14:paraId="3DB6F2C5"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1467</w:t>
            </w:r>
          </w:p>
        </w:tc>
        <w:tc>
          <w:tcPr>
            <w:tcW w:w="1100" w:type="dxa"/>
            <w:tcBorders>
              <w:top w:val="nil"/>
              <w:left w:val="nil"/>
              <w:bottom w:val="single" w:sz="4" w:space="0" w:color="auto"/>
              <w:right w:val="single" w:sz="4" w:space="0" w:color="auto"/>
            </w:tcBorders>
            <w:shd w:val="clear" w:color="auto" w:fill="auto"/>
            <w:noWrap/>
            <w:vAlign w:val="center"/>
            <w:hideMark/>
          </w:tcPr>
          <w:p w14:paraId="2E8C4AE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2024</w:t>
            </w:r>
          </w:p>
        </w:tc>
        <w:tc>
          <w:tcPr>
            <w:tcW w:w="1180" w:type="dxa"/>
            <w:tcBorders>
              <w:top w:val="nil"/>
              <w:left w:val="nil"/>
              <w:bottom w:val="single" w:sz="4" w:space="0" w:color="auto"/>
              <w:right w:val="single" w:sz="4" w:space="0" w:color="auto"/>
            </w:tcBorders>
            <w:shd w:val="clear" w:color="auto" w:fill="auto"/>
            <w:noWrap/>
            <w:vAlign w:val="center"/>
            <w:hideMark/>
          </w:tcPr>
          <w:p w14:paraId="572269DE"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42,02%</w:t>
            </w:r>
          </w:p>
        </w:tc>
        <w:tc>
          <w:tcPr>
            <w:tcW w:w="1180" w:type="dxa"/>
            <w:tcBorders>
              <w:top w:val="nil"/>
              <w:left w:val="nil"/>
              <w:bottom w:val="single" w:sz="4" w:space="0" w:color="auto"/>
              <w:right w:val="single" w:sz="4" w:space="0" w:color="auto"/>
            </w:tcBorders>
            <w:shd w:val="clear" w:color="auto" w:fill="auto"/>
            <w:noWrap/>
            <w:vAlign w:val="center"/>
            <w:hideMark/>
          </w:tcPr>
          <w:p w14:paraId="5E443D5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26</w:t>
            </w:r>
          </w:p>
        </w:tc>
      </w:tr>
      <w:tr w:rsidR="008451F8" w:rsidRPr="008451F8" w14:paraId="4205911E"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37F5E7FC"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Civil</w:t>
            </w:r>
          </w:p>
        </w:tc>
        <w:tc>
          <w:tcPr>
            <w:tcW w:w="1200" w:type="dxa"/>
            <w:tcBorders>
              <w:top w:val="nil"/>
              <w:left w:val="nil"/>
              <w:bottom w:val="single" w:sz="4" w:space="0" w:color="auto"/>
              <w:right w:val="single" w:sz="4" w:space="0" w:color="auto"/>
            </w:tcBorders>
            <w:shd w:val="clear" w:color="auto" w:fill="auto"/>
            <w:noWrap/>
            <w:vAlign w:val="center"/>
            <w:hideMark/>
          </w:tcPr>
          <w:p w14:paraId="6FD1847D"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2798</w:t>
            </w:r>
          </w:p>
        </w:tc>
        <w:tc>
          <w:tcPr>
            <w:tcW w:w="1100" w:type="dxa"/>
            <w:tcBorders>
              <w:top w:val="nil"/>
              <w:left w:val="nil"/>
              <w:bottom w:val="single" w:sz="4" w:space="0" w:color="auto"/>
              <w:right w:val="single" w:sz="4" w:space="0" w:color="auto"/>
            </w:tcBorders>
            <w:shd w:val="clear" w:color="auto" w:fill="auto"/>
            <w:noWrap/>
            <w:vAlign w:val="center"/>
            <w:hideMark/>
          </w:tcPr>
          <w:p w14:paraId="53D4965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1971</w:t>
            </w:r>
          </w:p>
        </w:tc>
        <w:tc>
          <w:tcPr>
            <w:tcW w:w="1180" w:type="dxa"/>
            <w:tcBorders>
              <w:top w:val="nil"/>
              <w:left w:val="nil"/>
              <w:bottom w:val="single" w:sz="4" w:space="0" w:color="auto"/>
              <w:right w:val="single" w:sz="4" w:space="0" w:color="auto"/>
            </w:tcBorders>
            <w:shd w:val="clear" w:color="auto" w:fill="auto"/>
            <w:noWrap/>
            <w:vAlign w:val="center"/>
            <w:hideMark/>
          </w:tcPr>
          <w:p w14:paraId="1D993771"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58,67%</w:t>
            </w:r>
          </w:p>
        </w:tc>
        <w:tc>
          <w:tcPr>
            <w:tcW w:w="1180" w:type="dxa"/>
            <w:tcBorders>
              <w:top w:val="nil"/>
              <w:left w:val="nil"/>
              <w:bottom w:val="single" w:sz="4" w:space="0" w:color="auto"/>
              <w:right w:val="single" w:sz="4" w:space="0" w:color="auto"/>
            </w:tcBorders>
            <w:shd w:val="clear" w:color="auto" w:fill="auto"/>
            <w:noWrap/>
            <w:vAlign w:val="center"/>
            <w:hideMark/>
          </w:tcPr>
          <w:p w14:paraId="19F0B2B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63</w:t>
            </w:r>
          </w:p>
        </w:tc>
      </w:tr>
      <w:tr w:rsidR="008451F8" w:rsidRPr="008451F8" w14:paraId="181DEBB9"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6A9CF5ED"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Contencioso</w:t>
            </w:r>
          </w:p>
        </w:tc>
        <w:tc>
          <w:tcPr>
            <w:tcW w:w="1200" w:type="dxa"/>
            <w:tcBorders>
              <w:top w:val="nil"/>
              <w:left w:val="nil"/>
              <w:bottom w:val="single" w:sz="4" w:space="0" w:color="auto"/>
              <w:right w:val="single" w:sz="4" w:space="0" w:color="auto"/>
            </w:tcBorders>
            <w:shd w:val="clear" w:color="auto" w:fill="auto"/>
            <w:noWrap/>
            <w:vAlign w:val="center"/>
            <w:hideMark/>
          </w:tcPr>
          <w:p w14:paraId="2293709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499</w:t>
            </w:r>
          </w:p>
        </w:tc>
        <w:tc>
          <w:tcPr>
            <w:tcW w:w="1100" w:type="dxa"/>
            <w:tcBorders>
              <w:top w:val="nil"/>
              <w:left w:val="nil"/>
              <w:bottom w:val="single" w:sz="4" w:space="0" w:color="auto"/>
              <w:right w:val="single" w:sz="4" w:space="0" w:color="auto"/>
            </w:tcBorders>
            <w:shd w:val="clear" w:color="auto" w:fill="auto"/>
            <w:noWrap/>
            <w:vAlign w:val="center"/>
            <w:hideMark/>
          </w:tcPr>
          <w:p w14:paraId="0D54505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257</w:t>
            </w:r>
          </w:p>
        </w:tc>
        <w:tc>
          <w:tcPr>
            <w:tcW w:w="1180" w:type="dxa"/>
            <w:tcBorders>
              <w:top w:val="nil"/>
              <w:left w:val="nil"/>
              <w:bottom w:val="single" w:sz="4" w:space="0" w:color="auto"/>
              <w:right w:val="single" w:sz="4" w:space="0" w:color="auto"/>
            </w:tcBorders>
            <w:shd w:val="clear" w:color="auto" w:fill="auto"/>
            <w:noWrap/>
            <w:vAlign w:val="center"/>
            <w:hideMark/>
          </w:tcPr>
          <w:p w14:paraId="769AE581"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66,01%</w:t>
            </w:r>
          </w:p>
        </w:tc>
        <w:tc>
          <w:tcPr>
            <w:tcW w:w="1180" w:type="dxa"/>
            <w:tcBorders>
              <w:top w:val="nil"/>
              <w:left w:val="nil"/>
              <w:bottom w:val="single" w:sz="4" w:space="0" w:color="auto"/>
              <w:right w:val="single" w:sz="4" w:space="0" w:color="auto"/>
            </w:tcBorders>
            <w:shd w:val="clear" w:color="auto" w:fill="auto"/>
            <w:noWrap/>
            <w:vAlign w:val="center"/>
            <w:hideMark/>
          </w:tcPr>
          <w:p w14:paraId="2F638624"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121</w:t>
            </w:r>
          </w:p>
        </w:tc>
      </w:tr>
      <w:tr w:rsidR="008451F8" w:rsidRPr="008451F8" w14:paraId="000918BA"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4EE8C71D"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Contravencional</w:t>
            </w:r>
          </w:p>
        </w:tc>
        <w:tc>
          <w:tcPr>
            <w:tcW w:w="1200" w:type="dxa"/>
            <w:tcBorders>
              <w:top w:val="nil"/>
              <w:left w:val="nil"/>
              <w:bottom w:val="single" w:sz="4" w:space="0" w:color="auto"/>
              <w:right w:val="single" w:sz="4" w:space="0" w:color="auto"/>
            </w:tcBorders>
            <w:shd w:val="clear" w:color="auto" w:fill="auto"/>
            <w:noWrap/>
            <w:vAlign w:val="center"/>
            <w:hideMark/>
          </w:tcPr>
          <w:p w14:paraId="532B7222"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6373</w:t>
            </w:r>
          </w:p>
        </w:tc>
        <w:tc>
          <w:tcPr>
            <w:tcW w:w="1100" w:type="dxa"/>
            <w:tcBorders>
              <w:top w:val="nil"/>
              <w:left w:val="nil"/>
              <w:bottom w:val="single" w:sz="4" w:space="0" w:color="auto"/>
              <w:right w:val="single" w:sz="4" w:space="0" w:color="auto"/>
            </w:tcBorders>
            <w:shd w:val="clear" w:color="auto" w:fill="auto"/>
            <w:noWrap/>
            <w:vAlign w:val="center"/>
            <w:hideMark/>
          </w:tcPr>
          <w:p w14:paraId="44C670F2"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6747</w:t>
            </w:r>
          </w:p>
        </w:tc>
        <w:tc>
          <w:tcPr>
            <w:tcW w:w="1180" w:type="dxa"/>
            <w:tcBorders>
              <w:top w:val="nil"/>
              <w:left w:val="nil"/>
              <w:bottom w:val="single" w:sz="4" w:space="0" w:color="auto"/>
              <w:right w:val="single" w:sz="4" w:space="0" w:color="auto"/>
            </w:tcBorders>
            <w:shd w:val="clear" w:color="auto" w:fill="auto"/>
            <w:noWrap/>
            <w:vAlign w:val="center"/>
            <w:hideMark/>
          </w:tcPr>
          <w:p w14:paraId="0BE7D1A7"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48,57%</w:t>
            </w:r>
          </w:p>
        </w:tc>
        <w:tc>
          <w:tcPr>
            <w:tcW w:w="1180" w:type="dxa"/>
            <w:tcBorders>
              <w:top w:val="nil"/>
              <w:left w:val="nil"/>
              <w:bottom w:val="single" w:sz="4" w:space="0" w:color="auto"/>
              <w:right w:val="single" w:sz="4" w:space="0" w:color="auto"/>
            </w:tcBorders>
            <w:shd w:val="clear" w:color="auto" w:fill="auto"/>
            <w:noWrap/>
            <w:vAlign w:val="center"/>
            <w:hideMark/>
          </w:tcPr>
          <w:p w14:paraId="5762B00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50</w:t>
            </w:r>
          </w:p>
        </w:tc>
      </w:tr>
      <w:tr w:rsidR="008451F8" w:rsidRPr="008451F8" w14:paraId="35F30566"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780652E9" w14:textId="77777777" w:rsidR="008451F8" w:rsidRPr="008451F8" w:rsidRDefault="008451F8" w:rsidP="008451F8">
            <w:pPr>
              <w:spacing w:after="0" w:line="276" w:lineRule="auto"/>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Familia</w:t>
            </w:r>
          </w:p>
        </w:tc>
        <w:tc>
          <w:tcPr>
            <w:tcW w:w="1200" w:type="dxa"/>
            <w:tcBorders>
              <w:top w:val="nil"/>
              <w:left w:val="nil"/>
              <w:bottom w:val="single" w:sz="4" w:space="0" w:color="auto"/>
              <w:right w:val="single" w:sz="4" w:space="0" w:color="auto"/>
            </w:tcBorders>
            <w:shd w:val="clear" w:color="auto" w:fill="D9E2F3" w:themeFill="accent1" w:themeFillTint="33"/>
            <w:noWrap/>
            <w:vAlign w:val="center"/>
            <w:hideMark/>
          </w:tcPr>
          <w:p w14:paraId="25A7AF75"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7742</w:t>
            </w:r>
          </w:p>
        </w:tc>
        <w:tc>
          <w:tcPr>
            <w:tcW w:w="1100" w:type="dxa"/>
            <w:tcBorders>
              <w:top w:val="nil"/>
              <w:left w:val="nil"/>
              <w:bottom w:val="single" w:sz="4" w:space="0" w:color="auto"/>
              <w:right w:val="single" w:sz="4" w:space="0" w:color="auto"/>
            </w:tcBorders>
            <w:shd w:val="clear" w:color="auto" w:fill="D9E2F3" w:themeFill="accent1" w:themeFillTint="33"/>
            <w:noWrap/>
            <w:vAlign w:val="center"/>
            <w:hideMark/>
          </w:tcPr>
          <w:p w14:paraId="2D02D187"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3632</w:t>
            </w:r>
          </w:p>
        </w:tc>
        <w:tc>
          <w:tcPr>
            <w:tcW w:w="1180" w:type="dxa"/>
            <w:tcBorders>
              <w:top w:val="nil"/>
              <w:left w:val="nil"/>
              <w:bottom w:val="single" w:sz="4" w:space="0" w:color="auto"/>
              <w:right w:val="single" w:sz="4" w:space="0" w:color="auto"/>
            </w:tcBorders>
            <w:shd w:val="clear" w:color="auto" w:fill="D9E2F3" w:themeFill="accent1" w:themeFillTint="33"/>
            <w:noWrap/>
            <w:vAlign w:val="center"/>
            <w:hideMark/>
          </w:tcPr>
          <w:p w14:paraId="602D0075"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68,07%</w:t>
            </w:r>
          </w:p>
        </w:tc>
        <w:tc>
          <w:tcPr>
            <w:tcW w:w="1180" w:type="dxa"/>
            <w:tcBorders>
              <w:top w:val="nil"/>
              <w:left w:val="nil"/>
              <w:bottom w:val="single" w:sz="4" w:space="0" w:color="auto"/>
              <w:right w:val="single" w:sz="4" w:space="0" w:color="auto"/>
            </w:tcBorders>
            <w:shd w:val="clear" w:color="auto" w:fill="D9E2F3" w:themeFill="accent1" w:themeFillTint="33"/>
            <w:noWrap/>
            <w:vAlign w:val="center"/>
            <w:hideMark/>
          </w:tcPr>
          <w:p w14:paraId="39776F3B"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85</w:t>
            </w:r>
          </w:p>
        </w:tc>
      </w:tr>
      <w:tr w:rsidR="008451F8" w:rsidRPr="008451F8" w14:paraId="1A9C9567"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4722E129" w14:textId="77777777" w:rsidR="008451F8" w:rsidRPr="008451F8" w:rsidRDefault="008451F8" w:rsidP="008451F8">
            <w:pPr>
              <w:spacing w:after="0" w:line="276" w:lineRule="auto"/>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Pensiones Alimentarias</w:t>
            </w:r>
          </w:p>
        </w:tc>
        <w:tc>
          <w:tcPr>
            <w:tcW w:w="1200" w:type="dxa"/>
            <w:tcBorders>
              <w:top w:val="nil"/>
              <w:left w:val="nil"/>
              <w:bottom w:val="single" w:sz="4" w:space="0" w:color="auto"/>
              <w:right w:val="single" w:sz="4" w:space="0" w:color="auto"/>
            </w:tcBorders>
            <w:shd w:val="clear" w:color="auto" w:fill="D9E2F3" w:themeFill="accent1" w:themeFillTint="33"/>
            <w:noWrap/>
            <w:vAlign w:val="center"/>
            <w:hideMark/>
          </w:tcPr>
          <w:p w14:paraId="2024CA32"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14850</w:t>
            </w:r>
          </w:p>
        </w:tc>
        <w:tc>
          <w:tcPr>
            <w:tcW w:w="1100" w:type="dxa"/>
            <w:tcBorders>
              <w:top w:val="nil"/>
              <w:left w:val="nil"/>
              <w:bottom w:val="single" w:sz="4" w:space="0" w:color="auto"/>
              <w:right w:val="single" w:sz="4" w:space="0" w:color="auto"/>
            </w:tcBorders>
            <w:shd w:val="clear" w:color="auto" w:fill="D9E2F3" w:themeFill="accent1" w:themeFillTint="33"/>
            <w:noWrap/>
            <w:vAlign w:val="center"/>
            <w:hideMark/>
          </w:tcPr>
          <w:p w14:paraId="3E6DB402"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7994</w:t>
            </w:r>
          </w:p>
        </w:tc>
        <w:tc>
          <w:tcPr>
            <w:tcW w:w="1180" w:type="dxa"/>
            <w:tcBorders>
              <w:top w:val="nil"/>
              <w:left w:val="nil"/>
              <w:bottom w:val="single" w:sz="4" w:space="0" w:color="auto"/>
              <w:right w:val="single" w:sz="4" w:space="0" w:color="auto"/>
            </w:tcBorders>
            <w:shd w:val="clear" w:color="auto" w:fill="D9E2F3" w:themeFill="accent1" w:themeFillTint="33"/>
            <w:noWrap/>
            <w:vAlign w:val="center"/>
            <w:hideMark/>
          </w:tcPr>
          <w:p w14:paraId="119F9462"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65,01%</w:t>
            </w:r>
          </w:p>
        </w:tc>
        <w:tc>
          <w:tcPr>
            <w:tcW w:w="1180" w:type="dxa"/>
            <w:tcBorders>
              <w:top w:val="nil"/>
              <w:left w:val="nil"/>
              <w:bottom w:val="single" w:sz="4" w:space="0" w:color="auto"/>
              <w:right w:val="single" w:sz="4" w:space="0" w:color="auto"/>
            </w:tcBorders>
            <w:shd w:val="clear" w:color="auto" w:fill="D9E2F3" w:themeFill="accent1" w:themeFillTint="33"/>
            <w:noWrap/>
            <w:vAlign w:val="center"/>
            <w:hideMark/>
          </w:tcPr>
          <w:p w14:paraId="320C3D68" w14:textId="77777777" w:rsidR="008451F8" w:rsidRPr="008451F8" w:rsidRDefault="008451F8" w:rsidP="008451F8">
            <w:pPr>
              <w:spacing w:after="0" w:line="276" w:lineRule="auto"/>
              <w:jc w:val="center"/>
              <w:rPr>
                <w:rFonts w:ascii="Book Antiqua" w:eastAsia="Times New Roman" w:hAnsi="Book Antiqua" w:cs="Calibri"/>
                <w:b/>
                <w:bCs/>
                <w:color w:val="000000"/>
                <w:sz w:val="16"/>
                <w:szCs w:val="16"/>
                <w:lang w:eastAsia="es-CR"/>
              </w:rPr>
            </w:pPr>
            <w:r w:rsidRPr="008451F8">
              <w:rPr>
                <w:rFonts w:ascii="Book Antiqua" w:eastAsia="Times New Roman" w:hAnsi="Book Antiqua" w:cs="Calibri"/>
                <w:b/>
                <w:bCs/>
                <w:color w:val="000000"/>
                <w:sz w:val="16"/>
                <w:szCs w:val="16"/>
                <w:lang w:eastAsia="es-CR"/>
              </w:rPr>
              <w:t>324</w:t>
            </w:r>
          </w:p>
        </w:tc>
      </w:tr>
      <w:tr w:rsidR="008451F8" w:rsidRPr="008451F8" w14:paraId="533DD921"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041C4300"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Trabajo</w:t>
            </w:r>
          </w:p>
        </w:tc>
        <w:tc>
          <w:tcPr>
            <w:tcW w:w="1200" w:type="dxa"/>
            <w:tcBorders>
              <w:top w:val="nil"/>
              <w:left w:val="nil"/>
              <w:bottom w:val="single" w:sz="4" w:space="0" w:color="auto"/>
              <w:right w:val="single" w:sz="4" w:space="0" w:color="auto"/>
            </w:tcBorders>
            <w:shd w:val="clear" w:color="auto" w:fill="auto"/>
            <w:noWrap/>
            <w:vAlign w:val="center"/>
            <w:hideMark/>
          </w:tcPr>
          <w:p w14:paraId="4B42FB6A"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9562</w:t>
            </w:r>
          </w:p>
        </w:tc>
        <w:tc>
          <w:tcPr>
            <w:tcW w:w="1100" w:type="dxa"/>
            <w:tcBorders>
              <w:top w:val="nil"/>
              <w:left w:val="nil"/>
              <w:bottom w:val="single" w:sz="4" w:space="0" w:color="auto"/>
              <w:right w:val="single" w:sz="4" w:space="0" w:color="auto"/>
            </w:tcBorders>
            <w:shd w:val="clear" w:color="auto" w:fill="auto"/>
            <w:noWrap/>
            <w:vAlign w:val="center"/>
            <w:hideMark/>
          </w:tcPr>
          <w:p w14:paraId="63B3F5F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5560</w:t>
            </w:r>
          </w:p>
        </w:tc>
        <w:tc>
          <w:tcPr>
            <w:tcW w:w="1180" w:type="dxa"/>
            <w:tcBorders>
              <w:top w:val="nil"/>
              <w:left w:val="nil"/>
              <w:bottom w:val="single" w:sz="4" w:space="0" w:color="auto"/>
              <w:right w:val="single" w:sz="4" w:space="0" w:color="auto"/>
            </w:tcBorders>
            <w:shd w:val="clear" w:color="auto" w:fill="auto"/>
            <w:noWrap/>
            <w:vAlign w:val="center"/>
            <w:hideMark/>
          </w:tcPr>
          <w:p w14:paraId="09F0B4A5"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63,23%</w:t>
            </w:r>
          </w:p>
        </w:tc>
        <w:tc>
          <w:tcPr>
            <w:tcW w:w="1180" w:type="dxa"/>
            <w:tcBorders>
              <w:top w:val="nil"/>
              <w:left w:val="nil"/>
              <w:bottom w:val="single" w:sz="4" w:space="0" w:color="auto"/>
              <w:right w:val="single" w:sz="4" w:space="0" w:color="auto"/>
            </w:tcBorders>
            <w:shd w:val="clear" w:color="auto" w:fill="auto"/>
            <w:noWrap/>
            <w:vAlign w:val="center"/>
            <w:hideMark/>
          </w:tcPr>
          <w:p w14:paraId="724EC739"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96</w:t>
            </w:r>
          </w:p>
        </w:tc>
      </w:tr>
      <w:tr w:rsidR="008451F8" w:rsidRPr="008451F8" w14:paraId="16000875"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06BFB7E9"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Tránsito</w:t>
            </w:r>
          </w:p>
        </w:tc>
        <w:tc>
          <w:tcPr>
            <w:tcW w:w="1200" w:type="dxa"/>
            <w:tcBorders>
              <w:top w:val="nil"/>
              <w:left w:val="nil"/>
              <w:bottom w:val="single" w:sz="4" w:space="0" w:color="auto"/>
              <w:right w:val="single" w:sz="4" w:space="0" w:color="auto"/>
            </w:tcBorders>
            <w:shd w:val="clear" w:color="auto" w:fill="auto"/>
            <w:noWrap/>
            <w:vAlign w:val="center"/>
            <w:hideMark/>
          </w:tcPr>
          <w:p w14:paraId="03FF0ED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4609</w:t>
            </w:r>
          </w:p>
        </w:tc>
        <w:tc>
          <w:tcPr>
            <w:tcW w:w="1100" w:type="dxa"/>
            <w:tcBorders>
              <w:top w:val="nil"/>
              <w:left w:val="nil"/>
              <w:bottom w:val="single" w:sz="4" w:space="0" w:color="auto"/>
              <w:right w:val="single" w:sz="4" w:space="0" w:color="auto"/>
            </w:tcBorders>
            <w:shd w:val="clear" w:color="auto" w:fill="auto"/>
            <w:noWrap/>
            <w:vAlign w:val="center"/>
            <w:hideMark/>
          </w:tcPr>
          <w:p w14:paraId="6AE9BDA6"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3991</w:t>
            </w:r>
          </w:p>
        </w:tc>
        <w:tc>
          <w:tcPr>
            <w:tcW w:w="1180" w:type="dxa"/>
            <w:tcBorders>
              <w:top w:val="nil"/>
              <w:left w:val="nil"/>
              <w:bottom w:val="single" w:sz="4" w:space="0" w:color="auto"/>
              <w:right w:val="single" w:sz="4" w:space="0" w:color="auto"/>
            </w:tcBorders>
            <w:shd w:val="clear" w:color="auto" w:fill="auto"/>
            <w:noWrap/>
            <w:vAlign w:val="center"/>
            <w:hideMark/>
          </w:tcPr>
          <w:p w14:paraId="241D7E32"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53,59%</w:t>
            </w:r>
          </w:p>
        </w:tc>
        <w:tc>
          <w:tcPr>
            <w:tcW w:w="1180" w:type="dxa"/>
            <w:tcBorders>
              <w:top w:val="nil"/>
              <w:left w:val="nil"/>
              <w:bottom w:val="single" w:sz="4" w:space="0" w:color="auto"/>
              <w:right w:val="single" w:sz="4" w:space="0" w:color="auto"/>
            </w:tcBorders>
            <w:shd w:val="clear" w:color="auto" w:fill="auto"/>
            <w:noWrap/>
            <w:vAlign w:val="center"/>
            <w:hideMark/>
          </w:tcPr>
          <w:p w14:paraId="1A7F056E"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50</w:t>
            </w:r>
          </w:p>
        </w:tc>
      </w:tr>
      <w:tr w:rsidR="008451F8" w:rsidRPr="008451F8" w14:paraId="3E0A63B6"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1A512C86"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Violencia Doméstica</w:t>
            </w:r>
          </w:p>
        </w:tc>
        <w:tc>
          <w:tcPr>
            <w:tcW w:w="1200" w:type="dxa"/>
            <w:tcBorders>
              <w:top w:val="nil"/>
              <w:left w:val="nil"/>
              <w:bottom w:val="single" w:sz="4" w:space="0" w:color="auto"/>
              <w:right w:val="single" w:sz="4" w:space="0" w:color="auto"/>
            </w:tcBorders>
            <w:shd w:val="clear" w:color="auto" w:fill="auto"/>
            <w:noWrap/>
            <w:vAlign w:val="center"/>
            <w:hideMark/>
          </w:tcPr>
          <w:p w14:paraId="3725D71D"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11458</w:t>
            </w:r>
          </w:p>
        </w:tc>
        <w:tc>
          <w:tcPr>
            <w:tcW w:w="1100" w:type="dxa"/>
            <w:tcBorders>
              <w:top w:val="nil"/>
              <w:left w:val="nil"/>
              <w:bottom w:val="single" w:sz="4" w:space="0" w:color="auto"/>
              <w:right w:val="single" w:sz="4" w:space="0" w:color="auto"/>
            </w:tcBorders>
            <w:shd w:val="clear" w:color="auto" w:fill="auto"/>
            <w:noWrap/>
            <w:vAlign w:val="center"/>
            <w:hideMark/>
          </w:tcPr>
          <w:p w14:paraId="41BA437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11699</w:t>
            </w:r>
          </w:p>
        </w:tc>
        <w:tc>
          <w:tcPr>
            <w:tcW w:w="1180" w:type="dxa"/>
            <w:tcBorders>
              <w:top w:val="nil"/>
              <w:left w:val="nil"/>
              <w:bottom w:val="single" w:sz="4" w:space="0" w:color="auto"/>
              <w:right w:val="single" w:sz="4" w:space="0" w:color="auto"/>
            </w:tcBorders>
            <w:shd w:val="clear" w:color="auto" w:fill="auto"/>
            <w:noWrap/>
            <w:vAlign w:val="center"/>
            <w:hideMark/>
          </w:tcPr>
          <w:p w14:paraId="21BBBE9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49,48%</w:t>
            </w:r>
          </w:p>
        </w:tc>
        <w:tc>
          <w:tcPr>
            <w:tcW w:w="1180" w:type="dxa"/>
            <w:tcBorders>
              <w:top w:val="nil"/>
              <w:left w:val="nil"/>
              <w:bottom w:val="single" w:sz="4" w:space="0" w:color="auto"/>
              <w:right w:val="single" w:sz="4" w:space="0" w:color="auto"/>
            </w:tcBorders>
            <w:shd w:val="clear" w:color="auto" w:fill="auto"/>
            <w:noWrap/>
            <w:vAlign w:val="center"/>
            <w:hideMark/>
          </w:tcPr>
          <w:p w14:paraId="3A8C93A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392</w:t>
            </w:r>
          </w:p>
        </w:tc>
      </w:tr>
      <w:tr w:rsidR="008451F8" w:rsidRPr="008451F8" w14:paraId="21D1ADCC"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FA00D5E"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lastRenderedPageBreak/>
              <w:t>Penal</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A2D973B"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41140</w:t>
            </w:r>
          </w:p>
        </w:tc>
        <w:tc>
          <w:tcPr>
            <w:tcW w:w="1100" w:type="dxa"/>
            <w:tcBorders>
              <w:top w:val="nil"/>
              <w:left w:val="nil"/>
              <w:bottom w:val="single" w:sz="4" w:space="0" w:color="auto"/>
              <w:right w:val="single" w:sz="4" w:space="0" w:color="auto"/>
            </w:tcBorders>
            <w:shd w:val="clear" w:color="auto" w:fill="FFFFFF" w:themeFill="background1"/>
            <w:noWrap/>
            <w:vAlign w:val="center"/>
            <w:hideMark/>
          </w:tcPr>
          <w:p w14:paraId="320F823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21945</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803FC6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65,21%</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6BF7F07C"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1083</w:t>
            </w:r>
          </w:p>
        </w:tc>
      </w:tr>
      <w:tr w:rsidR="008451F8" w:rsidRPr="008451F8" w14:paraId="7840E0F6"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0405428E"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Juzgado de Ejecución de la Pena</w:t>
            </w:r>
          </w:p>
        </w:tc>
        <w:tc>
          <w:tcPr>
            <w:tcW w:w="1200" w:type="dxa"/>
            <w:tcBorders>
              <w:top w:val="nil"/>
              <w:left w:val="nil"/>
              <w:bottom w:val="single" w:sz="4" w:space="0" w:color="auto"/>
              <w:right w:val="single" w:sz="4" w:space="0" w:color="auto"/>
            </w:tcBorders>
            <w:shd w:val="clear" w:color="auto" w:fill="auto"/>
            <w:noWrap/>
            <w:vAlign w:val="center"/>
            <w:hideMark/>
          </w:tcPr>
          <w:p w14:paraId="58D6F416"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1162</w:t>
            </w:r>
          </w:p>
        </w:tc>
        <w:tc>
          <w:tcPr>
            <w:tcW w:w="1100" w:type="dxa"/>
            <w:tcBorders>
              <w:top w:val="nil"/>
              <w:left w:val="nil"/>
              <w:bottom w:val="single" w:sz="4" w:space="0" w:color="auto"/>
              <w:right w:val="single" w:sz="4" w:space="0" w:color="auto"/>
            </w:tcBorders>
            <w:shd w:val="clear" w:color="auto" w:fill="auto"/>
            <w:noWrap/>
            <w:vAlign w:val="center"/>
            <w:hideMark/>
          </w:tcPr>
          <w:p w14:paraId="495EDA2A"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351</w:t>
            </w:r>
          </w:p>
        </w:tc>
        <w:tc>
          <w:tcPr>
            <w:tcW w:w="1180" w:type="dxa"/>
            <w:tcBorders>
              <w:top w:val="nil"/>
              <w:left w:val="nil"/>
              <w:bottom w:val="single" w:sz="4" w:space="0" w:color="auto"/>
              <w:right w:val="single" w:sz="4" w:space="0" w:color="auto"/>
            </w:tcBorders>
            <w:shd w:val="clear" w:color="auto" w:fill="auto"/>
            <w:noWrap/>
            <w:vAlign w:val="center"/>
            <w:hideMark/>
          </w:tcPr>
          <w:p w14:paraId="56E465DB"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76,80%</w:t>
            </w:r>
          </w:p>
        </w:tc>
        <w:tc>
          <w:tcPr>
            <w:tcW w:w="1180" w:type="dxa"/>
            <w:tcBorders>
              <w:top w:val="nil"/>
              <w:left w:val="nil"/>
              <w:bottom w:val="single" w:sz="4" w:space="0" w:color="auto"/>
              <w:right w:val="single" w:sz="4" w:space="0" w:color="auto"/>
            </w:tcBorders>
            <w:shd w:val="clear" w:color="auto" w:fill="auto"/>
            <w:noWrap/>
            <w:vAlign w:val="center"/>
            <w:hideMark/>
          </w:tcPr>
          <w:p w14:paraId="1324724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49</w:t>
            </w:r>
          </w:p>
        </w:tc>
      </w:tr>
      <w:tr w:rsidR="008451F8" w:rsidRPr="008451F8" w14:paraId="553DA0E4"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6C032F08"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Juzgado Penal</w:t>
            </w:r>
          </w:p>
        </w:tc>
        <w:tc>
          <w:tcPr>
            <w:tcW w:w="1200" w:type="dxa"/>
            <w:tcBorders>
              <w:top w:val="nil"/>
              <w:left w:val="nil"/>
              <w:bottom w:val="single" w:sz="4" w:space="0" w:color="auto"/>
              <w:right w:val="single" w:sz="4" w:space="0" w:color="auto"/>
            </w:tcBorders>
            <w:shd w:val="clear" w:color="auto" w:fill="auto"/>
            <w:noWrap/>
            <w:vAlign w:val="center"/>
            <w:hideMark/>
          </w:tcPr>
          <w:p w14:paraId="513034E0"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22745</w:t>
            </w:r>
          </w:p>
        </w:tc>
        <w:tc>
          <w:tcPr>
            <w:tcW w:w="1100" w:type="dxa"/>
            <w:tcBorders>
              <w:top w:val="nil"/>
              <w:left w:val="nil"/>
              <w:bottom w:val="single" w:sz="4" w:space="0" w:color="auto"/>
              <w:right w:val="single" w:sz="4" w:space="0" w:color="auto"/>
            </w:tcBorders>
            <w:shd w:val="clear" w:color="auto" w:fill="auto"/>
            <w:noWrap/>
            <w:vAlign w:val="center"/>
            <w:hideMark/>
          </w:tcPr>
          <w:p w14:paraId="41694FAA"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9108</w:t>
            </w:r>
          </w:p>
        </w:tc>
        <w:tc>
          <w:tcPr>
            <w:tcW w:w="1180" w:type="dxa"/>
            <w:tcBorders>
              <w:top w:val="nil"/>
              <w:left w:val="nil"/>
              <w:bottom w:val="single" w:sz="4" w:space="0" w:color="auto"/>
              <w:right w:val="single" w:sz="4" w:space="0" w:color="auto"/>
            </w:tcBorders>
            <w:shd w:val="clear" w:color="auto" w:fill="auto"/>
            <w:noWrap/>
            <w:vAlign w:val="center"/>
            <w:hideMark/>
          </w:tcPr>
          <w:p w14:paraId="002201E1"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71,41%</w:t>
            </w:r>
          </w:p>
        </w:tc>
        <w:tc>
          <w:tcPr>
            <w:tcW w:w="1180" w:type="dxa"/>
            <w:tcBorders>
              <w:top w:val="nil"/>
              <w:left w:val="nil"/>
              <w:bottom w:val="single" w:sz="4" w:space="0" w:color="auto"/>
              <w:right w:val="single" w:sz="4" w:space="0" w:color="auto"/>
            </w:tcBorders>
            <w:shd w:val="clear" w:color="auto" w:fill="auto"/>
            <w:noWrap/>
            <w:vAlign w:val="center"/>
            <w:hideMark/>
          </w:tcPr>
          <w:p w14:paraId="33AED567"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383</w:t>
            </w:r>
          </w:p>
        </w:tc>
      </w:tr>
      <w:tr w:rsidR="008451F8" w:rsidRPr="008451F8" w14:paraId="5908A36B"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38523633"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Juzgado Penal Juvenil</w:t>
            </w:r>
          </w:p>
        </w:tc>
        <w:tc>
          <w:tcPr>
            <w:tcW w:w="1200" w:type="dxa"/>
            <w:tcBorders>
              <w:top w:val="nil"/>
              <w:left w:val="nil"/>
              <w:bottom w:val="single" w:sz="4" w:space="0" w:color="auto"/>
              <w:right w:val="single" w:sz="4" w:space="0" w:color="auto"/>
            </w:tcBorders>
            <w:shd w:val="clear" w:color="auto" w:fill="auto"/>
            <w:noWrap/>
            <w:vAlign w:val="center"/>
            <w:hideMark/>
          </w:tcPr>
          <w:p w14:paraId="44F6278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2853</w:t>
            </w:r>
          </w:p>
        </w:tc>
        <w:tc>
          <w:tcPr>
            <w:tcW w:w="1100" w:type="dxa"/>
            <w:tcBorders>
              <w:top w:val="nil"/>
              <w:left w:val="nil"/>
              <w:bottom w:val="single" w:sz="4" w:space="0" w:color="auto"/>
              <w:right w:val="single" w:sz="4" w:space="0" w:color="auto"/>
            </w:tcBorders>
            <w:shd w:val="clear" w:color="auto" w:fill="auto"/>
            <w:noWrap/>
            <w:vAlign w:val="center"/>
            <w:hideMark/>
          </w:tcPr>
          <w:p w14:paraId="3257608D"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1980</w:t>
            </w:r>
          </w:p>
        </w:tc>
        <w:tc>
          <w:tcPr>
            <w:tcW w:w="1180" w:type="dxa"/>
            <w:tcBorders>
              <w:top w:val="nil"/>
              <w:left w:val="nil"/>
              <w:bottom w:val="single" w:sz="4" w:space="0" w:color="auto"/>
              <w:right w:val="single" w:sz="4" w:space="0" w:color="auto"/>
            </w:tcBorders>
            <w:shd w:val="clear" w:color="auto" w:fill="auto"/>
            <w:noWrap/>
            <w:vAlign w:val="center"/>
            <w:hideMark/>
          </w:tcPr>
          <w:p w14:paraId="5D1FDA63"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59,03%</w:t>
            </w:r>
          </w:p>
        </w:tc>
        <w:tc>
          <w:tcPr>
            <w:tcW w:w="1180" w:type="dxa"/>
            <w:tcBorders>
              <w:top w:val="nil"/>
              <w:left w:val="nil"/>
              <w:bottom w:val="single" w:sz="4" w:space="0" w:color="auto"/>
              <w:right w:val="single" w:sz="4" w:space="0" w:color="auto"/>
            </w:tcBorders>
            <w:shd w:val="clear" w:color="auto" w:fill="auto"/>
            <w:noWrap/>
            <w:vAlign w:val="center"/>
            <w:hideMark/>
          </w:tcPr>
          <w:p w14:paraId="2A09E7A6"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128</w:t>
            </w:r>
          </w:p>
        </w:tc>
      </w:tr>
      <w:tr w:rsidR="008451F8" w:rsidRPr="008451F8" w14:paraId="1D34F54F"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3B723117"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Tribunal Penal</w:t>
            </w:r>
          </w:p>
        </w:tc>
        <w:tc>
          <w:tcPr>
            <w:tcW w:w="1200" w:type="dxa"/>
            <w:tcBorders>
              <w:top w:val="nil"/>
              <w:left w:val="nil"/>
              <w:bottom w:val="single" w:sz="4" w:space="0" w:color="auto"/>
              <w:right w:val="single" w:sz="4" w:space="0" w:color="auto"/>
            </w:tcBorders>
            <w:shd w:val="clear" w:color="auto" w:fill="auto"/>
            <w:noWrap/>
            <w:vAlign w:val="center"/>
            <w:hideMark/>
          </w:tcPr>
          <w:p w14:paraId="26D20471"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10059</w:t>
            </w:r>
          </w:p>
        </w:tc>
        <w:tc>
          <w:tcPr>
            <w:tcW w:w="1100" w:type="dxa"/>
            <w:tcBorders>
              <w:top w:val="nil"/>
              <w:left w:val="nil"/>
              <w:bottom w:val="single" w:sz="4" w:space="0" w:color="auto"/>
              <w:right w:val="single" w:sz="4" w:space="0" w:color="auto"/>
            </w:tcBorders>
            <w:shd w:val="clear" w:color="auto" w:fill="auto"/>
            <w:noWrap/>
            <w:vAlign w:val="center"/>
            <w:hideMark/>
          </w:tcPr>
          <w:p w14:paraId="620128A8"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9378</w:t>
            </w:r>
          </w:p>
        </w:tc>
        <w:tc>
          <w:tcPr>
            <w:tcW w:w="1180" w:type="dxa"/>
            <w:tcBorders>
              <w:top w:val="nil"/>
              <w:left w:val="nil"/>
              <w:bottom w:val="single" w:sz="4" w:space="0" w:color="auto"/>
              <w:right w:val="single" w:sz="4" w:space="0" w:color="auto"/>
            </w:tcBorders>
            <w:shd w:val="clear" w:color="auto" w:fill="auto"/>
            <w:noWrap/>
            <w:vAlign w:val="center"/>
            <w:hideMark/>
          </w:tcPr>
          <w:p w14:paraId="6181AB6B"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51,75%</w:t>
            </w:r>
          </w:p>
        </w:tc>
        <w:tc>
          <w:tcPr>
            <w:tcW w:w="1180" w:type="dxa"/>
            <w:tcBorders>
              <w:top w:val="nil"/>
              <w:left w:val="nil"/>
              <w:bottom w:val="single" w:sz="4" w:space="0" w:color="auto"/>
              <w:right w:val="single" w:sz="4" w:space="0" w:color="auto"/>
            </w:tcBorders>
            <w:shd w:val="clear" w:color="auto" w:fill="auto"/>
            <w:noWrap/>
            <w:vAlign w:val="center"/>
            <w:hideMark/>
          </w:tcPr>
          <w:p w14:paraId="469A0169"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424</w:t>
            </w:r>
          </w:p>
        </w:tc>
      </w:tr>
      <w:tr w:rsidR="008451F8" w:rsidRPr="008451F8" w14:paraId="6E213188" w14:textId="77777777" w:rsidTr="00306313">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13B39B36" w14:textId="77777777" w:rsidR="008451F8" w:rsidRPr="008451F8" w:rsidRDefault="008451F8" w:rsidP="008451F8">
            <w:pPr>
              <w:spacing w:after="0" w:line="276" w:lineRule="auto"/>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Tribunal Penal(Flagrancia)</w:t>
            </w:r>
          </w:p>
        </w:tc>
        <w:tc>
          <w:tcPr>
            <w:tcW w:w="1200" w:type="dxa"/>
            <w:tcBorders>
              <w:top w:val="nil"/>
              <w:left w:val="nil"/>
              <w:bottom w:val="single" w:sz="4" w:space="0" w:color="auto"/>
              <w:right w:val="single" w:sz="4" w:space="0" w:color="auto"/>
            </w:tcBorders>
            <w:shd w:val="clear" w:color="auto" w:fill="auto"/>
            <w:noWrap/>
            <w:vAlign w:val="center"/>
            <w:hideMark/>
          </w:tcPr>
          <w:p w14:paraId="6C563357"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4321</w:t>
            </w:r>
          </w:p>
        </w:tc>
        <w:tc>
          <w:tcPr>
            <w:tcW w:w="1100" w:type="dxa"/>
            <w:tcBorders>
              <w:top w:val="nil"/>
              <w:left w:val="nil"/>
              <w:bottom w:val="single" w:sz="4" w:space="0" w:color="auto"/>
              <w:right w:val="single" w:sz="4" w:space="0" w:color="auto"/>
            </w:tcBorders>
            <w:shd w:val="clear" w:color="auto" w:fill="auto"/>
            <w:noWrap/>
            <w:vAlign w:val="center"/>
            <w:hideMark/>
          </w:tcPr>
          <w:p w14:paraId="41FC90CF"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1128</w:t>
            </w:r>
          </w:p>
        </w:tc>
        <w:tc>
          <w:tcPr>
            <w:tcW w:w="1180" w:type="dxa"/>
            <w:tcBorders>
              <w:top w:val="nil"/>
              <w:left w:val="nil"/>
              <w:bottom w:val="single" w:sz="4" w:space="0" w:color="auto"/>
              <w:right w:val="single" w:sz="4" w:space="0" w:color="auto"/>
            </w:tcBorders>
            <w:shd w:val="clear" w:color="auto" w:fill="auto"/>
            <w:noWrap/>
            <w:vAlign w:val="center"/>
            <w:hideMark/>
          </w:tcPr>
          <w:p w14:paraId="114C26F3"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79,30%</w:t>
            </w:r>
          </w:p>
        </w:tc>
        <w:tc>
          <w:tcPr>
            <w:tcW w:w="1180" w:type="dxa"/>
            <w:tcBorders>
              <w:top w:val="nil"/>
              <w:left w:val="nil"/>
              <w:bottom w:val="single" w:sz="4" w:space="0" w:color="auto"/>
              <w:right w:val="single" w:sz="4" w:space="0" w:color="auto"/>
            </w:tcBorders>
            <w:shd w:val="clear" w:color="auto" w:fill="auto"/>
            <w:noWrap/>
            <w:vAlign w:val="center"/>
            <w:hideMark/>
          </w:tcPr>
          <w:p w14:paraId="317EF246" w14:textId="77777777" w:rsidR="008451F8" w:rsidRPr="008451F8" w:rsidRDefault="008451F8" w:rsidP="008451F8">
            <w:pPr>
              <w:spacing w:after="0" w:line="276" w:lineRule="auto"/>
              <w:jc w:val="center"/>
              <w:rPr>
                <w:rFonts w:ascii="Book Antiqua" w:eastAsia="Times New Roman" w:hAnsi="Book Antiqua" w:cs="Calibri"/>
                <w:color w:val="000000"/>
                <w:sz w:val="16"/>
                <w:szCs w:val="16"/>
                <w:lang w:eastAsia="es-CR"/>
              </w:rPr>
            </w:pPr>
            <w:r w:rsidRPr="008451F8">
              <w:rPr>
                <w:rFonts w:ascii="Book Antiqua" w:eastAsia="Times New Roman" w:hAnsi="Book Antiqua" w:cs="Calibri"/>
                <w:color w:val="000000"/>
                <w:sz w:val="16"/>
                <w:szCs w:val="16"/>
                <w:lang w:eastAsia="es-CR"/>
              </w:rPr>
              <w:t>99</w:t>
            </w:r>
          </w:p>
        </w:tc>
      </w:tr>
    </w:tbl>
    <w:p w14:paraId="4E196245" w14:textId="3EDBD3F9" w:rsidR="003221D1" w:rsidRDefault="003221D1" w:rsidP="009C01E1">
      <w:pPr>
        <w:spacing w:line="276" w:lineRule="auto"/>
        <w:jc w:val="both"/>
        <w:rPr>
          <w:rFonts w:ascii="Book Antiqua" w:hAnsi="Book Antiqua"/>
          <w:sz w:val="24"/>
          <w:szCs w:val="24"/>
        </w:rPr>
      </w:pPr>
    </w:p>
    <w:p w14:paraId="2B127D9A" w14:textId="37A9783A" w:rsidR="00BF4F47" w:rsidRPr="0054258A" w:rsidRDefault="00BF4F47" w:rsidP="0054258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4258A">
        <w:rPr>
          <w:rFonts w:ascii="Book Antiqua" w:eastAsiaTheme="majorEastAsia" w:hAnsi="Book Antiqua" w:cstheme="majorBidi"/>
          <w:b/>
          <w:color w:val="1F3864" w:themeColor="accent1" w:themeShade="80"/>
          <w:sz w:val="24"/>
          <w:lang w:val="es-ES"/>
        </w:rPr>
        <w:t>Modelo de Juzgados de Familia-estructuras</w:t>
      </w:r>
    </w:p>
    <w:p w14:paraId="08C91C9E" w14:textId="265B7EF0" w:rsidR="00FF563A" w:rsidRDefault="00FF563A" w:rsidP="009C01E1">
      <w:pPr>
        <w:spacing w:line="276" w:lineRule="auto"/>
        <w:jc w:val="both"/>
        <w:rPr>
          <w:rFonts w:ascii="Book Antiqua" w:hAnsi="Book Antiqua"/>
          <w:sz w:val="24"/>
          <w:szCs w:val="24"/>
        </w:rPr>
      </w:pPr>
    </w:p>
    <w:p w14:paraId="6139D972" w14:textId="77777777" w:rsidR="00741F9B" w:rsidRPr="00741F9B" w:rsidRDefault="00741F9B" w:rsidP="00741F9B">
      <w:pPr>
        <w:spacing w:after="0" w:line="276" w:lineRule="auto"/>
        <w:jc w:val="both"/>
        <w:rPr>
          <w:rFonts w:ascii="Book Antiqua" w:eastAsia="Calibri" w:hAnsi="Book Antiqua" w:cs="Arial"/>
          <w:sz w:val="24"/>
          <w:szCs w:val="24"/>
        </w:rPr>
      </w:pPr>
      <w:r w:rsidRPr="00741F9B">
        <w:rPr>
          <w:rFonts w:ascii="Book Antiqua" w:eastAsia="Calibri" w:hAnsi="Book Antiqua" w:cs="Arial"/>
          <w:sz w:val="24"/>
          <w:szCs w:val="24"/>
        </w:rPr>
        <w:t>Con el fin de definir la estructura ideal para los Juzgados de Familia, se toma como referencia los Juzgados de Familia de Cartago y San Carlos; los cuales fueron abordados durante los Rediseños de Procesos de los despachos judiciales del Circuito Judicial de Cartago y Segundo Circuito Judicial de San Carlos, a través de nuevas tecnologías y moderna gestión, por lo que se consideran las características generales de tramitación y una vez que se realicen los abordajes se profundizará en la situación específica de cada Despacho</w:t>
      </w:r>
      <w:r w:rsidRPr="00741F9B" w:rsidDel="005708AA">
        <w:rPr>
          <w:rFonts w:ascii="Book Antiqua" w:eastAsia="Calibri" w:hAnsi="Book Antiqua" w:cs="Arial"/>
          <w:sz w:val="24"/>
          <w:szCs w:val="24"/>
        </w:rPr>
        <w:t>.</w:t>
      </w:r>
    </w:p>
    <w:p w14:paraId="0357DFC1" w14:textId="77777777" w:rsidR="00741F9B" w:rsidRPr="00741F9B" w:rsidRDefault="00741F9B" w:rsidP="00741F9B">
      <w:pPr>
        <w:spacing w:after="0" w:line="276" w:lineRule="auto"/>
        <w:jc w:val="both"/>
        <w:rPr>
          <w:rFonts w:ascii="Book Antiqua" w:eastAsia="Calibri" w:hAnsi="Book Antiqua" w:cs="Arial"/>
          <w:sz w:val="24"/>
          <w:szCs w:val="24"/>
        </w:rPr>
      </w:pPr>
    </w:p>
    <w:p w14:paraId="5D2FB3D2" w14:textId="77777777" w:rsidR="00741F9B" w:rsidRPr="00741F9B" w:rsidRDefault="00741F9B" w:rsidP="00741F9B">
      <w:pPr>
        <w:spacing w:after="0" w:line="276" w:lineRule="auto"/>
        <w:jc w:val="both"/>
        <w:rPr>
          <w:rFonts w:ascii="Book Antiqua" w:eastAsia="Calibri" w:hAnsi="Book Antiqua" w:cs="Arial"/>
          <w:sz w:val="24"/>
          <w:szCs w:val="24"/>
        </w:rPr>
      </w:pPr>
      <w:r w:rsidRPr="00741F9B">
        <w:rPr>
          <w:rFonts w:ascii="Book Antiqua" w:eastAsia="Calibri" w:hAnsi="Book Antiqua" w:cs="Arial"/>
          <w:sz w:val="24"/>
          <w:szCs w:val="24"/>
        </w:rPr>
        <w:t xml:space="preserve">Con el modelo de Familia, se pretende estandarizar metodologías de trabajo a nivel nacional, definir parámetros de producción para el personal juzgador y técnico judicial al establecer cuotas para el dictado de sentencias y de proveído, entre otros. </w:t>
      </w:r>
    </w:p>
    <w:p w14:paraId="0A126EC9" w14:textId="290A03C2" w:rsidR="00741F9B" w:rsidRPr="00741F9B" w:rsidRDefault="00741F9B" w:rsidP="00741F9B">
      <w:pPr>
        <w:spacing w:after="0" w:line="276" w:lineRule="auto"/>
        <w:jc w:val="both"/>
        <w:rPr>
          <w:rFonts w:ascii="Book Antiqua" w:eastAsia="Calibri" w:hAnsi="Book Antiqua" w:cs="Arial"/>
          <w:sz w:val="24"/>
          <w:szCs w:val="24"/>
        </w:rPr>
      </w:pPr>
    </w:p>
    <w:p w14:paraId="0030D34A" w14:textId="77777777" w:rsidR="00741F9B" w:rsidRPr="00741F9B" w:rsidRDefault="00741F9B" w:rsidP="00741F9B">
      <w:pPr>
        <w:spacing w:after="0" w:line="276" w:lineRule="auto"/>
        <w:jc w:val="both"/>
        <w:rPr>
          <w:rFonts w:ascii="Book Antiqua" w:eastAsia="Calibri" w:hAnsi="Book Antiqua" w:cs="Arial"/>
          <w:sz w:val="24"/>
          <w:szCs w:val="24"/>
        </w:rPr>
      </w:pPr>
      <w:r w:rsidRPr="00741F9B">
        <w:rPr>
          <w:rFonts w:ascii="Book Antiqua" w:eastAsia="Calibri" w:hAnsi="Book Antiqua" w:cs="Arial"/>
          <w:sz w:val="24"/>
          <w:szCs w:val="24"/>
        </w:rPr>
        <w:t xml:space="preserve">Adicionalmente, como parte de la atención a las recomendaciones de la Contraloría General de la República, se realizó una revisión y propuestas de modificación cuando corresponda de las estructuras de trabajo de todas las oficinas competentes en materia de Familia a nivel nacional. </w:t>
      </w:r>
    </w:p>
    <w:p w14:paraId="6C266F2F" w14:textId="77777777" w:rsidR="00741F9B" w:rsidRPr="00741F9B" w:rsidRDefault="00741F9B" w:rsidP="00741F9B">
      <w:pPr>
        <w:spacing w:after="0" w:line="276" w:lineRule="auto"/>
        <w:jc w:val="both"/>
        <w:rPr>
          <w:rFonts w:ascii="Book Antiqua" w:eastAsia="Calibri" w:hAnsi="Book Antiqua" w:cs="Arial"/>
          <w:sz w:val="24"/>
          <w:szCs w:val="24"/>
        </w:rPr>
      </w:pPr>
    </w:p>
    <w:p w14:paraId="19844BD9" w14:textId="7610E856" w:rsidR="00741F9B" w:rsidRPr="00741F9B" w:rsidRDefault="00741F9B" w:rsidP="00741F9B">
      <w:pPr>
        <w:spacing w:after="0" w:line="276" w:lineRule="auto"/>
        <w:jc w:val="both"/>
        <w:rPr>
          <w:rFonts w:ascii="Book Antiqua" w:eastAsia="Calibri" w:hAnsi="Book Antiqua" w:cs="Arial"/>
          <w:sz w:val="24"/>
          <w:szCs w:val="24"/>
        </w:rPr>
      </w:pPr>
      <w:r w:rsidRPr="00741F9B">
        <w:rPr>
          <w:rFonts w:ascii="Book Antiqua" w:eastAsia="Calibri" w:hAnsi="Book Antiqua" w:cs="Arial"/>
          <w:sz w:val="24"/>
          <w:szCs w:val="24"/>
        </w:rPr>
        <w:t>En el siguiente cuadro se adjunta un resumen de los oficios remitidos por la Dirección de Planificación</w:t>
      </w:r>
      <w:r w:rsidR="00CB3BAB">
        <w:rPr>
          <w:rFonts w:ascii="Book Antiqua" w:eastAsia="Calibri" w:hAnsi="Book Antiqua" w:cs="Arial"/>
          <w:sz w:val="24"/>
          <w:szCs w:val="24"/>
        </w:rPr>
        <w:t>, los cuales ya fueron aprobados por el Consejo Superior.</w:t>
      </w:r>
    </w:p>
    <w:p w14:paraId="1F21971B" w14:textId="58697A20" w:rsidR="00FF563A" w:rsidRDefault="00FF563A" w:rsidP="009C01E1">
      <w:pPr>
        <w:spacing w:line="276" w:lineRule="auto"/>
        <w:jc w:val="both"/>
        <w:rPr>
          <w:rFonts w:ascii="Book Antiqua" w:hAnsi="Book Antiqua"/>
          <w:sz w:val="24"/>
          <w:szCs w:val="24"/>
        </w:rPr>
      </w:pPr>
    </w:p>
    <w:p w14:paraId="617F100A" w14:textId="5D44C880" w:rsidR="00912F27" w:rsidRDefault="00912F27" w:rsidP="009C01E1">
      <w:pPr>
        <w:spacing w:line="276" w:lineRule="auto"/>
        <w:jc w:val="both"/>
        <w:rPr>
          <w:rFonts w:ascii="Book Antiqua" w:hAnsi="Book Antiqua"/>
          <w:sz w:val="24"/>
          <w:szCs w:val="24"/>
        </w:rPr>
      </w:pPr>
    </w:p>
    <w:p w14:paraId="32CCB49D" w14:textId="62B8D718" w:rsidR="00912F27" w:rsidRDefault="00912F27" w:rsidP="009C01E1">
      <w:pPr>
        <w:spacing w:line="276" w:lineRule="auto"/>
        <w:jc w:val="both"/>
        <w:rPr>
          <w:rFonts w:ascii="Book Antiqua" w:hAnsi="Book Antiqua"/>
          <w:sz w:val="24"/>
          <w:szCs w:val="24"/>
        </w:rPr>
      </w:pPr>
    </w:p>
    <w:p w14:paraId="68209161" w14:textId="77DEE5A6" w:rsidR="00912F27" w:rsidRDefault="00912F27" w:rsidP="009C01E1">
      <w:pPr>
        <w:spacing w:line="276" w:lineRule="auto"/>
        <w:jc w:val="both"/>
        <w:rPr>
          <w:rFonts w:ascii="Book Antiqua" w:hAnsi="Book Antiqua"/>
          <w:sz w:val="24"/>
          <w:szCs w:val="24"/>
        </w:rPr>
      </w:pPr>
    </w:p>
    <w:p w14:paraId="6E735D4F" w14:textId="00AB4DEB" w:rsidR="00A879FE" w:rsidRPr="00A879FE" w:rsidRDefault="00A879FE" w:rsidP="00A879F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879FE">
        <w:rPr>
          <w:rFonts w:ascii="Book Antiqua" w:eastAsia="Calibri" w:hAnsi="Book Antiqua" w:cs="Arial"/>
          <w:b/>
          <w:bCs/>
          <w:color w:val="1F497D"/>
          <w:szCs w:val="24"/>
          <w:lang w:val="es-ES" w:eastAsia="es-ES"/>
        </w:rPr>
        <w:lastRenderedPageBreak/>
        <w:t xml:space="preserve">Cuadro </w:t>
      </w:r>
      <w:r w:rsidRPr="00A879FE">
        <w:rPr>
          <w:rFonts w:ascii="Book Antiqua" w:eastAsia="Calibri" w:hAnsi="Book Antiqua" w:cs="Arial"/>
          <w:b/>
          <w:bCs/>
          <w:color w:val="1F497D"/>
          <w:szCs w:val="24"/>
          <w:lang w:val="es-ES" w:eastAsia="es-ES"/>
        </w:rPr>
        <w:fldChar w:fldCharType="begin"/>
      </w:r>
      <w:r w:rsidRPr="00A879FE">
        <w:rPr>
          <w:rFonts w:ascii="Book Antiqua" w:eastAsia="Calibri" w:hAnsi="Book Antiqua" w:cs="Arial"/>
          <w:b/>
          <w:bCs/>
          <w:color w:val="1F497D"/>
          <w:szCs w:val="24"/>
          <w:lang w:val="es-ES" w:eastAsia="es-ES"/>
        </w:rPr>
        <w:instrText xml:space="preserve"> SEQ Cuadro \* ARABIC </w:instrText>
      </w:r>
      <w:r w:rsidRPr="00A879FE">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12</w:t>
      </w:r>
      <w:r w:rsidRPr="00A879FE">
        <w:rPr>
          <w:rFonts w:ascii="Book Antiqua" w:eastAsia="Calibri" w:hAnsi="Book Antiqua" w:cs="Arial"/>
          <w:b/>
          <w:bCs/>
          <w:color w:val="1F497D"/>
          <w:szCs w:val="24"/>
          <w:lang w:val="es-ES" w:eastAsia="es-ES"/>
        </w:rPr>
        <w:fldChar w:fldCharType="end"/>
      </w:r>
    </w:p>
    <w:p w14:paraId="5ACF8A53" w14:textId="5E3D217A" w:rsidR="00A879FE" w:rsidRDefault="00A879FE" w:rsidP="00A879FE">
      <w:pPr>
        <w:spacing w:after="0" w:line="240" w:lineRule="auto"/>
        <w:jc w:val="center"/>
        <w:rPr>
          <w:rFonts w:ascii="Book Antiqua" w:eastAsia="Calibri" w:hAnsi="Book Antiqua" w:cs="Arial"/>
          <w:b/>
          <w:bCs/>
          <w:color w:val="1F497D"/>
          <w:szCs w:val="24"/>
          <w:lang w:val="es-ES" w:eastAsia="es-ES"/>
        </w:rPr>
      </w:pPr>
      <w:r w:rsidRPr="00A879FE">
        <w:rPr>
          <w:rFonts w:ascii="Book Antiqua" w:eastAsia="Calibri" w:hAnsi="Book Antiqua" w:cs="Arial"/>
          <w:b/>
          <w:bCs/>
          <w:color w:val="1F497D"/>
          <w:szCs w:val="24"/>
          <w:lang w:val="es-ES" w:eastAsia="es-ES"/>
        </w:rPr>
        <w:t>Resumen de oficios preliminares, definitivos y acuerdos del CS sobre las estructuras de los Juzgados competentes en Familia a nivel nacional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15"/>
        <w:gridCol w:w="2219"/>
        <w:gridCol w:w="2055"/>
        <w:gridCol w:w="1939"/>
      </w:tblGrid>
      <w:tr w:rsidR="005F057B" w:rsidRPr="005F057B" w14:paraId="1DCEFCC5" w14:textId="77777777" w:rsidTr="00C074F0">
        <w:trPr>
          <w:trHeight w:val="687"/>
        </w:trPr>
        <w:tc>
          <w:tcPr>
            <w:tcW w:w="1481" w:type="pct"/>
            <w:shd w:val="clear" w:color="auto" w:fill="1F497D"/>
            <w:vAlign w:val="center"/>
          </w:tcPr>
          <w:p w14:paraId="6E39D410" w14:textId="77777777" w:rsidR="005F057B" w:rsidRPr="005F057B" w:rsidRDefault="005F057B" w:rsidP="005F057B">
            <w:pPr>
              <w:spacing w:after="0" w:line="240" w:lineRule="auto"/>
              <w:jc w:val="center"/>
              <w:rPr>
                <w:rFonts w:ascii="Book Antiqua" w:eastAsia="Times New Roman" w:hAnsi="Book Antiqua" w:cs="Arial"/>
                <w:color w:val="FFFFFF"/>
                <w:lang w:eastAsia="es-CR"/>
              </w:rPr>
            </w:pPr>
            <w:r w:rsidRPr="005F057B">
              <w:rPr>
                <w:rFonts w:ascii="Book Antiqua" w:eastAsia="Times New Roman" w:hAnsi="Book Antiqua" w:cs="Arial"/>
                <w:b/>
                <w:bCs/>
                <w:color w:val="FFFFFF"/>
                <w:lang w:eastAsia="es-CR"/>
              </w:rPr>
              <w:t>Nombre del Despacho</w:t>
            </w:r>
          </w:p>
        </w:tc>
        <w:tc>
          <w:tcPr>
            <w:tcW w:w="1257" w:type="pct"/>
            <w:shd w:val="clear" w:color="auto" w:fill="1F497D"/>
            <w:vAlign w:val="center"/>
          </w:tcPr>
          <w:p w14:paraId="3B895449" w14:textId="77777777" w:rsidR="005F057B" w:rsidRPr="005F057B" w:rsidRDefault="005F057B" w:rsidP="005F057B">
            <w:pPr>
              <w:spacing w:after="0" w:line="240" w:lineRule="auto"/>
              <w:jc w:val="center"/>
              <w:rPr>
                <w:rFonts w:ascii="Book Antiqua" w:eastAsia="Times New Roman" w:hAnsi="Book Antiqua" w:cs="Times New Roman"/>
                <w:color w:val="FFFFFF"/>
                <w:lang w:eastAsia="es-CR"/>
              </w:rPr>
            </w:pPr>
            <w:r w:rsidRPr="005F057B">
              <w:rPr>
                <w:rFonts w:ascii="Book Antiqua" w:eastAsia="Times New Roman" w:hAnsi="Book Antiqua" w:cs="Arial"/>
                <w:b/>
                <w:bCs/>
                <w:color w:val="FFFFFF"/>
                <w:lang w:eastAsia="es-CR"/>
              </w:rPr>
              <w:t>Oficio preliminar remitido por la D. de Planificación</w:t>
            </w:r>
          </w:p>
        </w:tc>
        <w:tc>
          <w:tcPr>
            <w:tcW w:w="1164" w:type="pct"/>
            <w:shd w:val="clear" w:color="auto" w:fill="1F497D"/>
            <w:vAlign w:val="center"/>
          </w:tcPr>
          <w:p w14:paraId="1E7352B5" w14:textId="77777777" w:rsidR="005F057B" w:rsidRPr="005F057B" w:rsidRDefault="005F057B" w:rsidP="005F057B">
            <w:pPr>
              <w:spacing w:after="0" w:line="240" w:lineRule="auto"/>
              <w:jc w:val="center"/>
              <w:rPr>
                <w:rFonts w:ascii="Book Antiqua" w:eastAsia="Times New Roman" w:hAnsi="Book Antiqua" w:cs="Times New Roman"/>
                <w:color w:val="FFFFFF"/>
                <w:lang w:eastAsia="es-CR"/>
              </w:rPr>
            </w:pPr>
            <w:r w:rsidRPr="005F057B">
              <w:rPr>
                <w:rFonts w:ascii="Book Antiqua" w:eastAsia="Times New Roman" w:hAnsi="Book Antiqua" w:cs="Arial"/>
                <w:b/>
                <w:bCs/>
                <w:color w:val="FFFFFF"/>
                <w:lang w:eastAsia="es-CR"/>
              </w:rPr>
              <w:t>Oficio Definitivo</w:t>
            </w:r>
          </w:p>
        </w:tc>
        <w:tc>
          <w:tcPr>
            <w:tcW w:w="1099" w:type="pct"/>
            <w:shd w:val="clear" w:color="auto" w:fill="1F497D"/>
            <w:vAlign w:val="center"/>
          </w:tcPr>
          <w:p w14:paraId="4938A998" w14:textId="77777777" w:rsidR="005F057B" w:rsidRPr="005F057B" w:rsidRDefault="005F057B" w:rsidP="000012B5">
            <w:pPr>
              <w:spacing w:after="0" w:line="240" w:lineRule="auto"/>
              <w:jc w:val="center"/>
              <w:rPr>
                <w:rFonts w:ascii="Book Antiqua" w:eastAsia="Times New Roman" w:hAnsi="Book Antiqua" w:cs="Arial"/>
                <w:color w:val="FFFFFF"/>
                <w:lang w:eastAsia="es-CR"/>
              </w:rPr>
            </w:pPr>
            <w:r w:rsidRPr="005F057B">
              <w:rPr>
                <w:rFonts w:ascii="Book Antiqua" w:eastAsia="Times New Roman" w:hAnsi="Book Antiqua" w:cs="Arial"/>
                <w:b/>
                <w:bCs/>
                <w:color w:val="FFFFFF"/>
                <w:lang w:eastAsia="es-CR"/>
              </w:rPr>
              <w:t>Acuerdo del Consejo Superior</w:t>
            </w:r>
          </w:p>
        </w:tc>
      </w:tr>
      <w:tr w:rsidR="005F057B" w:rsidRPr="005F057B" w14:paraId="5A212C7E" w14:textId="77777777" w:rsidTr="00C074F0">
        <w:trPr>
          <w:trHeight w:val="687"/>
        </w:trPr>
        <w:tc>
          <w:tcPr>
            <w:tcW w:w="1481" w:type="pct"/>
            <w:shd w:val="clear" w:color="auto" w:fill="auto"/>
            <w:vAlign w:val="center"/>
            <w:hideMark/>
          </w:tcPr>
          <w:p w14:paraId="28C3CF29"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Juvenil. y Viol. Dom. Grecia</w:t>
            </w:r>
          </w:p>
        </w:tc>
        <w:tc>
          <w:tcPr>
            <w:tcW w:w="1257" w:type="pct"/>
            <w:shd w:val="clear" w:color="auto" w:fill="auto"/>
            <w:vAlign w:val="center"/>
            <w:hideMark/>
          </w:tcPr>
          <w:p w14:paraId="7AEF1735"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1829-PLA-MI-2020</w:t>
            </w:r>
          </w:p>
        </w:tc>
        <w:tc>
          <w:tcPr>
            <w:tcW w:w="1164" w:type="pct"/>
            <w:shd w:val="clear" w:color="auto" w:fill="auto"/>
            <w:vAlign w:val="center"/>
            <w:hideMark/>
          </w:tcPr>
          <w:p w14:paraId="415A38C0"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16-PLA-MI-2021</w:t>
            </w:r>
          </w:p>
        </w:tc>
        <w:tc>
          <w:tcPr>
            <w:tcW w:w="1099" w:type="pct"/>
            <w:shd w:val="clear" w:color="auto" w:fill="auto"/>
            <w:vAlign w:val="center"/>
            <w:hideMark/>
          </w:tcPr>
          <w:p w14:paraId="3D3FF830"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XLIX </w:t>
            </w:r>
          </w:p>
        </w:tc>
      </w:tr>
      <w:tr w:rsidR="005F057B" w:rsidRPr="005F057B" w14:paraId="6E55E760" w14:textId="77777777" w:rsidTr="00C074F0">
        <w:trPr>
          <w:trHeight w:val="624"/>
        </w:trPr>
        <w:tc>
          <w:tcPr>
            <w:tcW w:w="1481" w:type="pct"/>
            <w:shd w:val="clear" w:color="auto" w:fill="auto"/>
            <w:vAlign w:val="center"/>
            <w:hideMark/>
          </w:tcPr>
          <w:p w14:paraId="45B4BC8F"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Cartago</w:t>
            </w:r>
          </w:p>
        </w:tc>
        <w:tc>
          <w:tcPr>
            <w:tcW w:w="1257" w:type="pct"/>
            <w:shd w:val="clear" w:color="auto" w:fill="auto"/>
            <w:vAlign w:val="center"/>
            <w:hideMark/>
          </w:tcPr>
          <w:p w14:paraId="41B28B2C"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1773-PLA-EV-2020</w:t>
            </w:r>
          </w:p>
        </w:tc>
        <w:tc>
          <w:tcPr>
            <w:tcW w:w="1164" w:type="pct"/>
            <w:shd w:val="clear" w:color="auto" w:fill="auto"/>
            <w:vAlign w:val="center"/>
            <w:hideMark/>
          </w:tcPr>
          <w:p w14:paraId="7991ECED"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271-PLA-EV-2021</w:t>
            </w:r>
          </w:p>
        </w:tc>
        <w:tc>
          <w:tcPr>
            <w:tcW w:w="1099" w:type="pct"/>
            <w:shd w:val="clear" w:color="auto" w:fill="auto"/>
            <w:vAlign w:val="center"/>
            <w:hideMark/>
          </w:tcPr>
          <w:p w14:paraId="6E3B270C" w14:textId="3E61DC81" w:rsidR="005F057B" w:rsidRPr="005F057B" w:rsidRDefault="00D87546"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Pr="00D87546">
              <w:rPr>
                <w:rFonts w:ascii="Book Antiqua" w:eastAsia="Times New Roman" w:hAnsi="Book Antiqua" w:cs="Arial"/>
                <w:color w:val="000000"/>
                <w:lang w:eastAsia="es-CR"/>
              </w:rPr>
              <w:t>22-21 del 16</w:t>
            </w:r>
            <w:r>
              <w:rPr>
                <w:rFonts w:ascii="Book Antiqua" w:eastAsia="Times New Roman" w:hAnsi="Book Antiqua" w:cs="Arial"/>
                <w:color w:val="000000"/>
                <w:lang w:eastAsia="es-CR"/>
              </w:rPr>
              <w:t>3-</w:t>
            </w:r>
            <w:r w:rsidRPr="00D87546">
              <w:rPr>
                <w:rFonts w:ascii="Book Antiqua" w:eastAsia="Times New Roman" w:hAnsi="Book Antiqua" w:cs="Arial"/>
                <w:color w:val="000000"/>
                <w:lang w:eastAsia="es-CR"/>
              </w:rPr>
              <w:t xml:space="preserve">21, </w:t>
            </w:r>
            <w:r>
              <w:rPr>
                <w:rFonts w:ascii="Book Antiqua" w:eastAsia="Times New Roman" w:hAnsi="Book Antiqua" w:cs="Arial"/>
                <w:color w:val="000000"/>
                <w:lang w:eastAsia="es-CR"/>
              </w:rPr>
              <w:t>A</w:t>
            </w:r>
            <w:r w:rsidRPr="00D87546">
              <w:rPr>
                <w:rFonts w:ascii="Book Antiqua" w:eastAsia="Times New Roman" w:hAnsi="Book Antiqua" w:cs="Arial"/>
                <w:color w:val="000000"/>
                <w:lang w:eastAsia="es-CR"/>
              </w:rPr>
              <w:t>rt</w:t>
            </w:r>
            <w:r>
              <w:rPr>
                <w:rFonts w:ascii="Book Antiqua" w:eastAsia="Times New Roman" w:hAnsi="Book Antiqua" w:cs="Arial"/>
                <w:color w:val="000000"/>
                <w:lang w:eastAsia="es-CR"/>
              </w:rPr>
              <w:t>.</w:t>
            </w:r>
            <w:r w:rsidRPr="00D87546">
              <w:rPr>
                <w:rFonts w:ascii="Book Antiqua" w:eastAsia="Times New Roman" w:hAnsi="Book Antiqua" w:cs="Arial"/>
                <w:color w:val="000000"/>
                <w:lang w:eastAsia="es-CR"/>
              </w:rPr>
              <w:t xml:space="preserve"> XXXVI</w:t>
            </w:r>
            <w:r w:rsidR="005F057B" w:rsidRPr="005F057B">
              <w:rPr>
                <w:rFonts w:ascii="Book Antiqua" w:eastAsia="Times New Roman" w:hAnsi="Book Antiqua" w:cs="Arial"/>
                <w:color w:val="000000"/>
                <w:lang w:eastAsia="es-CR"/>
              </w:rPr>
              <w:t> </w:t>
            </w:r>
          </w:p>
        </w:tc>
      </w:tr>
      <w:tr w:rsidR="005F057B" w:rsidRPr="005F057B" w14:paraId="5A8B02FD" w14:textId="77777777" w:rsidTr="00C074F0">
        <w:trPr>
          <w:trHeight w:val="615"/>
        </w:trPr>
        <w:tc>
          <w:tcPr>
            <w:tcW w:w="1481" w:type="pct"/>
            <w:shd w:val="clear" w:color="auto" w:fill="auto"/>
            <w:vAlign w:val="center"/>
            <w:hideMark/>
          </w:tcPr>
          <w:p w14:paraId="709A3CFE"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Niñez y Adolescencia</w:t>
            </w:r>
          </w:p>
        </w:tc>
        <w:tc>
          <w:tcPr>
            <w:tcW w:w="1257" w:type="pct"/>
            <w:shd w:val="clear" w:color="auto" w:fill="auto"/>
            <w:vAlign w:val="center"/>
            <w:hideMark/>
          </w:tcPr>
          <w:p w14:paraId="6822C47F"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1771-PLA-EV-2020</w:t>
            </w:r>
          </w:p>
        </w:tc>
        <w:tc>
          <w:tcPr>
            <w:tcW w:w="1164" w:type="pct"/>
            <w:shd w:val="clear" w:color="auto" w:fill="auto"/>
            <w:vAlign w:val="center"/>
            <w:hideMark/>
          </w:tcPr>
          <w:p w14:paraId="18D92F74"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21-PLA-EV-2021</w:t>
            </w:r>
          </w:p>
        </w:tc>
        <w:tc>
          <w:tcPr>
            <w:tcW w:w="1099" w:type="pct"/>
            <w:shd w:val="clear" w:color="auto" w:fill="auto"/>
            <w:vAlign w:val="center"/>
            <w:hideMark/>
          </w:tcPr>
          <w:p w14:paraId="5EFE3D85"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XLV </w:t>
            </w:r>
          </w:p>
        </w:tc>
      </w:tr>
      <w:tr w:rsidR="005F057B" w:rsidRPr="005F057B" w14:paraId="1958CAC5" w14:textId="77777777" w:rsidTr="00C074F0">
        <w:trPr>
          <w:trHeight w:val="554"/>
        </w:trPr>
        <w:tc>
          <w:tcPr>
            <w:tcW w:w="1481" w:type="pct"/>
            <w:shd w:val="clear" w:color="auto" w:fill="auto"/>
            <w:vAlign w:val="center"/>
            <w:hideMark/>
          </w:tcPr>
          <w:p w14:paraId="21FE7E6D"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Primero de Familia San José</w:t>
            </w:r>
          </w:p>
        </w:tc>
        <w:tc>
          <w:tcPr>
            <w:tcW w:w="1257" w:type="pct"/>
            <w:shd w:val="clear" w:color="auto" w:fill="auto"/>
            <w:vAlign w:val="center"/>
            <w:hideMark/>
          </w:tcPr>
          <w:p w14:paraId="3B44DF42"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1836-PLA-EV-2020</w:t>
            </w:r>
          </w:p>
        </w:tc>
        <w:tc>
          <w:tcPr>
            <w:tcW w:w="1164" w:type="pct"/>
            <w:shd w:val="clear" w:color="auto" w:fill="auto"/>
            <w:vAlign w:val="center"/>
            <w:hideMark/>
          </w:tcPr>
          <w:p w14:paraId="5C35C1A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66-PLA-MI-2021</w:t>
            </w:r>
          </w:p>
        </w:tc>
        <w:tc>
          <w:tcPr>
            <w:tcW w:w="1099" w:type="pct"/>
            <w:shd w:val="clear" w:color="auto" w:fill="auto"/>
            <w:vAlign w:val="center"/>
            <w:hideMark/>
          </w:tcPr>
          <w:p w14:paraId="1552822E"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10-21 del 4-2-21, Art. XLVII</w:t>
            </w:r>
          </w:p>
        </w:tc>
      </w:tr>
      <w:tr w:rsidR="005F057B" w:rsidRPr="005F057B" w14:paraId="78959F6E" w14:textId="77777777" w:rsidTr="00C074F0">
        <w:trPr>
          <w:trHeight w:val="650"/>
        </w:trPr>
        <w:tc>
          <w:tcPr>
            <w:tcW w:w="1481" w:type="pct"/>
            <w:shd w:val="clear" w:color="auto" w:fill="auto"/>
            <w:vAlign w:val="center"/>
            <w:hideMark/>
          </w:tcPr>
          <w:p w14:paraId="7E67B9E9"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Segundo de Familia San José</w:t>
            </w:r>
          </w:p>
        </w:tc>
        <w:tc>
          <w:tcPr>
            <w:tcW w:w="1257" w:type="pct"/>
            <w:shd w:val="clear" w:color="auto" w:fill="auto"/>
            <w:vAlign w:val="center"/>
            <w:hideMark/>
          </w:tcPr>
          <w:p w14:paraId="6C541162"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1826-PLA-EV-2020</w:t>
            </w:r>
          </w:p>
        </w:tc>
        <w:tc>
          <w:tcPr>
            <w:tcW w:w="1164" w:type="pct"/>
            <w:shd w:val="clear" w:color="auto" w:fill="auto"/>
            <w:vAlign w:val="center"/>
            <w:hideMark/>
          </w:tcPr>
          <w:p w14:paraId="702BD29C"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96-PLA-EV-2021</w:t>
            </w:r>
          </w:p>
        </w:tc>
        <w:tc>
          <w:tcPr>
            <w:tcW w:w="1099" w:type="pct"/>
            <w:shd w:val="clear" w:color="auto" w:fill="auto"/>
            <w:vAlign w:val="center"/>
            <w:hideMark/>
          </w:tcPr>
          <w:p w14:paraId="5C3BAE2B"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9-21 del 2-2-21, Art. XXXVIII</w:t>
            </w:r>
          </w:p>
        </w:tc>
      </w:tr>
      <w:tr w:rsidR="005F057B" w:rsidRPr="005F057B" w14:paraId="656CA23A" w14:textId="77777777" w:rsidTr="00C074F0">
        <w:trPr>
          <w:trHeight w:val="701"/>
        </w:trPr>
        <w:tc>
          <w:tcPr>
            <w:tcW w:w="1481" w:type="pct"/>
            <w:shd w:val="clear" w:color="auto" w:fill="auto"/>
            <w:vAlign w:val="center"/>
            <w:hideMark/>
          </w:tcPr>
          <w:p w14:paraId="1F1229D0"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II Circ. Jud. San José</w:t>
            </w:r>
          </w:p>
        </w:tc>
        <w:tc>
          <w:tcPr>
            <w:tcW w:w="1257" w:type="pct"/>
            <w:shd w:val="clear" w:color="auto" w:fill="auto"/>
            <w:vAlign w:val="center"/>
            <w:hideMark/>
          </w:tcPr>
          <w:p w14:paraId="16DAC4F1" w14:textId="177503A1"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1835-PLA-EV-2020</w:t>
            </w:r>
          </w:p>
        </w:tc>
        <w:tc>
          <w:tcPr>
            <w:tcW w:w="1164" w:type="pct"/>
            <w:shd w:val="clear" w:color="auto" w:fill="auto"/>
            <w:vAlign w:val="center"/>
            <w:hideMark/>
          </w:tcPr>
          <w:p w14:paraId="0D0AFCAE" w14:textId="6DF62F04" w:rsidR="003348BF" w:rsidRPr="005F057B" w:rsidRDefault="003348BF" w:rsidP="003348BF">
            <w:pPr>
              <w:spacing w:after="0" w:line="240" w:lineRule="auto"/>
              <w:jc w:val="center"/>
              <w:rPr>
                <w:rFonts w:ascii="Book Antiqua" w:eastAsia="Times New Roman" w:hAnsi="Book Antiqua" w:cs="Arial"/>
                <w:color w:val="000000"/>
                <w:lang w:eastAsia="es-CR"/>
              </w:rPr>
            </w:pPr>
            <w:r>
              <w:rPr>
                <w:rFonts w:ascii="Book Antiqua" w:eastAsia="Times New Roman" w:hAnsi="Book Antiqua" w:cs="Arial"/>
                <w:color w:val="000000"/>
                <w:lang w:eastAsia="es-CR"/>
              </w:rPr>
              <w:t>458-PLA-EV-2020</w:t>
            </w:r>
            <w:r w:rsidR="005F057B" w:rsidRPr="005F057B">
              <w:rPr>
                <w:rFonts w:ascii="Book Antiqua" w:eastAsia="Times New Roman" w:hAnsi="Book Antiqua" w:cs="Arial"/>
                <w:color w:val="000000"/>
                <w:lang w:eastAsia="es-CR"/>
              </w:rPr>
              <w:t> </w:t>
            </w:r>
          </w:p>
          <w:p w14:paraId="61C203C0" w14:textId="6A3A34BD" w:rsidR="005F057B" w:rsidRPr="005F057B" w:rsidRDefault="005F057B" w:rsidP="009F023C">
            <w:pPr>
              <w:spacing w:after="0" w:line="240" w:lineRule="auto"/>
              <w:jc w:val="center"/>
              <w:rPr>
                <w:rFonts w:ascii="Book Antiqua" w:eastAsia="Times New Roman" w:hAnsi="Book Antiqua" w:cs="Arial"/>
                <w:color w:val="000000"/>
                <w:lang w:eastAsia="es-CR"/>
              </w:rPr>
            </w:pPr>
          </w:p>
        </w:tc>
        <w:tc>
          <w:tcPr>
            <w:tcW w:w="1099" w:type="pct"/>
            <w:shd w:val="clear" w:color="auto" w:fill="auto"/>
            <w:vAlign w:val="center"/>
            <w:hideMark/>
          </w:tcPr>
          <w:p w14:paraId="6B16D169" w14:textId="5EB74C9B" w:rsidR="005F057B" w:rsidRPr="005F057B" w:rsidRDefault="00191B99"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003348BF">
              <w:rPr>
                <w:rFonts w:ascii="Book Antiqua" w:eastAsia="Times New Roman" w:hAnsi="Book Antiqua" w:cs="Arial"/>
                <w:color w:val="000000"/>
                <w:lang w:eastAsia="es-CR"/>
              </w:rPr>
              <w:t>33</w:t>
            </w:r>
            <w:r w:rsidR="00DF41CB" w:rsidRPr="00DF41CB">
              <w:rPr>
                <w:rFonts w:ascii="Book Antiqua" w:eastAsia="Times New Roman" w:hAnsi="Book Antiqua" w:cs="Arial"/>
                <w:color w:val="000000"/>
                <w:lang w:eastAsia="es-CR"/>
              </w:rPr>
              <w:t xml:space="preserve">-21 del </w:t>
            </w:r>
            <w:r w:rsidR="003348BF">
              <w:rPr>
                <w:rFonts w:ascii="Book Antiqua" w:eastAsia="Times New Roman" w:hAnsi="Book Antiqua" w:cs="Arial"/>
                <w:color w:val="000000"/>
                <w:lang w:eastAsia="es-CR"/>
              </w:rPr>
              <w:t>27</w:t>
            </w:r>
            <w:r w:rsidR="00DF41CB" w:rsidRPr="00DF41CB">
              <w:rPr>
                <w:rFonts w:ascii="Book Antiqua" w:eastAsia="Times New Roman" w:hAnsi="Book Antiqua" w:cs="Arial"/>
                <w:color w:val="000000"/>
                <w:lang w:eastAsia="es-CR"/>
              </w:rPr>
              <w:t>-</w:t>
            </w:r>
            <w:r w:rsidR="003348BF">
              <w:rPr>
                <w:rFonts w:ascii="Book Antiqua" w:eastAsia="Times New Roman" w:hAnsi="Book Antiqua" w:cs="Arial"/>
                <w:color w:val="000000"/>
                <w:lang w:eastAsia="es-CR"/>
              </w:rPr>
              <w:t>4</w:t>
            </w:r>
            <w:r w:rsidR="00DF41CB" w:rsidRPr="00DF41CB">
              <w:rPr>
                <w:rFonts w:ascii="Book Antiqua" w:eastAsia="Times New Roman" w:hAnsi="Book Antiqua" w:cs="Arial"/>
                <w:color w:val="000000"/>
                <w:lang w:eastAsia="es-CR"/>
              </w:rPr>
              <w:t xml:space="preserve">-21, </w:t>
            </w:r>
            <w:r>
              <w:rPr>
                <w:rFonts w:ascii="Book Antiqua" w:eastAsia="Times New Roman" w:hAnsi="Book Antiqua" w:cs="Arial"/>
                <w:color w:val="000000"/>
                <w:lang w:eastAsia="es-CR"/>
              </w:rPr>
              <w:t>A</w:t>
            </w:r>
            <w:r w:rsidR="00DF41CB" w:rsidRPr="00DF41CB">
              <w:rPr>
                <w:rFonts w:ascii="Book Antiqua" w:eastAsia="Times New Roman" w:hAnsi="Book Antiqua" w:cs="Arial"/>
                <w:color w:val="000000"/>
                <w:lang w:eastAsia="es-CR"/>
              </w:rPr>
              <w:t>rt</w:t>
            </w:r>
            <w:r w:rsidR="00CA4873">
              <w:rPr>
                <w:rFonts w:ascii="Book Antiqua" w:eastAsia="Times New Roman" w:hAnsi="Book Antiqua" w:cs="Arial"/>
                <w:color w:val="000000"/>
                <w:lang w:eastAsia="es-CR"/>
              </w:rPr>
              <w:t>.</w:t>
            </w:r>
            <w:r w:rsidR="00DF41CB" w:rsidRPr="00DF41CB">
              <w:rPr>
                <w:rFonts w:ascii="Book Antiqua" w:eastAsia="Times New Roman" w:hAnsi="Book Antiqua" w:cs="Arial"/>
                <w:color w:val="000000"/>
                <w:lang w:eastAsia="es-CR"/>
              </w:rPr>
              <w:t xml:space="preserve"> XXXV</w:t>
            </w:r>
            <w:r w:rsidR="003348BF">
              <w:rPr>
                <w:rFonts w:ascii="Book Antiqua" w:eastAsia="Times New Roman" w:hAnsi="Book Antiqua" w:cs="Arial"/>
                <w:color w:val="000000"/>
                <w:lang w:eastAsia="es-CR"/>
              </w:rPr>
              <w:t>II</w:t>
            </w:r>
          </w:p>
        </w:tc>
      </w:tr>
      <w:tr w:rsidR="005F057B" w:rsidRPr="005F057B" w14:paraId="64DD4449" w14:textId="77777777" w:rsidTr="00C074F0">
        <w:trPr>
          <w:trHeight w:val="435"/>
        </w:trPr>
        <w:tc>
          <w:tcPr>
            <w:tcW w:w="1481" w:type="pct"/>
            <w:shd w:val="clear" w:color="auto" w:fill="auto"/>
            <w:vAlign w:val="center"/>
            <w:hideMark/>
          </w:tcPr>
          <w:p w14:paraId="1398794B"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de Familia III Circ. Jud. San José, Desamparados</w:t>
            </w:r>
          </w:p>
        </w:tc>
        <w:tc>
          <w:tcPr>
            <w:tcW w:w="1257" w:type="pct"/>
            <w:shd w:val="clear" w:color="auto" w:fill="auto"/>
            <w:vAlign w:val="center"/>
            <w:hideMark/>
          </w:tcPr>
          <w:p w14:paraId="5B71ED23"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1828-PLA-MI-2020</w:t>
            </w:r>
          </w:p>
        </w:tc>
        <w:tc>
          <w:tcPr>
            <w:tcW w:w="1164" w:type="pct"/>
            <w:shd w:val="clear" w:color="auto" w:fill="auto"/>
            <w:vAlign w:val="center"/>
            <w:hideMark/>
          </w:tcPr>
          <w:p w14:paraId="3CA34F13" w14:textId="321943FA" w:rsidR="005F057B" w:rsidRPr="005F057B" w:rsidRDefault="007E21C5" w:rsidP="005F057B">
            <w:pPr>
              <w:spacing w:after="0" w:line="240" w:lineRule="auto"/>
              <w:jc w:val="center"/>
              <w:rPr>
                <w:rFonts w:ascii="Book Antiqua" w:eastAsia="Times New Roman" w:hAnsi="Book Antiqua" w:cs="Arial"/>
                <w:color w:val="000000"/>
                <w:lang w:eastAsia="es-CR"/>
              </w:rPr>
            </w:pPr>
            <w:r>
              <w:rPr>
                <w:rFonts w:ascii="Book Antiqua" w:eastAsia="Times New Roman" w:hAnsi="Book Antiqua" w:cs="Arial"/>
                <w:color w:val="000000"/>
                <w:lang w:eastAsia="es-CR"/>
              </w:rPr>
              <w:t>178-PLA-</w:t>
            </w:r>
            <w:r w:rsidR="006A2A64">
              <w:rPr>
                <w:rFonts w:ascii="Book Antiqua" w:eastAsia="Times New Roman" w:hAnsi="Book Antiqua" w:cs="Arial"/>
                <w:color w:val="000000"/>
                <w:lang w:eastAsia="es-CR"/>
              </w:rPr>
              <w:t xml:space="preserve">EV-2021 y </w:t>
            </w:r>
            <w:r w:rsidR="005F057B" w:rsidRPr="005F057B">
              <w:rPr>
                <w:rFonts w:ascii="Book Antiqua" w:eastAsia="Times New Roman" w:hAnsi="Book Antiqua" w:cs="Arial"/>
                <w:color w:val="000000"/>
                <w:lang w:eastAsia="es-CR"/>
              </w:rPr>
              <w:t>311-PLA-MI-21</w:t>
            </w:r>
          </w:p>
        </w:tc>
        <w:tc>
          <w:tcPr>
            <w:tcW w:w="1099" w:type="pct"/>
            <w:shd w:val="clear" w:color="auto" w:fill="auto"/>
            <w:vAlign w:val="center"/>
            <w:hideMark/>
          </w:tcPr>
          <w:p w14:paraId="405BB00C" w14:textId="55012DCC" w:rsidR="00A76F5B" w:rsidRPr="00A76F5B" w:rsidRDefault="00A76F5B"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Sesión</w:t>
            </w:r>
            <w:r w:rsidR="005F057B" w:rsidRPr="005F057B">
              <w:rPr>
                <w:rFonts w:ascii="Book Antiqua" w:eastAsia="Times New Roman" w:hAnsi="Book Antiqua" w:cs="Arial"/>
                <w:color w:val="000000"/>
                <w:lang w:eastAsia="es-CR"/>
              </w:rPr>
              <w:t> </w:t>
            </w:r>
            <w:r w:rsidRPr="00A76F5B">
              <w:rPr>
                <w:rFonts w:ascii="Book Antiqua" w:eastAsia="Times New Roman" w:hAnsi="Book Antiqua" w:cs="Arial"/>
                <w:color w:val="000000"/>
                <w:lang w:eastAsia="es-CR"/>
              </w:rPr>
              <w:t xml:space="preserve">15-21 del 23-2-21, </w:t>
            </w:r>
            <w:r>
              <w:rPr>
                <w:rFonts w:ascii="Book Antiqua" w:eastAsia="Times New Roman" w:hAnsi="Book Antiqua" w:cs="Arial"/>
                <w:color w:val="000000"/>
                <w:lang w:eastAsia="es-CR"/>
              </w:rPr>
              <w:t>A</w:t>
            </w:r>
            <w:r w:rsidRPr="00A76F5B">
              <w:rPr>
                <w:rFonts w:ascii="Book Antiqua" w:eastAsia="Times New Roman" w:hAnsi="Book Antiqua" w:cs="Arial"/>
                <w:color w:val="000000"/>
                <w:lang w:eastAsia="es-CR"/>
              </w:rPr>
              <w:t>rt</w:t>
            </w:r>
            <w:r>
              <w:rPr>
                <w:rFonts w:ascii="Book Antiqua" w:eastAsia="Times New Roman" w:hAnsi="Book Antiqua" w:cs="Arial"/>
                <w:color w:val="000000"/>
                <w:lang w:eastAsia="es-CR"/>
              </w:rPr>
              <w:t>.</w:t>
            </w:r>
            <w:r w:rsidRPr="00A76F5B">
              <w:rPr>
                <w:rFonts w:ascii="Book Antiqua" w:eastAsia="Times New Roman" w:hAnsi="Book Antiqua" w:cs="Arial"/>
                <w:color w:val="000000"/>
                <w:lang w:eastAsia="es-CR"/>
              </w:rPr>
              <w:t xml:space="preserve"> XXXV y</w:t>
            </w:r>
            <w:r w:rsidR="00F119D1">
              <w:rPr>
                <w:rFonts w:ascii="Book Antiqua" w:eastAsia="Times New Roman" w:hAnsi="Book Antiqua" w:cs="Arial"/>
                <w:color w:val="000000"/>
                <w:lang w:eastAsia="es-CR"/>
              </w:rPr>
              <w:t xml:space="preserve"> Sesión</w:t>
            </w:r>
            <w:r w:rsidRPr="00A76F5B">
              <w:rPr>
                <w:rFonts w:ascii="Book Antiqua" w:eastAsia="Times New Roman" w:hAnsi="Book Antiqua" w:cs="Arial"/>
                <w:color w:val="000000"/>
                <w:lang w:eastAsia="es-CR"/>
              </w:rPr>
              <w:t xml:space="preserve"> </w:t>
            </w:r>
          </w:p>
          <w:p w14:paraId="601D734D" w14:textId="7A798BC1" w:rsidR="005F057B" w:rsidRPr="005F057B" w:rsidRDefault="00A76F5B" w:rsidP="000012B5">
            <w:pPr>
              <w:spacing w:after="0" w:line="240" w:lineRule="auto"/>
              <w:jc w:val="both"/>
              <w:rPr>
                <w:rFonts w:ascii="Book Antiqua" w:eastAsia="Times New Roman" w:hAnsi="Book Antiqua" w:cs="Arial"/>
                <w:color w:val="000000"/>
                <w:lang w:eastAsia="es-CR"/>
              </w:rPr>
            </w:pPr>
            <w:r w:rsidRPr="00A76F5B">
              <w:rPr>
                <w:rFonts w:ascii="Book Antiqua" w:eastAsia="Times New Roman" w:hAnsi="Book Antiqua" w:cs="Arial"/>
                <w:color w:val="000000"/>
                <w:lang w:eastAsia="es-CR"/>
              </w:rPr>
              <w:t xml:space="preserve">26-21 del 6-4-21, </w:t>
            </w:r>
            <w:r w:rsidR="00F119D1">
              <w:rPr>
                <w:rFonts w:ascii="Book Antiqua" w:eastAsia="Times New Roman" w:hAnsi="Book Antiqua" w:cs="Arial"/>
                <w:color w:val="000000"/>
                <w:lang w:eastAsia="es-CR"/>
              </w:rPr>
              <w:t>A</w:t>
            </w:r>
            <w:r w:rsidRPr="00A76F5B">
              <w:rPr>
                <w:rFonts w:ascii="Book Antiqua" w:eastAsia="Times New Roman" w:hAnsi="Book Antiqua" w:cs="Arial"/>
                <w:color w:val="000000"/>
                <w:lang w:eastAsia="es-CR"/>
              </w:rPr>
              <w:t>rt</w:t>
            </w:r>
            <w:r w:rsidR="00F119D1">
              <w:rPr>
                <w:rFonts w:ascii="Book Antiqua" w:eastAsia="Times New Roman" w:hAnsi="Book Antiqua" w:cs="Arial"/>
                <w:color w:val="000000"/>
                <w:lang w:eastAsia="es-CR"/>
              </w:rPr>
              <w:t>.</w:t>
            </w:r>
            <w:r w:rsidRPr="00A76F5B">
              <w:rPr>
                <w:rFonts w:ascii="Book Antiqua" w:eastAsia="Times New Roman" w:hAnsi="Book Antiqua" w:cs="Arial"/>
                <w:color w:val="000000"/>
                <w:lang w:eastAsia="es-CR"/>
              </w:rPr>
              <w:t xml:space="preserve"> XLVII</w:t>
            </w:r>
          </w:p>
        </w:tc>
      </w:tr>
      <w:tr w:rsidR="005F057B" w:rsidRPr="005F057B" w14:paraId="3ABE33C3" w14:textId="77777777" w:rsidTr="00C074F0">
        <w:trPr>
          <w:trHeight w:val="563"/>
        </w:trPr>
        <w:tc>
          <w:tcPr>
            <w:tcW w:w="1481" w:type="pct"/>
            <w:shd w:val="clear" w:color="auto" w:fill="auto"/>
            <w:vAlign w:val="center"/>
            <w:hideMark/>
          </w:tcPr>
          <w:p w14:paraId="17919344"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Tribunal del Familia </w:t>
            </w:r>
          </w:p>
        </w:tc>
        <w:tc>
          <w:tcPr>
            <w:tcW w:w="1257" w:type="pct"/>
            <w:shd w:val="clear" w:color="auto" w:fill="auto"/>
            <w:vAlign w:val="center"/>
            <w:hideMark/>
          </w:tcPr>
          <w:p w14:paraId="46CB5D0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1768-PLA-EV-2020</w:t>
            </w:r>
          </w:p>
        </w:tc>
        <w:tc>
          <w:tcPr>
            <w:tcW w:w="1164" w:type="pct"/>
            <w:shd w:val="clear" w:color="auto" w:fill="auto"/>
            <w:vAlign w:val="center"/>
            <w:hideMark/>
          </w:tcPr>
          <w:p w14:paraId="02BC169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62-PLA-EV-2021</w:t>
            </w:r>
          </w:p>
        </w:tc>
        <w:tc>
          <w:tcPr>
            <w:tcW w:w="1099" w:type="pct"/>
            <w:shd w:val="clear" w:color="auto" w:fill="auto"/>
            <w:vAlign w:val="center"/>
            <w:hideMark/>
          </w:tcPr>
          <w:p w14:paraId="04BBFBF9"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10-21 del 4-2-21, Art. XLVI</w:t>
            </w:r>
          </w:p>
        </w:tc>
      </w:tr>
      <w:tr w:rsidR="005F057B" w:rsidRPr="005F057B" w14:paraId="77810D85" w14:textId="77777777" w:rsidTr="00C074F0">
        <w:trPr>
          <w:trHeight w:val="435"/>
        </w:trPr>
        <w:tc>
          <w:tcPr>
            <w:tcW w:w="1481" w:type="pct"/>
            <w:shd w:val="clear" w:color="auto" w:fill="auto"/>
            <w:vAlign w:val="center"/>
            <w:hideMark/>
          </w:tcPr>
          <w:p w14:paraId="2DD48212"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Familia y Viol. Dom. I Circ. Jud. Guanacaste </w:t>
            </w:r>
          </w:p>
        </w:tc>
        <w:tc>
          <w:tcPr>
            <w:tcW w:w="1257" w:type="pct"/>
            <w:shd w:val="clear" w:color="auto" w:fill="auto"/>
            <w:vAlign w:val="center"/>
            <w:hideMark/>
          </w:tcPr>
          <w:p w14:paraId="4C8EA69C"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1808-PLA-EV-2020</w:t>
            </w:r>
          </w:p>
        </w:tc>
        <w:tc>
          <w:tcPr>
            <w:tcW w:w="1164" w:type="pct"/>
            <w:shd w:val="clear" w:color="auto" w:fill="auto"/>
            <w:vAlign w:val="center"/>
            <w:hideMark/>
          </w:tcPr>
          <w:p w14:paraId="179A7FBF"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23-PLA-EV-2021</w:t>
            </w:r>
          </w:p>
        </w:tc>
        <w:tc>
          <w:tcPr>
            <w:tcW w:w="1099" w:type="pct"/>
            <w:shd w:val="clear" w:color="auto" w:fill="auto"/>
            <w:vAlign w:val="center"/>
            <w:hideMark/>
          </w:tcPr>
          <w:p w14:paraId="1D238A65"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XLII </w:t>
            </w:r>
          </w:p>
        </w:tc>
      </w:tr>
      <w:tr w:rsidR="005F057B" w:rsidRPr="005F057B" w14:paraId="6B601559" w14:textId="77777777" w:rsidTr="00C074F0">
        <w:trPr>
          <w:trHeight w:val="435"/>
        </w:trPr>
        <w:tc>
          <w:tcPr>
            <w:tcW w:w="1481" w:type="pct"/>
            <w:shd w:val="clear" w:color="auto" w:fill="auto"/>
            <w:vAlign w:val="center"/>
            <w:hideMark/>
          </w:tcPr>
          <w:p w14:paraId="2CF09670"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 Circ. Jud. Zona Atlántica (Limón)</w:t>
            </w:r>
          </w:p>
        </w:tc>
        <w:tc>
          <w:tcPr>
            <w:tcW w:w="1257" w:type="pct"/>
            <w:shd w:val="clear" w:color="auto" w:fill="auto"/>
            <w:vAlign w:val="center"/>
            <w:hideMark/>
          </w:tcPr>
          <w:p w14:paraId="24C8088D"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2002-PLA-MI-2020</w:t>
            </w:r>
          </w:p>
        </w:tc>
        <w:tc>
          <w:tcPr>
            <w:tcW w:w="1164" w:type="pct"/>
            <w:shd w:val="clear" w:color="auto" w:fill="auto"/>
            <w:vAlign w:val="center"/>
            <w:hideMark/>
          </w:tcPr>
          <w:p w14:paraId="28FCD61A" w14:textId="0A7FC18B"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BC61E9">
              <w:rPr>
                <w:rFonts w:ascii="Book Antiqua" w:eastAsia="Times New Roman" w:hAnsi="Book Antiqua" w:cs="Arial"/>
                <w:color w:val="000000"/>
                <w:lang w:eastAsia="es-CR"/>
              </w:rPr>
              <w:t>448-PLA-MI-2021</w:t>
            </w:r>
          </w:p>
        </w:tc>
        <w:tc>
          <w:tcPr>
            <w:tcW w:w="1099" w:type="pct"/>
            <w:shd w:val="clear" w:color="auto" w:fill="auto"/>
            <w:vAlign w:val="center"/>
            <w:hideMark/>
          </w:tcPr>
          <w:p w14:paraId="06AE64DD" w14:textId="6BF6A115"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76068A">
              <w:rPr>
                <w:rFonts w:ascii="Book Antiqua" w:eastAsia="Times New Roman" w:hAnsi="Book Antiqua" w:cs="Arial"/>
                <w:color w:val="000000"/>
                <w:lang w:eastAsia="es-CR"/>
              </w:rPr>
              <w:t xml:space="preserve">Sesión 36-21 del 4-5-21, Art. </w:t>
            </w:r>
            <w:r w:rsidR="007C6172">
              <w:rPr>
                <w:rFonts w:ascii="Book Antiqua" w:eastAsia="Times New Roman" w:hAnsi="Book Antiqua" w:cs="Arial"/>
                <w:color w:val="000000"/>
                <w:lang w:eastAsia="es-CR"/>
              </w:rPr>
              <w:t>XLIII</w:t>
            </w:r>
          </w:p>
        </w:tc>
      </w:tr>
      <w:tr w:rsidR="005F057B" w:rsidRPr="005F057B" w14:paraId="2275324D" w14:textId="77777777" w:rsidTr="00C074F0">
        <w:trPr>
          <w:trHeight w:val="435"/>
        </w:trPr>
        <w:tc>
          <w:tcPr>
            <w:tcW w:w="1481" w:type="pct"/>
            <w:shd w:val="clear" w:color="auto" w:fill="auto"/>
            <w:vAlign w:val="center"/>
            <w:hideMark/>
          </w:tcPr>
          <w:p w14:paraId="601FF7D5"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Heredia</w:t>
            </w:r>
          </w:p>
        </w:tc>
        <w:tc>
          <w:tcPr>
            <w:tcW w:w="1257" w:type="pct"/>
            <w:shd w:val="clear" w:color="auto" w:fill="auto"/>
            <w:vAlign w:val="center"/>
            <w:hideMark/>
          </w:tcPr>
          <w:p w14:paraId="45739400"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1787-PLA-EV-2020</w:t>
            </w:r>
          </w:p>
        </w:tc>
        <w:tc>
          <w:tcPr>
            <w:tcW w:w="1164" w:type="pct"/>
            <w:shd w:val="clear" w:color="auto" w:fill="auto"/>
            <w:vAlign w:val="center"/>
            <w:hideMark/>
          </w:tcPr>
          <w:p w14:paraId="7E0193DF" w14:textId="721D7B12" w:rsidR="005F057B" w:rsidRPr="005F057B" w:rsidRDefault="00B71314" w:rsidP="005F057B">
            <w:pPr>
              <w:spacing w:after="0" w:line="240" w:lineRule="auto"/>
              <w:jc w:val="center"/>
              <w:rPr>
                <w:rFonts w:ascii="Book Antiqua" w:eastAsia="Times New Roman" w:hAnsi="Book Antiqua" w:cs="Arial"/>
                <w:color w:val="000000"/>
                <w:lang w:eastAsia="es-CR"/>
              </w:rPr>
            </w:pPr>
            <w:r>
              <w:rPr>
                <w:rFonts w:ascii="Book Antiqua" w:eastAsia="Times New Roman" w:hAnsi="Book Antiqua" w:cs="Arial"/>
                <w:color w:val="000000"/>
                <w:lang w:eastAsia="es-CR"/>
              </w:rPr>
              <w:t>460-PLA-EV-2021</w:t>
            </w:r>
          </w:p>
        </w:tc>
        <w:tc>
          <w:tcPr>
            <w:tcW w:w="1099" w:type="pct"/>
            <w:shd w:val="clear" w:color="auto" w:fill="auto"/>
            <w:vAlign w:val="center"/>
            <w:hideMark/>
          </w:tcPr>
          <w:p w14:paraId="1D92C3FB" w14:textId="53155F34"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41393A">
              <w:rPr>
                <w:rFonts w:ascii="Book Antiqua" w:eastAsia="Times New Roman" w:hAnsi="Book Antiqua" w:cs="Arial"/>
                <w:color w:val="000000"/>
                <w:lang w:eastAsia="es-CR"/>
              </w:rPr>
              <w:t>S</w:t>
            </w:r>
            <w:r w:rsidR="00672E75">
              <w:rPr>
                <w:rFonts w:ascii="Book Antiqua" w:eastAsia="Times New Roman" w:hAnsi="Book Antiqua" w:cs="Arial"/>
                <w:color w:val="000000"/>
                <w:lang w:eastAsia="es-CR"/>
              </w:rPr>
              <w:t>e</w:t>
            </w:r>
            <w:r w:rsidR="0041393A" w:rsidRPr="0041393A">
              <w:rPr>
                <w:rFonts w:ascii="Book Antiqua" w:eastAsia="Times New Roman" w:hAnsi="Book Antiqua" w:cs="Arial"/>
                <w:color w:val="000000"/>
                <w:lang w:eastAsia="es-CR"/>
              </w:rPr>
              <w:t xml:space="preserve">sión 34-21 </w:t>
            </w:r>
            <w:r w:rsidR="00672E75">
              <w:rPr>
                <w:rFonts w:ascii="Book Antiqua" w:eastAsia="Times New Roman" w:hAnsi="Book Antiqua" w:cs="Arial"/>
                <w:color w:val="000000"/>
                <w:lang w:eastAsia="es-CR"/>
              </w:rPr>
              <w:t>d</w:t>
            </w:r>
            <w:r w:rsidR="0041393A" w:rsidRPr="0041393A">
              <w:rPr>
                <w:rFonts w:ascii="Book Antiqua" w:eastAsia="Times New Roman" w:hAnsi="Book Antiqua" w:cs="Arial"/>
                <w:color w:val="000000"/>
                <w:lang w:eastAsia="es-CR"/>
              </w:rPr>
              <w:t>el 29</w:t>
            </w:r>
            <w:r w:rsidR="00672E75">
              <w:rPr>
                <w:rFonts w:ascii="Book Antiqua" w:eastAsia="Times New Roman" w:hAnsi="Book Antiqua" w:cs="Arial"/>
                <w:color w:val="000000"/>
                <w:lang w:eastAsia="es-CR"/>
              </w:rPr>
              <w:t>-4-</w:t>
            </w:r>
            <w:r w:rsidR="0041393A" w:rsidRPr="0041393A">
              <w:rPr>
                <w:rFonts w:ascii="Book Antiqua" w:eastAsia="Times New Roman" w:hAnsi="Book Antiqua" w:cs="Arial"/>
                <w:color w:val="000000"/>
                <w:lang w:eastAsia="es-CR"/>
              </w:rPr>
              <w:t>21, Art</w:t>
            </w:r>
            <w:r w:rsidR="00672E75">
              <w:rPr>
                <w:rFonts w:ascii="Book Antiqua" w:eastAsia="Times New Roman" w:hAnsi="Book Antiqua" w:cs="Arial"/>
                <w:color w:val="000000"/>
                <w:lang w:eastAsia="es-CR"/>
              </w:rPr>
              <w:t>.</w:t>
            </w:r>
            <w:r w:rsidR="0041393A" w:rsidRPr="0041393A">
              <w:rPr>
                <w:rFonts w:ascii="Book Antiqua" w:eastAsia="Times New Roman" w:hAnsi="Book Antiqua" w:cs="Arial"/>
                <w:color w:val="000000"/>
                <w:lang w:eastAsia="es-CR"/>
              </w:rPr>
              <w:t xml:space="preserve"> LIII</w:t>
            </w:r>
          </w:p>
        </w:tc>
      </w:tr>
      <w:tr w:rsidR="005F057B" w:rsidRPr="005F057B" w14:paraId="538EA4FE" w14:textId="77777777" w:rsidTr="00C074F0">
        <w:trPr>
          <w:trHeight w:val="590"/>
        </w:trPr>
        <w:tc>
          <w:tcPr>
            <w:tcW w:w="1481" w:type="pct"/>
            <w:shd w:val="clear" w:color="auto" w:fill="auto"/>
            <w:vAlign w:val="center"/>
            <w:hideMark/>
          </w:tcPr>
          <w:p w14:paraId="05177DB5"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 Circ. Jud. Alajuela</w:t>
            </w:r>
          </w:p>
        </w:tc>
        <w:tc>
          <w:tcPr>
            <w:tcW w:w="1257" w:type="pct"/>
            <w:shd w:val="clear" w:color="auto" w:fill="auto"/>
            <w:vAlign w:val="center"/>
            <w:hideMark/>
          </w:tcPr>
          <w:p w14:paraId="713E3209"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1786-PLA-EV-2020</w:t>
            </w:r>
          </w:p>
        </w:tc>
        <w:tc>
          <w:tcPr>
            <w:tcW w:w="1164" w:type="pct"/>
            <w:shd w:val="clear" w:color="auto" w:fill="auto"/>
            <w:vAlign w:val="center"/>
            <w:hideMark/>
          </w:tcPr>
          <w:p w14:paraId="7A1286B1"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24-PLA-EV-2021</w:t>
            </w:r>
          </w:p>
        </w:tc>
        <w:tc>
          <w:tcPr>
            <w:tcW w:w="1099" w:type="pct"/>
            <w:shd w:val="clear" w:color="auto" w:fill="auto"/>
            <w:vAlign w:val="center"/>
            <w:hideMark/>
          </w:tcPr>
          <w:p w14:paraId="33C62538"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XLIV </w:t>
            </w:r>
          </w:p>
        </w:tc>
      </w:tr>
      <w:tr w:rsidR="005F057B" w:rsidRPr="005F057B" w14:paraId="0BB91C3E" w14:textId="77777777" w:rsidTr="00C074F0">
        <w:trPr>
          <w:trHeight w:val="556"/>
        </w:trPr>
        <w:tc>
          <w:tcPr>
            <w:tcW w:w="1481" w:type="pct"/>
            <w:shd w:val="clear" w:color="auto" w:fill="auto"/>
            <w:vAlign w:val="center"/>
            <w:hideMark/>
          </w:tcPr>
          <w:p w14:paraId="225C8156"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Puntarenas</w:t>
            </w:r>
          </w:p>
        </w:tc>
        <w:tc>
          <w:tcPr>
            <w:tcW w:w="1257" w:type="pct"/>
            <w:shd w:val="clear" w:color="auto" w:fill="auto"/>
            <w:vAlign w:val="center"/>
            <w:hideMark/>
          </w:tcPr>
          <w:p w14:paraId="51DA8AA5"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1809-PLA-EV-2020</w:t>
            </w:r>
          </w:p>
        </w:tc>
        <w:tc>
          <w:tcPr>
            <w:tcW w:w="1164" w:type="pct"/>
            <w:shd w:val="clear" w:color="auto" w:fill="auto"/>
            <w:vAlign w:val="center"/>
            <w:hideMark/>
          </w:tcPr>
          <w:p w14:paraId="4805C3F1"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25-PLA-EV-2021</w:t>
            </w:r>
          </w:p>
        </w:tc>
        <w:tc>
          <w:tcPr>
            <w:tcW w:w="1099" w:type="pct"/>
            <w:shd w:val="clear" w:color="auto" w:fill="auto"/>
            <w:vAlign w:val="center"/>
            <w:hideMark/>
          </w:tcPr>
          <w:p w14:paraId="203AD2E3" w14:textId="1E19D79A" w:rsidR="005F057B" w:rsidRPr="005F057B" w:rsidRDefault="009A3A3A"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001777D7" w:rsidRPr="001777D7">
              <w:rPr>
                <w:rFonts w:ascii="Book Antiqua" w:eastAsia="Times New Roman" w:hAnsi="Book Antiqua" w:cs="Arial"/>
                <w:color w:val="000000"/>
                <w:lang w:eastAsia="es-CR"/>
              </w:rPr>
              <w:t>008-21</w:t>
            </w:r>
            <w:r>
              <w:rPr>
                <w:rFonts w:ascii="Book Antiqua" w:eastAsia="Times New Roman" w:hAnsi="Book Antiqua" w:cs="Arial"/>
                <w:color w:val="000000"/>
                <w:lang w:eastAsia="es-CR"/>
              </w:rPr>
              <w:t xml:space="preserve"> del</w:t>
            </w:r>
            <w:r w:rsidR="001777D7" w:rsidRPr="001777D7">
              <w:rPr>
                <w:rFonts w:ascii="Book Antiqua" w:eastAsia="Times New Roman" w:hAnsi="Book Antiqua" w:cs="Arial"/>
                <w:color w:val="000000"/>
                <w:lang w:eastAsia="es-CR"/>
              </w:rPr>
              <w:t xml:space="preserve"> 28</w:t>
            </w:r>
            <w:r>
              <w:rPr>
                <w:rFonts w:ascii="Book Antiqua" w:eastAsia="Times New Roman" w:hAnsi="Book Antiqua" w:cs="Arial"/>
                <w:color w:val="000000"/>
                <w:lang w:eastAsia="es-CR"/>
              </w:rPr>
              <w:t>-</w:t>
            </w:r>
            <w:r w:rsidR="001777D7" w:rsidRPr="001777D7">
              <w:rPr>
                <w:rFonts w:ascii="Book Antiqua" w:eastAsia="Times New Roman" w:hAnsi="Book Antiqua" w:cs="Arial"/>
                <w:color w:val="000000"/>
                <w:lang w:eastAsia="es-CR"/>
              </w:rPr>
              <w:t>1</w:t>
            </w:r>
            <w:r>
              <w:rPr>
                <w:rFonts w:ascii="Book Antiqua" w:eastAsia="Times New Roman" w:hAnsi="Book Antiqua" w:cs="Arial"/>
                <w:color w:val="000000"/>
                <w:lang w:eastAsia="es-CR"/>
              </w:rPr>
              <w:t>-</w:t>
            </w:r>
            <w:r w:rsidR="001777D7" w:rsidRPr="001777D7">
              <w:rPr>
                <w:rFonts w:ascii="Book Antiqua" w:eastAsia="Times New Roman" w:hAnsi="Book Antiqua" w:cs="Arial"/>
                <w:color w:val="000000"/>
                <w:lang w:eastAsia="es-CR"/>
              </w:rPr>
              <w:t>21</w:t>
            </w:r>
            <w:r w:rsidR="00A921A9">
              <w:rPr>
                <w:rFonts w:ascii="Book Antiqua" w:eastAsia="Times New Roman" w:hAnsi="Book Antiqua" w:cs="Arial"/>
                <w:color w:val="000000"/>
                <w:lang w:eastAsia="es-CR"/>
              </w:rPr>
              <w:t>,</w:t>
            </w:r>
            <w:r w:rsidR="001777D7" w:rsidRPr="001777D7">
              <w:rPr>
                <w:rFonts w:ascii="Book Antiqua" w:eastAsia="Times New Roman" w:hAnsi="Book Antiqua" w:cs="Arial"/>
                <w:color w:val="000000"/>
                <w:lang w:eastAsia="es-CR"/>
              </w:rPr>
              <w:t xml:space="preserve"> Art</w:t>
            </w:r>
            <w:r w:rsidR="00A921A9">
              <w:rPr>
                <w:rFonts w:ascii="Book Antiqua" w:eastAsia="Times New Roman" w:hAnsi="Book Antiqua" w:cs="Arial"/>
                <w:color w:val="000000"/>
                <w:lang w:eastAsia="es-CR"/>
              </w:rPr>
              <w:t>.</w:t>
            </w:r>
            <w:r w:rsidR="001777D7" w:rsidRPr="001777D7">
              <w:rPr>
                <w:rFonts w:ascii="Book Antiqua" w:eastAsia="Times New Roman" w:hAnsi="Book Antiqua" w:cs="Arial"/>
                <w:color w:val="000000"/>
                <w:lang w:eastAsia="es-CR"/>
              </w:rPr>
              <w:t xml:space="preserve"> XLIV</w:t>
            </w:r>
          </w:p>
        </w:tc>
      </w:tr>
      <w:tr w:rsidR="005F057B" w:rsidRPr="005F057B" w14:paraId="5C165926" w14:textId="77777777" w:rsidTr="00C074F0">
        <w:trPr>
          <w:trHeight w:val="450"/>
        </w:trPr>
        <w:tc>
          <w:tcPr>
            <w:tcW w:w="1481" w:type="pct"/>
            <w:shd w:val="clear" w:color="auto" w:fill="auto"/>
            <w:vAlign w:val="center"/>
            <w:hideMark/>
          </w:tcPr>
          <w:p w14:paraId="577D3ED4"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II Circ. Jud. Alajuela</w:t>
            </w:r>
          </w:p>
        </w:tc>
        <w:tc>
          <w:tcPr>
            <w:tcW w:w="1257" w:type="pct"/>
            <w:shd w:val="clear" w:color="auto" w:fill="auto"/>
            <w:vAlign w:val="center"/>
            <w:hideMark/>
          </w:tcPr>
          <w:p w14:paraId="7AE02FB7"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1837-PLA-EV-2020</w:t>
            </w:r>
          </w:p>
        </w:tc>
        <w:tc>
          <w:tcPr>
            <w:tcW w:w="1164" w:type="pct"/>
            <w:shd w:val="clear" w:color="auto" w:fill="auto"/>
            <w:vAlign w:val="center"/>
            <w:hideMark/>
          </w:tcPr>
          <w:p w14:paraId="0593847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26-PLA-EV-2021</w:t>
            </w:r>
          </w:p>
        </w:tc>
        <w:tc>
          <w:tcPr>
            <w:tcW w:w="1099" w:type="pct"/>
            <w:shd w:val="clear" w:color="auto" w:fill="auto"/>
            <w:vAlign w:val="center"/>
            <w:hideMark/>
          </w:tcPr>
          <w:p w14:paraId="074E260C" w14:textId="76E200E8" w:rsidR="005F057B" w:rsidRPr="005F057B" w:rsidRDefault="00F863CD" w:rsidP="000012B5">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Ses</w:t>
            </w:r>
            <w:r w:rsidR="0017456C">
              <w:rPr>
                <w:rFonts w:ascii="Book Antiqua" w:eastAsia="Times New Roman" w:hAnsi="Book Antiqua" w:cs="Arial"/>
                <w:color w:val="000000"/>
                <w:lang w:eastAsia="es-CR"/>
              </w:rPr>
              <w:t xml:space="preserve">ión </w:t>
            </w:r>
            <w:r w:rsidR="0017456C" w:rsidRPr="0017456C">
              <w:rPr>
                <w:rFonts w:ascii="Book Antiqua" w:eastAsia="Times New Roman" w:hAnsi="Book Antiqua" w:cs="Arial"/>
                <w:color w:val="000000"/>
                <w:lang w:eastAsia="es-CR"/>
              </w:rPr>
              <w:t xml:space="preserve">7-21 </w:t>
            </w:r>
            <w:r w:rsidR="0017456C">
              <w:rPr>
                <w:rFonts w:ascii="Book Antiqua" w:eastAsia="Times New Roman" w:hAnsi="Book Antiqua" w:cs="Arial"/>
                <w:color w:val="000000"/>
                <w:lang w:eastAsia="es-CR"/>
              </w:rPr>
              <w:t xml:space="preserve">del </w:t>
            </w:r>
            <w:r w:rsidR="0017456C" w:rsidRPr="0017456C">
              <w:rPr>
                <w:rFonts w:ascii="Book Antiqua" w:eastAsia="Times New Roman" w:hAnsi="Book Antiqua" w:cs="Arial"/>
                <w:color w:val="000000"/>
                <w:lang w:eastAsia="es-CR"/>
              </w:rPr>
              <w:t>26</w:t>
            </w:r>
            <w:r w:rsidR="0017456C">
              <w:rPr>
                <w:rFonts w:ascii="Book Antiqua" w:eastAsia="Times New Roman" w:hAnsi="Book Antiqua" w:cs="Arial"/>
                <w:color w:val="000000"/>
                <w:lang w:eastAsia="es-CR"/>
              </w:rPr>
              <w:t>-</w:t>
            </w:r>
            <w:r w:rsidR="0017456C" w:rsidRPr="0017456C">
              <w:rPr>
                <w:rFonts w:ascii="Book Antiqua" w:eastAsia="Times New Roman" w:hAnsi="Book Antiqua" w:cs="Arial"/>
                <w:color w:val="000000"/>
                <w:lang w:eastAsia="es-CR"/>
              </w:rPr>
              <w:t>1</w:t>
            </w:r>
            <w:r w:rsidR="0017456C">
              <w:rPr>
                <w:rFonts w:ascii="Book Antiqua" w:eastAsia="Times New Roman" w:hAnsi="Book Antiqua" w:cs="Arial"/>
                <w:color w:val="000000"/>
                <w:lang w:eastAsia="es-CR"/>
              </w:rPr>
              <w:t>-</w:t>
            </w:r>
            <w:r w:rsidR="0017456C" w:rsidRPr="0017456C">
              <w:rPr>
                <w:rFonts w:ascii="Book Antiqua" w:eastAsia="Times New Roman" w:hAnsi="Book Antiqua" w:cs="Arial"/>
                <w:color w:val="000000"/>
                <w:lang w:eastAsia="es-CR"/>
              </w:rPr>
              <w:t>21</w:t>
            </w:r>
            <w:r w:rsidR="0017456C">
              <w:rPr>
                <w:rFonts w:ascii="Book Antiqua" w:eastAsia="Times New Roman" w:hAnsi="Book Antiqua" w:cs="Arial"/>
                <w:color w:val="000000"/>
                <w:lang w:eastAsia="es-CR"/>
              </w:rPr>
              <w:t xml:space="preserve">, </w:t>
            </w:r>
            <w:r w:rsidR="0017456C" w:rsidRPr="0017456C">
              <w:rPr>
                <w:rFonts w:ascii="Book Antiqua" w:eastAsia="Times New Roman" w:hAnsi="Book Antiqua" w:cs="Arial"/>
                <w:color w:val="000000"/>
                <w:lang w:eastAsia="es-CR"/>
              </w:rPr>
              <w:t>A</w:t>
            </w:r>
            <w:r w:rsidR="0017456C">
              <w:rPr>
                <w:rFonts w:ascii="Book Antiqua" w:eastAsia="Times New Roman" w:hAnsi="Book Antiqua" w:cs="Arial"/>
                <w:color w:val="000000"/>
                <w:lang w:eastAsia="es-CR"/>
              </w:rPr>
              <w:t>rt.</w:t>
            </w:r>
            <w:r w:rsidR="0017456C" w:rsidRPr="0017456C">
              <w:rPr>
                <w:rFonts w:ascii="Book Antiqua" w:eastAsia="Times New Roman" w:hAnsi="Book Antiqua" w:cs="Arial"/>
                <w:color w:val="000000"/>
                <w:lang w:eastAsia="es-CR"/>
              </w:rPr>
              <w:t xml:space="preserve"> XLVII</w:t>
            </w:r>
            <w:r w:rsidR="005F057B" w:rsidRPr="005F057B">
              <w:rPr>
                <w:rFonts w:ascii="Book Antiqua" w:eastAsia="Times New Roman" w:hAnsi="Book Antiqua" w:cs="Arial"/>
                <w:color w:val="000000"/>
                <w:lang w:eastAsia="es-CR"/>
              </w:rPr>
              <w:t> </w:t>
            </w:r>
          </w:p>
        </w:tc>
      </w:tr>
      <w:tr w:rsidR="005F057B" w:rsidRPr="005F057B" w14:paraId="70F0A2FE" w14:textId="77777777" w:rsidTr="00C074F0">
        <w:trPr>
          <w:trHeight w:val="450"/>
        </w:trPr>
        <w:tc>
          <w:tcPr>
            <w:tcW w:w="1481" w:type="pct"/>
            <w:shd w:val="clear" w:color="auto" w:fill="auto"/>
            <w:vAlign w:val="center"/>
            <w:hideMark/>
          </w:tcPr>
          <w:p w14:paraId="6066E8E2"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lastRenderedPageBreak/>
              <w:t>Juzgado Familia I Circ. Jud. Zona Sur (Pérez Zeledón)</w:t>
            </w:r>
          </w:p>
        </w:tc>
        <w:tc>
          <w:tcPr>
            <w:tcW w:w="1257" w:type="pct"/>
            <w:shd w:val="clear" w:color="auto" w:fill="auto"/>
            <w:vAlign w:val="center"/>
            <w:hideMark/>
          </w:tcPr>
          <w:p w14:paraId="67011D6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1807-PLA-EV-2020</w:t>
            </w:r>
          </w:p>
        </w:tc>
        <w:tc>
          <w:tcPr>
            <w:tcW w:w="1164" w:type="pct"/>
            <w:shd w:val="clear" w:color="auto" w:fill="auto"/>
            <w:vAlign w:val="center"/>
            <w:hideMark/>
          </w:tcPr>
          <w:p w14:paraId="30D13F66"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27-PLA-EV-2021</w:t>
            </w:r>
          </w:p>
        </w:tc>
        <w:tc>
          <w:tcPr>
            <w:tcW w:w="1099" w:type="pct"/>
            <w:shd w:val="clear" w:color="auto" w:fill="auto"/>
            <w:vAlign w:val="center"/>
            <w:hideMark/>
          </w:tcPr>
          <w:p w14:paraId="6679FD20"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8-21 del 28-1-21, Art. XLIV </w:t>
            </w:r>
          </w:p>
        </w:tc>
      </w:tr>
      <w:tr w:rsidR="005F057B" w:rsidRPr="005F057B" w14:paraId="1E04D98B" w14:textId="77777777" w:rsidTr="00C074F0">
        <w:trPr>
          <w:trHeight w:val="579"/>
        </w:trPr>
        <w:tc>
          <w:tcPr>
            <w:tcW w:w="1481" w:type="pct"/>
            <w:shd w:val="clear" w:color="auto" w:fill="auto"/>
            <w:vAlign w:val="center"/>
            <w:hideMark/>
          </w:tcPr>
          <w:p w14:paraId="5AA9D977"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II Circ. Jud. Zona Atlántica (Pococí)</w:t>
            </w:r>
          </w:p>
        </w:tc>
        <w:tc>
          <w:tcPr>
            <w:tcW w:w="1257" w:type="pct"/>
            <w:shd w:val="clear" w:color="auto" w:fill="auto"/>
            <w:vAlign w:val="center"/>
            <w:hideMark/>
          </w:tcPr>
          <w:p w14:paraId="41089959"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1785-PLA-EV-2020</w:t>
            </w:r>
          </w:p>
        </w:tc>
        <w:tc>
          <w:tcPr>
            <w:tcW w:w="1164" w:type="pct"/>
            <w:shd w:val="clear" w:color="auto" w:fill="auto"/>
            <w:vAlign w:val="center"/>
            <w:hideMark/>
          </w:tcPr>
          <w:p w14:paraId="01EFD37D"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36-PLA-EV-2021</w:t>
            </w:r>
          </w:p>
        </w:tc>
        <w:tc>
          <w:tcPr>
            <w:tcW w:w="1099" w:type="pct"/>
            <w:shd w:val="clear" w:color="auto" w:fill="auto"/>
            <w:vAlign w:val="center"/>
            <w:hideMark/>
          </w:tcPr>
          <w:p w14:paraId="689101F4"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8-21 del 28-1-21. Art. XLV</w:t>
            </w:r>
          </w:p>
        </w:tc>
      </w:tr>
      <w:tr w:rsidR="005F057B" w:rsidRPr="005F057B" w14:paraId="1608389D" w14:textId="77777777" w:rsidTr="00C074F0">
        <w:trPr>
          <w:trHeight w:val="450"/>
        </w:trPr>
        <w:tc>
          <w:tcPr>
            <w:tcW w:w="1481" w:type="pct"/>
            <w:shd w:val="clear" w:color="auto" w:fill="auto"/>
            <w:vAlign w:val="center"/>
            <w:hideMark/>
          </w:tcPr>
          <w:p w14:paraId="3B1A6331"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y Viol. Dom. III Circ. Jud. Alajuela (San Ramón)</w:t>
            </w:r>
          </w:p>
        </w:tc>
        <w:tc>
          <w:tcPr>
            <w:tcW w:w="1257" w:type="pct"/>
            <w:shd w:val="clear" w:color="auto" w:fill="auto"/>
            <w:vAlign w:val="center"/>
            <w:hideMark/>
          </w:tcPr>
          <w:p w14:paraId="7E5C2364"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1803-PLA-MI-2020</w:t>
            </w:r>
          </w:p>
        </w:tc>
        <w:tc>
          <w:tcPr>
            <w:tcW w:w="1164" w:type="pct"/>
            <w:shd w:val="clear" w:color="auto" w:fill="auto"/>
            <w:vAlign w:val="center"/>
            <w:hideMark/>
          </w:tcPr>
          <w:p w14:paraId="2FC6B64E"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 xml:space="preserve"> 39-PLA-EV-2021</w:t>
            </w:r>
          </w:p>
        </w:tc>
        <w:tc>
          <w:tcPr>
            <w:tcW w:w="1099" w:type="pct"/>
            <w:shd w:val="clear" w:color="auto" w:fill="auto"/>
            <w:vAlign w:val="center"/>
            <w:hideMark/>
          </w:tcPr>
          <w:p w14:paraId="754C954A"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XLIII </w:t>
            </w:r>
          </w:p>
        </w:tc>
      </w:tr>
      <w:tr w:rsidR="005F057B" w:rsidRPr="005F057B" w14:paraId="092C6C54" w14:textId="77777777" w:rsidTr="00C074F0">
        <w:trPr>
          <w:trHeight w:val="728"/>
        </w:trPr>
        <w:tc>
          <w:tcPr>
            <w:tcW w:w="1481" w:type="pct"/>
            <w:shd w:val="clear" w:color="auto" w:fill="auto"/>
            <w:vAlign w:val="center"/>
            <w:hideMark/>
          </w:tcPr>
          <w:p w14:paraId="547094E8"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Juvenil y Viol. Dom. Cañas</w:t>
            </w:r>
          </w:p>
        </w:tc>
        <w:tc>
          <w:tcPr>
            <w:tcW w:w="1257" w:type="pct"/>
            <w:shd w:val="clear" w:color="auto" w:fill="auto"/>
            <w:vAlign w:val="center"/>
            <w:hideMark/>
          </w:tcPr>
          <w:p w14:paraId="7E0D791F"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1832-PLA-EV-2020</w:t>
            </w:r>
          </w:p>
        </w:tc>
        <w:tc>
          <w:tcPr>
            <w:tcW w:w="1164" w:type="pct"/>
            <w:shd w:val="clear" w:color="auto" w:fill="auto"/>
            <w:vAlign w:val="center"/>
            <w:hideMark/>
          </w:tcPr>
          <w:p w14:paraId="65EC893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198-PLA-MI-2021</w:t>
            </w:r>
          </w:p>
        </w:tc>
        <w:tc>
          <w:tcPr>
            <w:tcW w:w="1099" w:type="pct"/>
            <w:shd w:val="clear" w:color="auto" w:fill="auto"/>
            <w:vAlign w:val="center"/>
            <w:hideMark/>
          </w:tcPr>
          <w:p w14:paraId="3E5976B9" w14:textId="31EAEE40"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976AC8">
              <w:rPr>
                <w:rFonts w:ascii="Book Antiqua" w:eastAsia="Times New Roman" w:hAnsi="Book Antiqua" w:cs="Arial"/>
                <w:color w:val="000000"/>
                <w:lang w:eastAsia="es-CR"/>
              </w:rPr>
              <w:t xml:space="preserve">Sesión </w:t>
            </w:r>
            <w:r w:rsidR="00976AC8" w:rsidRPr="00976AC8">
              <w:rPr>
                <w:rFonts w:ascii="Book Antiqua" w:eastAsia="Times New Roman" w:hAnsi="Book Antiqua" w:cs="Arial"/>
                <w:color w:val="000000"/>
                <w:lang w:eastAsia="es-CR"/>
              </w:rPr>
              <w:t>16-21</w:t>
            </w:r>
            <w:r w:rsidR="00014416">
              <w:rPr>
                <w:rFonts w:ascii="Book Antiqua" w:eastAsia="Times New Roman" w:hAnsi="Book Antiqua" w:cs="Arial"/>
                <w:color w:val="000000"/>
                <w:lang w:eastAsia="es-CR"/>
              </w:rPr>
              <w:t xml:space="preserve"> del</w:t>
            </w:r>
            <w:r w:rsidR="00976AC8" w:rsidRPr="00976AC8">
              <w:rPr>
                <w:rFonts w:ascii="Book Antiqua" w:eastAsia="Times New Roman" w:hAnsi="Book Antiqua" w:cs="Arial"/>
                <w:color w:val="000000"/>
                <w:lang w:eastAsia="es-CR"/>
              </w:rPr>
              <w:t xml:space="preserve"> 25</w:t>
            </w:r>
            <w:r w:rsidR="00014416">
              <w:rPr>
                <w:rFonts w:ascii="Book Antiqua" w:eastAsia="Times New Roman" w:hAnsi="Book Antiqua" w:cs="Arial"/>
                <w:color w:val="000000"/>
                <w:lang w:eastAsia="es-CR"/>
              </w:rPr>
              <w:t>-</w:t>
            </w:r>
            <w:r w:rsidR="00976AC8" w:rsidRPr="00976AC8">
              <w:rPr>
                <w:rFonts w:ascii="Book Antiqua" w:eastAsia="Times New Roman" w:hAnsi="Book Antiqua" w:cs="Arial"/>
                <w:color w:val="000000"/>
                <w:lang w:eastAsia="es-CR"/>
              </w:rPr>
              <w:t>2</w:t>
            </w:r>
            <w:r w:rsidR="00014416">
              <w:rPr>
                <w:rFonts w:ascii="Book Antiqua" w:eastAsia="Times New Roman" w:hAnsi="Book Antiqua" w:cs="Arial"/>
                <w:color w:val="000000"/>
                <w:lang w:eastAsia="es-CR"/>
              </w:rPr>
              <w:t>-</w:t>
            </w:r>
            <w:r w:rsidR="00976AC8" w:rsidRPr="00976AC8">
              <w:rPr>
                <w:rFonts w:ascii="Book Antiqua" w:eastAsia="Times New Roman" w:hAnsi="Book Antiqua" w:cs="Arial"/>
                <w:color w:val="000000"/>
                <w:lang w:eastAsia="es-CR"/>
              </w:rPr>
              <w:t>21</w:t>
            </w:r>
            <w:r w:rsidR="00014416">
              <w:rPr>
                <w:rFonts w:ascii="Book Antiqua" w:eastAsia="Times New Roman" w:hAnsi="Book Antiqua" w:cs="Arial"/>
                <w:color w:val="000000"/>
                <w:lang w:eastAsia="es-CR"/>
              </w:rPr>
              <w:t>,</w:t>
            </w:r>
            <w:r w:rsidR="00976AC8" w:rsidRPr="00976AC8">
              <w:rPr>
                <w:rFonts w:ascii="Book Antiqua" w:eastAsia="Times New Roman" w:hAnsi="Book Antiqua" w:cs="Arial"/>
                <w:color w:val="000000"/>
                <w:lang w:eastAsia="es-CR"/>
              </w:rPr>
              <w:t xml:space="preserve"> A</w:t>
            </w:r>
            <w:r w:rsidR="00014416">
              <w:rPr>
                <w:rFonts w:ascii="Book Antiqua" w:eastAsia="Times New Roman" w:hAnsi="Book Antiqua" w:cs="Arial"/>
                <w:color w:val="000000"/>
                <w:lang w:eastAsia="es-CR"/>
              </w:rPr>
              <w:t xml:space="preserve">rt. </w:t>
            </w:r>
            <w:r w:rsidR="00976AC8" w:rsidRPr="00976AC8">
              <w:rPr>
                <w:rFonts w:ascii="Book Antiqua" w:eastAsia="Times New Roman" w:hAnsi="Book Antiqua" w:cs="Arial"/>
                <w:color w:val="000000"/>
                <w:lang w:eastAsia="es-CR"/>
              </w:rPr>
              <w:t>LI</w:t>
            </w:r>
          </w:p>
        </w:tc>
      </w:tr>
      <w:tr w:rsidR="005F057B" w:rsidRPr="005F057B" w14:paraId="0F82F603" w14:textId="77777777" w:rsidTr="00C074F0">
        <w:trPr>
          <w:trHeight w:val="837"/>
        </w:trPr>
        <w:tc>
          <w:tcPr>
            <w:tcW w:w="1481" w:type="pct"/>
            <w:shd w:val="clear" w:color="auto" w:fill="auto"/>
            <w:vAlign w:val="center"/>
            <w:hideMark/>
          </w:tcPr>
          <w:p w14:paraId="0844932F"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VD y PJ de Quepos</w:t>
            </w:r>
          </w:p>
        </w:tc>
        <w:tc>
          <w:tcPr>
            <w:tcW w:w="1257" w:type="pct"/>
            <w:shd w:val="clear" w:color="auto" w:fill="auto"/>
            <w:vAlign w:val="center"/>
            <w:hideMark/>
          </w:tcPr>
          <w:p w14:paraId="49CF1C2F"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1794-PLA-EV-2020</w:t>
            </w:r>
          </w:p>
        </w:tc>
        <w:tc>
          <w:tcPr>
            <w:tcW w:w="1164" w:type="pct"/>
            <w:shd w:val="clear" w:color="auto" w:fill="auto"/>
            <w:vAlign w:val="center"/>
            <w:hideMark/>
          </w:tcPr>
          <w:p w14:paraId="29791410"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41-PLA-EV-2021</w:t>
            </w:r>
          </w:p>
        </w:tc>
        <w:tc>
          <w:tcPr>
            <w:tcW w:w="1099" w:type="pct"/>
            <w:shd w:val="clear" w:color="auto" w:fill="auto"/>
            <w:vAlign w:val="center"/>
            <w:hideMark/>
          </w:tcPr>
          <w:p w14:paraId="25036D40"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8-21 del 28-1-21, Art. XLII</w:t>
            </w:r>
          </w:p>
        </w:tc>
      </w:tr>
      <w:tr w:rsidR="005F057B" w:rsidRPr="005F057B" w14:paraId="5CA92572" w14:textId="77777777" w:rsidTr="00C074F0">
        <w:trPr>
          <w:trHeight w:val="849"/>
        </w:trPr>
        <w:tc>
          <w:tcPr>
            <w:tcW w:w="1481" w:type="pct"/>
            <w:shd w:val="clear" w:color="auto" w:fill="auto"/>
            <w:vAlign w:val="center"/>
            <w:hideMark/>
          </w:tcPr>
          <w:p w14:paraId="2E2488B0"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y Viol. Dom. II Circ. Jud. Zona Sur (Corredores)</w:t>
            </w:r>
          </w:p>
        </w:tc>
        <w:tc>
          <w:tcPr>
            <w:tcW w:w="1257" w:type="pct"/>
            <w:shd w:val="clear" w:color="auto" w:fill="auto"/>
            <w:vAlign w:val="center"/>
            <w:hideMark/>
          </w:tcPr>
          <w:p w14:paraId="4A9C993C"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1830-PLA-EV-2020</w:t>
            </w:r>
          </w:p>
        </w:tc>
        <w:tc>
          <w:tcPr>
            <w:tcW w:w="1164" w:type="pct"/>
            <w:shd w:val="clear" w:color="auto" w:fill="auto"/>
            <w:vAlign w:val="center"/>
            <w:hideMark/>
          </w:tcPr>
          <w:p w14:paraId="74AF6FB4"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43-PLA-EV-2021</w:t>
            </w:r>
          </w:p>
        </w:tc>
        <w:tc>
          <w:tcPr>
            <w:tcW w:w="1099" w:type="pct"/>
            <w:shd w:val="clear" w:color="auto" w:fill="auto"/>
            <w:vAlign w:val="center"/>
            <w:hideMark/>
          </w:tcPr>
          <w:p w14:paraId="095D5597"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Sesión 08-21 del 28-1-21. Art. XLIII </w:t>
            </w:r>
          </w:p>
        </w:tc>
      </w:tr>
      <w:tr w:rsidR="005F057B" w:rsidRPr="005F057B" w14:paraId="49435888" w14:textId="77777777" w:rsidTr="00C074F0">
        <w:trPr>
          <w:trHeight w:val="828"/>
        </w:trPr>
        <w:tc>
          <w:tcPr>
            <w:tcW w:w="1481" w:type="pct"/>
            <w:shd w:val="clear" w:color="auto" w:fill="auto"/>
            <w:vAlign w:val="center"/>
            <w:hideMark/>
          </w:tcPr>
          <w:p w14:paraId="600E6AF7"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 y Viol. Dom. Doméstica de Golfito</w:t>
            </w:r>
          </w:p>
        </w:tc>
        <w:tc>
          <w:tcPr>
            <w:tcW w:w="1257" w:type="pct"/>
            <w:shd w:val="clear" w:color="auto" w:fill="auto"/>
            <w:vAlign w:val="center"/>
            <w:hideMark/>
          </w:tcPr>
          <w:p w14:paraId="242A7CC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1805-PLA-EV-2020</w:t>
            </w:r>
          </w:p>
        </w:tc>
        <w:tc>
          <w:tcPr>
            <w:tcW w:w="1164" w:type="pct"/>
            <w:shd w:val="clear" w:color="auto" w:fill="auto"/>
            <w:vAlign w:val="center"/>
            <w:hideMark/>
          </w:tcPr>
          <w:p w14:paraId="0D024347"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8-PLA-EV-2021</w:t>
            </w:r>
          </w:p>
        </w:tc>
        <w:tc>
          <w:tcPr>
            <w:tcW w:w="1099" w:type="pct"/>
            <w:shd w:val="clear" w:color="auto" w:fill="auto"/>
            <w:vAlign w:val="center"/>
            <w:hideMark/>
          </w:tcPr>
          <w:p w14:paraId="2ADBB1DE"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XXXVIII </w:t>
            </w:r>
          </w:p>
        </w:tc>
      </w:tr>
      <w:tr w:rsidR="005F057B" w:rsidRPr="005F057B" w14:paraId="729C2465" w14:textId="77777777" w:rsidTr="00C074F0">
        <w:trPr>
          <w:trHeight w:val="552"/>
        </w:trPr>
        <w:tc>
          <w:tcPr>
            <w:tcW w:w="1481" w:type="pct"/>
            <w:shd w:val="clear" w:color="auto" w:fill="auto"/>
            <w:vAlign w:val="center"/>
            <w:hideMark/>
          </w:tcPr>
          <w:p w14:paraId="37A82CCD"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y Viol. Dom. II Circ. Jud. Guanacaste (Nicoya)</w:t>
            </w:r>
          </w:p>
        </w:tc>
        <w:tc>
          <w:tcPr>
            <w:tcW w:w="1257" w:type="pct"/>
            <w:shd w:val="clear" w:color="auto" w:fill="auto"/>
            <w:vAlign w:val="center"/>
            <w:hideMark/>
          </w:tcPr>
          <w:p w14:paraId="49CB94AE"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1787-PLA-EV-2020</w:t>
            </w:r>
          </w:p>
        </w:tc>
        <w:tc>
          <w:tcPr>
            <w:tcW w:w="1164" w:type="pct"/>
            <w:shd w:val="clear" w:color="auto" w:fill="auto"/>
            <w:vAlign w:val="center"/>
            <w:hideMark/>
          </w:tcPr>
          <w:p w14:paraId="2213B9BE"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9-PLA-EV-2021</w:t>
            </w:r>
          </w:p>
        </w:tc>
        <w:tc>
          <w:tcPr>
            <w:tcW w:w="1099" w:type="pct"/>
            <w:shd w:val="clear" w:color="auto" w:fill="auto"/>
            <w:vAlign w:val="center"/>
            <w:hideMark/>
          </w:tcPr>
          <w:p w14:paraId="69C98264"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6-21 del 21-1-21, Art. XXXIX</w:t>
            </w:r>
          </w:p>
        </w:tc>
      </w:tr>
      <w:tr w:rsidR="005F057B" w:rsidRPr="005F057B" w14:paraId="46117B71" w14:textId="77777777" w:rsidTr="00C074F0">
        <w:trPr>
          <w:trHeight w:val="552"/>
        </w:trPr>
        <w:tc>
          <w:tcPr>
            <w:tcW w:w="1481" w:type="pct"/>
            <w:shd w:val="clear" w:color="auto" w:fill="auto"/>
            <w:vAlign w:val="center"/>
            <w:hideMark/>
          </w:tcPr>
          <w:p w14:paraId="6B2D305F"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Juvenil y Viol. Dom. Santa Cruz</w:t>
            </w:r>
          </w:p>
        </w:tc>
        <w:tc>
          <w:tcPr>
            <w:tcW w:w="1257" w:type="pct"/>
            <w:shd w:val="clear" w:color="auto" w:fill="auto"/>
            <w:vAlign w:val="center"/>
            <w:hideMark/>
          </w:tcPr>
          <w:p w14:paraId="3FA5AC1D"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1788-PLA-EV-2020</w:t>
            </w:r>
          </w:p>
        </w:tc>
        <w:tc>
          <w:tcPr>
            <w:tcW w:w="1164" w:type="pct"/>
            <w:shd w:val="clear" w:color="auto" w:fill="auto"/>
            <w:vAlign w:val="center"/>
            <w:hideMark/>
          </w:tcPr>
          <w:p w14:paraId="51C8BB4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10-PLA-EV-2021</w:t>
            </w:r>
          </w:p>
        </w:tc>
        <w:tc>
          <w:tcPr>
            <w:tcW w:w="1099" w:type="pct"/>
            <w:shd w:val="clear" w:color="auto" w:fill="auto"/>
            <w:vAlign w:val="center"/>
            <w:hideMark/>
          </w:tcPr>
          <w:p w14:paraId="1CC4D44E"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XXXIX </w:t>
            </w:r>
          </w:p>
        </w:tc>
      </w:tr>
      <w:tr w:rsidR="005F057B" w:rsidRPr="005F057B" w14:paraId="7BBE4A20" w14:textId="77777777" w:rsidTr="00C074F0">
        <w:trPr>
          <w:trHeight w:val="599"/>
        </w:trPr>
        <w:tc>
          <w:tcPr>
            <w:tcW w:w="1481" w:type="pct"/>
            <w:shd w:val="clear" w:color="auto" w:fill="auto"/>
            <w:vAlign w:val="center"/>
            <w:hideMark/>
          </w:tcPr>
          <w:p w14:paraId="27B9865A"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Juzgado Familia, Penal Juvenil y Viol. Dom. Turrialba</w:t>
            </w:r>
          </w:p>
        </w:tc>
        <w:tc>
          <w:tcPr>
            <w:tcW w:w="1257" w:type="pct"/>
            <w:shd w:val="clear" w:color="auto" w:fill="auto"/>
            <w:vAlign w:val="center"/>
            <w:hideMark/>
          </w:tcPr>
          <w:p w14:paraId="1363FE8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1827-PLA-EV-2020</w:t>
            </w:r>
          </w:p>
        </w:tc>
        <w:tc>
          <w:tcPr>
            <w:tcW w:w="1164" w:type="pct"/>
            <w:shd w:val="clear" w:color="auto" w:fill="auto"/>
            <w:vAlign w:val="center"/>
            <w:hideMark/>
          </w:tcPr>
          <w:p w14:paraId="7E28D7C9"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1861-PLA-EV-2020</w:t>
            </w:r>
          </w:p>
        </w:tc>
        <w:tc>
          <w:tcPr>
            <w:tcW w:w="1099" w:type="pct"/>
            <w:shd w:val="clear" w:color="auto" w:fill="auto"/>
            <w:vAlign w:val="center"/>
            <w:hideMark/>
          </w:tcPr>
          <w:p w14:paraId="7FEB2A2F"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16-21 del 25-2-21, Art. L</w:t>
            </w:r>
          </w:p>
        </w:tc>
      </w:tr>
      <w:tr w:rsidR="005F057B" w:rsidRPr="005F057B" w14:paraId="63B1D13C" w14:textId="77777777" w:rsidTr="00C074F0">
        <w:trPr>
          <w:trHeight w:val="694"/>
        </w:trPr>
        <w:tc>
          <w:tcPr>
            <w:tcW w:w="1481" w:type="pct"/>
            <w:shd w:val="clear" w:color="auto" w:fill="auto"/>
            <w:vAlign w:val="center"/>
            <w:hideMark/>
          </w:tcPr>
          <w:p w14:paraId="4E2EB3F9"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Trab. y Fam. Hatillo, San Seb. y Alajuelita </w:t>
            </w:r>
          </w:p>
        </w:tc>
        <w:tc>
          <w:tcPr>
            <w:tcW w:w="1257" w:type="pct"/>
            <w:shd w:val="clear" w:color="auto" w:fill="auto"/>
            <w:vAlign w:val="center"/>
            <w:hideMark/>
          </w:tcPr>
          <w:p w14:paraId="70BB2528"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1814-PLA-MI-2020</w:t>
            </w:r>
          </w:p>
        </w:tc>
        <w:tc>
          <w:tcPr>
            <w:tcW w:w="1164" w:type="pct"/>
            <w:shd w:val="clear" w:color="auto" w:fill="auto"/>
            <w:vAlign w:val="center"/>
            <w:hideMark/>
          </w:tcPr>
          <w:p w14:paraId="568D573B" w14:textId="77777777" w:rsidR="005F057B" w:rsidRPr="005F057B" w:rsidRDefault="005F057B" w:rsidP="005F057B">
            <w:pPr>
              <w:spacing w:after="0" w:line="240" w:lineRule="auto"/>
              <w:jc w:val="center"/>
              <w:rPr>
                <w:rFonts w:ascii="Book Antiqua" w:eastAsia="Times New Roman" w:hAnsi="Book Antiqua" w:cs="Times New Roman"/>
                <w:color w:val="000000"/>
                <w:lang w:eastAsia="es-CR"/>
              </w:rPr>
            </w:pPr>
            <w:r w:rsidRPr="005F057B">
              <w:rPr>
                <w:rFonts w:ascii="Book Antiqua" w:eastAsia="Times New Roman" w:hAnsi="Book Antiqua" w:cs="Times New Roman"/>
                <w:color w:val="000000"/>
                <w:lang w:eastAsia="es-CR"/>
              </w:rPr>
              <w:t xml:space="preserve"> 11-PLA-EV-2021</w:t>
            </w:r>
          </w:p>
        </w:tc>
        <w:tc>
          <w:tcPr>
            <w:tcW w:w="1099" w:type="pct"/>
            <w:shd w:val="clear" w:color="auto" w:fill="auto"/>
            <w:vAlign w:val="center"/>
            <w:hideMark/>
          </w:tcPr>
          <w:p w14:paraId="07585B43"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XLI</w:t>
            </w:r>
          </w:p>
        </w:tc>
      </w:tr>
      <w:tr w:rsidR="005F057B" w:rsidRPr="005F057B" w14:paraId="31FF79F9" w14:textId="77777777" w:rsidTr="00C074F0">
        <w:trPr>
          <w:trHeight w:val="651"/>
        </w:trPr>
        <w:tc>
          <w:tcPr>
            <w:tcW w:w="1481" w:type="pct"/>
            <w:shd w:val="clear" w:color="auto" w:fill="auto"/>
            <w:vAlign w:val="center"/>
            <w:hideMark/>
          </w:tcPr>
          <w:p w14:paraId="37B4D7F8"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Familia, Civil, Trabajo, Violencia Doméstica; Agrario y Penal Juvenil de Upala </w:t>
            </w:r>
          </w:p>
        </w:tc>
        <w:tc>
          <w:tcPr>
            <w:tcW w:w="1257" w:type="pct"/>
            <w:shd w:val="clear" w:color="auto" w:fill="auto"/>
            <w:vAlign w:val="center"/>
            <w:hideMark/>
          </w:tcPr>
          <w:p w14:paraId="2FCE1186"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1782-PLA-EV-2020</w:t>
            </w:r>
          </w:p>
        </w:tc>
        <w:tc>
          <w:tcPr>
            <w:tcW w:w="1164" w:type="pct"/>
            <w:shd w:val="clear" w:color="auto" w:fill="auto"/>
            <w:vAlign w:val="center"/>
            <w:hideMark/>
          </w:tcPr>
          <w:p w14:paraId="0F82FFA6"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196-PLA-MI-2021</w:t>
            </w:r>
          </w:p>
        </w:tc>
        <w:tc>
          <w:tcPr>
            <w:tcW w:w="1099" w:type="pct"/>
            <w:shd w:val="clear" w:color="auto" w:fill="auto"/>
            <w:vAlign w:val="center"/>
            <w:hideMark/>
          </w:tcPr>
          <w:p w14:paraId="2F963F19" w14:textId="0E0C5079"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w:t>
            </w:r>
            <w:r w:rsidR="00FE2EE8">
              <w:rPr>
                <w:rFonts w:ascii="Book Antiqua" w:eastAsia="Times New Roman" w:hAnsi="Book Antiqua" w:cs="Arial"/>
                <w:color w:val="000000"/>
                <w:lang w:eastAsia="es-CR"/>
              </w:rPr>
              <w:t xml:space="preserve">Sesión </w:t>
            </w:r>
            <w:r w:rsidR="0032784D" w:rsidRPr="0032784D">
              <w:rPr>
                <w:rFonts w:ascii="Book Antiqua" w:eastAsia="Times New Roman" w:hAnsi="Book Antiqua" w:cs="Arial"/>
                <w:color w:val="000000"/>
                <w:lang w:eastAsia="es-CR"/>
              </w:rPr>
              <w:t xml:space="preserve">16-21 </w:t>
            </w:r>
            <w:r w:rsidR="00753393">
              <w:rPr>
                <w:rFonts w:ascii="Book Antiqua" w:eastAsia="Times New Roman" w:hAnsi="Book Antiqua" w:cs="Arial"/>
                <w:color w:val="000000"/>
                <w:lang w:eastAsia="es-CR"/>
              </w:rPr>
              <w:t xml:space="preserve">del </w:t>
            </w:r>
            <w:r w:rsidR="0032784D" w:rsidRPr="0032784D">
              <w:rPr>
                <w:rFonts w:ascii="Book Antiqua" w:eastAsia="Times New Roman" w:hAnsi="Book Antiqua" w:cs="Arial"/>
                <w:color w:val="000000"/>
                <w:lang w:eastAsia="es-CR"/>
              </w:rPr>
              <w:t>25</w:t>
            </w:r>
            <w:r w:rsidR="00753393">
              <w:rPr>
                <w:rFonts w:ascii="Book Antiqua" w:eastAsia="Times New Roman" w:hAnsi="Book Antiqua" w:cs="Arial"/>
                <w:color w:val="000000"/>
                <w:lang w:eastAsia="es-CR"/>
              </w:rPr>
              <w:t>-</w:t>
            </w:r>
            <w:r w:rsidR="0032784D" w:rsidRPr="0032784D">
              <w:rPr>
                <w:rFonts w:ascii="Book Antiqua" w:eastAsia="Times New Roman" w:hAnsi="Book Antiqua" w:cs="Arial"/>
                <w:color w:val="000000"/>
                <w:lang w:eastAsia="es-CR"/>
              </w:rPr>
              <w:t>2</w:t>
            </w:r>
            <w:r w:rsidR="00753393">
              <w:rPr>
                <w:rFonts w:ascii="Book Antiqua" w:eastAsia="Times New Roman" w:hAnsi="Book Antiqua" w:cs="Arial"/>
                <w:color w:val="000000"/>
                <w:lang w:eastAsia="es-CR"/>
              </w:rPr>
              <w:t>-</w:t>
            </w:r>
            <w:r w:rsidR="0032784D" w:rsidRPr="0032784D">
              <w:rPr>
                <w:rFonts w:ascii="Book Antiqua" w:eastAsia="Times New Roman" w:hAnsi="Book Antiqua" w:cs="Arial"/>
                <w:color w:val="000000"/>
                <w:lang w:eastAsia="es-CR"/>
              </w:rPr>
              <w:t>21</w:t>
            </w:r>
            <w:r w:rsidR="00753393">
              <w:rPr>
                <w:rFonts w:ascii="Book Antiqua" w:eastAsia="Times New Roman" w:hAnsi="Book Antiqua" w:cs="Arial"/>
                <w:color w:val="000000"/>
                <w:lang w:eastAsia="es-CR"/>
              </w:rPr>
              <w:t>,</w:t>
            </w:r>
            <w:r w:rsidR="0032784D" w:rsidRPr="0032784D">
              <w:rPr>
                <w:rFonts w:ascii="Book Antiqua" w:eastAsia="Times New Roman" w:hAnsi="Book Antiqua" w:cs="Arial"/>
                <w:color w:val="000000"/>
                <w:lang w:eastAsia="es-CR"/>
              </w:rPr>
              <w:t xml:space="preserve"> A</w:t>
            </w:r>
            <w:r w:rsidR="00753393">
              <w:rPr>
                <w:rFonts w:ascii="Book Antiqua" w:eastAsia="Times New Roman" w:hAnsi="Book Antiqua" w:cs="Arial"/>
                <w:color w:val="000000"/>
                <w:lang w:eastAsia="es-CR"/>
              </w:rPr>
              <w:t>rt.</w:t>
            </w:r>
            <w:r w:rsidR="0032784D" w:rsidRPr="0032784D">
              <w:rPr>
                <w:rFonts w:ascii="Book Antiqua" w:eastAsia="Times New Roman" w:hAnsi="Book Antiqua" w:cs="Arial"/>
                <w:color w:val="000000"/>
                <w:lang w:eastAsia="es-CR"/>
              </w:rPr>
              <w:t xml:space="preserve"> LII </w:t>
            </w:r>
          </w:p>
        </w:tc>
      </w:tr>
      <w:tr w:rsidR="005F057B" w:rsidRPr="005F057B" w14:paraId="11E832ED" w14:textId="77777777" w:rsidTr="00C074F0">
        <w:trPr>
          <w:trHeight w:val="501"/>
        </w:trPr>
        <w:tc>
          <w:tcPr>
            <w:tcW w:w="1481" w:type="pct"/>
            <w:shd w:val="clear" w:color="auto" w:fill="auto"/>
            <w:vAlign w:val="center"/>
            <w:hideMark/>
          </w:tcPr>
          <w:p w14:paraId="30F721C5"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Civil, Trabajo, y Familia de Sarapiquí </w:t>
            </w:r>
          </w:p>
        </w:tc>
        <w:tc>
          <w:tcPr>
            <w:tcW w:w="1257" w:type="pct"/>
            <w:shd w:val="clear" w:color="auto" w:fill="auto"/>
            <w:vAlign w:val="center"/>
            <w:hideMark/>
          </w:tcPr>
          <w:p w14:paraId="13D75404"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1833-PLA-EV-2020</w:t>
            </w:r>
          </w:p>
        </w:tc>
        <w:tc>
          <w:tcPr>
            <w:tcW w:w="1164" w:type="pct"/>
            <w:shd w:val="clear" w:color="auto" w:fill="auto"/>
            <w:vAlign w:val="center"/>
            <w:hideMark/>
          </w:tcPr>
          <w:p w14:paraId="46BEE1F0"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19-PLA-EV-2021</w:t>
            </w:r>
          </w:p>
        </w:tc>
        <w:tc>
          <w:tcPr>
            <w:tcW w:w="1099" w:type="pct"/>
            <w:shd w:val="clear" w:color="auto" w:fill="auto"/>
            <w:vAlign w:val="center"/>
            <w:hideMark/>
          </w:tcPr>
          <w:p w14:paraId="23EE8EC7"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9-21 del 2-2-21, Art. XXXIX </w:t>
            </w:r>
          </w:p>
        </w:tc>
      </w:tr>
      <w:tr w:rsidR="005F057B" w:rsidRPr="005F057B" w14:paraId="2DF9F859" w14:textId="77777777" w:rsidTr="00C074F0">
        <w:trPr>
          <w:trHeight w:val="828"/>
        </w:trPr>
        <w:tc>
          <w:tcPr>
            <w:tcW w:w="1481" w:type="pct"/>
            <w:shd w:val="clear" w:color="auto" w:fill="auto"/>
            <w:vAlign w:val="center"/>
            <w:hideMark/>
          </w:tcPr>
          <w:p w14:paraId="13F65E48"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Civil, Trabajo y Familia de Puriscal </w:t>
            </w:r>
          </w:p>
        </w:tc>
        <w:tc>
          <w:tcPr>
            <w:tcW w:w="1257" w:type="pct"/>
            <w:shd w:val="clear" w:color="auto" w:fill="auto"/>
            <w:vAlign w:val="center"/>
            <w:hideMark/>
          </w:tcPr>
          <w:p w14:paraId="6D8B9BC3"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1831-PLA-2020</w:t>
            </w:r>
          </w:p>
        </w:tc>
        <w:tc>
          <w:tcPr>
            <w:tcW w:w="1164" w:type="pct"/>
            <w:shd w:val="clear" w:color="auto" w:fill="auto"/>
            <w:vAlign w:val="center"/>
            <w:hideMark/>
          </w:tcPr>
          <w:p w14:paraId="1FE37D1B"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175-PLA-EV-2021</w:t>
            </w:r>
          </w:p>
        </w:tc>
        <w:tc>
          <w:tcPr>
            <w:tcW w:w="1099" w:type="pct"/>
            <w:shd w:val="clear" w:color="auto" w:fill="auto"/>
            <w:vAlign w:val="center"/>
            <w:hideMark/>
          </w:tcPr>
          <w:p w14:paraId="7543329F"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14-21 del 18-2-21, Art. XLIV </w:t>
            </w:r>
          </w:p>
        </w:tc>
      </w:tr>
      <w:tr w:rsidR="005F057B" w:rsidRPr="005F057B" w14:paraId="233CBCA3" w14:textId="77777777" w:rsidTr="00C074F0">
        <w:trPr>
          <w:trHeight w:val="636"/>
        </w:trPr>
        <w:tc>
          <w:tcPr>
            <w:tcW w:w="1481" w:type="pct"/>
            <w:shd w:val="clear" w:color="auto" w:fill="auto"/>
            <w:vAlign w:val="center"/>
            <w:hideMark/>
          </w:tcPr>
          <w:p w14:paraId="69B92819"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lastRenderedPageBreak/>
              <w:t xml:space="preserve">Juzgado Civil, Trabajo y Familia de Buenos Aires </w:t>
            </w:r>
          </w:p>
        </w:tc>
        <w:tc>
          <w:tcPr>
            <w:tcW w:w="1257" w:type="pct"/>
            <w:shd w:val="clear" w:color="auto" w:fill="auto"/>
            <w:vAlign w:val="center"/>
            <w:hideMark/>
          </w:tcPr>
          <w:p w14:paraId="7F444901"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1787-PLA-EV-2020</w:t>
            </w:r>
          </w:p>
        </w:tc>
        <w:tc>
          <w:tcPr>
            <w:tcW w:w="1164" w:type="pct"/>
            <w:shd w:val="clear" w:color="auto" w:fill="auto"/>
            <w:vAlign w:val="center"/>
            <w:hideMark/>
          </w:tcPr>
          <w:p w14:paraId="79B1AA37"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13-PLA-EV-2021</w:t>
            </w:r>
          </w:p>
        </w:tc>
        <w:tc>
          <w:tcPr>
            <w:tcW w:w="1099" w:type="pct"/>
            <w:shd w:val="clear" w:color="auto" w:fill="auto"/>
            <w:vAlign w:val="center"/>
            <w:hideMark/>
          </w:tcPr>
          <w:p w14:paraId="2FDBEDC0"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Sesión 6-21 21 del 1-1-21. Art. XXXVIII </w:t>
            </w:r>
          </w:p>
        </w:tc>
      </w:tr>
      <w:tr w:rsidR="005F057B" w:rsidRPr="005F057B" w14:paraId="159C43A4" w14:textId="77777777" w:rsidTr="00C074F0">
        <w:trPr>
          <w:trHeight w:val="668"/>
        </w:trPr>
        <w:tc>
          <w:tcPr>
            <w:tcW w:w="1481" w:type="pct"/>
            <w:shd w:val="clear" w:color="auto" w:fill="auto"/>
            <w:vAlign w:val="center"/>
            <w:hideMark/>
          </w:tcPr>
          <w:p w14:paraId="6C1D838B" w14:textId="77777777" w:rsidR="005F057B" w:rsidRPr="005F057B" w:rsidRDefault="005F057B" w:rsidP="005F057B">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 xml:space="preserve">Juzgado Civil, Trabajo, y Familia de Osa </w:t>
            </w:r>
          </w:p>
        </w:tc>
        <w:tc>
          <w:tcPr>
            <w:tcW w:w="1257" w:type="pct"/>
            <w:shd w:val="clear" w:color="auto" w:fill="auto"/>
            <w:vAlign w:val="center"/>
            <w:hideMark/>
          </w:tcPr>
          <w:p w14:paraId="434C4C87"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1834-PLA-EV-2020</w:t>
            </w:r>
          </w:p>
        </w:tc>
        <w:tc>
          <w:tcPr>
            <w:tcW w:w="1164" w:type="pct"/>
            <w:shd w:val="clear" w:color="auto" w:fill="auto"/>
            <w:vAlign w:val="center"/>
            <w:hideMark/>
          </w:tcPr>
          <w:p w14:paraId="6120B992" w14:textId="77777777" w:rsidR="005F057B" w:rsidRPr="005F057B" w:rsidRDefault="005F057B" w:rsidP="005F057B">
            <w:pPr>
              <w:spacing w:after="0" w:line="240" w:lineRule="auto"/>
              <w:jc w:val="center"/>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14-PLA-EV-2021</w:t>
            </w:r>
          </w:p>
        </w:tc>
        <w:tc>
          <w:tcPr>
            <w:tcW w:w="1099" w:type="pct"/>
            <w:shd w:val="clear" w:color="auto" w:fill="auto"/>
            <w:vAlign w:val="center"/>
            <w:hideMark/>
          </w:tcPr>
          <w:p w14:paraId="3F7C10C6" w14:textId="77777777" w:rsidR="005F057B" w:rsidRPr="005F057B" w:rsidRDefault="005F057B" w:rsidP="000012B5">
            <w:pPr>
              <w:spacing w:after="0" w:line="240" w:lineRule="auto"/>
              <w:jc w:val="both"/>
              <w:rPr>
                <w:rFonts w:ascii="Book Antiqua" w:eastAsia="Times New Roman" w:hAnsi="Book Antiqua" w:cs="Arial"/>
                <w:color w:val="000000"/>
                <w:lang w:eastAsia="es-CR"/>
              </w:rPr>
            </w:pPr>
            <w:r w:rsidRPr="005F057B">
              <w:rPr>
                <w:rFonts w:ascii="Book Antiqua" w:eastAsia="Times New Roman" w:hAnsi="Book Antiqua" w:cs="Arial"/>
                <w:color w:val="000000"/>
                <w:lang w:eastAsia="es-CR"/>
              </w:rPr>
              <w:t>Sesión 7-21 del 26-1-21, Art. XLVIII </w:t>
            </w:r>
          </w:p>
        </w:tc>
      </w:tr>
    </w:tbl>
    <w:p w14:paraId="1753F477" w14:textId="37AAAFA5" w:rsidR="001D0ED5" w:rsidRDefault="00C074F0" w:rsidP="00C074F0">
      <w:pPr>
        <w:spacing w:after="0" w:line="240" w:lineRule="auto"/>
        <w:rPr>
          <w:rFonts w:ascii="Book Antiqua" w:eastAsia="Calibri" w:hAnsi="Book Antiqua" w:cs="Arial"/>
          <w:b/>
          <w:bCs/>
          <w:color w:val="1F497D"/>
          <w:szCs w:val="24"/>
          <w:lang w:val="es-ES" w:eastAsia="es-ES"/>
        </w:rPr>
      </w:pPr>
      <w:r w:rsidRPr="00C074F0">
        <w:rPr>
          <w:rFonts w:ascii="Book Antiqua" w:eastAsia="Calibri" w:hAnsi="Book Antiqua" w:cs="Arial"/>
          <w:i/>
          <w:iCs/>
          <w:sz w:val="20"/>
          <w:szCs w:val="20"/>
          <w:lang w:val="es-ES_tradnl"/>
        </w:rPr>
        <w:t>Fuente: Subproceso de Modernización Institucional de la Dirección de Planificación</w:t>
      </w:r>
    </w:p>
    <w:p w14:paraId="54DFD48A" w14:textId="29E98801" w:rsidR="001D0ED5" w:rsidRDefault="001D0ED5" w:rsidP="00A879FE">
      <w:pPr>
        <w:spacing w:after="0" w:line="240" w:lineRule="auto"/>
        <w:jc w:val="center"/>
        <w:rPr>
          <w:rFonts w:ascii="Book Antiqua" w:eastAsia="Calibri" w:hAnsi="Book Antiqua" w:cs="Arial"/>
          <w:b/>
          <w:bCs/>
          <w:color w:val="1F497D"/>
          <w:szCs w:val="24"/>
          <w:lang w:val="es-ES" w:eastAsia="es-ES"/>
        </w:rPr>
      </w:pPr>
    </w:p>
    <w:p w14:paraId="0660FF46" w14:textId="77777777" w:rsidR="00B36E29" w:rsidRPr="00B36E29" w:rsidRDefault="00B36E29" w:rsidP="00B36E29">
      <w:pPr>
        <w:spacing w:after="0" w:line="276" w:lineRule="auto"/>
        <w:jc w:val="both"/>
        <w:rPr>
          <w:rFonts w:ascii="Book Antiqua" w:eastAsia="Calibri" w:hAnsi="Book Antiqua" w:cs="Arial"/>
          <w:sz w:val="24"/>
          <w:szCs w:val="24"/>
        </w:rPr>
      </w:pPr>
    </w:p>
    <w:p w14:paraId="522DE4FD" w14:textId="77777777" w:rsidR="00B36E29" w:rsidRPr="0054258A" w:rsidRDefault="00B36E29" w:rsidP="0054258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4258A">
        <w:rPr>
          <w:rFonts w:ascii="Book Antiqua" w:eastAsiaTheme="majorEastAsia" w:hAnsi="Book Antiqua" w:cstheme="majorBidi"/>
          <w:b/>
          <w:color w:val="1F3864" w:themeColor="accent1" w:themeShade="80"/>
          <w:sz w:val="24"/>
          <w:lang w:val="es-ES"/>
        </w:rPr>
        <w:t xml:space="preserve">Proceso de Tramitación General </w:t>
      </w:r>
    </w:p>
    <w:p w14:paraId="7885E4B7" w14:textId="36CF0D5D" w:rsidR="001D0ED5" w:rsidRDefault="001D0ED5" w:rsidP="001428C9">
      <w:pPr>
        <w:spacing w:after="0" w:line="240" w:lineRule="auto"/>
        <w:rPr>
          <w:rFonts w:ascii="Book Antiqua" w:eastAsia="Calibri" w:hAnsi="Book Antiqua" w:cs="Arial"/>
          <w:b/>
          <w:bCs/>
          <w:color w:val="1F497D"/>
          <w:szCs w:val="24"/>
          <w:lang w:val="es-ES" w:eastAsia="es-ES"/>
        </w:rPr>
      </w:pPr>
    </w:p>
    <w:p w14:paraId="557ACDB5" w14:textId="77777777" w:rsidR="00E00A7F" w:rsidRPr="00E00A7F" w:rsidRDefault="00E00A7F" w:rsidP="00E00A7F">
      <w:pPr>
        <w:spacing w:after="0" w:line="276" w:lineRule="auto"/>
        <w:jc w:val="both"/>
        <w:rPr>
          <w:rFonts w:ascii="Book Antiqua" w:eastAsia="Calibri" w:hAnsi="Book Antiqua" w:cs="Arial"/>
          <w:sz w:val="24"/>
          <w:szCs w:val="24"/>
        </w:rPr>
      </w:pPr>
      <w:r w:rsidRPr="00E00A7F">
        <w:rPr>
          <w:rFonts w:ascii="Book Antiqua" w:eastAsia="Calibri" w:hAnsi="Book Antiqua" w:cs="Arial"/>
          <w:sz w:val="24"/>
          <w:szCs w:val="24"/>
        </w:rPr>
        <w:t>En los circuitos judiciales en los que se cuenta con la Oficina de Recepción de Documentos (RDD), las demandas nuevas se reciben en esta oficina y luego las trasladan al Juzgado; en los lugares en los que no se cuenta con la RDD, los documentos se reciben en el Juzgado en el área de atención de personas usuarias; también pueden ingresar por medio del Sistema Gestión en Línea.</w:t>
      </w:r>
    </w:p>
    <w:p w14:paraId="63327630" w14:textId="77777777" w:rsidR="00E00A7F" w:rsidRPr="00E00A7F" w:rsidRDefault="00E00A7F" w:rsidP="00E00A7F">
      <w:pPr>
        <w:spacing w:after="0" w:line="276" w:lineRule="auto"/>
        <w:jc w:val="both"/>
        <w:rPr>
          <w:rFonts w:ascii="Book Antiqua" w:eastAsia="Calibri" w:hAnsi="Book Antiqua" w:cs="Arial"/>
          <w:sz w:val="24"/>
          <w:szCs w:val="24"/>
        </w:rPr>
      </w:pPr>
    </w:p>
    <w:p w14:paraId="21ECFCAF" w14:textId="77777777" w:rsidR="00E00A7F" w:rsidRPr="00E00A7F" w:rsidRDefault="00E00A7F" w:rsidP="00E00A7F">
      <w:pPr>
        <w:spacing w:after="0" w:line="276" w:lineRule="auto"/>
        <w:jc w:val="both"/>
        <w:rPr>
          <w:rFonts w:ascii="Book Antiqua" w:eastAsia="Calibri" w:hAnsi="Book Antiqua" w:cs="Arial"/>
          <w:sz w:val="24"/>
          <w:szCs w:val="24"/>
        </w:rPr>
      </w:pPr>
      <w:r w:rsidRPr="00E00A7F">
        <w:rPr>
          <w:rFonts w:ascii="Book Antiqua" w:eastAsia="Calibri" w:hAnsi="Book Antiqua" w:cs="Arial"/>
          <w:sz w:val="24"/>
          <w:szCs w:val="24"/>
        </w:rPr>
        <w:t xml:space="preserve">Una vez que ingresa la demanda se procede a darle trámite, si no tiene ninguna prevención se ordena notificar a los demandados, y se espera el vencimiento de términos, luego se señala fecha de audiencia sea de conciliación o recepción de pruebas; si concilian se homologa el acuerdo o bien se recibe la prueba ofrecida (testimonial, pericial, confesional, entre otras), evacuada la prueba se pasa a fallo, se dicta sentencia, y se espera el vencimiento de firmeza de la sentencia, por último, se archiva el expediente. </w:t>
      </w:r>
    </w:p>
    <w:p w14:paraId="1BA698F9" w14:textId="77777777" w:rsidR="00E00A7F" w:rsidRPr="00E00A7F" w:rsidRDefault="00E00A7F" w:rsidP="00E00A7F">
      <w:pPr>
        <w:spacing w:after="0" w:line="276" w:lineRule="auto"/>
        <w:jc w:val="both"/>
        <w:rPr>
          <w:rFonts w:ascii="Book Antiqua" w:eastAsia="Calibri" w:hAnsi="Book Antiqua" w:cs="Arial"/>
          <w:sz w:val="24"/>
          <w:szCs w:val="24"/>
        </w:rPr>
      </w:pPr>
    </w:p>
    <w:p w14:paraId="047C5D1F" w14:textId="1135FD29" w:rsidR="00B36E29" w:rsidRDefault="00E00A7F" w:rsidP="00E00A7F">
      <w:pPr>
        <w:spacing w:after="0" w:line="240" w:lineRule="auto"/>
        <w:rPr>
          <w:rFonts w:ascii="Book Antiqua" w:eastAsia="Calibri" w:hAnsi="Book Antiqua" w:cs="Arial"/>
          <w:b/>
          <w:bCs/>
          <w:color w:val="1F497D"/>
          <w:szCs w:val="24"/>
          <w:lang w:val="es-ES" w:eastAsia="es-ES"/>
        </w:rPr>
      </w:pPr>
      <w:r w:rsidRPr="00E00A7F">
        <w:rPr>
          <w:rFonts w:ascii="Book Antiqua" w:eastAsia="Calibri" w:hAnsi="Book Antiqua" w:cs="Arial"/>
          <w:sz w:val="24"/>
          <w:szCs w:val="24"/>
        </w:rPr>
        <w:t>El siguiente diagrama resume el proceso general de Familia actual</w:t>
      </w:r>
      <w:r w:rsidR="00A10A3E">
        <w:rPr>
          <w:rFonts w:ascii="Book Antiqua" w:eastAsia="Calibri" w:hAnsi="Book Antiqua" w:cs="Arial"/>
          <w:sz w:val="24"/>
          <w:szCs w:val="24"/>
        </w:rPr>
        <w:t>.</w:t>
      </w:r>
    </w:p>
    <w:p w14:paraId="0C6F8CA3" w14:textId="2E72FB1E" w:rsidR="001D0ED5" w:rsidRDefault="001D0ED5" w:rsidP="00A879FE">
      <w:pPr>
        <w:spacing w:after="0" w:line="240" w:lineRule="auto"/>
        <w:jc w:val="center"/>
        <w:rPr>
          <w:rFonts w:ascii="Book Antiqua" w:eastAsia="Calibri" w:hAnsi="Book Antiqua" w:cs="Arial"/>
          <w:b/>
          <w:bCs/>
          <w:color w:val="1F497D"/>
          <w:szCs w:val="24"/>
          <w:lang w:val="es-ES" w:eastAsia="es-ES"/>
        </w:rPr>
      </w:pPr>
    </w:p>
    <w:p w14:paraId="0C1886B1" w14:textId="77777777" w:rsidR="001D0ED5" w:rsidRPr="00A879FE" w:rsidRDefault="001D0ED5" w:rsidP="00A879FE">
      <w:pPr>
        <w:spacing w:after="0" w:line="240" w:lineRule="auto"/>
        <w:jc w:val="center"/>
        <w:rPr>
          <w:rFonts w:ascii="Book Antiqua" w:eastAsia="Calibri" w:hAnsi="Book Antiqua" w:cs="Arial"/>
          <w:b/>
          <w:bCs/>
          <w:color w:val="1F497D"/>
          <w:szCs w:val="24"/>
          <w:lang w:val="es-ES" w:eastAsia="es-ES"/>
        </w:rPr>
      </w:pPr>
    </w:p>
    <w:p w14:paraId="326418E9" w14:textId="093357E0" w:rsidR="00A10A3E" w:rsidRPr="00A10A3E" w:rsidRDefault="00A10A3E" w:rsidP="00A10A3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10A3E">
        <w:rPr>
          <w:rFonts w:ascii="Book Antiqua" w:eastAsia="Calibri" w:hAnsi="Book Antiqua" w:cs="Arial"/>
          <w:b/>
          <w:bCs/>
          <w:color w:val="1F497D"/>
          <w:szCs w:val="24"/>
          <w:lang w:val="es-ES" w:eastAsia="es-ES"/>
        </w:rPr>
        <w:lastRenderedPageBreak/>
        <w:t xml:space="preserve">Figura </w:t>
      </w:r>
      <w:r w:rsidRPr="00A10A3E">
        <w:rPr>
          <w:rFonts w:ascii="Book Antiqua" w:eastAsia="Calibri" w:hAnsi="Book Antiqua" w:cs="Arial"/>
          <w:b/>
          <w:bCs/>
          <w:color w:val="1F497D"/>
          <w:szCs w:val="24"/>
          <w:lang w:val="es-ES" w:eastAsia="es-ES"/>
        </w:rPr>
        <w:fldChar w:fldCharType="begin"/>
      </w:r>
      <w:r w:rsidRPr="00A10A3E">
        <w:rPr>
          <w:rFonts w:ascii="Book Antiqua" w:eastAsia="Calibri" w:hAnsi="Book Antiqua" w:cs="Arial"/>
          <w:b/>
          <w:bCs/>
          <w:color w:val="1F497D"/>
          <w:szCs w:val="24"/>
          <w:lang w:val="es-ES" w:eastAsia="es-ES"/>
        </w:rPr>
        <w:instrText xml:space="preserve"> SEQ Figura \* ARABIC </w:instrText>
      </w:r>
      <w:r w:rsidRPr="00A10A3E">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1</w:t>
      </w:r>
      <w:r w:rsidRPr="00A10A3E">
        <w:rPr>
          <w:rFonts w:ascii="Book Antiqua" w:eastAsia="Calibri" w:hAnsi="Book Antiqua" w:cs="Arial"/>
          <w:b/>
          <w:bCs/>
          <w:color w:val="1F497D"/>
          <w:szCs w:val="24"/>
          <w:lang w:val="es-ES" w:eastAsia="es-ES"/>
        </w:rPr>
        <w:fldChar w:fldCharType="end"/>
      </w:r>
      <w:r w:rsidRPr="00A10A3E">
        <w:rPr>
          <w:rFonts w:ascii="Book Antiqua" w:eastAsia="Calibri" w:hAnsi="Book Antiqua" w:cs="Arial"/>
          <w:b/>
          <w:bCs/>
          <w:color w:val="1F497D"/>
          <w:szCs w:val="24"/>
          <w:lang w:val="es-ES" w:eastAsia="es-ES"/>
        </w:rPr>
        <w:t xml:space="preserve"> </w:t>
      </w:r>
    </w:p>
    <w:p w14:paraId="451C8387" w14:textId="77777777" w:rsidR="00A10A3E" w:rsidRPr="00A10A3E" w:rsidRDefault="00A10A3E" w:rsidP="00A10A3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10A3E">
        <w:rPr>
          <w:rFonts w:ascii="Book Antiqua" w:eastAsia="Calibri" w:hAnsi="Book Antiqua" w:cs="Arial"/>
          <w:b/>
          <w:bCs/>
          <w:color w:val="1F497D"/>
          <w:szCs w:val="24"/>
          <w:lang w:val="es-ES" w:eastAsia="es-ES"/>
        </w:rPr>
        <w:t>Diagrama del Proceso General actual de materia Familia</w:t>
      </w:r>
    </w:p>
    <w:p w14:paraId="02A0D0B5" w14:textId="09ADF8A9" w:rsidR="00A879FE" w:rsidRDefault="00AE18DF" w:rsidP="00AE18DF">
      <w:pPr>
        <w:spacing w:line="276" w:lineRule="auto"/>
        <w:jc w:val="center"/>
        <w:rPr>
          <w:rFonts w:ascii="Book Antiqua" w:hAnsi="Book Antiqua"/>
          <w:sz w:val="24"/>
          <w:szCs w:val="24"/>
        </w:rPr>
      </w:pPr>
      <w:r w:rsidRPr="00AE18DF">
        <w:rPr>
          <w:rFonts w:ascii="Book Antiqua" w:eastAsia="Calibri" w:hAnsi="Book Antiqua" w:cs="Arial"/>
          <w:noProof/>
          <w:sz w:val="24"/>
          <w:szCs w:val="24"/>
        </w:rPr>
        <w:drawing>
          <wp:inline distT="0" distB="0" distL="0" distR="0" wp14:anchorId="4C6C2F91" wp14:editId="6D69AB1C">
            <wp:extent cx="5611042" cy="3629025"/>
            <wp:effectExtent l="0" t="0" r="8890" b="0"/>
            <wp:docPr id="1532264011" name="Imagen 149456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94560285"/>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611042" cy="3629025"/>
                    </a:xfrm>
                    <a:prstGeom prst="rect">
                      <a:avLst/>
                    </a:prstGeom>
                  </pic:spPr>
                </pic:pic>
              </a:graphicData>
            </a:graphic>
          </wp:inline>
        </w:drawing>
      </w:r>
    </w:p>
    <w:p w14:paraId="029ED662" w14:textId="5E659284" w:rsidR="00C21740" w:rsidRPr="007D1674" w:rsidRDefault="002E032F" w:rsidP="00B46528">
      <w:pPr>
        <w:spacing w:line="276" w:lineRule="auto"/>
        <w:jc w:val="both"/>
        <w:rPr>
          <w:rFonts w:ascii="Book Antiqua" w:eastAsia="Calibri" w:hAnsi="Book Antiqua" w:cs="Arial"/>
          <w:i/>
          <w:iCs/>
          <w:sz w:val="20"/>
          <w:szCs w:val="20"/>
          <w:lang w:val="es-ES_tradnl"/>
        </w:rPr>
      </w:pPr>
      <w:r w:rsidRPr="007D1674">
        <w:rPr>
          <w:rFonts w:ascii="Book Antiqua" w:eastAsia="Calibri" w:hAnsi="Book Antiqua" w:cs="Arial"/>
          <w:i/>
          <w:iCs/>
          <w:sz w:val="20"/>
          <w:szCs w:val="20"/>
          <w:lang w:val="es-ES_tradnl"/>
        </w:rPr>
        <w:t>Fuente: Sub</w:t>
      </w:r>
      <w:r w:rsidR="00F33BB7">
        <w:rPr>
          <w:rFonts w:ascii="Book Antiqua" w:eastAsia="Calibri" w:hAnsi="Book Antiqua" w:cs="Arial"/>
          <w:i/>
          <w:iCs/>
          <w:sz w:val="20"/>
          <w:szCs w:val="20"/>
          <w:lang w:val="es-ES_tradnl"/>
        </w:rPr>
        <w:t>p</w:t>
      </w:r>
      <w:r w:rsidRPr="007D1674">
        <w:rPr>
          <w:rFonts w:ascii="Book Antiqua" w:eastAsia="Calibri" w:hAnsi="Book Antiqua" w:cs="Arial"/>
          <w:i/>
          <w:iCs/>
          <w:sz w:val="20"/>
          <w:szCs w:val="20"/>
          <w:lang w:val="es-ES_tradnl"/>
        </w:rPr>
        <w:t>roceso de Modernización Institucional</w:t>
      </w:r>
      <w:r w:rsidR="00C515C8">
        <w:rPr>
          <w:rFonts w:ascii="Book Antiqua" w:eastAsia="Calibri" w:hAnsi="Book Antiqua" w:cs="Arial"/>
          <w:i/>
          <w:iCs/>
          <w:sz w:val="20"/>
          <w:szCs w:val="20"/>
          <w:lang w:val="es-ES_tradnl"/>
        </w:rPr>
        <w:t>.</w:t>
      </w:r>
    </w:p>
    <w:p w14:paraId="40911A5A" w14:textId="0512583D" w:rsidR="0027551B" w:rsidRDefault="0027551B" w:rsidP="0027551B">
      <w:pPr>
        <w:spacing w:after="0" w:line="276" w:lineRule="auto"/>
        <w:jc w:val="both"/>
        <w:rPr>
          <w:rFonts w:ascii="Book Antiqua" w:eastAsia="Calibri" w:hAnsi="Book Antiqua" w:cs="Arial"/>
          <w:sz w:val="24"/>
          <w:szCs w:val="24"/>
        </w:rPr>
      </w:pPr>
      <w:r w:rsidRPr="0027551B">
        <w:rPr>
          <w:rFonts w:ascii="Book Antiqua" w:eastAsia="Calibri" w:hAnsi="Book Antiqua" w:cs="Arial"/>
          <w:sz w:val="24"/>
          <w:szCs w:val="24"/>
        </w:rPr>
        <w:t>Por otra parte, en sesiones de trabajo con los Asesores de la materia Familia Lic. Alberto Jiménez Mata y Lic. Cristian Martínez Hernández, se realiza la construcción de los siguientes diagramas de los procesos de la materia de Familia:</w:t>
      </w:r>
    </w:p>
    <w:p w14:paraId="2BCFD33C" w14:textId="77777777" w:rsidR="003E78B2" w:rsidRPr="0027551B" w:rsidRDefault="003E78B2" w:rsidP="0027551B">
      <w:pPr>
        <w:spacing w:after="0" w:line="276" w:lineRule="auto"/>
        <w:jc w:val="both"/>
        <w:rPr>
          <w:rFonts w:ascii="Book Antiqua" w:eastAsia="Calibri" w:hAnsi="Book Antiqua" w:cs="Arial"/>
          <w:sz w:val="24"/>
          <w:szCs w:val="24"/>
        </w:rPr>
      </w:pPr>
    </w:p>
    <w:p w14:paraId="19ACD294"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General Ordinario</w:t>
      </w:r>
    </w:p>
    <w:p w14:paraId="1617301D"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Procedimiento de Mutuo Acuerdo</w:t>
      </w:r>
    </w:p>
    <w:p w14:paraId="129D92CB"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General Abreviado</w:t>
      </w:r>
    </w:p>
    <w:p w14:paraId="42152972"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General Sumario</w:t>
      </w:r>
    </w:p>
    <w:p w14:paraId="40E3E0FE"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Especial de Filiación</w:t>
      </w:r>
    </w:p>
    <w:p w14:paraId="013B3D4E"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Proceso Especial de Declaratoria Judicial de Abandono de Persona Menor de Edad</w:t>
      </w:r>
    </w:p>
    <w:p w14:paraId="58AB8252" w14:textId="77777777" w:rsidR="0027551B" w:rsidRPr="0027551B" w:rsidRDefault="0027551B" w:rsidP="0090609F">
      <w:pPr>
        <w:numPr>
          <w:ilvl w:val="0"/>
          <w:numId w:val="10"/>
        </w:numPr>
        <w:spacing w:after="0" w:line="276" w:lineRule="auto"/>
        <w:ind w:left="0" w:firstLine="0"/>
        <w:contextualSpacing/>
        <w:jc w:val="both"/>
        <w:rPr>
          <w:rFonts w:ascii="Book Antiqua" w:eastAsia="Calibri" w:hAnsi="Book Antiqua" w:cs="Arial"/>
          <w:sz w:val="24"/>
          <w:szCs w:val="24"/>
          <w:lang w:eastAsia="es-CR"/>
        </w:rPr>
      </w:pPr>
      <w:r w:rsidRPr="0027551B">
        <w:rPr>
          <w:rFonts w:ascii="Book Antiqua" w:eastAsia="Calibri" w:hAnsi="Book Antiqua" w:cs="Arial"/>
          <w:sz w:val="24"/>
          <w:szCs w:val="24"/>
          <w:lang w:eastAsia="es-CR"/>
        </w:rPr>
        <w:t>Procedimiento de II Instancia en Pensiones Alimentarias</w:t>
      </w:r>
    </w:p>
    <w:p w14:paraId="46B36B57" w14:textId="77777777" w:rsidR="0027551B" w:rsidRPr="0027551B" w:rsidRDefault="0027551B" w:rsidP="0027551B">
      <w:pPr>
        <w:spacing w:after="0" w:line="276" w:lineRule="auto"/>
        <w:jc w:val="both"/>
        <w:rPr>
          <w:rFonts w:ascii="Book Antiqua" w:eastAsia="Calibri" w:hAnsi="Book Antiqua" w:cs="Arial"/>
          <w:sz w:val="24"/>
          <w:szCs w:val="24"/>
        </w:rPr>
      </w:pPr>
    </w:p>
    <w:p w14:paraId="6C29CEF5" w14:textId="699146EB" w:rsidR="0027551B" w:rsidRPr="0027551B" w:rsidRDefault="0027551B" w:rsidP="0027551B">
      <w:pPr>
        <w:spacing w:after="0" w:line="276" w:lineRule="auto"/>
        <w:jc w:val="both"/>
        <w:rPr>
          <w:rFonts w:ascii="Book Antiqua" w:eastAsia="Calibri" w:hAnsi="Book Antiqua" w:cs="Arial"/>
          <w:sz w:val="24"/>
          <w:szCs w:val="24"/>
        </w:rPr>
      </w:pPr>
      <w:r w:rsidRPr="0027551B">
        <w:rPr>
          <w:rFonts w:ascii="Book Antiqua" w:eastAsia="Calibri" w:hAnsi="Book Antiqua" w:cs="Arial"/>
          <w:sz w:val="24"/>
          <w:szCs w:val="24"/>
        </w:rPr>
        <w:lastRenderedPageBreak/>
        <w:t xml:space="preserve">Estos diagramas permiten visualizar los principales procesos actuales de la materia Familia, y contar con información en aras del mejoramiento de los procesos. En el </w:t>
      </w:r>
      <w:r w:rsidRPr="0054258A">
        <w:rPr>
          <w:rFonts w:ascii="Book Antiqua" w:eastAsia="Calibri" w:hAnsi="Book Antiqua" w:cs="Arial"/>
          <w:b/>
          <w:bCs/>
          <w:i/>
          <w:iCs/>
          <w:sz w:val="24"/>
          <w:szCs w:val="24"/>
        </w:rPr>
        <w:t xml:space="preserve">anexo </w:t>
      </w:r>
      <w:r w:rsidR="000B3FC7">
        <w:rPr>
          <w:rFonts w:ascii="Book Antiqua" w:eastAsia="Calibri" w:hAnsi="Book Antiqua" w:cs="Arial"/>
          <w:b/>
          <w:bCs/>
          <w:i/>
          <w:iCs/>
          <w:sz w:val="24"/>
          <w:szCs w:val="24"/>
        </w:rPr>
        <w:t>1</w:t>
      </w:r>
      <w:r w:rsidR="000B3FC7" w:rsidRPr="0054258A">
        <w:rPr>
          <w:rFonts w:ascii="Book Antiqua" w:eastAsia="Calibri" w:hAnsi="Book Antiqua" w:cs="Arial"/>
          <w:sz w:val="24"/>
          <w:szCs w:val="24"/>
        </w:rPr>
        <w:t xml:space="preserve"> </w:t>
      </w:r>
      <w:r w:rsidRPr="0054258A">
        <w:rPr>
          <w:rFonts w:ascii="Book Antiqua" w:eastAsia="Calibri" w:hAnsi="Book Antiqua" w:cs="Arial"/>
          <w:sz w:val="24"/>
          <w:szCs w:val="24"/>
        </w:rPr>
        <w:t>se</w:t>
      </w:r>
      <w:r w:rsidRPr="0027551B">
        <w:rPr>
          <w:rFonts w:ascii="Book Antiqua" w:eastAsia="Calibri" w:hAnsi="Book Antiqua" w:cs="Arial"/>
          <w:sz w:val="24"/>
          <w:szCs w:val="24"/>
        </w:rPr>
        <w:t xml:space="preserve"> incluyen los diagramas construidos.</w:t>
      </w:r>
    </w:p>
    <w:p w14:paraId="1AF56B7E" w14:textId="77777777" w:rsidR="0027551B" w:rsidRPr="0027551B" w:rsidRDefault="0027551B" w:rsidP="0027551B">
      <w:pPr>
        <w:spacing w:after="0" w:line="276" w:lineRule="auto"/>
        <w:jc w:val="both"/>
        <w:rPr>
          <w:rFonts w:ascii="Book Antiqua" w:eastAsia="Calibri" w:hAnsi="Book Antiqua" w:cs="Arial"/>
          <w:sz w:val="24"/>
          <w:szCs w:val="24"/>
        </w:rPr>
      </w:pPr>
    </w:p>
    <w:p w14:paraId="54297632" w14:textId="4F3ED4C9" w:rsidR="0027551B" w:rsidRDefault="0027551B" w:rsidP="0027551B">
      <w:pPr>
        <w:spacing w:after="0" w:line="276" w:lineRule="auto"/>
        <w:jc w:val="both"/>
        <w:rPr>
          <w:rFonts w:ascii="Book Antiqua" w:eastAsia="Calibri" w:hAnsi="Book Antiqua" w:cs="Arial"/>
          <w:sz w:val="24"/>
          <w:szCs w:val="24"/>
        </w:rPr>
      </w:pPr>
      <w:r w:rsidRPr="0027551B">
        <w:rPr>
          <w:rFonts w:ascii="Book Antiqua" w:eastAsia="Calibri" w:hAnsi="Book Antiqua" w:cs="Arial"/>
          <w:sz w:val="24"/>
          <w:szCs w:val="24"/>
        </w:rPr>
        <w:t>Con la implementación del Código Procesal de Familia surgen una serie de ajustes que vienen a reducir los tiempos de proceso y la agilización de los trámites, a continuación, se detallan algunos de los principales cambios:</w:t>
      </w:r>
    </w:p>
    <w:p w14:paraId="3875FCB6" w14:textId="77777777" w:rsidR="003F4542" w:rsidRPr="0027551B" w:rsidRDefault="003F4542" w:rsidP="0027551B">
      <w:pPr>
        <w:spacing w:after="0" w:line="276" w:lineRule="auto"/>
        <w:jc w:val="both"/>
        <w:rPr>
          <w:rFonts w:ascii="Book Antiqua" w:eastAsia="Calibri" w:hAnsi="Book Antiqua" w:cs="Arial"/>
          <w:sz w:val="24"/>
          <w:szCs w:val="24"/>
        </w:rPr>
      </w:pPr>
    </w:p>
    <w:p w14:paraId="01984BA6" w14:textId="77777777" w:rsidR="003F4542" w:rsidRPr="003F4542" w:rsidRDefault="003F4542" w:rsidP="0090609F">
      <w:pPr>
        <w:numPr>
          <w:ilvl w:val="0"/>
          <w:numId w:val="11"/>
        </w:numPr>
        <w:spacing w:after="0" w:line="276" w:lineRule="auto"/>
        <w:ind w:left="0" w:firstLine="0"/>
        <w:contextualSpacing/>
        <w:jc w:val="both"/>
        <w:rPr>
          <w:rFonts w:ascii="Book Antiqua" w:eastAsia="Calibri" w:hAnsi="Book Antiqua" w:cs="Arial"/>
          <w:sz w:val="24"/>
          <w:szCs w:val="24"/>
          <w:lang w:eastAsia="es-CR"/>
        </w:rPr>
      </w:pPr>
      <w:r w:rsidRPr="003F4542">
        <w:rPr>
          <w:rFonts w:ascii="Book Antiqua" w:eastAsia="Calibri" w:hAnsi="Book Antiqua" w:cs="Arial"/>
          <w:sz w:val="24"/>
          <w:szCs w:val="24"/>
          <w:lang w:eastAsia="es-CR"/>
        </w:rPr>
        <w:t>Se permite agilidad en el trámite de los procesos para reducir los plazos de tramitación y dictado de sentencias, ya que el CPF establece que la contestación de la demanda, en la medida de lo posible, se realice en la misma audiencia, de igual manera sucede con las apelaciones.</w:t>
      </w:r>
    </w:p>
    <w:p w14:paraId="4A9ACCE6" w14:textId="77777777" w:rsidR="003F4542" w:rsidRPr="003F4542" w:rsidRDefault="003F4542" w:rsidP="0090609F">
      <w:pPr>
        <w:numPr>
          <w:ilvl w:val="0"/>
          <w:numId w:val="11"/>
        </w:numPr>
        <w:spacing w:after="0" w:line="276" w:lineRule="auto"/>
        <w:ind w:left="0" w:firstLine="0"/>
        <w:contextualSpacing/>
        <w:jc w:val="both"/>
        <w:rPr>
          <w:rFonts w:ascii="Book Antiqua" w:eastAsia="Calibri" w:hAnsi="Book Antiqua" w:cs="Arial"/>
          <w:sz w:val="24"/>
          <w:szCs w:val="24"/>
          <w:lang w:eastAsia="es-CR"/>
        </w:rPr>
      </w:pPr>
      <w:r w:rsidRPr="003F4542">
        <w:rPr>
          <w:rFonts w:ascii="Book Antiqua" w:eastAsia="Calibri" w:hAnsi="Book Antiqua" w:cs="Arial"/>
          <w:sz w:val="24"/>
          <w:szCs w:val="24"/>
          <w:lang w:eastAsia="es-CR"/>
        </w:rPr>
        <w:t>Se faculta a las personas juzgadoras para que dicten la parte dispositiva de las sentencias una vez finalizada la última audiencia del proceso, por lo que es posible que un proceso familiar se desarrolle en una sola audiencia.</w:t>
      </w:r>
    </w:p>
    <w:p w14:paraId="2FB36E7C" w14:textId="398AB48C" w:rsidR="003F4542" w:rsidRPr="003F4542" w:rsidRDefault="003F4542" w:rsidP="0090609F">
      <w:pPr>
        <w:numPr>
          <w:ilvl w:val="0"/>
          <w:numId w:val="11"/>
        </w:numPr>
        <w:spacing w:after="0" w:line="276" w:lineRule="auto"/>
        <w:ind w:left="0" w:firstLine="0"/>
        <w:contextualSpacing/>
        <w:jc w:val="both"/>
        <w:rPr>
          <w:rFonts w:ascii="Book Antiqua" w:eastAsia="Calibri" w:hAnsi="Book Antiqua" w:cs="Arial"/>
          <w:sz w:val="24"/>
          <w:szCs w:val="24"/>
          <w:lang w:eastAsia="es-CR"/>
        </w:rPr>
      </w:pPr>
      <w:r w:rsidRPr="003F4542">
        <w:rPr>
          <w:rFonts w:ascii="Book Antiqua" w:eastAsia="Calibri" w:hAnsi="Book Antiqua" w:cs="Arial"/>
          <w:sz w:val="24"/>
          <w:szCs w:val="24"/>
          <w:lang w:eastAsia="es-CR"/>
        </w:rPr>
        <w:t>Se propone la conciliación en una audiencia previa, dejando abierta la posibilidad de aplicarla en cualquier etapa del proceso judicial, tal como se consigna en el artículo 9 del CPF, siendo posible aplicar otros mecanismos alternos de solución de conflictos regulados en la Ley 7727, Ley de Resolución Alterna de Conflictos y Promoción de la Paz Social</w:t>
      </w:r>
      <w:r w:rsidR="00945E23">
        <w:rPr>
          <w:rFonts w:ascii="Book Antiqua" w:eastAsia="Calibri" w:hAnsi="Book Antiqua" w:cs="Arial"/>
          <w:sz w:val="24"/>
          <w:szCs w:val="24"/>
          <w:lang w:eastAsia="es-CR"/>
        </w:rPr>
        <w:t>.</w:t>
      </w:r>
    </w:p>
    <w:p w14:paraId="11A246FE" w14:textId="77777777" w:rsidR="003F4542" w:rsidRPr="003F4542" w:rsidRDefault="003F4542" w:rsidP="003F4542">
      <w:pPr>
        <w:spacing w:after="0" w:line="276" w:lineRule="auto"/>
        <w:jc w:val="both"/>
        <w:rPr>
          <w:rFonts w:ascii="Book Antiqua" w:eastAsia="Calibri" w:hAnsi="Book Antiqua" w:cs="Arial"/>
          <w:sz w:val="24"/>
          <w:szCs w:val="24"/>
        </w:rPr>
      </w:pPr>
    </w:p>
    <w:p w14:paraId="198A3DBE" w14:textId="77777777" w:rsidR="003F4542" w:rsidRPr="003F4542" w:rsidRDefault="003F4542" w:rsidP="003F4542">
      <w:pPr>
        <w:spacing w:after="0" w:line="276" w:lineRule="auto"/>
        <w:jc w:val="both"/>
        <w:rPr>
          <w:rFonts w:ascii="Book Antiqua" w:eastAsia="Calibri" w:hAnsi="Book Antiqua" w:cs="Arial"/>
          <w:sz w:val="24"/>
          <w:szCs w:val="24"/>
        </w:rPr>
      </w:pPr>
      <w:r w:rsidRPr="003F4542">
        <w:rPr>
          <w:rFonts w:ascii="Book Antiqua" w:eastAsia="Calibri" w:hAnsi="Book Antiqua" w:cs="Arial"/>
          <w:sz w:val="24"/>
          <w:szCs w:val="24"/>
        </w:rPr>
        <w:t>En el siguiente diagrama se visualizan los principales cambios en el proceso general de la materia Familia.</w:t>
      </w:r>
    </w:p>
    <w:p w14:paraId="676F4FBA" w14:textId="62823199" w:rsidR="003F4542" w:rsidRDefault="003F4542" w:rsidP="003F4542">
      <w:pPr>
        <w:spacing w:after="0" w:line="240" w:lineRule="auto"/>
        <w:jc w:val="both"/>
        <w:rPr>
          <w:rFonts w:ascii="Book Antiqua" w:eastAsia="Calibri" w:hAnsi="Book Antiqua" w:cs="Arial"/>
          <w:sz w:val="24"/>
          <w:szCs w:val="24"/>
        </w:rPr>
      </w:pPr>
    </w:p>
    <w:p w14:paraId="37B5A103" w14:textId="4DEEAF2E" w:rsidR="00F841A7" w:rsidRDefault="00F841A7" w:rsidP="003F4542">
      <w:pPr>
        <w:spacing w:after="0" w:line="240" w:lineRule="auto"/>
        <w:jc w:val="both"/>
        <w:rPr>
          <w:rFonts w:ascii="Book Antiqua" w:eastAsia="Calibri" w:hAnsi="Book Antiqua" w:cs="Arial"/>
          <w:sz w:val="24"/>
          <w:szCs w:val="24"/>
        </w:rPr>
      </w:pPr>
    </w:p>
    <w:p w14:paraId="58C34F4D" w14:textId="12672205" w:rsidR="00F841A7" w:rsidRDefault="00F841A7" w:rsidP="003F4542">
      <w:pPr>
        <w:spacing w:after="0" w:line="240" w:lineRule="auto"/>
        <w:jc w:val="both"/>
        <w:rPr>
          <w:rFonts w:ascii="Book Antiqua" w:eastAsia="Calibri" w:hAnsi="Book Antiqua" w:cs="Arial"/>
          <w:sz w:val="24"/>
          <w:szCs w:val="24"/>
        </w:rPr>
      </w:pPr>
    </w:p>
    <w:p w14:paraId="1990D157" w14:textId="63BBC0EF" w:rsidR="000012B5" w:rsidRDefault="000012B5" w:rsidP="003F4542">
      <w:pPr>
        <w:spacing w:after="0" w:line="240" w:lineRule="auto"/>
        <w:jc w:val="both"/>
        <w:rPr>
          <w:rFonts w:ascii="Book Antiqua" w:eastAsia="Calibri" w:hAnsi="Book Antiqua" w:cs="Arial"/>
          <w:sz w:val="24"/>
          <w:szCs w:val="24"/>
        </w:rPr>
      </w:pPr>
    </w:p>
    <w:p w14:paraId="34E571DB" w14:textId="614DC103" w:rsidR="000012B5" w:rsidRDefault="000012B5" w:rsidP="003F4542">
      <w:pPr>
        <w:spacing w:after="0" w:line="240" w:lineRule="auto"/>
        <w:jc w:val="both"/>
        <w:rPr>
          <w:rFonts w:ascii="Book Antiqua" w:eastAsia="Calibri" w:hAnsi="Book Antiqua" w:cs="Arial"/>
          <w:sz w:val="24"/>
          <w:szCs w:val="24"/>
        </w:rPr>
      </w:pPr>
    </w:p>
    <w:p w14:paraId="7EF283DA" w14:textId="38B93463" w:rsidR="000012B5" w:rsidRDefault="000012B5" w:rsidP="003F4542">
      <w:pPr>
        <w:spacing w:after="0" w:line="240" w:lineRule="auto"/>
        <w:jc w:val="both"/>
        <w:rPr>
          <w:rFonts w:ascii="Book Antiqua" w:eastAsia="Calibri" w:hAnsi="Book Antiqua" w:cs="Arial"/>
          <w:sz w:val="24"/>
          <w:szCs w:val="24"/>
        </w:rPr>
      </w:pPr>
    </w:p>
    <w:p w14:paraId="341B8CE9" w14:textId="1FF9A368" w:rsidR="000012B5" w:rsidRDefault="000012B5" w:rsidP="003F4542">
      <w:pPr>
        <w:spacing w:after="0" w:line="240" w:lineRule="auto"/>
        <w:jc w:val="both"/>
        <w:rPr>
          <w:rFonts w:ascii="Book Antiqua" w:eastAsia="Calibri" w:hAnsi="Book Antiqua" w:cs="Arial"/>
          <w:sz w:val="24"/>
          <w:szCs w:val="24"/>
        </w:rPr>
      </w:pPr>
    </w:p>
    <w:p w14:paraId="46FEA1AD" w14:textId="318D3BF8" w:rsidR="000012B5" w:rsidRDefault="000012B5" w:rsidP="003F4542">
      <w:pPr>
        <w:spacing w:after="0" w:line="240" w:lineRule="auto"/>
        <w:jc w:val="both"/>
        <w:rPr>
          <w:rFonts w:ascii="Book Antiqua" w:eastAsia="Calibri" w:hAnsi="Book Antiqua" w:cs="Arial"/>
          <w:sz w:val="24"/>
          <w:szCs w:val="24"/>
        </w:rPr>
      </w:pPr>
    </w:p>
    <w:p w14:paraId="124275EF" w14:textId="1AB30753" w:rsidR="000012B5" w:rsidRDefault="000012B5" w:rsidP="003F4542">
      <w:pPr>
        <w:spacing w:after="0" w:line="240" w:lineRule="auto"/>
        <w:jc w:val="both"/>
        <w:rPr>
          <w:rFonts w:ascii="Book Antiqua" w:eastAsia="Calibri" w:hAnsi="Book Antiqua" w:cs="Arial"/>
          <w:sz w:val="24"/>
          <w:szCs w:val="24"/>
        </w:rPr>
      </w:pPr>
    </w:p>
    <w:p w14:paraId="612CC927" w14:textId="0E2DBA62" w:rsidR="000012B5" w:rsidRDefault="000012B5" w:rsidP="003F4542">
      <w:pPr>
        <w:spacing w:after="0" w:line="240" w:lineRule="auto"/>
        <w:jc w:val="both"/>
        <w:rPr>
          <w:rFonts w:ascii="Book Antiqua" w:eastAsia="Calibri" w:hAnsi="Book Antiqua" w:cs="Arial"/>
          <w:sz w:val="24"/>
          <w:szCs w:val="24"/>
        </w:rPr>
      </w:pPr>
    </w:p>
    <w:p w14:paraId="0B53F395" w14:textId="2EB45486" w:rsidR="000012B5" w:rsidRDefault="000012B5" w:rsidP="003F4542">
      <w:pPr>
        <w:spacing w:after="0" w:line="240" w:lineRule="auto"/>
        <w:jc w:val="both"/>
        <w:rPr>
          <w:rFonts w:ascii="Book Antiqua" w:eastAsia="Calibri" w:hAnsi="Book Antiqua" w:cs="Arial"/>
          <w:sz w:val="24"/>
          <w:szCs w:val="24"/>
        </w:rPr>
      </w:pPr>
    </w:p>
    <w:p w14:paraId="571B77C3" w14:textId="53CE60EF" w:rsidR="000012B5" w:rsidRDefault="000012B5" w:rsidP="003F4542">
      <w:pPr>
        <w:spacing w:after="0" w:line="240" w:lineRule="auto"/>
        <w:jc w:val="both"/>
        <w:rPr>
          <w:rFonts w:ascii="Book Antiqua" w:eastAsia="Calibri" w:hAnsi="Book Antiqua" w:cs="Arial"/>
          <w:sz w:val="24"/>
          <w:szCs w:val="24"/>
        </w:rPr>
      </w:pPr>
    </w:p>
    <w:p w14:paraId="2F699CA6" w14:textId="01AB4E65" w:rsidR="000012B5" w:rsidRDefault="000012B5" w:rsidP="003F4542">
      <w:pPr>
        <w:spacing w:after="0" w:line="240" w:lineRule="auto"/>
        <w:jc w:val="both"/>
        <w:rPr>
          <w:rFonts w:ascii="Book Antiqua" w:eastAsia="Calibri" w:hAnsi="Book Antiqua" w:cs="Arial"/>
          <w:sz w:val="24"/>
          <w:szCs w:val="24"/>
        </w:rPr>
      </w:pPr>
    </w:p>
    <w:p w14:paraId="23EB341D" w14:textId="113AF197" w:rsidR="000012B5" w:rsidRDefault="000012B5" w:rsidP="003F4542">
      <w:pPr>
        <w:spacing w:after="0" w:line="240" w:lineRule="auto"/>
        <w:jc w:val="both"/>
        <w:rPr>
          <w:rFonts w:ascii="Book Antiqua" w:eastAsia="Calibri" w:hAnsi="Book Antiqua" w:cs="Arial"/>
          <w:sz w:val="24"/>
          <w:szCs w:val="24"/>
        </w:rPr>
      </w:pPr>
    </w:p>
    <w:p w14:paraId="011B3170" w14:textId="0BD01B74" w:rsidR="00C21740" w:rsidRPr="00F17227" w:rsidRDefault="00C510E7" w:rsidP="00C510E7">
      <w:pPr>
        <w:spacing w:line="276" w:lineRule="auto"/>
        <w:jc w:val="center"/>
        <w:rPr>
          <w:rFonts w:ascii="Book Antiqua" w:hAnsi="Book Antiqua"/>
          <w:b/>
          <w:bCs/>
          <w:color w:val="1F497D"/>
          <w:szCs w:val="24"/>
          <w:lang w:val="es-ES" w:eastAsia="es-ES"/>
        </w:rPr>
      </w:pPr>
      <w:r w:rsidRPr="00F17227">
        <w:rPr>
          <w:rFonts w:ascii="Book Antiqua" w:hAnsi="Book Antiqua"/>
          <w:b/>
          <w:bCs/>
          <w:color w:val="1F497D"/>
          <w:szCs w:val="24"/>
          <w:lang w:val="es-ES" w:eastAsia="es-ES"/>
        </w:rPr>
        <w:t xml:space="preserve">Figura </w:t>
      </w:r>
      <w:r w:rsidRPr="00F17227">
        <w:rPr>
          <w:rFonts w:ascii="Book Antiqua" w:hAnsi="Book Antiqua"/>
          <w:b/>
          <w:bCs/>
          <w:color w:val="1F497D"/>
          <w:szCs w:val="24"/>
          <w:lang w:val="es-ES" w:eastAsia="es-ES"/>
        </w:rPr>
        <w:fldChar w:fldCharType="begin"/>
      </w:r>
      <w:r w:rsidRPr="00F17227">
        <w:rPr>
          <w:rFonts w:ascii="Book Antiqua" w:hAnsi="Book Antiqua"/>
          <w:b/>
          <w:bCs/>
          <w:color w:val="1F497D"/>
          <w:szCs w:val="24"/>
          <w:lang w:val="es-ES" w:eastAsia="es-ES"/>
        </w:rPr>
        <w:instrText xml:space="preserve"> SEQ Figura \* ARABIC </w:instrText>
      </w:r>
      <w:r w:rsidRPr="00F17227">
        <w:rPr>
          <w:rFonts w:ascii="Book Antiqua" w:hAnsi="Book Antiqua"/>
          <w:b/>
          <w:bCs/>
          <w:color w:val="1F497D"/>
          <w:szCs w:val="24"/>
          <w:lang w:val="es-ES" w:eastAsia="es-ES"/>
        </w:rPr>
        <w:fldChar w:fldCharType="separate"/>
      </w:r>
      <w:r w:rsidR="009B739E">
        <w:rPr>
          <w:rFonts w:ascii="Book Antiqua" w:hAnsi="Book Antiqua"/>
          <w:b/>
          <w:bCs/>
          <w:noProof/>
          <w:color w:val="1F497D"/>
          <w:szCs w:val="24"/>
          <w:lang w:val="es-ES" w:eastAsia="es-ES"/>
        </w:rPr>
        <w:t>2</w:t>
      </w:r>
      <w:r w:rsidRPr="00F17227">
        <w:rPr>
          <w:rFonts w:ascii="Book Antiqua" w:hAnsi="Book Antiqua"/>
          <w:b/>
          <w:bCs/>
          <w:color w:val="1F497D"/>
          <w:szCs w:val="24"/>
          <w:lang w:val="es-ES" w:eastAsia="es-ES"/>
        </w:rPr>
        <w:fldChar w:fldCharType="end"/>
      </w:r>
      <w:r w:rsidRPr="00F17227">
        <w:rPr>
          <w:rFonts w:ascii="Book Antiqua" w:hAnsi="Book Antiqua"/>
          <w:b/>
          <w:bCs/>
          <w:color w:val="1F497D"/>
          <w:szCs w:val="24"/>
          <w:lang w:val="es-ES" w:eastAsia="es-ES"/>
        </w:rPr>
        <w:t xml:space="preserve"> Diagrama del Proceso General de materia Familia con el CPF</w:t>
      </w:r>
    </w:p>
    <w:p w14:paraId="0CB078BE" w14:textId="126CCFBC" w:rsidR="0027551B" w:rsidRDefault="0085082B" w:rsidP="0085082B">
      <w:pPr>
        <w:spacing w:line="276" w:lineRule="auto"/>
        <w:jc w:val="center"/>
        <w:rPr>
          <w:rFonts w:ascii="Book Antiqua" w:hAnsi="Book Antiqua"/>
          <w:sz w:val="24"/>
          <w:szCs w:val="24"/>
        </w:rPr>
      </w:pPr>
      <w:r w:rsidRPr="0085082B">
        <w:rPr>
          <w:rFonts w:ascii="Book Antiqua" w:eastAsia="Calibri" w:hAnsi="Book Antiqua" w:cs="Arial"/>
          <w:noProof/>
        </w:rPr>
        <w:drawing>
          <wp:inline distT="0" distB="0" distL="0" distR="0" wp14:anchorId="736A1DC9" wp14:editId="08D56041">
            <wp:extent cx="5612130" cy="4122420"/>
            <wp:effectExtent l="0" t="0" r="7620" b="0"/>
            <wp:docPr id="88921262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62">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p>
    <w:p w14:paraId="603E4C14" w14:textId="50F98F7B" w:rsidR="0027551B" w:rsidRDefault="0027551B" w:rsidP="009C01E1">
      <w:pPr>
        <w:spacing w:line="276" w:lineRule="auto"/>
        <w:jc w:val="both"/>
        <w:rPr>
          <w:rFonts w:ascii="Book Antiqua" w:hAnsi="Book Antiqua"/>
          <w:sz w:val="24"/>
          <w:szCs w:val="24"/>
        </w:rPr>
      </w:pPr>
    </w:p>
    <w:p w14:paraId="110230F6" w14:textId="67F0268B" w:rsidR="0027551B" w:rsidRDefault="00694987" w:rsidP="00694987">
      <w:pPr>
        <w:spacing w:line="276" w:lineRule="auto"/>
        <w:jc w:val="center"/>
        <w:rPr>
          <w:rFonts w:ascii="Book Antiqua" w:hAnsi="Book Antiqua"/>
          <w:sz w:val="24"/>
          <w:szCs w:val="24"/>
        </w:rPr>
      </w:pPr>
      <w:r w:rsidRPr="00694987">
        <w:rPr>
          <w:rFonts w:ascii="Book Antiqua" w:eastAsia="Calibri" w:hAnsi="Book Antiqua" w:cs="Arial"/>
          <w:noProof/>
        </w:rPr>
        <w:lastRenderedPageBreak/>
        <w:drawing>
          <wp:inline distT="0" distB="0" distL="0" distR="0" wp14:anchorId="03038FD2" wp14:editId="28F2BB89">
            <wp:extent cx="5612130" cy="4122420"/>
            <wp:effectExtent l="0" t="0" r="7620" b="0"/>
            <wp:docPr id="42428746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62">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p>
    <w:p w14:paraId="015D7B4B" w14:textId="23BC565B" w:rsidR="00B46528" w:rsidRPr="007D1674" w:rsidRDefault="004060E1" w:rsidP="00FB27DD">
      <w:pPr>
        <w:tabs>
          <w:tab w:val="left" w:pos="8364"/>
        </w:tabs>
        <w:spacing w:line="276" w:lineRule="auto"/>
        <w:rPr>
          <w:rFonts w:ascii="Book Antiqua" w:eastAsia="Calibri" w:hAnsi="Book Antiqua" w:cs="Arial"/>
          <w:i/>
          <w:iCs/>
          <w:sz w:val="20"/>
          <w:szCs w:val="20"/>
          <w:lang w:val="es-ES_tradnl"/>
        </w:rPr>
      </w:pPr>
      <w:r w:rsidRPr="00B46528">
        <w:rPr>
          <w:rFonts w:ascii="Book Antiqua" w:eastAsia="Calibri" w:hAnsi="Book Antiqua" w:cs="Arial"/>
          <w:i/>
          <w:iCs/>
          <w:sz w:val="20"/>
          <w:szCs w:val="20"/>
          <w:lang w:val="es-ES_tradnl"/>
        </w:rPr>
        <w:t xml:space="preserve"> </w:t>
      </w:r>
      <w:r w:rsidR="00B46528" w:rsidRPr="007D1674">
        <w:rPr>
          <w:rFonts w:ascii="Book Antiqua" w:eastAsia="Calibri" w:hAnsi="Book Antiqua" w:cs="Arial"/>
          <w:i/>
          <w:iCs/>
          <w:sz w:val="20"/>
          <w:szCs w:val="20"/>
          <w:lang w:val="es-ES_tradnl"/>
        </w:rPr>
        <w:t>Fuente: Sub</w:t>
      </w:r>
      <w:r w:rsidR="00B46528">
        <w:rPr>
          <w:rFonts w:ascii="Book Antiqua" w:eastAsia="Calibri" w:hAnsi="Book Antiqua" w:cs="Arial"/>
          <w:i/>
          <w:iCs/>
          <w:sz w:val="20"/>
          <w:szCs w:val="20"/>
          <w:lang w:val="es-ES_tradnl"/>
        </w:rPr>
        <w:t>p</w:t>
      </w:r>
      <w:r w:rsidR="00B46528" w:rsidRPr="007D1674">
        <w:rPr>
          <w:rFonts w:ascii="Book Antiqua" w:eastAsia="Calibri" w:hAnsi="Book Antiqua" w:cs="Arial"/>
          <w:i/>
          <w:iCs/>
          <w:sz w:val="20"/>
          <w:szCs w:val="20"/>
          <w:lang w:val="es-ES_tradnl"/>
        </w:rPr>
        <w:t>roceso de Modernización Institucional</w:t>
      </w:r>
      <w:r w:rsidR="00B46528">
        <w:rPr>
          <w:rFonts w:ascii="Book Antiqua" w:eastAsia="Calibri" w:hAnsi="Book Antiqua" w:cs="Arial"/>
          <w:i/>
          <w:iCs/>
          <w:sz w:val="20"/>
          <w:szCs w:val="20"/>
          <w:lang w:val="es-ES_tradnl"/>
        </w:rPr>
        <w:t xml:space="preserve">, </w:t>
      </w:r>
      <w:r w:rsidR="00FB27DD">
        <w:rPr>
          <w:rFonts w:ascii="Book Antiqua" w:eastAsia="Calibri" w:hAnsi="Book Antiqua" w:cs="Arial"/>
          <w:i/>
          <w:iCs/>
          <w:sz w:val="20"/>
          <w:szCs w:val="20"/>
          <w:lang w:val="es-ES_tradnl"/>
        </w:rPr>
        <w:t>levantado en conjunto con el Lic. Alberto Jiménez Mata.</w:t>
      </w:r>
    </w:p>
    <w:p w14:paraId="06433212" w14:textId="5AE49E66" w:rsidR="0027551B" w:rsidRDefault="0027551B" w:rsidP="00B46528">
      <w:pPr>
        <w:spacing w:line="276" w:lineRule="auto"/>
        <w:jc w:val="both"/>
        <w:rPr>
          <w:rFonts w:ascii="Book Antiqua" w:hAnsi="Book Antiqua"/>
          <w:sz w:val="24"/>
          <w:szCs w:val="24"/>
        </w:rPr>
      </w:pPr>
    </w:p>
    <w:p w14:paraId="03786516" w14:textId="1A658BF2" w:rsidR="000F1409" w:rsidRPr="000F1409" w:rsidRDefault="000F1409" w:rsidP="000F1409">
      <w:pPr>
        <w:spacing w:after="0" w:line="276" w:lineRule="auto"/>
        <w:jc w:val="both"/>
        <w:rPr>
          <w:rFonts w:ascii="Book Antiqua" w:eastAsia="Calibri" w:hAnsi="Book Antiqua" w:cs="Arial"/>
          <w:sz w:val="24"/>
          <w:szCs w:val="24"/>
        </w:rPr>
      </w:pPr>
      <w:r w:rsidRPr="000F1409">
        <w:rPr>
          <w:rFonts w:ascii="Book Antiqua" w:eastAsia="Calibri" w:hAnsi="Book Antiqua" w:cs="Arial"/>
          <w:sz w:val="24"/>
          <w:szCs w:val="24"/>
        </w:rPr>
        <w:t xml:space="preserve">Con el nuevo proceso que se plantea con el CPF se estima que impulsará una tramitación más simple y expedita, gracias </w:t>
      </w:r>
      <w:r>
        <w:rPr>
          <w:rFonts w:ascii="Book Antiqua" w:eastAsia="Calibri" w:hAnsi="Book Antiqua" w:cs="Arial"/>
          <w:sz w:val="24"/>
          <w:szCs w:val="24"/>
        </w:rPr>
        <w:t xml:space="preserve">a </w:t>
      </w:r>
      <w:r w:rsidRPr="000F1409">
        <w:rPr>
          <w:rFonts w:ascii="Book Antiqua" w:eastAsia="Calibri" w:hAnsi="Book Antiqua" w:cs="Arial"/>
          <w:sz w:val="24"/>
          <w:szCs w:val="24"/>
        </w:rPr>
        <w:t xml:space="preserve">la realización de una audiencia inicial, se fomenta la conciliación y posibilidad de la oralidad. Adicional, </w:t>
      </w:r>
      <w:r w:rsidRPr="0054258A">
        <w:rPr>
          <w:rFonts w:ascii="Book Antiqua" w:eastAsia="Calibri" w:hAnsi="Book Antiqua" w:cs="Arial"/>
          <w:sz w:val="24"/>
          <w:szCs w:val="24"/>
        </w:rPr>
        <w:t xml:space="preserve">en el </w:t>
      </w:r>
      <w:r w:rsidRPr="0054258A">
        <w:rPr>
          <w:rFonts w:ascii="Book Antiqua" w:eastAsia="Calibri" w:hAnsi="Book Antiqua" w:cs="Arial"/>
          <w:b/>
          <w:i/>
          <w:sz w:val="24"/>
          <w:szCs w:val="24"/>
        </w:rPr>
        <w:t xml:space="preserve">anexo </w:t>
      </w:r>
      <w:r w:rsidR="000B3FC7">
        <w:rPr>
          <w:rFonts w:ascii="Book Antiqua" w:eastAsia="Calibri" w:hAnsi="Book Antiqua" w:cs="Arial"/>
          <w:b/>
          <w:i/>
          <w:sz w:val="24"/>
          <w:szCs w:val="24"/>
        </w:rPr>
        <w:t>2</w:t>
      </w:r>
      <w:r w:rsidR="000B3FC7" w:rsidRPr="0054258A">
        <w:rPr>
          <w:rFonts w:ascii="Book Antiqua" w:eastAsia="Calibri" w:hAnsi="Book Antiqua" w:cs="Arial"/>
          <w:sz w:val="24"/>
          <w:szCs w:val="24"/>
        </w:rPr>
        <w:t xml:space="preserve"> </w:t>
      </w:r>
      <w:r w:rsidRPr="0054258A">
        <w:rPr>
          <w:rFonts w:ascii="Book Antiqua" w:eastAsia="Calibri" w:hAnsi="Book Antiqua" w:cs="Arial"/>
          <w:sz w:val="24"/>
          <w:szCs w:val="24"/>
        </w:rPr>
        <w:t>se</w:t>
      </w:r>
      <w:r w:rsidRPr="000F1409">
        <w:rPr>
          <w:rFonts w:ascii="Book Antiqua" w:eastAsia="Calibri" w:hAnsi="Book Antiqua" w:cs="Arial"/>
          <w:sz w:val="24"/>
          <w:szCs w:val="24"/>
        </w:rPr>
        <w:t xml:space="preserve"> muestra el diagrama desarrollado por la Comisión de la Jurisdicción </w:t>
      </w:r>
      <w:r>
        <w:rPr>
          <w:rFonts w:ascii="Book Antiqua" w:eastAsia="Calibri" w:hAnsi="Book Antiqua" w:cs="Arial"/>
          <w:sz w:val="24"/>
          <w:szCs w:val="24"/>
        </w:rPr>
        <w:t xml:space="preserve">de </w:t>
      </w:r>
      <w:r w:rsidRPr="000F1409">
        <w:rPr>
          <w:rFonts w:ascii="Book Antiqua" w:eastAsia="Calibri" w:hAnsi="Book Antiqua" w:cs="Arial"/>
          <w:sz w:val="24"/>
          <w:szCs w:val="24"/>
        </w:rPr>
        <w:t>Familia</w:t>
      </w:r>
      <w:r>
        <w:rPr>
          <w:rFonts w:ascii="Book Antiqua" w:eastAsia="Calibri" w:hAnsi="Book Antiqua" w:cs="Arial"/>
          <w:sz w:val="24"/>
          <w:szCs w:val="24"/>
        </w:rPr>
        <w:t>,</w:t>
      </w:r>
      <w:r w:rsidRPr="000F1409">
        <w:rPr>
          <w:rFonts w:ascii="Book Antiqua" w:eastAsia="Calibri" w:hAnsi="Book Antiqua" w:cs="Arial"/>
          <w:sz w:val="24"/>
          <w:szCs w:val="24"/>
        </w:rPr>
        <w:t xml:space="preserve"> Niñez y Adolescencia.</w:t>
      </w:r>
    </w:p>
    <w:p w14:paraId="3CCAB1D1" w14:textId="77777777" w:rsidR="000F1409" w:rsidRPr="000F1409" w:rsidRDefault="000F1409" w:rsidP="000F1409">
      <w:pPr>
        <w:spacing w:after="0" w:line="276" w:lineRule="auto"/>
        <w:jc w:val="both"/>
        <w:rPr>
          <w:rFonts w:ascii="Book Antiqua" w:eastAsia="Calibri" w:hAnsi="Book Antiqua" w:cs="Arial"/>
          <w:sz w:val="24"/>
          <w:szCs w:val="24"/>
        </w:rPr>
      </w:pPr>
    </w:p>
    <w:p w14:paraId="47147AF0" w14:textId="77777777" w:rsidR="000F1409" w:rsidRPr="000F1409" w:rsidRDefault="000F1409" w:rsidP="000F1409">
      <w:pPr>
        <w:spacing w:after="0" w:line="276" w:lineRule="auto"/>
        <w:jc w:val="both"/>
        <w:rPr>
          <w:rFonts w:ascii="Book Antiqua" w:eastAsia="Calibri" w:hAnsi="Book Antiqua" w:cs="Arial"/>
          <w:sz w:val="24"/>
          <w:szCs w:val="24"/>
        </w:rPr>
      </w:pPr>
      <w:r w:rsidRPr="000F1409">
        <w:rPr>
          <w:rFonts w:ascii="Book Antiqua" w:eastAsia="Calibri" w:hAnsi="Book Antiqua" w:cs="Arial"/>
          <w:sz w:val="24"/>
          <w:szCs w:val="24"/>
        </w:rPr>
        <w:t>Importante mencionar, que se espera que, con el CPF los tiempos de respuesta en el dictado de la resolución disminuyan considerablemente; principalmente por incorporar la fase de conciliación que se desarrolla en las actividades de la audiencia preliminar.</w:t>
      </w:r>
    </w:p>
    <w:p w14:paraId="0F9DA24C" w14:textId="6C130A87" w:rsidR="0027551B" w:rsidRDefault="0027551B" w:rsidP="009C01E1">
      <w:pPr>
        <w:spacing w:line="276" w:lineRule="auto"/>
        <w:jc w:val="both"/>
        <w:rPr>
          <w:rFonts w:ascii="Book Antiqua" w:hAnsi="Book Antiqua"/>
          <w:sz w:val="24"/>
          <w:szCs w:val="24"/>
        </w:rPr>
      </w:pPr>
    </w:p>
    <w:p w14:paraId="3187D993" w14:textId="77777777" w:rsidR="0054258A" w:rsidRDefault="0054258A" w:rsidP="009C01E1">
      <w:pPr>
        <w:spacing w:line="276" w:lineRule="auto"/>
        <w:jc w:val="both"/>
        <w:rPr>
          <w:rFonts w:ascii="Book Antiqua" w:hAnsi="Book Antiqua"/>
          <w:sz w:val="24"/>
          <w:szCs w:val="24"/>
        </w:rPr>
      </w:pPr>
    </w:p>
    <w:p w14:paraId="5779FEFC" w14:textId="77777777" w:rsidR="004E69AF" w:rsidRPr="004E69AF" w:rsidRDefault="004E69AF" w:rsidP="004E69AF">
      <w:pPr>
        <w:spacing w:after="0" w:line="276" w:lineRule="auto"/>
        <w:jc w:val="both"/>
        <w:rPr>
          <w:rFonts w:ascii="Book Antiqua" w:eastAsia="Calibri" w:hAnsi="Book Antiqua" w:cs="Arial"/>
          <w:b/>
          <w:bCs/>
          <w:i/>
          <w:iCs/>
          <w:sz w:val="24"/>
          <w:szCs w:val="24"/>
        </w:rPr>
      </w:pPr>
      <w:r w:rsidRPr="004E69AF">
        <w:rPr>
          <w:rFonts w:ascii="Book Antiqua" w:eastAsia="Calibri" w:hAnsi="Book Antiqua" w:cs="Arial"/>
          <w:b/>
          <w:bCs/>
          <w:i/>
          <w:iCs/>
          <w:sz w:val="24"/>
          <w:szCs w:val="24"/>
        </w:rPr>
        <w:lastRenderedPageBreak/>
        <w:t>Duración de los procesos</w:t>
      </w:r>
    </w:p>
    <w:p w14:paraId="7E37E016" w14:textId="77777777" w:rsidR="004E69AF" w:rsidRPr="004E69AF" w:rsidRDefault="004E69AF" w:rsidP="004E69AF">
      <w:pPr>
        <w:spacing w:after="0" w:line="276" w:lineRule="auto"/>
        <w:jc w:val="both"/>
        <w:rPr>
          <w:rFonts w:ascii="Book Antiqua" w:eastAsia="Calibri" w:hAnsi="Book Antiqua" w:cs="Arial"/>
          <w:b/>
          <w:bCs/>
          <w:i/>
          <w:iCs/>
          <w:sz w:val="24"/>
          <w:szCs w:val="24"/>
        </w:rPr>
      </w:pPr>
    </w:p>
    <w:p w14:paraId="409CA454" w14:textId="10023A8B" w:rsidR="004E69AF" w:rsidRPr="004E69AF" w:rsidRDefault="004E69AF" w:rsidP="004E69AF">
      <w:pPr>
        <w:spacing w:after="0" w:line="276" w:lineRule="auto"/>
        <w:jc w:val="both"/>
        <w:rPr>
          <w:rFonts w:ascii="Book Antiqua" w:eastAsia="Calibri" w:hAnsi="Book Antiqua" w:cs="Arial"/>
          <w:sz w:val="24"/>
          <w:szCs w:val="24"/>
        </w:rPr>
      </w:pPr>
      <w:r w:rsidRPr="004E69AF">
        <w:rPr>
          <w:rFonts w:ascii="Book Antiqua" w:eastAsia="Calibri" w:hAnsi="Book Antiqua" w:cs="Arial"/>
          <w:sz w:val="24"/>
          <w:szCs w:val="24"/>
        </w:rPr>
        <w:t>En atención a la recomendación 4.4 el informe DFOE-PG-0098 (2683)-2020, relacionado con el informe DFOE-PG-IF-00002-2020 de la Contraloría General de la República, la Dirección de Planificación emitió el oficio 1212-PLA-EV-2020 aprobado por el Consejo Superior en sesión 82-2020 celebrada el 20 de agosto del 2020, artículo XLI; donde se establecen las duraciones según rango legal y según el criterio experto de personas juzgadoras en materia de Familia</w:t>
      </w:r>
      <w:r w:rsidR="00BE7FC7">
        <w:rPr>
          <w:rFonts w:ascii="Book Antiqua" w:eastAsia="Calibri" w:hAnsi="Book Antiqua" w:cs="Arial"/>
          <w:sz w:val="24"/>
          <w:szCs w:val="24"/>
        </w:rPr>
        <w:t>, circulares 96 y 213-2021</w:t>
      </w:r>
    </w:p>
    <w:p w14:paraId="5458F990" w14:textId="77777777" w:rsidR="004E69AF" w:rsidRPr="004E69AF" w:rsidRDefault="004E69AF" w:rsidP="004E69AF">
      <w:pPr>
        <w:spacing w:after="0" w:line="276" w:lineRule="auto"/>
        <w:jc w:val="both"/>
        <w:rPr>
          <w:rFonts w:ascii="Book Antiqua" w:eastAsia="Calibri" w:hAnsi="Book Antiqua" w:cs="Arial"/>
          <w:sz w:val="24"/>
          <w:szCs w:val="24"/>
        </w:rPr>
      </w:pPr>
    </w:p>
    <w:p w14:paraId="0AEBE295" w14:textId="408CA24B" w:rsidR="00262B68" w:rsidRPr="00262B68" w:rsidRDefault="00262B68" w:rsidP="00262B68">
      <w:pPr>
        <w:spacing w:after="0" w:line="276" w:lineRule="auto"/>
        <w:jc w:val="both"/>
        <w:rPr>
          <w:rFonts w:ascii="Book Antiqua" w:eastAsia="Calibri" w:hAnsi="Book Antiqua" w:cs="Arial"/>
          <w:sz w:val="24"/>
          <w:szCs w:val="24"/>
        </w:rPr>
      </w:pPr>
      <w:r w:rsidRPr="00262B68">
        <w:rPr>
          <w:rFonts w:ascii="Book Antiqua" w:eastAsia="Calibri" w:hAnsi="Book Antiqua" w:cs="Arial"/>
          <w:sz w:val="24"/>
          <w:szCs w:val="24"/>
        </w:rPr>
        <w:t xml:space="preserve">Adicionalmente, se </w:t>
      </w:r>
      <w:r w:rsidR="00606C8A" w:rsidRPr="00262B68">
        <w:rPr>
          <w:rFonts w:ascii="Book Antiqua" w:eastAsia="Calibri" w:hAnsi="Book Antiqua" w:cs="Arial"/>
          <w:sz w:val="24"/>
          <w:szCs w:val="24"/>
        </w:rPr>
        <w:t>diagra</w:t>
      </w:r>
      <w:r w:rsidR="00606C8A">
        <w:rPr>
          <w:rFonts w:ascii="Book Antiqua" w:eastAsia="Calibri" w:hAnsi="Book Antiqua" w:cs="Arial"/>
          <w:sz w:val="24"/>
          <w:szCs w:val="24"/>
        </w:rPr>
        <w:t>maron</w:t>
      </w:r>
      <w:r w:rsidRPr="00262B68">
        <w:rPr>
          <w:rFonts w:ascii="Book Antiqua" w:eastAsia="Calibri" w:hAnsi="Book Antiqua" w:cs="Arial"/>
          <w:sz w:val="24"/>
          <w:szCs w:val="24"/>
        </w:rPr>
        <w:t xml:space="preserve"> los principales procesos en materia de Familia con el apoyo del Lic. Cristian Martínez Hernández, Juez Gestor de Familia del Centro de Apoyo, Coordinación y Mejoramiento de la Función Jurisdiccional con la duración de cada </w:t>
      </w:r>
      <w:r w:rsidRPr="0054258A">
        <w:rPr>
          <w:rFonts w:ascii="Book Antiqua" w:eastAsia="Calibri" w:hAnsi="Book Antiqua" w:cs="Arial"/>
          <w:sz w:val="24"/>
          <w:szCs w:val="24"/>
        </w:rPr>
        <w:t xml:space="preserve">etapa (ver </w:t>
      </w:r>
      <w:r w:rsidRPr="0054258A">
        <w:rPr>
          <w:rFonts w:ascii="Book Antiqua" w:eastAsia="Calibri" w:hAnsi="Book Antiqua" w:cs="Arial"/>
          <w:b/>
          <w:bCs/>
          <w:i/>
          <w:iCs/>
          <w:sz w:val="24"/>
          <w:szCs w:val="24"/>
        </w:rPr>
        <w:t xml:space="preserve">anexo </w:t>
      </w:r>
      <w:r w:rsidR="000B3FC7">
        <w:rPr>
          <w:rFonts w:ascii="Book Antiqua" w:eastAsia="Calibri" w:hAnsi="Book Antiqua" w:cs="Arial"/>
          <w:b/>
          <w:bCs/>
          <w:i/>
          <w:iCs/>
          <w:sz w:val="24"/>
          <w:szCs w:val="24"/>
        </w:rPr>
        <w:t>3</w:t>
      </w:r>
      <w:r w:rsidRPr="0054258A">
        <w:rPr>
          <w:rFonts w:ascii="Book Antiqua" w:eastAsia="Calibri" w:hAnsi="Book Antiqua" w:cs="Arial"/>
          <w:sz w:val="24"/>
          <w:szCs w:val="24"/>
        </w:rPr>
        <w:t>).</w:t>
      </w:r>
      <w:r w:rsidRPr="00262B68">
        <w:rPr>
          <w:rFonts w:ascii="Book Antiqua" w:eastAsia="Calibri" w:hAnsi="Book Antiqua" w:cs="Arial"/>
          <w:sz w:val="24"/>
          <w:szCs w:val="24"/>
        </w:rPr>
        <w:t xml:space="preserve"> </w:t>
      </w:r>
    </w:p>
    <w:p w14:paraId="1660285A" w14:textId="77777777" w:rsidR="00262B68" w:rsidRPr="00262B68" w:rsidRDefault="00262B68" w:rsidP="00262B68">
      <w:pPr>
        <w:spacing w:after="0" w:line="276" w:lineRule="auto"/>
        <w:jc w:val="center"/>
        <w:rPr>
          <w:rFonts w:ascii="Book Antiqua" w:eastAsia="Calibri" w:hAnsi="Book Antiqua" w:cs="Arial"/>
          <w:sz w:val="24"/>
          <w:szCs w:val="24"/>
        </w:rPr>
      </w:pPr>
    </w:p>
    <w:p w14:paraId="4869C0B6" w14:textId="77777777" w:rsidR="00CB4880" w:rsidRPr="00CB4880" w:rsidRDefault="00CB4880" w:rsidP="00CB4880">
      <w:pPr>
        <w:spacing w:after="0" w:line="276" w:lineRule="auto"/>
        <w:jc w:val="both"/>
        <w:rPr>
          <w:rFonts w:ascii="Book Antiqua" w:eastAsia="Calibri" w:hAnsi="Book Antiqua" w:cs="Arial"/>
          <w:b/>
          <w:bCs/>
          <w:i/>
          <w:iCs/>
          <w:sz w:val="24"/>
          <w:szCs w:val="24"/>
        </w:rPr>
      </w:pPr>
      <w:r w:rsidRPr="00CB4880">
        <w:rPr>
          <w:rFonts w:ascii="Book Antiqua" w:eastAsia="Calibri" w:hAnsi="Book Antiqua" w:cs="Arial"/>
          <w:b/>
          <w:bCs/>
          <w:i/>
          <w:iCs/>
          <w:sz w:val="24"/>
          <w:szCs w:val="24"/>
        </w:rPr>
        <w:t>Reparto de los procesos</w:t>
      </w:r>
    </w:p>
    <w:p w14:paraId="1C12DC8D" w14:textId="77777777" w:rsidR="00CB4880" w:rsidRPr="00CB4880" w:rsidRDefault="00CB4880" w:rsidP="00CB4880">
      <w:pPr>
        <w:spacing w:after="0" w:line="276" w:lineRule="auto"/>
        <w:jc w:val="both"/>
        <w:rPr>
          <w:rFonts w:ascii="Book Antiqua" w:eastAsia="Calibri" w:hAnsi="Book Antiqua" w:cs="Arial"/>
          <w:b/>
          <w:bCs/>
          <w:i/>
          <w:iCs/>
          <w:sz w:val="24"/>
          <w:szCs w:val="24"/>
        </w:rPr>
      </w:pPr>
    </w:p>
    <w:p w14:paraId="1AA3C186" w14:textId="73FEB78D" w:rsidR="00CB4880" w:rsidRPr="00CB4880" w:rsidRDefault="00CB4880" w:rsidP="00CB4880">
      <w:pPr>
        <w:spacing w:after="0" w:line="276" w:lineRule="auto"/>
        <w:jc w:val="both"/>
        <w:rPr>
          <w:rFonts w:ascii="Book Antiqua" w:eastAsia="Calibri" w:hAnsi="Book Antiqua" w:cs="Arial"/>
          <w:sz w:val="24"/>
          <w:szCs w:val="24"/>
        </w:rPr>
      </w:pPr>
      <w:r w:rsidRPr="00CB4880">
        <w:rPr>
          <w:rFonts w:ascii="Book Antiqua" w:eastAsia="Calibri" w:hAnsi="Book Antiqua" w:cs="Arial"/>
          <w:sz w:val="24"/>
          <w:szCs w:val="24"/>
        </w:rPr>
        <w:t xml:space="preserve">En atención a la recomendación 4.6 de la Contraloría General de la República, se </w:t>
      </w:r>
      <w:r w:rsidR="00D60425">
        <w:rPr>
          <w:rFonts w:ascii="Book Antiqua" w:eastAsia="Calibri" w:hAnsi="Book Antiqua" w:cs="Arial"/>
          <w:sz w:val="24"/>
          <w:szCs w:val="24"/>
        </w:rPr>
        <w:t xml:space="preserve">configuró </w:t>
      </w:r>
      <w:r w:rsidR="00D60425" w:rsidRPr="00CB4880">
        <w:rPr>
          <w:rFonts w:ascii="Book Antiqua" w:eastAsia="Calibri" w:hAnsi="Book Antiqua" w:cs="Arial"/>
          <w:sz w:val="24"/>
          <w:szCs w:val="24"/>
        </w:rPr>
        <w:t>el</w:t>
      </w:r>
      <w:r w:rsidRPr="00CB4880">
        <w:rPr>
          <w:rFonts w:ascii="Book Antiqua" w:eastAsia="Calibri" w:hAnsi="Book Antiqua" w:cs="Arial"/>
          <w:sz w:val="24"/>
          <w:szCs w:val="24"/>
        </w:rPr>
        <w:t xml:space="preserve"> reparto automático en los Juzgados de Familia a nivel nacional por </w:t>
      </w:r>
      <w:r w:rsidRPr="00CB4880">
        <w:rPr>
          <w:rFonts w:ascii="Book Antiqua" w:eastAsia="Calibri" w:hAnsi="Book Antiqua" w:cs="Arial"/>
          <w:b/>
          <w:bCs/>
          <w:i/>
          <w:iCs/>
          <w:sz w:val="24"/>
          <w:szCs w:val="24"/>
        </w:rPr>
        <w:t xml:space="preserve">“clase de asunto”. </w:t>
      </w:r>
      <w:r w:rsidRPr="00CB4880">
        <w:rPr>
          <w:rFonts w:ascii="Book Antiqua" w:eastAsia="Calibri" w:hAnsi="Book Antiqua" w:cs="Arial"/>
          <w:sz w:val="24"/>
          <w:szCs w:val="24"/>
        </w:rPr>
        <w:t>Solo en algunos casos particulares, en donde por estructura haya una persona especializada en conocer procesos por separación o divorcio por mutuo consentimiento se realiza el reparto por una tejedora manual.</w:t>
      </w:r>
    </w:p>
    <w:p w14:paraId="17440348" w14:textId="77777777" w:rsidR="00CB4880" w:rsidRPr="00CB4880" w:rsidRDefault="00CB4880" w:rsidP="00CB4880">
      <w:pPr>
        <w:spacing w:after="0" w:line="276" w:lineRule="auto"/>
        <w:jc w:val="both"/>
        <w:rPr>
          <w:rFonts w:ascii="Book Antiqua" w:eastAsia="Calibri" w:hAnsi="Book Antiqua" w:cs="Arial"/>
          <w:sz w:val="24"/>
          <w:szCs w:val="24"/>
        </w:rPr>
      </w:pPr>
    </w:p>
    <w:p w14:paraId="273E8D37" w14:textId="1BBFCC77" w:rsidR="00CB4880" w:rsidRDefault="00CB4880" w:rsidP="00CB4880">
      <w:pPr>
        <w:spacing w:after="0" w:line="276" w:lineRule="auto"/>
        <w:jc w:val="both"/>
        <w:rPr>
          <w:rFonts w:ascii="Book Antiqua" w:eastAsia="Calibri" w:hAnsi="Book Antiqua" w:cs="Arial"/>
          <w:sz w:val="24"/>
          <w:szCs w:val="24"/>
        </w:rPr>
      </w:pPr>
      <w:r w:rsidRPr="00CB4880">
        <w:rPr>
          <w:rFonts w:ascii="Book Antiqua" w:eastAsia="Calibri" w:hAnsi="Book Antiqua" w:cs="Arial"/>
          <w:sz w:val="24"/>
          <w:szCs w:val="24"/>
        </w:rPr>
        <w:t>Sin embargo, a partir de 2022 con la entrada en vigencia de la norma, se coordinará con la Dirección de Tecnología de la Información para la aplicación del reparto por “</w:t>
      </w:r>
      <w:r w:rsidRPr="00CB4880">
        <w:rPr>
          <w:rFonts w:ascii="Book Antiqua" w:eastAsia="Calibri" w:hAnsi="Book Antiqua" w:cs="Arial"/>
          <w:b/>
          <w:bCs/>
          <w:i/>
          <w:iCs/>
          <w:sz w:val="24"/>
          <w:szCs w:val="24"/>
        </w:rPr>
        <w:t>procedimiento</w:t>
      </w:r>
      <w:r w:rsidRPr="00CB4880">
        <w:rPr>
          <w:rFonts w:ascii="Book Antiqua" w:eastAsia="Calibri" w:hAnsi="Book Antiqua" w:cs="Arial"/>
          <w:sz w:val="24"/>
          <w:szCs w:val="24"/>
        </w:rPr>
        <w:t>”</w:t>
      </w:r>
      <w:r w:rsidR="00BE7FC7">
        <w:rPr>
          <w:rFonts w:ascii="Book Antiqua" w:eastAsia="Calibri" w:hAnsi="Book Antiqua" w:cs="Arial"/>
          <w:sz w:val="24"/>
          <w:szCs w:val="24"/>
        </w:rPr>
        <w:t>, una vez lista la mejora por parte de la Dirección de Tecnología de la Información</w:t>
      </w:r>
      <w:r w:rsidRPr="00CB4880">
        <w:rPr>
          <w:rFonts w:ascii="Book Antiqua" w:eastAsia="Calibri" w:hAnsi="Book Antiqua" w:cs="Arial"/>
          <w:sz w:val="24"/>
          <w:szCs w:val="24"/>
        </w:rPr>
        <w:t xml:space="preserve">.  </w:t>
      </w:r>
    </w:p>
    <w:p w14:paraId="0BF597D1" w14:textId="77777777" w:rsidR="00012593" w:rsidRPr="00CB4880" w:rsidRDefault="00012593" w:rsidP="00CB4880">
      <w:pPr>
        <w:spacing w:after="0" w:line="276" w:lineRule="auto"/>
        <w:jc w:val="both"/>
        <w:rPr>
          <w:rFonts w:ascii="Book Antiqua" w:eastAsia="Calibri" w:hAnsi="Book Antiqua" w:cs="Arial"/>
          <w:sz w:val="24"/>
          <w:szCs w:val="24"/>
        </w:rPr>
      </w:pPr>
    </w:p>
    <w:p w14:paraId="25BC4954" w14:textId="77777777" w:rsidR="00CB4880" w:rsidRPr="00CB4880" w:rsidRDefault="00CB4880" w:rsidP="00CB4880">
      <w:pPr>
        <w:spacing w:after="0" w:line="276" w:lineRule="auto"/>
        <w:jc w:val="both"/>
        <w:rPr>
          <w:rFonts w:ascii="Book Antiqua" w:eastAsia="Calibri" w:hAnsi="Book Antiqua" w:cs="Arial"/>
          <w:sz w:val="24"/>
          <w:szCs w:val="24"/>
        </w:rPr>
      </w:pPr>
      <w:r w:rsidRPr="00CB4880">
        <w:rPr>
          <w:rFonts w:ascii="Book Antiqua" w:eastAsia="Calibri" w:hAnsi="Book Antiqua" w:cs="Arial"/>
          <w:sz w:val="24"/>
          <w:szCs w:val="24"/>
        </w:rPr>
        <w:t>Lo anterior, considerando el criterio experto de las personas juzgadoras en familia según informe 1212-PLA-EV-2020.</w:t>
      </w:r>
    </w:p>
    <w:p w14:paraId="4355E6E5" w14:textId="77777777" w:rsidR="00CB4880" w:rsidRPr="00CB4880" w:rsidRDefault="00CB4880" w:rsidP="00CB4880">
      <w:pPr>
        <w:spacing w:after="0" w:line="276" w:lineRule="auto"/>
        <w:jc w:val="both"/>
        <w:rPr>
          <w:rFonts w:ascii="Book Antiqua" w:eastAsia="Calibri" w:hAnsi="Book Antiqua" w:cs="Arial"/>
          <w:sz w:val="24"/>
          <w:szCs w:val="24"/>
        </w:rPr>
      </w:pPr>
    </w:p>
    <w:p w14:paraId="5187AEB1" w14:textId="45B06E5A" w:rsidR="00CB4880" w:rsidRPr="00CB4880" w:rsidRDefault="00CB4880" w:rsidP="00CB4880">
      <w:pPr>
        <w:spacing w:after="0" w:line="276" w:lineRule="auto"/>
        <w:jc w:val="both"/>
        <w:rPr>
          <w:rFonts w:ascii="Book Antiqua" w:eastAsia="Calibri" w:hAnsi="Book Antiqua" w:cs="Arial"/>
          <w:sz w:val="24"/>
          <w:szCs w:val="24"/>
        </w:rPr>
      </w:pPr>
      <w:r w:rsidRPr="000645CE">
        <w:rPr>
          <w:rFonts w:ascii="Book Antiqua" w:eastAsia="Calibri" w:hAnsi="Book Antiqua" w:cs="Arial"/>
          <w:sz w:val="24"/>
          <w:szCs w:val="24"/>
        </w:rPr>
        <w:t xml:space="preserve">Cabe mencionar que </w:t>
      </w:r>
      <w:r w:rsidR="00B17D8E">
        <w:rPr>
          <w:rFonts w:ascii="Book Antiqua" w:eastAsia="Calibri" w:hAnsi="Book Antiqua" w:cs="Arial"/>
          <w:sz w:val="24"/>
          <w:szCs w:val="24"/>
        </w:rPr>
        <w:t xml:space="preserve">esta </w:t>
      </w:r>
      <w:r w:rsidRPr="000645CE">
        <w:rPr>
          <w:rFonts w:ascii="Book Antiqua" w:eastAsia="Calibri" w:hAnsi="Book Antiqua" w:cs="Arial"/>
          <w:sz w:val="24"/>
          <w:szCs w:val="24"/>
        </w:rPr>
        <w:t xml:space="preserve">Dirección </w:t>
      </w:r>
      <w:r w:rsidR="00B17D8E">
        <w:rPr>
          <w:rFonts w:ascii="Book Antiqua" w:eastAsia="Calibri" w:hAnsi="Book Antiqua" w:cs="Arial"/>
          <w:sz w:val="24"/>
          <w:szCs w:val="24"/>
        </w:rPr>
        <w:t xml:space="preserve">coordinó </w:t>
      </w:r>
      <w:r w:rsidRPr="000645CE">
        <w:rPr>
          <w:rFonts w:ascii="Book Antiqua" w:eastAsia="Calibri" w:hAnsi="Book Antiqua" w:cs="Arial"/>
          <w:sz w:val="24"/>
          <w:szCs w:val="24"/>
        </w:rPr>
        <w:t xml:space="preserve">con la Dirección de Tecnología de la Información </w:t>
      </w:r>
      <w:r w:rsidR="00B17D8E">
        <w:rPr>
          <w:rFonts w:ascii="Book Antiqua" w:eastAsia="Calibri" w:hAnsi="Book Antiqua" w:cs="Arial"/>
          <w:sz w:val="24"/>
          <w:szCs w:val="24"/>
        </w:rPr>
        <w:t xml:space="preserve">y Comunicaciones </w:t>
      </w:r>
      <w:r w:rsidRPr="000645CE">
        <w:rPr>
          <w:rFonts w:ascii="Book Antiqua" w:eastAsia="Calibri" w:hAnsi="Book Antiqua" w:cs="Arial"/>
          <w:sz w:val="24"/>
          <w:szCs w:val="24"/>
        </w:rPr>
        <w:t>una mejora al “</w:t>
      </w:r>
      <w:r w:rsidRPr="000645CE">
        <w:rPr>
          <w:rFonts w:ascii="Book Antiqua" w:eastAsia="Calibri" w:hAnsi="Book Antiqua" w:cs="Arial"/>
          <w:i/>
          <w:iCs/>
          <w:sz w:val="24"/>
          <w:szCs w:val="24"/>
        </w:rPr>
        <w:t>reparto por procedimiento”</w:t>
      </w:r>
      <w:r w:rsidRPr="000645CE">
        <w:rPr>
          <w:rFonts w:ascii="Book Antiqua" w:eastAsia="Calibri" w:hAnsi="Book Antiqua" w:cs="Arial"/>
          <w:sz w:val="24"/>
          <w:szCs w:val="24"/>
        </w:rPr>
        <w:t xml:space="preserve"> (para que los reentrados no ingresen al rol de reparto o variaciones por cambios de procedimientos posteriores).</w:t>
      </w:r>
      <w:r w:rsidRPr="00CB4880">
        <w:rPr>
          <w:rFonts w:ascii="Book Antiqua" w:eastAsia="Calibri" w:hAnsi="Book Antiqua" w:cs="Arial"/>
          <w:sz w:val="24"/>
          <w:szCs w:val="24"/>
        </w:rPr>
        <w:t xml:space="preserve"> </w:t>
      </w:r>
    </w:p>
    <w:p w14:paraId="5002A73E" w14:textId="06570F51" w:rsidR="00CB4880" w:rsidRDefault="00CB4880" w:rsidP="00CB4880">
      <w:pPr>
        <w:spacing w:after="0" w:line="276" w:lineRule="auto"/>
        <w:jc w:val="both"/>
        <w:rPr>
          <w:rFonts w:ascii="Book Antiqua" w:eastAsia="Calibri" w:hAnsi="Book Antiqua" w:cs="Arial"/>
          <w:b/>
          <w:bCs/>
          <w:i/>
          <w:iCs/>
          <w:sz w:val="24"/>
          <w:szCs w:val="24"/>
        </w:rPr>
      </w:pPr>
      <w:r w:rsidRPr="00CB4880">
        <w:rPr>
          <w:rFonts w:ascii="Book Antiqua" w:eastAsia="Calibri" w:hAnsi="Book Antiqua" w:cs="Arial"/>
          <w:sz w:val="24"/>
          <w:szCs w:val="24"/>
        </w:rPr>
        <w:lastRenderedPageBreak/>
        <w:t xml:space="preserve">El requerimiento de mejora fue presentado por la Gestora en materia Civil la Licenciada Adriana Sequeira Muñoz y la Dirección de Planificación mediante correo electrónico del 15 de diciembre de 2020 </w:t>
      </w:r>
      <w:r w:rsidRPr="00BE7FC7">
        <w:rPr>
          <w:rFonts w:ascii="Book Antiqua" w:eastAsia="Calibri" w:hAnsi="Book Antiqua" w:cs="Arial"/>
          <w:sz w:val="24"/>
          <w:szCs w:val="24"/>
        </w:rPr>
        <w:t>(</w:t>
      </w:r>
      <w:r w:rsidRPr="001D0C10">
        <w:rPr>
          <w:rFonts w:ascii="Book Antiqua" w:eastAsia="Calibri" w:hAnsi="Book Antiqua" w:cs="Arial"/>
          <w:b/>
          <w:bCs/>
          <w:i/>
          <w:iCs/>
          <w:sz w:val="24"/>
          <w:szCs w:val="24"/>
        </w:rPr>
        <w:t xml:space="preserve">anexo </w:t>
      </w:r>
      <w:r w:rsidR="007858F3">
        <w:rPr>
          <w:rFonts w:ascii="Book Antiqua" w:eastAsia="Calibri" w:hAnsi="Book Antiqua" w:cs="Arial"/>
          <w:b/>
          <w:bCs/>
          <w:i/>
          <w:iCs/>
          <w:sz w:val="24"/>
          <w:szCs w:val="24"/>
        </w:rPr>
        <w:t>4</w:t>
      </w:r>
      <w:r w:rsidRPr="00BE7FC7">
        <w:rPr>
          <w:rFonts w:ascii="Book Antiqua" w:eastAsia="Calibri" w:hAnsi="Book Antiqua" w:cs="Arial"/>
          <w:b/>
          <w:bCs/>
          <w:i/>
          <w:iCs/>
          <w:sz w:val="24"/>
          <w:szCs w:val="24"/>
        </w:rPr>
        <w:t>)</w:t>
      </w:r>
      <w:r w:rsidR="00BE7FC7">
        <w:rPr>
          <w:rFonts w:ascii="Book Antiqua" w:eastAsia="Calibri" w:hAnsi="Book Antiqua" w:cs="Arial"/>
          <w:b/>
          <w:bCs/>
          <w:i/>
          <w:iCs/>
          <w:sz w:val="24"/>
          <w:szCs w:val="24"/>
        </w:rPr>
        <w:t>, la cual al 8 de marzo 2022 aún está pendiente</w:t>
      </w:r>
      <w:r w:rsidR="001741E7">
        <w:rPr>
          <w:rFonts w:ascii="Book Antiqua" w:eastAsia="Calibri" w:hAnsi="Book Antiqua" w:cs="Arial"/>
          <w:b/>
          <w:bCs/>
          <w:i/>
          <w:iCs/>
          <w:sz w:val="24"/>
          <w:szCs w:val="24"/>
        </w:rPr>
        <w:t>.</w:t>
      </w:r>
    </w:p>
    <w:p w14:paraId="39654170" w14:textId="77777777" w:rsidR="0054258A" w:rsidRPr="00CB4880" w:rsidRDefault="0054258A" w:rsidP="00CB4880">
      <w:pPr>
        <w:spacing w:after="0" w:line="276" w:lineRule="auto"/>
        <w:jc w:val="both"/>
        <w:rPr>
          <w:rFonts w:ascii="Book Antiqua" w:eastAsia="Calibri" w:hAnsi="Book Antiqua" w:cs="Arial"/>
          <w:sz w:val="24"/>
          <w:szCs w:val="24"/>
        </w:rPr>
      </w:pPr>
    </w:p>
    <w:p w14:paraId="40EA7E72" w14:textId="77777777" w:rsidR="00AE6703" w:rsidRPr="0054258A" w:rsidRDefault="00AE6703" w:rsidP="0054258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4258A">
        <w:rPr>
          <w:rFonts w:ascii="Book Antiqua" w:eastAsiaTheme="majorEastAsia" w:hAnsi="Book Antiqua" w:cstheme="majorBidi"/>
          <w:b/>
          <w:color w:val="1F3864" w:themeColor="accent1" w:themeShade="80"/>
          <w:sz w:val="24"/>
          <w:lang w:val="es-ES"/>
        </w:rPr>
        <w:t>Estructura Organizacional y Funciones</w:t>
      </w:r>
    </w:p>
    <w:p w14:paraId="7F01AE35" w14:textId="77777777" w:rsidR="00AE6703" w:rsidRPr="00AE6703" w:rsidRDefault="00AE6703" w:rsidP="00AE6703">
      <w:pPr>
        <w:spacing w:after="0" w:line="276" w:lineRule="auto"/>
        <w:jc w:val="both"/>
        <w:rPr>
          <w:rFonts w:ascii="Book Antiqua" w:eastAsia="Calibri" w:hAnsi="Book Antiqua" w:cs="Arial"/>
          <w:sz w:val="24"/>
          <w:szCs w:val="24"/>
        </w:rPr>
      </w:pPr>
    </w:p>
    <w:p w14:paraId="0FF4448E" w14:textId="77777777" w:rsidR="004F1144" w:rsidRPr="004F1144" w:rsidRDefault="004F1144" w:rsidP="004F1144">
      <w:pPr>
        <w:spacing w:after="0" w:line="276" w:lineRule="auto"/>
        <w:jc w:val="both"/>
        <w:rPr>
          <w:rFonts w:ascii="Book Antiqua" w:eastAsia="Calibri" w:hAnsi="Book Antiqua" w:cs="Arial"/>
          <w:sz w:val="24"/>
          <w:szCs w:val="24"/>
        </w:rPr>
      </w:pPr>
      <w:r w:rsidRPr="004F1144">
        <w:rPr>
          <w:rFonts w:ascii="Book Antiqua" w:eastAsia="Calibri" w:hAnsi="Book Antiqua" w:cs="Arial"/>
          <w:sz w:val="24"/>
          <w:szCs w:val="24"/>
        </w:rPr>
        <w:t>Los Juzgados Especializados de Familia presentan una composición organizacional diferente, tanto en la cantidad de personas juzgadoras como técnicas judiciales, y aunque la cantidad de puestos es distinta entre un Despacho y otro, deben de realizar las mismas funciones.</w:t>
      </w:r>
    </w:p>
    <w:p w14:paraId="28F6ADDD" w14:textId="77777777" w:rsidR="004F1144" w:rsidRPr="004F1144" w:rsidRDefault="004F1144" w:rsidP="004F1144">
      <w:pPr>
        <w:spacing w:after="0" w:line="276" w:lineRule="auto"/>
        <w:jc w:val="both"/>
        <w:rPr>
          <w:rFonts w:ascii="Book Antiqua" w:eastAsia="Calibri" w:hAnsi="Book Antiqua" w:cs="Arial"/>
          <w:sz w:val="24"/>
          <w:szCs w:val="24"/>
        </w:rPr>
      </w:pPr>
    </w:p>
    <w:p w14:paraId="1A78CC8E" w14:textId="46D8E98B" w:rsidR="004F1144" w:rsidRPr="004F1144" w:rsidRDefault="004F1144" w:rsidP="004F114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F1144">
        <w:rPr>
          <w:rFonts w:ascii="Book Antiqua" w:eastAsia="Calibri" w:hAnsi="Book Antiqua" w:cs="Arial"/>
          <w:b/>
          <w:bCs/>
          <w:color w:val="1F497D"/>
          <w:szCs w:val="24"/>
          <w:lang w:val="es-ES" w:eastAsia="es-ES"/>
        </w:rPr>
        <w:t xml:space="preserve">Cuadro </w:t>
      </w:r>
      <w:r w:rsidRPr="004F1144">
        <w:rPr>
          <w:rFonts w:ascii="Book Antiqua" w:eastAsia="Calibri" w:hAnsi="Book Antiqua" w:cs="Arial"/>
          <w:b/>
          <w:bCs/>
          <w:color w:val="1F497D"/>
          <w:szCs w:val="24"/>
          <w:lang w:val="es-ES" w:eastAsia="es-ES"/>
        </w:rPr>
        <w:fldChar w:fldCharType="begin"/>
      </w:r>
      <w:r w:rsidRPr="004F1144">
        <w:rPr>
          <w:rFonts w:ascii="Book Antiqua" w:eastAsia="Calibri" w:hAnsi="Book Antiqua" w:cs="Arial"/>
          <w:b/>
          <w:bCs/>
          <w:color w:val="1F497D"/>
          <w:szCs w:val="24"/>
          <w:lang w:val="es-ES" w:eastAsia="es-ES"/>
        </w:rPr>
        <w:instrText xml:space="preserve"> SEQ Cuadro \* ARABIC </w:instrText>
      </w:r>
      <w:r w:rsidRPr="004F1144">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13</w:t>
      </w:r>
      <w:r w:rsidRPr="004F1144">
        <w:rPr>
          <w:rFonts w:ascii="Book Antiqua" w:eastAsia="Calibri" w:hAnsi="Book Antiqua" w:cs="Arial"/>
          <w:b/>
          <w:bCs/>
          <w:color w:val="1F497D"/>
          <w:szCs w:val="24"/>
          <w:lang w:val="es-ES" w:eastAsia="es-ES"/>
        </w:rPr>
        <w:fldChar w:fldCharType="end"/>
      </w:r>
    </w:p>
    <w:p w14:paraId="274C3230" w14:textId="77777777" w:rsidR="004F1144" w:rsidRPr="004F1144" w:rsidRDefault="004F1144" w:rsidP="004F1144">
      <w:pPr>
        <w:keepNext/>
        <w:numPr>
          <w:ilvl w:val="12"/>
          <w:numId w:val="0"/>
        </w:numPr>
        <w:spacing w:after="0" w:line="276" w:lineRule="auto"/>
        <w:jc w:val="center"/>
        <w:rPr>
          <w:rFonts w:ascii="Book Antiqua" w:eastAsia="Times New Roman" w:hAnsi="Book Antiqua" w:cs="Arial"/>
          <w:b/>
          <w:bCs/>
          <w:color w:val="1F497D"/>
          <w:szCs w:val="24"/>
          <w:lang w:val="es-ES" w:eastAsia="es-ES"/>
        </w:rPr>
      </w:pPr>
      <w:r w:rsidRPr="004F1144">
        <w:rPr>
          <w:rFonts w:ascii="Book Antiqua" w:eastAsia="Calibri" w:hAnsi="Book Antiqua" w:cs="Arial"/>
          <w:b/>
          <w:bCs/>
          <w:color w:val="1F497D"/>
          <w:szCs w:val="24"/>
          <w:lang w:val="es-ES" w:eastAsia="es-ES"/>
        </w:rPr>
        <w:t>Cantidad de puestos de trabajo en los Juzgados Especializados</w:t>
      </w:r>
    </w:p>
    <w:p w14:paraId="312E23AB" w14:textId="3D37AB06" w:rsidR="004F1144" w:rsidRPr="004F1144" w:rsidRDefault="004F1144" w:rsidP="004F1144">
      <w:pPr>
        <w:keepNext/>
        <w:numPr>
          <w:ilvl w:val="12"/>
          <w:numId w:val="0"/>
        </w:numPr>
        <w:spacing w:after="0" w:line="276" w:lineRule="auto"/>
        <w:jc w:val="center"/>
        <w:rPr>
          <w:rFonts w:ascii="Book Antiqua" w:eastAsia="Times New Roman" w:hAnsi="Book Antiqua" w:cs="Arial"/>
          <w:b/>
          <w:bCs/>
          <w:color w:val="1F497D"/>
          <w:szCs w:val="24"/>
          <w:lang w:val="es-ES" w:eastAsia="es-ES"/>
        </w:rPr>
      </w:pPr>
      <w:r w:rsidRPr="004F1144">
        <w:rPr>
          <w:rFonts w:ascii="Book Antiqua" w:eastAsia="Calibri" w:hAnsi="Book Antiqua" w:cs="Arial"/>
          <w:b/>
          <w:bCs/>
          <w:color w:val="1F497D"/>
          <w:szCs w:val="24"/>
          <w:lang w:val="es-ES" w:eastAsia="es-ES"/>
        </w:rPr>
        <w:t xml:space="preserve"> de la materia de Familia, 202</w:t>
      </w:r>
      <w:r>
        <w:rPr>
          <w:rFonts w:ascii="Book Antiqua" w:eastAsia="Calibri" w:hAnsi="Book Antiqua" w:cs="Arial"/>
          <w:b/>
          <w:bCs/>
          <w:color w:val="1F497D"/>
          <w:szCs w:val="24"/>
          <w:lang w:val="es-ES" w:eastAsia="es-ES"/>
        </w:rPr>
        <w:t>2</w:t>
      </w:r>
    </w:p>
    <w:tbl>
      <w:tblPr>
        <w:tblW w:w="5000" w:type="pct"/>
        <w:jc w:val="center"/>
        <w:tblCellMar>
          <w:left w:w="70" w:type="dxa"/>
          <w:right w:w="70" w:type="dxa"/>
        </w:tblCellMar>
        <w:tblLook w:val="04A0" w:firstRow="1" w:lastRow="0" w:firstColumn="1" w:lastColumn="0" w:noHBand="0" w:noVBand="1"/>
      </w:tblPr>
      <w:tblGrid>
        <w:gridCol w:w="4398"/>
        <w:gridCol w:w="656"/>
        <w:gridCol w:w="1579"/>
        <w:gridCol w:w="1087"/>
        <w:gridCol w:w="1113"/>
      </w:tblGrid>
      <w:tr w:rsidR="00291682" w:rsidRPr="00291682" w14:paraId="6AF0A9DF" w14:textId="77777777" w:rsidTr="00BC6B6D">
        <w:trPr>
          <w:trHeight w:val="19"/>
          <w:tblHeader/>
          <w:jc w:val="center"/>
        </w:trPr>
        <w:tc>
          <w:tcPr>
            <w:tcW w:w="2440" w:type="pct"/>
            <w:vMerge w:val="restart"/>
            <w:tcBorders>
              <w:top w:val="nil"/>
              <w:left w:val="nil"/>
              <w:bottom w:val="single" w:sz="4" w:space="0" w:color="000000"/>
              <w:right w:val="nil"/>
            </w:tcBorders>
            <w:shd w:val="clear" w:color="000000" w:fill="002060"/>
            <w:vAlign w:val="center"/>
            <w:hideMark/>
          </w:tcPr>
          <w:p w14:paraId="0E304204" w14:textId="77777777" w:rsidR="00291682" w:rsidRPr="00291682" w:rsidRDefault="00291682" w:rsidP="00291682">
            <w:pPr>
              <w:spacing w:after="0" w:line="276" w:lineRule="auto"/>
              <w:jc w:val="center"/>
              <w:rPr>
                <w:rFonts w:ascii="Book Antiqua" w:eastAsia="Times New Roman" w:hAnsi="Book Antiqua" w:cs="Calibri"/>
                <w:b/>
                <w:bCs/>
                <w:color w:val="FFFFFF"/>
                <w:lang w:eastAsia="es-CR"/>
              </w:rPr>
            </w:pPr>
            <w:r w:rsidRPr="00291682">
              <w:rPr>
                <w:rFonts w:ascii="Book Antiqua" w:eastAsia="Times New Roman" w:hAnsi="Book Antiqua" w:cs="Calibri"/>
                <w:b/>
                <w:bCs/>
                <w:color w:val="FFFFFF"/>
                <w:lang w:eastAsia="es-CR"/>
              </w:rPr>
              <w:t>Despacho</w:t>
            </w:r>
          </w:p>
        </w:tc>
        <w:tc>
          <w:tcPr>
            <w:tcW w:w="2560" w:type="pct"/>
            <w:gridSpan w:val="4"/>
            <w:tcBorders>
              <w:top w:val="single" w:sz="4" w:space="0" w:color="auto"/>
              <w:left w:val="single" w:sz="4" w:space="0" w:color="auto"/>
              <w:bottom w:val="single" w:sz="4" w:space="0" w:color="auto"/>
              <w:right w:val="single" w:sz="4" w:space="0" w:color="000000"/>
            </w:tcBorders>
            <w:shd w:val="clear" w:color="000000" w:fill="002060"/>
            <w:vAlign w:val="center"/>
            <w:hideMark/>
          </w:tcPr>
          <w:p w14:paraId="6C614714" w14:textId="77777777" w:rsidR="00291682" w:rsidRPr="00291682" w:rsidRDefault="00291682" w:rsidP="00291682">
            <w:pPr>
              <w:spacing w:after="0" w:line="276" w:lineRule="auto"/>
              <w:jc w:val="center"/>
              <w:rPr>
                <w:rFonts w:ascii="Book Antiqua" w:eastAsia="Times New Roman" w:hAnsi="Book Antiqua" w:cs="Calibri"/>
                <w:b/>
                <w:bCs/>
                <w:color w:val="FFFFFF"/>
                <w:lang w:eastAsia="es-CR"/>
              </w:rPr>
            </w:pPr>
            <w:r w:rsidRPr="00291682">
              <w:rPr>
                <w:rFonts w:ascii="Book Antiqua" w:eastAsia="Times New Roman" w:hAnsi="Book Antiqua" w:cs="Calibri"/>
                <w:b/>
                <w:bCs/>
                <w:color w:val="FFFFFF"/>
                <w:lang w:eastAsia="es-CR"/>
              </w:rPr>
              <w:t>Recurso Humano</w:t>
            </w:r>
          </w:p>
        </w:tc>
      </w:tr>
      <w:tr w:rsidR="00291682" w:rsidRPr="00291682" w14:paraId="74918203" w14:textId="77777777" w:rsidTr="00BC6B6D">
        <w:trPr>
          <w:trHeight w:val="19"/>
          <w:tblHeader/>
          <w:jc w:val="center"/>
        </w:trPr>
        <w:tc>
          <w:tcPr>
            <w:tcW w:w="2440" w:type="pct"/>
            <w:vMerge/>
            <w:tcBorders>
              <w:top w:val="nil"/>
              <w:left w:val="nil"/>
              <w:bottom w:val="single" w:sz="4" w:space="0" w:color="000000"/>
              <w:right w:val="nil"/>
            </w:tcBorders>
            <w:vAlign w:val="center"/>
            <w:hideMark/>
          </w:tcPr>
          <w:p w14:paraId="2DB1C786" w14:textId="77777777" w:rsidR="00291682" w:rsidRPr="00291682" w:rsidRDefault="00291682" w:rsidP="00291682">
            <w:pPr>
              <w:spacing w:after="0" w:line="276" w:lineRule="auto"/>
              <w:jc w:val="both"/>
              <w:rPr>
                <w:rFonts w:ascii="Book Antiqua" w:eastAsia="Times New Roman" w:hAnsi="Book Antiqua" w:cs="Calibri"/>
                <w:b/>
                <w:bCs/>
                <w:color w:val="FFFFFF"/>
                <w:lang w:eastAsia="es-CR"/>
              </w:rPr>
            </w:pPr>
          </w:p>
        </w:tc>
        <w:tc>
          <w:tcPr>
            <w:tcW w:w="384" w:type="pct"/>
            <w:tcBorders>
              <w:top w:val="nil"/>
              <w:left w:val="single" w:sz="4" w:space="0" w:color="auto"/>
              <w:bottom w:val="single" w:sz="4" w:space="0" w:color="auto"/>
              <w:right w:val="single" w:sz="4" w:space="0" w:color="auto"/>
            </w:tcBorders>
            <w:shd w:val="clear" w:color="000000" w:fill="002060"/>
            <w:vAlign w:val="center"/>
            <w:hideMark/>
          </w:tcPr>
          <w:p w14:paraId="18402EBB" w14:textId="77777777" w:rsidR="00291682" w:rsidRPr="001D0C10" w:rsidRDefault="00291682" w:rsidP="00291682">
            <w:pPr>
              <w:spacing w:after="0" w:line="276"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Jueza o Juez</w:t>
            </w:r>
          </w:p>
        </w:tc>
        <w:tc>
          <w:tcPr>
            <w:tcW w:w="906" w:type="pct"/>
            <w:tcBorders>
              <w:top w:val="nil"/>
              <w:left w:val="nil"/>
              <w:bottom w:val="single" w:sz="4" w:space="0" w:color="auto"/>
              <w:right w:val="single" w:sz="4" w:space="0" w:color="auto"/>
            </w:tcBorders>
            <w:shd w:val="clear" w:color="000000" w:fill="002060"/>
            <w:vAlign w:val="center"/>
            <w:hideMark/>
          </w:tcPr>
          <w:p w14:paraId="714D879C" w14:textId="77777777" w:rsidR="00291682" w:rsidRPr="001D0C10" w:rsidRDefault="00291682" w:rsidP="00291682">
            <w:pPr>
              <w:spacing w:after="0" w:line="276"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Coordinadoras o Coordinadores judiciales</w:t>
            </w:r>
          </w:p>
        </w:tc>
        <w:tc>
          <w:tcPr>
            <w:tcW w:w="628" w:type="pct"/>
            <w:tcBorders>
              <w:top w:val="nil"/>
              <w:left w:val="nil"/>
              <w:bottom w:val="single" w:sz="4" w:space="0" w:color="auto"/>
              <w:right w:val="single" w:sz="4" w:space="0" w:color="auto"/>
            </w:tcBorders>
            <w:shd w:val="clear" w:color="000000" w:fill="002060"/>
            <w:vAlign w:val="center"/>
            <w:hideMark/>
          </w:tcPr>
          <w:p w14:paraId="4658570B" w14:textId="77777777" w:rsidR="00291682" w:rsidRPr="001D0C10" w:rsidRDefault="00291682" w:rsidP="00291682">
            <w:pPr>
              <w:spacing w:after="0" w:line="276"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Técnicas o Técnicos Judiciales</w:t>
            </w:r>
          </w:p>
        </w:tc>
        <w:tc>
          <w:tcPr>
            <w:tcW w:w="642" w:type="pct"/>
            <w:tcBorders>
              <w:top w:val="nil"/>
              <w:left w:val="nil"/>
              <w:bottom w:val="single" w:sz="4" w:space="0" w:color="auto"/>
              <w:right w:val="single" w:sz="4" w:space="0" w:color="auto"/>
            </w:tcBorders>
            <w:shd w:val="clear" w:color="000000" w:fill="002060"/>
            <w:vAlign w:val="center"/>
            <w:hideMark/>
          </w:tcPr>
          <w:p w14:paraId="46102613" w14:textId="77777777" w:rsidR="00291682" w:rsidRPr="001D0C10" w:rsidRDefault="00291682" w:rsidP="00291682">
            <w:pPr>
              <w:spacing w:after="0" w:line="276"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Auxiliar de Servicios Generales</w:t>
            </w:r>
          </w:p>
        </w:tc>
      </w:tr>
      <w:tr w:rsidR="00291682" w:rsidRPr="00291682" w14:paraId="445A94CC"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0D35A880"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 xml:space="preserve">Juzgado de Familia III Circ. Jud. San José </w:t>
            </w:r>
          </w:p>
        </w:tc>
        <w:tc>
          <w:tcPr>
            <w:tcW w:w="384" w:type="pct"/>
            <w:tcBorders>
              <w:top w:val="nil"/>
              <w:left w:val="nil"/>
              <w:bottom w:val="single" w:sz="4" w:space="0" w:color="auto"/>
              <w:right w:val="single" w:sz="4" w:space="0" w:color="auto"/>
            </w:tcBorders>
            <w:shd w:val="clear" w:color="auto" w:fill="auto"/>
            <w:noWrap/>
            <w:vAlign w:val="center"/>
            <w:hideMark/>
          </w:tcPr>
          <w:p w14:paraId="5E8DF045"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064762A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7B9F92FA"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5</w:t>
            </w:r>
          </w:p>
        </w:tc>
        <w:tc>
          <w:tcPr>
            <w:tcW w:w="642" w:type="pct"/>
            <w:tcBorders>
              <w:top w:val="nil"/>
              <w:left w:val="nil"/>
              <w:bottom w:val="single" w:sz="4" w:space="0" w:color="auto"/>
              <w:right w:val="single" w:sz="4" w:space="0" w:color="auto"/>
            </w:tcBorders>
            <w:shd w:val="clear" w:color="auto" w:fill="auto"/>
            <w:noWrap/>
            <w:vAlign w:val="center"/>
            <w:hideMark/>
          </w:tcPr>
          <w:p w14:paraId="33D66E84"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5939C4E4"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620B1D97"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Cartago</w:t>
            </w:r>
          </w:p>
        </w:tc>
        <w:tc>
          <w:tcPr>
            <w:tcW w:w="384" w:type="pct"/>
            <w:tcBorders>
              <w:top w:val="nil"/>
              <w:left w:val="nil"/>
              <w:bottom w:val="single" w:sz="4" w:space="0" w:color="auto"/>
              <w:right w:val="single" w:sz="4" w:space="0" w:color="auto"/>
            </w:tcBorders>
            <w:shd w:val="clear" w:color="auto" w:fill="auto"/>
            <w:noWrap/>
            <w:vAlign w:val="center"/>
            <w:hideMark/>
          </w:tcPr>
          <w:p w14:paraId="5F7B0EA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0EED4275"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F1B41A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6</w:t>
            </w:r>
          </w:p>
        </w:tc>
        <w:tc>
          <w:tcPr>
            <w:tcW w:w="642" w:type="pct"/>
            <w:tcBorders>
              <w:top w:val="nil"/>
              <w:left w:val="nil"/>
              <w:bottom w:val="single" w:sz="4" w:space="0" w:color="auto"/>
              <w:right w:val="single" w:sz="4" w:space="0" w:color="auto"/>
            </w:tcBorders>
            <w:shd w:val="clear" w:color="auto" w:fill="auto"/>
            <w:noWrap/>
            <w:vAlign w:val="center"/>
            <w:hideMark/>
          </w:tcPr>
          <w:p w14:paraId="13B31BAF"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159287BF"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18434123"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Heredia</w:t>
            </w:r>
          </w:p>
        </w:tc>
        <w:tc>
          <w:tcPr>
            <w:tcW w:w="384" w:type="pct"/>
            <w:tcBorders>
              <w:top w:val="nil"/>
              <w:left w:val="nil"/>
              <w:bottom w:val="single" w:sz="4" w:space="0" w:color="auto"/>
              <w:right w:val="single" w:sz="4" w:space="0" w:color="auto"/>
            </w:tcBorders>
            <w:shd w:val="clear" w:color="auto" w:fill="auto"/>
            <w:noWrap/>
            <w:vAlign w:val="center"/>
            <w:hideMark/>
          </w:tcPr>
          <w:p w14:paraId="67269B2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4</w:t>
            </w:r>
          </w:p>
        </w:tc>
        <w:tc>
          <w:tcPr>
            <w:tcW w:w="906" w:type="pct"/>
            <w:tcBorders>
              <w:top w:val="nil"/>
              <w:left w:val="nil"/>
              <w:bottom w:val="single" w:sz="4" w:space="0" w:color="auto"/>
              <w:right w:val="single" w:sz="4" w:space="0" w:color="auto"/>
            </w:tcBorders>
            <w:shd w:val="clear" w:color="auto" w:fill="auto"/>
            <w:noWrap/>
            <w:vAlign w:val="center"/>
            <w:hideMark/>
          </w:tcPr>
          <w:p w14:paraId="4F1C07C8"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016355D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8</w:t>
            </w:r>
          </w:p>
        </w:tc>
        <w:tc>
          <w:tcPr>
            <w:tcW w:w="642" w:type="pct"/>
            <w:tcBorders>
              <w:top w:val="nil"/>
              <w:left w:val="nil"/>
              <w:bottom w:val="single" w:sz="4" w:space="0" w:color="auto"/>
              <w:right w:val="single" w:sz="4" w:space="0" w:color="auto"/>
            </w:tcBorders>
            <w:shd w:val="clear" w:color="auto" w:fill="auto"/>
            <w:noWrap/>
            <w:vAlign w:val="center"/>
            <w:hideMark/>
          </w:tcPr>
          <w:p w14:paraId="5AE17000"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04F6705E"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316E5DDD"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 Circ. Jud. Alajuela</w:t>
            </w:r>
          </w:p>
        </w:tc>
        <w:tc>
          <w:tcPr>
            <w:tcW w:w="384" w:type="pct"/>
            <w:tcBorders>
              <w:top w:val="nil"/>
              <w:left w:val="nil"/>
              <w:bottom w:val="single" w:sz="4" w:space="0" w:color="auto"/>
              <w:right w:val="single" w:sz="4" w:space="0" w:color="auto"/>
            </w:tcBorders>
            <w:shd w:val="clear" w:color="auto" w:fill="auto"/>
            <w:noWrap/>
            <w:vAlign w:val="center"/>
            <w:hideMark/>
          </w:tcPr>
          <w:p w14:paraId="7213B8F4"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79AB6864"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FD0B8FE"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6</w:t>
            </w:r>
          </w:p>
        </w:tc>
        <w:tc>
          <w:tcPr>
            <w:tcW w:w="642" w:type="pct"/>
            <w:tcBorders>
              <w:top w:val="nil"/>
              <w:left w:val="nil"/>
              <w:bottom w:val="single" w:sz="4" w:space="0" w:color="auto"/>
              <w:right w:val="single" w:sz="4" w:space="0" w:color="auto"/>
            </w:tcBorders>
            <w:shd w:val="clear" w:color="auto" w:fill="auto"/>
            <w:noWrap/>
            <w:vAlign w:val="center"/>
            <w:hideMark/>
          </w:tcPr>
          <w:p w14:paraId="4555BB1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2B372E6C"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7D417CEB"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 Circ. Jud. Zona Atlántica</w:t>
            </w:r>
          </w:p>
        </w:tc>
        <w:tc>
          <w:tcPr>
            <w:tcW w:w="384" w:type="pct"/>
            <w:tcBorders>
              <w:top w:val="nil"/>
              <w:left w:val="nil"/>
              <w:bottom w:val="single" w:sz="4" w:space="0" w:color="auto"/>
              <w:right w:val="single" w:sz="4" w:space="0" w:color="auto"/>
            </w:tcBorders>
            <w:shd w:val="clear" w:color="auto" w:fill="auto"/>
            <w:noWrap/>
            <w:vAlign w:val="center"/>
            <w:hideMark/>
          </w:tcPr>
          <w:p w14:paraId="54623B1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57825ED6"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F7D2463"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5</w:t>
            </w:r>
          </w:p>
        </w:tc>
        <w:tc>
          <w:tcPr>
            <w:tcW w:w="642" w:type="pct"/>
            <w:tcBorders>
              <w:top w:val="nil"/>
              <w:left w:val="nil"/>
              <w:bottom w:val="single" w:sz="4" w:space="0" w:color="auto"/>
              <w:right w:val="single" w:sz="4" w:space="0" w:color="auto"/>
            </w:tcBorders>
            <w:shd w:val="clear" w:color="auto" w:fill="auto"/>
            <w:noWrap/>
            <w:vAlign w:val="center"/>
            <w:hideMark/>
          </w:tcPr>
          <w:p w14:paraId="3EE9D257"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74037ACA"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7EFC9E67"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 xml:space="preserve">Juzgado Familia I Circ. Jud. Zona Sur </w:t>
            </w:r>
          </w:p>
        </w:tc>
        <w:tc>
          <w:tcPr>
            <w:tcW w:w="384" w:type="pct"/>
            <w:tcBorders>
              <w:top w:val="nil"/>
              <w:left w:val="nil"/>
              <w:bottom w:val="single" w:sz="4" w:space="0" w:color="auto"/>
              <w:right w:val="single" w:sz="4" w:space="0" w:color="auto"/>
            </w:tcBorders>
            <w:shd w:val="clear" w:color="auto" w:fill="auto"/>
            <w:noWrap/>
            <w:vAlign w:val="center"/>
            <w:hideMark/>
          </w:tcPr>
          <w:p w14:paraId="3C55C5F6"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4198419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0919F64F"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642" w:type="pct"/>
            <w:tcBorders>
              <w:top w:val="nil"/>
              <w:left w:val="nil"/>
              <w:bottom w:val="single" w:sz="4" w:space="0" w:color="auto"/>
              <w:right w:val="single" w:sz="4" w:space="0" w:color="auto"/>
            </w:tcBorders>
            <w:shd w:val="clear" w:color="auto" w:fill="auto"/>
            <w:noWrap/>
            <w:vAlign w:val="center"/>
            <w:hideMark/>
          </w:tcPr>
          <w:p w14:paraId="440AF91C"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62729C16"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448A8C7F"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II Circ. Jud. Alajuela</w:t>
            </w:r>
          </w:p>
        </w:tc>
        <w:tc>
          <w:tcPr>
            <w:tcW w:w="384" w:type="pct"/>
            <w:tcBorders>
              <w:top w:val="nil"/>
              <w:left w:val="nil"/>
              <w:bottom w:val="single" w:sz="4" w:space="0" w:color="auto"/>
              <w:right w:val="single" w:sz="4" w:space="0" w:color="auto"/>
            </w:tcBorders>
            <w:shd w:val="clear" w:color="auto" w:fill="auto"/>
            <w:noWrap/>
            <w:vAlign w:val="center"/>
            <w:hideMark/>
          </w:tcPr>
          <w:p w14:paraId="123CBA6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3EC6F7B3"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72196D69"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642" w:type="pct"/>
            <w:tcBorders>
              <w:top w:val="nil"/>
              <w:left w:val="nil"/>
              <w:bottom w:val="single" w:sz="4" w:space="0" w:color="auto"/>
              <w:right w:val="single" w:sz="4" w:space="0" w:color="auto"/>
            </w:tcBorders>
            <w:shd w:val="clear" w:color="auto" w:fill="auto"/>
            <w:noWrap/>
            <w:vAlign w:val="center"/>
            <w:hideMark/>
          </w:tcPr>
          <w:p w14:paraId="548737C0"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28B0D415"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61DAE1F0"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II Circ. Jud. San José</w:t>
            </w:r>
          </w:p>
        </w:tc>
        <w:tc>
          <w:tcPr>
            <w:tcW w:w="384" w:type="pct"/>
            <w:tcBorders>
              <w:top w:val="nil"/>
              <w:left w:val="nil"/>
              <w:bottom w:val="single" w:sz="4" w:space="0" w:color="auto"/>
              <w:right w:val="single" w:sz="4" w:space="0" w:color="auto"/>
            </w:tcBorders>
            <w:shd w:val="clear" w:color="auto" w:fill="auto"/>
            <w:noWrap/>
            <w:vAlign w:val="center"/>
            <w:hideMark/>
          </w:tcPr>
          <w:p w14:paraId="251AAE3F"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4</w:t>
            </w:r>
          </w:p>
        </w:tc>
        <w:tc>
          <w:tcPr>
            <w:tcW w:w="906" w:type="pct"/>
            <w:tcBorders>
              <w:top w:val="nil"/>
              <w:left w:val="nil"/>
              <w:bottom w:val="single" w:sz="4" w:space="0" w:color="auto"/>
              <w:right w:val="single" w:sz="4" w:space="0" w:color="auto"/>
            </w:tcBorders>
            <w:shd w:val="clear" w:color="auto" w:fill="auto"/>
            <w:noWrap/>
            <w:vAlign w:val="center"/>
            <w:hideMark/>
          </w:tcPr>
          <w:p w14:paraId="0B9B7C9C"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6708185A"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10</w:t>
            </w:r>
          </w:p>
        </w:tc>
        <w:tc>
          <w:tcPr>
            <w:tcW w:w="642" w:type="pct"/>
            <w:tcBorders>
              <w:top w:val="nil"/>
              <w:left w:val="nil"/>
              <w:bottom w:val="single" w:sz="4" w:space="0" w:color="auto"/>
              <w:right w:val="single" w:sz="4" w:space="0" w:color="auto"/>
            </w:tcBorders>
            <w:shd w:val="clear" w:color="auto" w:fill="auto"/>
            <w:noWrap/>
            <w:vAlign w:val="center"/>
            <w:hideMark/>
          </w:tcPr>
          <w:p w14:paraId="3C9B30E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534C8521"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22C4F742"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II Circ. Jud. Zona Atlántica</w:t>
            </w:r>
          </w:p>
        </w:tc>
        <w:tc>
          <w:tcPr>
            <w:tcW w:w="384" w:type="pct"/>
            <w:tcBorders>
              <w:top w:val="nil"/>
              <w:left w:val="nil"/>
              <w:bottom w:val="single" w:sz="4" w:space="0" w:color="auto"/>
              <w:right w:val="single" w:sz="4" w:space="0" w:color="auto"/>
            </w:tcBorders>
            <w:shd w:val="clear" w:color="auto" w:fill="auto"/>
            <w:noWrap/>
            <w:vAlign w:val="center"/>
            <w:hideMark/>
          </w:tcPr>
          <w:p w14:paraId="794E5958"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4DC671EA"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510CFC0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4</w:t>
            </w:r>
          </w:p>
        </w:tc>
        <w:tc>
          <w:tcPr>
            <w:tcW w:w="642" w:type="pct"/>
            <w:tcBorders>
              <w:top w:val="nil"/>
              <w:left w:val="nil"/>
              <w:bottom w:val="single" w:sz="4" w:space="0" w:color="auto"/>
              <w:right w:val="single" w:sz="4" w:space="0" w:color="auto"/>
            </w:tcBorders>
            <w:shd w:val="clear" w:color="auto" w:fill="auto"/>
            <w:noWrap/>
            <w:vAlign w:val="center"/>
            <w:hideMark/>
          </w:tcPr>
          <w:p w14:paraId="7A2E0A42"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667B437B"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399C2645"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Familia Puntarenas</w:t>
            </w:r>
          </w:p>
        </w:tc>
        <w:tc>
          <w:tcPr>
            <w:tcW w:w="384" w:type="pct"/>
            <w:tcBorders>
              <w:top w:val="nil"/>
              <w:left w:val="nil"/>
              <w:bottom w:val="single" w:sz="4" w:space="0" w:color="auto"/>
              <w:right w:val="single" w:sz="4" w:space="0" w:color="auto"/>
            </w:tcBorders>
            <w:shd w:val="clear" w:color="auto" w:fill="auto"/>
            <w:noWrap/>
            <w:vAlign w:val="center"/>
            <w:hideMark/>
          </w:tcPr>
          <w:p w14:paraId="3674F265"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hideMark/>
          </w:tcPr>
          <w:p w14:paraId="3F83D18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F0AE54A"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4</w:t>
            </w:r>
          </w:p>
        </w:tc>
        <w:tc>
          <w:tcPr>
            <w:tcW w:w="642" w:type="pct"/>
            <w:tcBorders>
              <w:top w:val="nil"/>
              <w:left w:val="nil"/>
              <w:bottom w:val="single" w:sz="4" w:space="0" w:color="auto"/>
              <w:right w:val="single" w:sz="4" w:space="0" w:color="auto"/>
            </w:tcBorders>
            <w:shd w:val="clear" w:color="auto" w:fill="auto"/>
            <w:noWrap/>
            <w:vAlign w:val="center"/>
            <w:hideMark/>
          </w:tcPr>
          <w:p w14:paraId="200B2446"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0</w:t>
            </w:r>
          </w:p>
        </w:tc>
      </w:tr>
      <w:tr w:rsidR="00291682" w:rsidRPr="00291682" w14:paraId="5FD6FFF7"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21D8AC6A"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Primero de Familia San José</w:t>
            </w:r>
          </w:p>
        </w:tc>
        <w:tc>
          <w:tcPr>
            <w:tcW w:w="384" w:type="pct"/>
            <w:tcBorders>
              <w:top w:val="nil"/>
              <w:left w:val="nil"/>
              <w:bottom w:val="single" w:sz="4" w:space="0" w:color="auto"/>
              <w:right w:val="single" w:sz="4" w:space="0" w:color="auto"/>
            </w:tcBorders>
            <w:shd w:val="clear" w:color="auto" w:fill="auto"/>
            <w:noWrap/>
            <w:vAlign w:val="center"/>
            <w:hideMark/>
          </w:tcPr>
          <w:p w14:paraId="105B131C"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10F8E048"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36C0EC18"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6</w:t>
            </w:r>
          </w:p>
        </w:tc>
        <w:tc>
          <w:tcPr>
            <w:tcW w:w="642" w:type="pct"/>
            <w:tcBorders>
              <w:top w:val="nil"/>
              <w:left w:val="nil"/>
              <w:bottom w:val="single" w:sz="4" w:space="0" w:color="auto"/>
              <w:right w:val="single" w:sz="4" w:space="0" w:color="auto"/>
            </w:tcBorders>
            <w:shd w:val="clear" w:color="auto" w:fill="auto"/>
            <w:noWrap/>
            <w:vAlign w:val="center"/>
            <w:hideMark/>
          </w:tcPr>
          <w:p w14:paraId="222E2891"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21B2164A"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hideMark/>
          </w:tcPr>
          <w:p w14:paraId="562696E6"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Segundo de Familia San José</w:t>
            </w:r>
          </w:p>
        </w:tc>
        <w:tc>
          <w:tcPr>
            <w:tcW w:w="384" w:type="pct"/>
            <w:tcBorders>
              <w:top w:val="nil"/>
              <w:left w:val="nil"/>
              <w:bottom w:val="single" w:sz="4" w:space="0" w:color="auto"/>
              <w:right w:val="single" w:sz="4" w:space="0" w:color="auto"/>
            </w:tcBorders>
            <w:shd w:val="clear" w:color="auto" w:fill="auto"/>
            <w:noWrap/>
            <w:vAlign w:val="center"/>
            <w:hideMark/>
          </w:tcPr>
          <w:p w14:paraId="2177CC2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3</w:t>
            </w:r>
          </w:p>
        </w:tc>
        <w:tc>
          <w:tcPr>
            <w:tcW w:w="906" w:type="pct"/>
            <w:tcBorders>
              <w:top w:val="nil"/>
              <w:left w:val="nil"/>
              <w:bottom w:val="single" w:sz="4" w:space="0" w:color="auto"/>
              <w:right w:val="single" w:sz="4" w:space="0" w:color="auto"/>
            </w:tcBorders>
            <w:shd w:val="clear" w:color="auto" w:fill="auto"/>
            <w:noWrap/>
            <w:vAlign w:val="center"/>
            <w:hideMark/>
          </w:tcPr>
          <w:p w14:paraId="0BE08CEE"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hideMark/>
          </w:tcPr>
          <w:p w14:paraId="408B2AE0"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6</w:t>
            </w:r>
          </w:p>
        </w:tc>
        <w:tc>
          <w:tcPr>
            <w:tcW w:w="642" w:type="pct"/>
            <w:tcBorders>
              <w:top w:val="nil"/>
              <w:left w:val="nil"/>
              <w:bottom w:val="single" w:sz="4" w:space="0" w:color="auto"/>
              <w:right w:val="single" w:sz="4" w:space="0" w:color="auto"/>
            </w:tcBorders>
            <w:shd w:val="clear" w:color="auto" w:fill="auto"/>
            <w:noWrap/>
            <w:vAlign w:val="center"/>
            <w:hideMark/>
          </w:tcPr>
          <w:p w14:paraId="35F8B7DB"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11FC4700"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auto"/>
            <w:noWrap/>
            <w:vAlign w:val="bottom"/>
          </w:tcPr>
          <w:p w14:paraId="480DE488" w14:textId="77777777" w:rsidR="00291682" w:rsidRPr="00291682" w:rsidRDefault="00291682" w:rsidP="00291682">
            <w:pPr>
              <w:spacing w:after="0" w:line="276" w:lineRule="auto"/>
              <w:jc w:val="both"/>
              <w:rPr>
                <w:rFonts w:ascii="Book Antiqua" w:eastAsia="Times New Roman" w:hAnsi="Book Antiqua" w:cs="Calibri"/>
                <w:lang w:eastAsia="es-CR"/>
              </w:rPr>
            </w:pPr>
            <w:r w:rsidRPr="00291682">
              <w:rPr>
                <w:rFonts w:ascii="Book Antiqua" w:eastAsia="Times New Roman" w:hAnsi="Book Antiqua" w:cs="Calibri"/>
                <w:lang w:eastAsia="es-CR"/>
              </w:rPr>
              <w:t>Juzgado de Niñez y Adolescencia</w:t>
            </w:r>
          </w:p>
        </w:tc>
        <w:tc>
          <w:tcPr>
            <w:tcW w:w="384" w:type="pct"/>
            <w:tcBorders>
              <w:top w:val="nil"/>
              <w:left w:val="nil"/>
              <w:bottom w:val="single" w:sz="4" w:space="0" w:color="auto"/>
              <w:right w:val="single" w:sz="4" w:space="0" w:color="auto"/>
            </w:tcBorders>
            <w:shd w:val="clear" w:color="auto" w:fill="auto"/>
            <w:noWrap/>
            <w:vAlign w:val="center"/>
          </w:tcPr>
          <w:p w14:paraId="58051277"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2</w:t>
            </w:r>
          </w:p>
        </w:tc>
        <w:tc>
          <w:tcPr>
            <w:tcW w:w="906" w:type="pct"/>
            <w:tcBorders>
              <w:top w:val="nil"/>
              <w:left w:val="nil"/>
              <w:bottom w:val="single" w:sz="4" w:space="0" w:color="auto"/>
              <w:right w:val="single" w:sz="4" w:space="0" w:color="auto"/>
            </w:tcBorders>
            <w:shd w:val="clear" w:color="auto" w:fill="auto"/>
            <w:noWrap/>
            <w:vAlign w:val="center"/>
          </w:tcPr>
          <w:p w14:paraId="55A24FFF"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c>
          <w:tcPr>
            <w:tcW w:w="628" w:type="pct"/>
            <w:tcBorders>
              <w:top w:val="nil"/>
              <w:left w:val="nil"/>
              <w:bottom w:val="single" w:sz="4" w:space="0" w:color="auto"/>
              <w:right w:val="single" w:sz="4" w:space="0" w:color="auto"/>
            </w:tcBorders>
            <w:shd w:val="clear" w:color="auto" w:fill="auto"/>
            <w:noWrap/>
            <w:vAlign w:val="center"/>
          </w:tcPr>
          <w:p w14:paraId="4EE3D1A3"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5</w:t>
            </w:r>
          </w:p>
        </w:tc>
        <w:tc>
          <w:tcPr>
            <w:tcW w:w="642" w:type="pct"/>
            <w:tcBorders>
              <w:top w:val="nil"/>
              <w:left w:val="nil"/>
              <w:bottom w:val="single" w:sz="4" w:space="0" w:color="auto"/>
              <w:right w:val="single" w:sz="4" w:space="0" w:color="auto"/>
            </w:tcBorders>
            <w:shd w:val="clear" w:color="auto" w:fill="auto"/>
            <w:noWrap/>
            <w:vAlign w:val="center"/>
          </w:tcPr>
          <w:p w14:paraId="14EE388D" w14:textId="77777777" w:rsidR="00291682" w:rsidRPr="00291682" w:rsidRDefault="00291682" w:rsidP="00291682">
            <w:pPr>
              <w:spacing w:after="0" w:line="276" w:lineRule="auto"/>
              <w:jc w:val="center"/>
              <w:rPr>
                <w:rFonts w:ascii="Book Antiqua" w:eastAsia="Times New Roman" w:hAnsi="Book Antiqua" w:cs="Calibri"/>
                <w:lang w:eastAsia="es-CR"/>
              </w:rPr>
            </w:pPr>
            <w:r w:rsidRPr="00291682">
              <w:rPr>
                <w:rFonts w:ascii="Book Antiqua" w:eastAsia="Times New Roman" w:hAnsi="Book Antiqua" w:cs="Calibri"/>
                <w:lang w:eastAsia="es-CR"/>
              </w:rPr>
              <w:t>1*</w:t>
            </w:r>
          </w:p>
        </w:tc>
      </w:tr>
      <w:tr w:rsidR="00291682" w:rsidRPr="00291682" w14:paraId="703D0BAE" w14:textId="77777777" w:rsidTr="00BC6B6D">
        <w:trPr>
          <w:trHeight w:val="19"/>
          <w:jc w:val="center"/>
        </w:trPr>
        <w:tc>
          <w:tcPr>
            <w:tcW w:w="2440" w:type="pct"/>
            <w:tcBorders>
              <w:top w:val="nil"/>
              <w:left w:val="single" w:sz="4" w:space="0" w:color="auto"/>
              <w:bottom w:val="single" w:sz="4" w:space="0" w:color="auto"/>
              <w:right w:val="single" w:sz="4" w:space="0" w:color="auto"/>
            </w:tcBorders>
            <w:shd w:val="clear" w:color="auto" w:fill="808080"/>
            <w:noWrap/>
            <w:vAlign w:val="bottom"/>
            <w:hideMark/>
          </w:tcPr>
          <w:p w14:paraId="163C934F" w14:textId="77777777" w:rsidR="00291682" w:rsidRPr="00291682" w:rsidRDefault="00291682" w:rsidP="00291682">
            <w:pPr>
              <w:spacing w:after="0" w:line="276" w:lineRule="auto"/>
              <w:jc w:val="right"/>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Total</w:t>
            </w:r>
          </w:p>
        </w:tc>
        <w:tc>
          <w:tcPr>
            <w:tcW w:w="384" w:type="pct"/>
            <w:tcBorders>
              <w:top w:val="nil"/>
              <w:left w:val="nil"/>
              <w:bottom w:val="single" w:sz="4" w:space="0" w:color="auto"/>
              <w:right w:val="single" w:sz="4" w:space="0" w:color="auto"/>
            </w:tcBorders>
            <w:shd w:val="clear" w:color="auto" w:fill="808080"/>
            <w:noWrap/>
            <w:vAlign w:val="center"/>
            <w:hideMark/>
          </w:tcPr>
          <w:p w14:paraId="2CEBFC0B" w14:textId="77777777" w:rsidR="00291682" w:rsidRPr="00291682" w:rsidRDefault="00291682" w:rsidP="00291682">
            <w:pPr>
              <w:spacing w:after="0" w:line="276" w:lineRule="auto"/>
              <w:jc w:val="center"/>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35</w:t>
            </w:r>
          </w:p>
        </w:tc>
        <w:tc>
          <w:tcPr>
            <w:tcW w:w="906" w:type="pct"/>
            <w:tcBorders>
              <w:top w:val="nil"/>
              <w:left w:val="nil"/>
              <w:bottom w:val="single" w:sz="4" w:space="0" w:color="auto"/>
              <w:right w:val="single" w:sz="4" w:space="0" w:color="auto"/>
            </w:tcBorders>
            <w:shd w:val="clear" w:color="auto" w:fill="808080"/>
            <w:noWrap/>
            <w:vAlign w:val="center"/>
            <w:hideMark/>
          </w:tcPr>
          <w:p w14:paraId="7430EA44" w14:textId="77777777" w:rsidR="00291682" w:rsidRPr="00291682" w:rsidRDefault="00291682" w:rsidP="00291682">
            <w:pPr>
              <w:spacing w:after="0" w:line="276" w:lineRule="auto"/>
              <w:jc w:val="center"/>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13</w:t>
            </w:r>
          </w:p>
        </w:tc>
        <w:tc>
          <w:tcPr>
            <w:tcW w:w="628" w:type="pct"/>
            <w:tcBorders>
              <w:top w:val="nil"/>
              <w:left w:val="nil"/>
              <w:bottom w:val="single" w:sz="4" w:space="0" w:color="auto"/>
              <w:right w:val="single" w:sz="4" w:space="0" w:color="auto"/>
            </w:tcBorders>
            <w:shd w:val="clear" w:color="auto" w:fill="808080"/>
            <w:noWrap/>
            <w:vAlign w:val="center"/>
            <w:hideMark/>
          </w:tcPr>
          <w:p w14:paraId="13981C5B" w14:textId="77777777" w:rsidR="00291682" w:rsidRPr="00291682" w:rsidRDefault="00291682" w:rsidP="00291682">
            <w:pPr>
              <w:spacing w:after="0" w:line="276" w:lineRule="auto"/>
              <w:jc w:val="center"/>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71</w:t>
            </w:r>
          </w:p>
        </w:tc>
        <w:tc>
          <w:tcPr>
            <w:tcW w:w="642" w:type="pct"/>
            <w:tcBorders>
              <w:top w:val="nil"/>
              <w:left w:val="nil"/>
              <w:bottom w:val="single" w:sz="4" w:space="0" w:color="auto"/>
              <w:right w:val="single" w:sz="4" w:space="0" w:color="auto"/>
            </w:tcBorders>
            <w:shd w:val="clear" w:color="auto" w:fill="808080"/>
            <w:noWrap/>
            <w:vAlign w:val="center"/>
            <w:hideMark/>
          </w:tcPr>
          <w:p w14:paraId="4D848708" w14:textId="77777777" w:rsidR="00291682" w:rsidRPr="00291682" w:rsidRDefault="00291682" w:rsidP="00291682">
            <w:pPr>
              <w:spacing w:after="0" w:line="276" w:lineRule="auto"/>
              <w:jc w:val="center"/>
              <w:rPr>
                <w:rFonts w:ascii="Book Antiqua" w:eastAsia="Times New Roman" w:hAnsi="Book Antiqua" w:cs="Calibri"/>
                <w:b/>
                <w:color w:val="FFFFFF"/>
                <w:lang w:eastAsia="es-CR"/>
              </w:rPr>
            </w:pPr>
            <w:r w:rsidRPr="00291682">
              <w:rPr>
                <w:rFonts w:ascii="Book Antiqua" w:eastAsia="Times New Roman" w:hAnsi="Book Antiqua" w:cs="Calibri"/>
                <w:b/>
                <w:color w:val="FFFFFF"/>
                <w:lang w:eastAsia="es-CR"/>
              </w:rPr>
              <w:t>5</w:t>
            </w:r>
          </w:p>
        </w:tc>
      </w:tr>
    </w:tbl>
    <w:p w14:paraId="22F77FD9" w14:textId="77777777" w:rsidR="00623B33" w:rsidRPr="00623B33" w:rsidRDefault="00623B33" w:rsidP="00623B33">
      <w:pPr>
        <w:spacing w:after="0" w:line="276" w:lineRule="auto"/>
        <w:jc w:val="both"/>
        <w:rPr>
          <w:rFonts w:ascii="Book Antiqua" w:eastAsia="Calibri" w:hAnsi="Book Antiqua" w:cs="Arial"/>
          <w:i/>
          <w:iCs/>
          <w:sz w:val="20"/>
          <w:szCs w:val="20"/>
          <w:lang w:val="es-ES_tradnl"/>
        </w:rPr>
      </w:pPr>
      <w:r w:rsidRPr="00623B33">
        <w:rPr>
          <w:rFonts w:ascii="Book Antiqua" w:eastAsia="Calibri" w:hAnsi="Book Antiqua" w:cs="Arial"/>
          <w:i/>
          <w:iCs/>
          <w:sz w:val="20"/>
          <w:szCs w:val="20"/>
          <w:lang w:val="es-ES_tradnl"/>
        </w:rPr>
        <w:t>Fuente: Subproceso de Modernización Institucional.</w:t>
      </w:r>
    </w:p>
    <w:p w14:paraId="21333D1F" w14:textId="4D61D859" w:rsidR="00623B33" w:rsidRPr="002A4252" w:rsidRDefault="00623B33" w:rsidP="00623B33">
      <w:pPr>
        <w:spacing w:after="0" w:line="276" w:lineRule="auto"/>
        <w:jc w:val="both"/>
        <w:rPr>
          <w:rFonts w:ascii="Book Antiqua" w:eastAsia="Calibri" w:hAnsi="Book Antiqua" w:cs="Arial"/>
          <w:i/>
          <w:iCs/>
          <w:sz w:val="20"/>
          <w:szCs w:val="20"/>
          <w:lang w:val="es-ES_tradnl"/>
        </w:rPr>
      </w:pPr>
      <w:r w:rsidRPr="002A4252">
        <w:rPr>
          <w:rFonts w:ascii="Book Antiqua" w:eastAsia="Calibri" w:hAnsi="Book Antiqua" w:cs="Arial"/>
          <w:i/>
          <w:iCs/>
          <w:sz w:val="20"/>
          <w:szCs w:val="20"/>
          <w:lang w:val="es-ES_tradnl"/>
        </w:rPr>
        <w:t xml:space="preserve">Nota *: Plaza </w:t>
      </w:r>
      <w:r w:rsidR="000F0D2B">
        <w:rPr>
          <w:rFonts w:ascii="Book Antiqua" w:eastAsia="Calibri" w:hAnsi="Book Antiqua" w:cs="Arial"/>
          <w:i/>
          <w:iCs/>
          <w:sz w:val="20"/>
          <w:szCs w:val="20"/>
          <w:lang w:val="es-ES_tradnl"/>
        </w:rPr>
        <w:t xml:space="preserve">actualmente </w:t>
      </w:r>
      <w:r w:rsidRPr="002A4252">
        <w:rPr>
          <w:rFonts w:ascii="Book Antiqua" w:eastAsia="Calibri" w:hAnsi="Book Antiqua" w:cs="Arial"/>
          <w:i/>
          <w:iCs/>
          <w:sz w:val="20"/>
          <w:szCs w:val="20"/>
          <w:lang w:val="es-ES_tradnl"/>
        </w:rPr>
        <w:t xml:space="preserve">compartida entre el Juzgado de Violencia del I CJ San José y el Juzgado de Niñez y Adolescencia. </w:t>
      </w:r>
    </w:p>
    <w:p w14:paraId="05B501BB" w14:textId="77777777" w:rsidR="00DC2A69" w:rsidRPr="00DC2A69" w:rsidRDefault="00DC2A69" w:rsidP="00DC2A69">
      <w:pPr>
        <w:spacing w:after="0" w:line="276" w:lineRule="auto"/>
        <w:jc w:val="both"/>
        <w:rPr>
          <w:rFonts w:ascii="Book Antiqua" w:eastAsia="Calibri" w:hAnsi="Book Antiqua" w:cs="Arial"/>
          <w:sz w:val="24"/>
          <w:szCs w:val="24"/>
        </w:rPr>
      </w:pPr>
      <w:r w:rsidRPr="00DC2A69">
        <w:rPr>
          <w:rFonts w:ascii="Book Antiqua" w:eastAsia="Calibri" w:hAnsi="Book Antiqua" w:cs="Arial"/>
          <w:sz w:val="24"/>
          <w:szCs w:val="24"/>
        </w:rPr>
        <w:lastRenderedPageBreak/>
        <w:t xml:space="preserve">Como se observa en el cuadro anterior, los Juzgados Especializados de Familia están compuestos por 35 puestos de Jueza o Juez, 13 plazas de Coordinadora o Coordinador Judicial, 71 puestos de Técnica o Técnico Judicial y 4 plazas de Auxiliar de Servicios Generales, con una relación mínima de 1,5 personas técnicas judiciales por cada Juez o Jueza. </w:t>
      </w:r>
    </w:p>
    <w:p w14:paraId="0C1010DE" w14:textId="77777777" w:rsidR="00DC2A69" w:rsidRPr="00DC2A69" w:rsidRDefault="00DC2A69" w:rsidP="00DC2A69">
      <w:pPr>
        <w:spacing w:after="0" w:line="276" w:lineRule="auto"/>
        <w:jc w:val="both"/>
        <w:rPr>
          <w:rFonts w:ascii="Book Antiqua" w:eastAsia="Calibri" w:hAnsi="Book Antiqua" w:cs="Arial"/>
          <w:sz w:val="24"/>
          <w:szCs w:val="24"/>
        </w:rPr>
      </w:pPr>
    </w:p>
    <w:p w14:paraId="6E695E05" w14:textId="77777777" w:rsidR="00A8581E" w:rsidRPr="00A8581E" w:rsidRDefault="00A8581E" w:rsidP="00A8581E">
      <w:pPr>
        <w:spacing w:after="0" w:line="276" w:lineRule="auto"/>
        <w:jc w:val="both"/>
        <w:rPr>
          <w:rFonts w:ascii="Book Antiqua" w:eastAsia="Calibri" w:hAnsi="Book Antiqua" w:cs="Arial"/>
          <w:sz w:val="24"/>
          <w:szCs w:val="24"/>
        </w:rPr>
      </w:pPr>
      <w:r w:rsidRPr="00A8581E">
        <w:rPr>
          <w:rFonts w:ascii="Book Antiqua" w:eastAsia="Calibri" w:hAnsi="Book Antiqua" w:cs="Arial"/>
          <w:sz w:val="24"/>
          <w:szCs w:val="24"/>
        </w:rPr>
        <w:t>Los Juzgados Especializados de Familia, presentan una estructura organizacional vertical, donde la persona juzgadora coordinadora es la máxima autoridad, información que se respalda ante la existencia de dos niveles jerárquicos por debajo de su autoridad. Cada puesto de trabajo tiene definidas sus funciones y son acorde con el Manual Descriptivo de Funciones de la Dirección de Gestión Humana.</w:t>
      </w:r>
    </w:p>
    <w:p w14:paraId="106304B7" w14:textId="582FB304" w:rsidR="00CB4880" w:rsidRDefault="00CB4880" w:rsidP="00CB4880">
      <w:pPr>
        <w:spacing w:after="0" w:line="276" w:lineRule="auto"/>
        <w:jc w:val="both"/>
        <w:rPr>
          <w:rFonts w:ascii="Book Antiqua" w:eastAsia="Calibri" w:hAnsi="Book Antiqua" w:cs="Arial"/>
          <w:sz w:val="24"/>
          <w:szCs w:val="24"/>
        </w:rPr>
      </w:pPr>
    </w:p>
    <w:p w14:paraId="09AF529D" w14:textId="602C53ED" w:rsidR="0027551B" w:rsidRDefault="00C74336" w:rsidP="008D6799">
      <w:pPr>
        <w:spacing w:after="0" w:line="276" w:lineRule="auto"/>
        <w:jc w:val="both"/>
        <w:rPr>
          <w:rFonts w:ascii="Book Antiqua" w:eastAsia="Calibri" w:hAnsi="Book Antiqua" w:cs="Arial"/>
          <w:b/>
          <w:bCs/>
          <w:sz w:val="24"/>
          <w:szCs w:val="24"/>
        </w:rPr>
      </w:pPr>
      <w:r w:rsidRPr="008D6799">
        <w:rPr>
          <w:rFonts w:ascii="Book Antiqua" w:eastAsia="Calibri" w:hAnsi="Book Antiqua" w:cs="Arial"/>
          <w:b/>
          <w:bCs/>
          <w:sz w:val="24"/>
          <w:szCs w:val="24"/>
        </w:rPr>
        <w:t>Funciones de los diferentes puestos de trabajo</w:t>
      </w:r>
    </w:p>
    <w:p w14:paraId="1F9C93B3" w14:textId="77777777" w:rsidR="008D6799" w:rsidRPr="008D6799" w:rsidRDefault="008D6799" w:rsidP="008D6799">
      <w:pPr>
        <w:spacing w:after="0" w:line="276" w:lineRule="auto"/>
        <w:jc w:val="both"/>
        <w:rPr>
          <w:rFonts w:ascii="Book Antiqua" w:eastAsia="Calibri" w:hAnsi="Book Antiqua" w:cs="Arial"/>
          <w:b/>
          <w:bCs/>
          <w:sz w:val="24"/>
          <w:szCs w:val="24"/>
        </w:rPr>
      </w:pPr>
    </w:p>
    <w:p w14:paraId="31850155" w14:textId="77777777" w:rsidR="00805F0A" w:rsidRPr="00805F0A" w:rsidRDefault="00805F0A" w:rsidP="00805F0A">
      <w:pPr>
        <w:spacing w:after="0" w:line="276" w:lineRule="auto"/>
        <w:jc w:val="both"/>
        <w:rPr>
          <w:rFonts w:ascii="Book Antiqua" w:eastAsia="Calibri" w:hAnsi="Book Antiqua" w:cs="Arial"/>
          <w:sz w:val="24"/>
          <w:szCs w:val="24"/>
        </w:rPr>
      </w:pPr>
      <w:bookmarkStart w:id="20" w:name="_Hlk508270555"/>
      <w:r w:rsidRPr="00805F0A">
        <w:rPr>
          <w:rFonts w:ascii="Book Antiqua" w:eastAsia="Calibri" w:hAnsi="Book Antiqua" w:cs="Arial"/>
          <w:sz w:val="24"/>
          <w:szCs w:val="24"/>
        </w:rPr>
        <w:t>Las funciones del personal de los Juzgados Especializados de Familia se encuentran establecidas en el Perfil Competencial de la Dirección de Gestión Humana, según sea la clase de puesto, lo cual puede ser consultado mediante la dirección electrónica http://intranet/gestionhumana/index.php/manual-perfiles; a continuación, se resumen las principales funciones que realiza cada puesto de trabajo, según consulta realizada a los juzgados que tramitan la materia de Familia.</w:t>
      </w:r>
    </w:p>
    <w:bookmarkEnd w:id="20"/>
    <w:p w14:paraId="5690E4E2" w14:textId="77777777" w:rsidR="00805F0A" w:rsidRPr="00805F0A" w:rsidRDefault="00805F0A" w:rsidP="00805F0A">
      <w:pPr>
        <w:spacing w:after="0" w:line="276" w:lineRule="auto"/>
        <w:jc w:val="both"/>
        <w:rPr>
          <w:rFonts w:ascii="Book Antiqua" w:eastAsia="Calibri" w:hAnsi="Book Antiqua" w:cs="Arial"/>
          <w:sz w:val="24"/>
          <w:szCs w:val="24"/>
        </w:rPr>
      </w:pPr>
    </w:p>
    <w:p w14:paraId="0FA98520" w14:textId="3BF060EB" w:rsidR="00805F0A" w:rsidRPr="00EF146D" w:rsidRDefault="00805F0A"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14</w:t>
      </w:r>
      <w:r w:rsidRPr="00EF146D">
        <w:rPr>
          <w:rFonts w:ascii="Book Antiqua" w:eastAsia="Calibri" w:hAnsi="Book Antiqua" w:cs="Arial"/>
          <w:b/>
          <w:bCs/>
          <w:color w:val="1F497D"/>
          <w:szCs w:val="24"/>
          <w:lang w:val="es-ES" w:eastAsia="es-ES"/>
        </w:rPr>
        <w:fldChar w:fldCharType="end"/>
      </w:r>
    </w:p>
    <w:p w14:paraId="7564D9FD" w14:textId="77777777" w:rsidR="00805F0A" w:rsidRPr="00805F0A" w:rsidRDefault="00805F0A"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805F0A">
        <w:rPr>
          <w:rFonts w:ascii="Book Antiqua" w:eastAsia="Times New Roman" w:hAnsi="Book Antiqua" w:cs="Arial"/>
          <w:b/>
          <w:bCs/>
          <w:color w:val="1F497D"/>
          <w:lang w:eastAsia="es-ES"/>
        </w:rPr>
        <w:t xml:space="preserve">Principales funciones según el de puesto de trabajo en los Juzgados </w:t>
      </w:r>
    </w:p>
    <w:p w14:paraId="390BB60C" w14:textId="77777777" w:rsidR="00805F0A" w:rsidRPr="00805F0A" w:rsidRDefault="00805F0A"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805F0A">
        <w:rPr>
          <w:rFonts w:ascii="Book Antiqua" w:eastAsia="Times New Roman" w:hAnsi="Book Antiqua" w:cs="Arial"/>
          <w:b/>
          <w:bCs/>
          <w:color w:val="1F497D"/>
          <w:lang w:eastAsia="es-ES"/>
        </w:rPr>
        <w:t>Especializados en la materia de Familia</w:t>
      </w:r>
    </w:p>
    <w:tbl>
      <w:tblPr>
        <w:tblW w:w="5000" w:type="pct"/>
        <w:jc w:val="center"/>
        <w:tblCellMar>
          <w:left w:w="70" w:type="dxa"/>
          <w:right w:w="70" w:type="dxa"/>
        </w:tblCellMar>
        <w:tblLook w:val="04A0" w:firstRow="1" w:lastRow="0" w:firstColumn="1" w:lastColumn="0" w:noHBand="0" w:noVBand="1"/>
      </w:tblPr>
      <w:tblGrid>
        <w:gridCol w:w="1428"/>
        <w:gridCol w:w="7400"/>
      </w:tblGrid>
      <w:tr w:rsidR="009D11B7" w:rsidRPr="009D11B7" w14:paraId="2BB77282" w14:textId="77777777" w:rsidTr="009D11B7">
        <w:trPr>
          <w:trHeight w:val="20"/>
          <w:tblHeader/>
          <w:jc w:val="center"/>
        </w:trPr>
        <w:tc>
          <w:tcPr>
            <w:tcW w:w="809" w:type="pct"/>
            <w:tcBorders>
              <w:top w:val="single" w:sz="4" w:space="0" w:color="auto"/>
              <w:left w:val="single" w:sz="4" w:space="0" w:color="auto"/>
              <w:bottom w:val="single" w:sz="4" w:space="0" w:color="auto"/>
              <w:right w:val="single" w:sz="4" w:space="0" w:color="auto"/>
            </w:tcBorders>
            <w:shd w:val="clear" w:color="000000" w:fill="002060"/>
            <w:vAlign w:val="center"/>
          </w:tcPr>
          <w:p w14:paraId="6DAB9F6A" w14:textId="77777777" w:rsidR="009D11B7" w:rsidRPr="009D11B7" w:rsidRDefault="009D11B7" w:rsidP="009D11B7">
            <w:pPr>
              <w:spacing w:after="0" w:line="276" w:lineRule="auto"/>
              <w:jc w:val="center"/>
              <w:rPr>
                <w:rFonts w:ascii="Book Antiqua" w:eastAsia="Times New Roman" w:hAnsi="Book Antiqua" w:cs="Calibri"/>
                <w:b/>
                <w:bCs/>
                <w:color w:val="FFFFFF"/>
                <w:lang w:eastAsia="es-CR"/>
              </w:rPr>
            </w:pPr>
            <w:r w:rsidRPr="009D11B7">
              <w:rPr>
                <w:rFonts w:ascii="Book Antiqua" w:eastAsia="Times New Roman" w:hAnsi="Book Antiqua" w:cs="Calibri"/>
                <w:b/>
                <w:bCs/>
                <w:color w:val="FFFFFF"/>
                <w:lang w:eastAsia="es-CR"/>
              </w:rPr>
              <w:t>Puesto de Trabajo</w:t>
            </w:r>
          </w:p>
        </w:tc>
        <w:tc>
          <w:tcPr>
            <w:tcW w:w="4191" w:type="pct"/>
            <w:tcBorders>
              <w:top w:val="single" w:sz="4" w:space="0" w:color="auto"/>
              <w:left w:val="nil"/>
              <w:bottom w:val="single" w:sz="4" w:space="0" w:color="auto"/>
              <w:right w:val="single" w:sz="4" w:space="0" w:color="auto"/>
            </w:tcBorders>
            <w:shd w:val="clear" w:color="000000" w:fill="002060"/>
            <w:vAlign w:val="center"/>
            <w:hideMark/>
          </w:tcPr>
          <w:p w14:paraId="6C0F8D95" w14:textId="77777777" w:rsidR="009D11B7" w:rsidRPr="009D11B7" w:rsidRDefault="009D11B7" w:rsidP="009D11B7">
            <w:pPr>
              <w:spacing w:after="0" w:line="276" w:lineRule="auto"/>
              <w:jc w:val="center"/>
              <w:rPr>
                <w:rFonts w:ascii="Book Antiqua" w:eastAsia="Times New Roman" w:hAnsi="Book Antiqua" w:cs="Calibri"/>
                <w:b/>
                <w:bCs/>
                <w:color w:val="FFFFFF"/>
                <w:lang w:eastAsia="es-CR"/>
              </w:rPr>
            </w:pPr>
            <w:r w:rsidRPr="009D11B7">
              <w:rPr>
                <w:rFonts w:ascii="Book Antiqua" w:eastAsia="Times New Roman" w:hAnsi="Book Antiqua" w:cs="Calibri"/>
                <w:b/>
                <w:bCs/>
                <w:color w:val="FFFFFF"/>
                <w:lang w:eastAsia="es-CR"/>
              </w:rPr>
              <w:t>Funciones</w:t>
            </w:r>
          </w:p>
        </w:tc>
      </w:tr>
      <w:tr w:rsidR="009D11B7" w:rsidRPr="009D11B7" w14:paraId="61CAA78F" w14:textId="77777777" w:rsidTr="009D11B7">
        <w:trPr>
          <w:trHeight w:val="20"/>
          <w:jc w:val="center"/>
        </w:trPr>
        <w:tc>
          <w:tcPr>
            <w:tcW w:w="809" w:type="pct"/>
            <w:tcBorders>
              <w:top w:val="nil"/>
              <w:left w:val="single" w:sz="4" w:space="0" w:color="auto"/>
              <w:bottom w:val="single" w:sz="4" w:space="0" w:color="auto"/>
              <w:right w:val="single" w:sz="4" w:space="0" w:color="auto"/>
            </w:tcBorders>
            <w:vAlign w:val="center"/>
          </w:tcPr>
          <w:p w14:paraId="37B0B5ED" w14:textId="77777777" w:rsidR="009D11B7" w:rsidRPr="009D11B7" w:rsidRDefault="009D11B7" w:rsidP="009D11B7">
            <w:pPr>
              <w:spacing w:after="0" w:line="276" w:lineRule="auto"/>
              <w:jc w:val="center"/>
              <w:rPr>
                <w:rFonts w:ascii="Book Antiqua" w:eastAsia="Times New Roman" w:hAnsi="Book Antiqua" w:cs="Calibri"/>
                <w:b/>
                <w:bCs/>
                <w:color w:val="000000"/>
                <w:lang w:eastAsia="es-CR"/>
              </w:rPr>
            </w:pPr>
            <w:r w:rsidRPr="009D11B7">
              <w:rPr>
                <w:rFonts w:ascii="Book Antiqua" w:eastAsia="Times New Roman" w:hAnsi="Book Antiqua" w:cs="Calibri"/>
                <w:b/>
                <w:bCs/>
                <w:color w:val="000000"/>
                <w:lang w:eastAsia="es-CR"/>
              </w:rPr>
              <w:t>Personal Juzgador</w:t>
            </w:r>
          </w:p>
        </w:tc>
        <w:tc>
          <w:tcPr>
            <w:tcW w:w="4191" w:type="pct"/>
            <w:tcBorders>
              <w:top w:val="nil"/>
              <w:left w:val="nil"/>
              <w:bottom w:val="single" w:sz="4" w:space="0" w:color="auto"/>
              <w:right w:val="single" w:sz="4" w:space="0" w:color="auto"/>
            </w:tcBorders>
            <w:shd w:val="clear" w:color="auto" w:fill="auto"/>
            <w:vAlign w:val="bottom"/>
            <w:hideMark/>
          </w:tcPr>
          <w:p w14:paraId="114010A1" w14:textId="77777777" w:rsidR="009D11B7" w:rsidRPr="009D11B7" w:rsidRDefault="009D11B7" w:rsidP="009D11B7">
            <w:pPr>
              <w:spacing w:after="0" w:line="276" w:lineRule="auto"/>
              <w:rPr>
                <w:rFonts w:ascii="Book Antiqua" w:eastAsia="Calibri" w:hAnsi="Book Antiqua" w:cs="Arial"/>
              </w:rPr>
            </w:pPr>
            <w:r w:rsidRPr="009D11B7">
              <w:rPr>
                <w:rFonts w:ascii="Book Antiqua" w:eastAsia="Calibri" w:hAnsi="Book Antiqua" w:cs="Arial"/>
              </w:rPr>
              <w:t>•Dictar sentencias</w:t>
            </w:r>
            <w:r w:rsidRPr="009D11B7">
              <w:rPr>
                <w:rFonts w:ascii="Book Antiqua" w:eastAsia="Calibri" w:hAnsi="Book Antiqua" w:cs="Arial"/>
              </w:rPr>
              <w:br/>
              <w:t>•Revisar proyectos de resolución</w:t>
            </w:r>
            <w:r w:rsidRPr="009D11B7">
              <w:rPr>
                <w:rFonts w:ascii="Book Antiqua" w:eastAsia="Calibri" w:hAnsi="Book Antiqua" w:cs="Arial"/>
              </w:rPr>
              <w:br/>
              <w:t>•Firma de proveído</w:t>
            </w:r>
            <w:r w:rsidRPr="009D11B7">
              <w:rPr>
                <w:rFonts w:ascii="Book Antiqua" w:eastAsia="Calibri" w:hAnsi="Book Antiqua" w:cs="Arial"/>
              </w:rPr>
              <w:br/>
              <w:t>•Realizar audiencias</w:t>
            </w:r>
            <w:r w:rsidRPr="009D11B7">
              <w:rPr>
                <w:rFonts w:ascii="Book Antiqua" w:eastAsia="Calibri" w:hAnsi="Book Antiqua" w:cs="Arial"/>
              </w:rPr>
              <w:br/>
              <w:t>•Supervisión de personal</w:t>
            </w:r>
            <w:r w:rsidRPr="009D11B7">
              <w:rPr>
                <w:rFonts w:ascii="Book Antiqua" w:eastAsia="Calibri" w:hAnsi="Book Antiqua" w:cs="Arial"/>
              </w:rPr>
              <w:br/>
              <w:t xml:space="preserve">•Funciones administrativas </w:t>
            </w:r>
            <w:r w:rsidRPr="009D11B7">
              <w:rPr>
                <w:rFonts w:ascii="Book Antiqua" w:eastAsia="Calibri" w:hAnsi="Book Antiqua" w:cs="Arial"/>
              </w:rPr>
              <w:br/>
              <w:t>•Realizar allanamientos</w:t>
            </w:r>
            <w:r w:rsidRPr="009D11B7">
              <w:rPr>
                <w:rFonts w:ascii="Book Antiqua" w:eastAsia="Calibri" w:hAnsi="Book Antiqua" w:cs="Arial"/>
              </w:rPr>
              <w:br/>
              <w:t>•Realizar inventarios de bienes</w:t>
            </w:r>
            <w:r w:rsidRPr="009D11B7">
              <w:rPr>
                <w:rFonts w:ascii="Book Antiqua" w:eastAsia="Calibri" w:hAnsi="Book Antiqua" w:cs="Arial"/>
              </w:rPr>
              <w:br/>
              <w:t>•Visitar y realizar entrevistas fuera del Despacho</w:t>
            </w:r>
            <w:r w:rsidRPr="009D11B7">
              <w:rPr>
                <w:rFonts w:ascii="Book Antiqua" w:eastAsia="Calibri" w:hAnsi="Book Antiqua" w:cs="Arial"/>
              </w:rPr>
              <w:br/>
              <w:t>•Aprobar giros en el Sistema de Depósitos Judiciales</w:t>
            </w:r>
            <w:r w:rsidRPr="009D11B7">
              <w:rPr>
                <w:rFonts w:ascii="Book Antiqua" w:eastAsia="Calibri" w:hAnsi="Book Antiqua" w:cs="Arial"/>
              </w:rPr>
              <w:br/>
            </w:r>
            <w:r w:rsidRPr="009D11B7">
              <w:rPr>
                <w:rFonts w:ascii="Book Antiqua" w:eastAsia="Calibri" w:hAnsi="Book Antiqua" w:cs="Arial"/>
              </w:rPr>
              <w:lastRenderedPageBreak/>
              <w:t>•Firma de boletas de seguridad (Registro Público), certificaciones y ejecutorias</w:t>
            </w:r>
            <w:r w:rsidRPr="009D11B7">
              <w:rPr>
                <w:rFonts w:ascii="Book Antiqua" w:eastAsia="Calibri" w:hAnsi="Book Antiqua" w:cs="Arial"/>
              </w:rPr>
              <w:br/>
              <w:t>•Atención de consultas de personas usuarias</w:t>
            </w:r>
            <w:r w:rsidRPr="009D11B7">
              <w:rPr>
                <w:rFonts w:ascii="Book Antiqua" w:eastAsia="Calibri" w:hAnsi="Book Antiqua" w:cs="Arial"/>
              </w:rPr>
              <w:br/>
              <w:t>•Atención de consultas del personal</w:t>
            </w:r>
          </w:p>
        </w:tc>
      </w:tr>
      <w:tr w:rsidR="009D11B7" w:rsidRPr="009D11B7" w14:paraId="661F7128" w14:textId="77777777" w:rsidTr="009D11B7">
        <w:trPr>
          <w:trHeight w:val="20"/>
          <w:jc w:val="center"/>
        </w:trPr>
        <w:tc>
          <w:tcPr>
            <w:tcW w:w="809" w:type="pct"/>
            <w:tcBorders>
              <w:top w:val="nil"/>
              <w:left w:val="single" w:sz="4" w:space="0" w:color="auto"/>
              <w:bottom w:val="single" w:sz="4" w:space="0" w:color="auto"/>
              <w:right w:val="single" w:sz="4" w:space="0" w:color="auto"/>
            </w:tcBorders>
            <w:vAlign w:val="center"/>
          </w:tcPr>
          <w:p w14:paraId="368B0632" w14:textId="77777777" w:rsidR="009D11B7" w:rsidRPr="009D11B7" w:rsidRDefault="009D11B7" w:rsidP="009D11B7">
            <w:pPr>
              <w:spacing w:after="0" w:line="276" w:lineRule="auto"/>
              <w:jc w:val="center"/>
              <w:rPr>
                <w:rFonts w:ascii="Book Antiqua" w:eastAsia="Times New Roman" w:hAnsi="Book Antiqua" w:cs="Calibri"/>
                <w:b/>
                <w:bCs/>
                <w:color w:val="000000"/>
                <w:lang w:eastAsia="es-CR"/>
              </w:rPr>
            </w:pPr>
            <w:r w:rsidRPr="009D11B7">
              <w:rPr>
                <w:rFonts w:ascii="Book Antiqua" w:eastAsia="Times New Roman" w:hAnsi="Book Antiqua" w:cs="Calibri"/>
                <w:b/>
                <w:bCs/>
                <w:color w:val="000000"/>
                <w:lang w:eastAsia="es-CR"/>
              </w:rPr>
              <w:lastRenderedPageBreak/>
              <w:t>Personal Coordinador Judicial</w:t>
            </w:r>
          </w:p>
        </w:tc>
        <w:tc>
          <w:tcPr>
            <w:tcW w:w="4191" w:type="pct"/>
            <w:tcBorders>
              <w:top w:val="nil"/>
              <w:left w:val="nil"/>
              <w:bottom w:val="single" w:sz="4" w:space="0" w:color="auto"/>
              <w:right w:val="single" w:sz="4" w:space="0" w:color="auto"/>
            </w:tcBorders>
            <w:shd w:val="clear" w:color="auto" w:fill="auto"/>
            <w:vAlign w:val="bottom"/>
            <w:hideMark/>
          </w:tcPr>
          <w:p w14:paraId="0E797F90" w14:textId="77777777" w:rsidR="009D11B7" w:rsidRPr="009D11B7" w:rsidRDefault="009D11B7" w:rsidP="009D11B7">
            <w:pPr>
              <w:spacing w:after="0" w:line="276" w:lineRule="auto"/>
              <w:rPr>
                <w:rFonts w:ascii="Book Antiqua" w:eastAsia="Calibri" w:hAnsi="Book Antiqua" w:cs="Arial"/>
              </w:rPr>
            </w:pPr>
            <w:r w:rsidRPr="009D11B7">
              <w:rPr>
                <w:rFonts w:ascii="Book Antiqua" w:eastAsia="Calibri" w:hAnsi="Book Antiqua" w:cs="Arial"/>
              </w:rPr>
              <w:t>• Confección de informes estadísticos</w:t>
            </w:r>
            <w:r w:rsidRPr="009D11B7">
              <w:rPr>
                <w:rFonts w:ascii="Book Antiqua" w:eastAsia="Calibri" w:hAnsi="Book Antiqua" w:cs="Arial"/>
              </w:rPr>
              <w:br/>
              <w:t>•Distribuir asuntos nuevos</w:t>
            </w:r>
            <w:r w:rsidRPr="009D11B7">
              <w:rPr>
                <w:rFonts w:ascii="Book Antiqua" w:eastAsia="Calibri" w:hAnsi="Book Antiqua" w:cs="Arial"/>
              </w:rPr>
              <w:br/>
              <w:t xml:space="preserve">•Revisar la información de los expedientes que ingresan nuevos </w:t>
            </w:r>
            <w:r w:rsidRPr="009D11B7">
              <w:rPr>
                <w:rFonts w:ascii="Book Antiqua" w:eastAsia="Calibri" w:hAnsi="Book Antiqua" w:cs="Arial"/>
              </w:rPr>
              <w:br/>
              <w:t>•Control de libros (pase a fallo, sentencias, comisiones, juramentaciones, boletas de seguridad (Registro Público), entre otros</w:t>
            </w:r>
            <w:r w:rsidRPr="009D11B7">
              <w:rPr>
                <w:rFonts w:ascii="Book Antiqua" w:eastAsia="Calibri" w:hAnsi="Book Antiqua" w:cs="Arial"/>
              </w:rPr>
              <w:br/>
              <w:t>•Confección y firma de certificaciones</w:t>
            </w:r>
            <w:r w:rsidRPr="009D11B7">
              <w:rPr>
                <w:rFonts w:ascii="Book Antiqua" w:eastAsia="Calibri" w:hAnsi="Book Antiqua" w:cs="Arial"/>
              </w:rPr>
              <w:br/>
              <w:t>•Firma de comisiones</w:t>
            </w:r>
            <w:r w:rsidRPr="009D11B7">
              <w:rPr>
                <w:rFonts w:ascii="Book Antiqua" w:eastAsia="Calibri" w:hAnsi="Book Antiqua" w:cs="Arial"/>
              </w:rPr>
              <w:br/>
              <w:t xml:space="preserve">•Aprobar y cancelar los mandamientos de anotaciones en el SREM </w:t>
            </w:r>
            <w:r w:rsidRPr="009D11B7">
              <w:rPr>
                <w:rFonts w:ascii="Book Antiqua" w:eastAsia="Calibri" w:hAnsi="Book Antiqua" w:cs="Arial"/>
              </w:rPr>
              <w:br/>
              <w:t>•Ingresar expedientes nuevos en el SDJ</w:t>
            </w:r>
            <w:r w:rsidRPr="009D11B7">
              <w:rPr>
                <w:rFonts w:ascii="Book Antiqua" w:eastAsia="Calibri" w:hAnsi="Book Antiqua" w:cs="Arial"/>
              </w:rPr>
              <w:br/>
              <w:t>•Autorizar giros en el SDJ</w:t>
            </w:r>
            <w:r w:rsidRPr="009D11B7">
              <w:rPr>
                <w:rFonts w:ascii="Book Antiqua" w:eastAsia="Calibri" w:hAnsi="Book Antiqua" w:cs="Arial"/>
              </w:rPr>
              <w:br/>
              <w:t>•Encargado Sistema de Itineraciones</w:t>
            </w:r>
            <w:r w:rsidRPr="009D11B7">
              <w:rPr>
                <w:rFonts w:ascii="Book Antiqua" w:eastAsia="Calibri" w:hAnsi="Book Antiqua" w:cs="Arial"/>
              </w:rPr>
              <w:br/>
              <w:t>•Administrar el correo electrónico del Despacho</w:t>
            </w:r>
            <w:r w:rsidRPr="009D11B7">
              <w:rPr>
                <w:rFonts w:ascii="Book Antiqua" w:eastAsia="Calibri" w:hAnsi="Book Antiqua" w:cs="Arial"/>
              </w:rPr>
              <w:br/>
              <w:t>•Atención de consultas de personas usuarias</w:t>
            </w:r>
            <w:r w:rsidRPr="009D11B7">
              <w:rPr>
                <w:rFonts w:ascii="Book Antiqua" w:eastAsia="Calibri" w:hAnsi="Book Antiqua" w:cs="Arial"/>
              </w:rPr>
              <w:br/>
              <w:t>•Atención de consultas del personal</w:t>
            </w:r>
            <w:r w:rsidRPr="009D11B7">
              <w:rPr>
                <w:rFonts w:ascii="Book Antiqua" w:eastAsia="Calibri" w:hAnsi="Book Antiqua" w:cs="Arial"/>
              </w:rPr>
              <w:br/>
              <w:t>•Funciones administrativas</w:t>
            </w:r>
          </w:p>
        </w:tc>
      </w:tr>
      <w:tr w:rsidR="009D11B7" w:rsidRPr="009D11B7" w14:paraId="750CC2C7" w14:textId="77777777" w:rsidTr="009D11B7">
        <w:trPr>
          <w:trHeight w:val="20"/>
          <w:jc w:val="center"/>
        </w:trPr>
        <w:tc>
          <w:tcPr>
            <w:tcW w:w="809" w:type="pct"/>
            <w:tcBorders>
              <w:top w:val="nil"/>
              <w:left w:val="single" w:sz="4" w:space="0" w:color="auto"/>
              <w:bottom w:val="single" w:sz="4" w:space="0" w:color="auto"/>
              <w:right w:val="single" w:sz="4" w:space="0" w:color="auto"/>
            </w:tcBorders>
            <w:vAlign w:val="center"/>
          </w:tcPr>
          <w:p w14:paraId="5F44EE0F" w14:textId="77777777" w:rsidR="009D11B7" w:rsidRPr="009D11B7" w:rsidRDefault="009D11B7" w:rsidP="009D11B7">
            <w:pPr>
              <w:spacing w:after="0" w:line="276" w:lineRule="auto"/>
              <w:jc w:val="center"/>
              <w:rPr>
                <w:rFonts w:ascii="Book Antiqua" w:eastAsia="Times New Roman" w:hAnsi="Book Antiqua" w:cs="Calibri"/>
                <w:b/>
                <w:bCs/>
                <w:color w:val="000000"/>
                <w:lang w:eastAsia="es-CR"/>
              </w:rPr>
            </w:pPr>
            <w:r w:rsidRPr="009D11B7">
              <w:rPr>
                <w:rFonts w:ascii="Book Antiqua" w:eastAsia="Times New Roman" w:hAnsi="Book Antiqua" w:cs="Calibri"/>
                <w:b/>
                <w:bCs/>
                <w:color w:val="000000"/>
                <w:lang w:eastAsia="es-CR"/>
              </w:rPr>
              <w:t>Personal Técnico Judicial</w:t>
            </w:r>
          </w:p>
        </w:tc>
        <w:tc>
          <w:tcPr>
            <w:tcW w:w="4191" w:type="pct"/>
            <w:tcBorders>
              <w:top w:val="nil"/>
              <w:left w:val="nil"/>
              <w:bottom w:val="single" w:sz="4" w:space="0" w:color="auto"/>
              <w:right w:val="single" w:sz="4" w:space="0" w:color="auto"/>
            </w:tcBorders>
            <w:shd w:val="clear" w:color="auto" w:fill="auto"/>
            <w:vAlign w:val="bottom"/>
            <w:hideMark/>
          </w:tcPr>
          <w:p w14:paraId="726DB02E" w14:textId="77777777" w:rsidR="009D11B7" w:rsidRPr="009D11B7" w:rsidRDefault="009D11B7" w:rsidP="009D11B7">
            <w:pPr>
              <w:spacing w:after="0" w:line="276" w:lineRule="auto"/>
              <w:rPr>
                <w:rFonts w:ascii="Book Antiqua" w:eastAsia="Calibri" w:hAnsi="Book Antiqua" w:cs="Arial"/>
              </w:rPr>
            </w:pPr>
            <w:r w:rsidRPr="009D11B7">
              <w:rPr>
                <w:rFonts w:ascii="Book Antiqua" w:eastAsia="Calibri" w:hAnsi="Book Antiqua" w:cs="Arial"/>
              </w:rPr>
              <w:t>•Trámite de expedientes (proyectos de resolución)</w:t>
            </w:r>
            <w:r w:rsidRPr="009D11B7">
              <w:rPr>
                <w:rFonts w:ascii="Book Antiqua" w:eastAsia="Calibri" w:hAnsi="Book Antiqua" w:cs="Arial"/>
              </w:rPr>
              <w:br/>
              <w:t>•Acompañar a la persona juzgadora a las entrevistas fuera del Despacho</w:t>
            </w:r>
            <w:r w:rsidRPr="009D11B7">
              <w:rPr>
                <w:rFonts w:ascii="Book Antiqua" w:eastAsia="Calibri" w:hAnsi="Book Antiqua" w:cs="Arial"/>
              </w:rPr>
              <w:br/>
              <w:t>•Acompañar a la persona juzgadora en las audiencias con personas menores de edad</w:t>
            </w:r>
            <w:r w:rsidRPr="009D11B7">
              <w:rPr>
                <w:rFonts w:ascii="Book Antiqua" w:eastAsia="Calibri" w:hAnsi="Book Antiqua" w:cs="Arial"/>
              </w:rPr>
              <w:br/>
              <w:t>•Atención de personas usuarias (manifestación)</w:t>
            </w:r>
            <w:r w:rsidRPr="009D11B7">
              <w:rPr>
                <w:rFonts w:ascii="Book Antiqua" w:eastAsia="Calibri" w:hAnsi="Book Antiqua" w:cs="Arial"/>
              </w:rPr>
              <w:br/>
              <w:t>•Atención telefónica</w:t>
            </w:r>
            <w:r w:rsidRPr="009D11B7">
              <w:rPr>
                <w:rFonts w:ascii="Book Antiqua" w:eastAsia="Calibri" w:hAnsi="Book Antiqua" w:cs="Arial"/>
              </w:rPr>
              <w:br/>
              <w:t>•Confección de ejecutorias</w:t>
            </w:r>
            <w:r w:rsidRPr="009D11B7">
              <w:rPr>
                <w:rFonts w:ascii="Book Antiqua" w:eastAsia="Calibri" w:hAnsi="Book Antiqua" w:cs="Arial"/>
              </w:rPr>
              <w:br/>
              <w:t>•Confección de correo certificado</w:t>
            </w:r>
            <w:r w:rsidRPr="009D11B7">
              <w:rPr>
                <w:rFonts w:ascii="Book Antiqua" w:eastAsia="Calibri" w:hAnsi="Book Antiqua" w:cs="Arial"/>
              </w:rPr>
              <w:br/>
              <w:t>•Confección de certificaciones</w:t>
            </w:r>
            <w:r w:rsidRPr="009D11B7">
              <w:rPr>
                <w:rFonts w:ascii="Book Antiqua" w:eastAsia="Calibri" w:hAnsi="Book Antiqua" w:cs="Arial"/>
              </w:rPr>
              <w:br/>
              <w:t>•Confección de constancias</w:t>
            </w:r>
            <w:r w:rsidRPr="009D11B7">
              <w:rPr>
                <w:rFonts w:ascii="Book Antiqua" w:eastAsia="Calibri" w:hAnsi="Book Antiqua" w:cs="Arial"/>
              </w:rPr>
              <w:br/>
              <w:t>•Confección de actas de matrimonio</w:t>
            </w:r>
            <w:r w:rsidRPr="009D11B7">
              <w:rPr>
                <w:rFonts w:ascii="Book Antiqua" w:eastAsia="Calibri" w:hAnsi="Book Antiqua" w:cs="Arial"/>
              </w:rPr>
              <w:br/>
              <w:t>•Confección de oficios</w:t>
            </w:r>
            <w:r w:rsidRPr="009D11B7">
              <w:rPr>
                <w:rFonts w:ascii="Book Antiqua" w:eastAsia="Calibri" w:hAnsi="Book Antiqua" w:cs="Arial"/>
              </w:rPr>
              <w:br/>
              <w:t>•Envío y revisión de edictos</w:t>
            </w:r>
            <w:r w:rsidRPr="009D11B7">
              <w:rPr>
                <w:rFonts w:ascii="Book Antiqua" w:eastAsia="Calibri" w:hAnsi="Book Antiqua" w:cs="Arial"/>
              </w:rPr>
              <w:br/>
              <w:t>•Asistir a audiencias</w:t>
            </w:r>
            <w:r w:rsidRPr="009D11B7">
              <w:rPr>
                <w:rFonts w:ascii="Book Antiqua" w:eastAsia="Calibri" w:hAnsi="Book Antiqua" w:cs="Arial"/>
              </w:rPr>
              <w:br/>
              <w:t>•Sacar fotocopias</w:t>
            </w:r>
            <w:r w:rsidRPr="009D11B7">
              <w:rPr>
                <w:rFonts w:ascii="Book Antiqua" w:eastAsia="Calibri" w:hAnsi="Book Antiqua" w:cs="Arial"/>
              </w:rPr>
              <w:br/>
              <w:t>•Escaneo de documentos</w:t>
            </w:r>
            <w:r w:rsidRPr="009D11B7">
              <w:rPr>
                <w:rFonts w:ascii="Book Antiqua" w:eastAsia="Calibri" w:hAnsi="Book Antiqua" w:cs="Arial"/>
              </w:rPr>
              <w:br/>
              <w:t>•Encargado Sistema de Itineraciones</w:t>
            </w:r>
            <w:r w:rsidRPr="009D11B7">
              <w:rPr>
                <w:rFonts w:ascii="Book Antiqua" w:eastAsia="Calibri" w:hAnsi="Book Antiqua" w:cs="Arial"/>
              </w:rPr>
              <w:br/>
            </w:r>
            <w:r w:rsidRPr="009D11B7">
              <w:rPr>
                <w:rFonts w:ascii="Book Antiqua" w:eastAsia="Calibri" w:hAnsi="Book Antiqua" w:cs="Arial"/>
              </w:rPr>
              <w:lastRenderedPageBreak/>
              <w:t>•Trámites con oficinas dentro y fuera del Poder Judicial (Trabajo Social y Psicología, Medicatura Forense, Bioquímica, PANI, Delegaciones Policiales, entre otras)</w:t>
            </w:r>
            <w:r w:rsidRPr="009D11B7">
              <w:rPr>
                <w:rFonts w:ascii="Book Antiqua" w:eastAsia="Calibri" w:hAnsi="Book Antiqua" w:cs="Arial"/>
              </w:rPr>
              <w:br/>
              <w:t>•Ingresar los señalamientos y resultados en la agenda Cronos</w:t>
            </w:r>
            <w:r w:rsidRPr="009D11B7">
              <w:rPr>
                <w:rFonts w:ascii="Book Antiqua" w:eastAsia="Calibri" w:hAnsi="Book Antiqua" w:cs="Arial"/>
              </w:rPr>
              <w:br/>
              <w:t>•Realizar giros en el SDJ</w:t>
            </w:r>
            <w:r w:rsidRPr="009D11B7">
              <w:rPr>
                <w:rFonts w:ascii="Book Antiqua" w:eastAsia="Calibri" w:hAnsi="Book Antiqua" w:cs="Arial"/>
              </w:rPr>
              <w:br/>
              <w:t>•Anotar y levantar mandamientos en el SREM</w:t>
            </w:r>
            <w:r w:rsidRPr="009D11B7">
              <w:rPr>
                <w:rFonts w:ascii="Book Antiqua" w:eastAsia="Calibri" w:hAnsi="Book Antiqua" w:cs="Arial"/>
              </w:rPr>
              <w:br/>
              <w:t>•Recibir salvaguardias</w:t>
            </w:r>
            <w:r w:rsidRPr="009D11B7">
              <w:rPr>
                <w:rFonts w:ascii="Book Antiqua" w:eastAsia="Calibri" w:hAnsi="Book Antiqua" w:cs="Arial"/>
              </w:rPr>
              <w:br/>
              <w:t>•Recibir Matrimonios</w:t>
            </w:r>
            <w:r w:rsidRPr="009D11B7">
              <w:rPr>
                <w:rFonts w:ascii="Book Antiqua" w:eastAsia="Calibri" w:hAnsi="Book Antiqua" w:cs="Arial"/>
              </w:rPr>
              <w:br/>
              <w:t>•Nombrar curadores y peritos</w:t>
            </w:r>
            <w:r w:rsidRPr="009D11B7">
              <w:rPr>
                <w:rFonts w:ascii="Book Antiqua" w:eastAsia="Calibri" w:hAnsi="Book Antiqua" w:cs="Arial"/>
              </w:rPr>
              <w:br/>
              <w:t>•Entrega de claves de gestión en línea</w:t>
            </w:r>
          </w:p>
        </w:tc>
      </w:tr>
      <w:tr w:rsidR="009D11B7" w:rsidRPr="009D11B7" w14:paraId="6AC7ACDC" w14:textId="77777777" w:rsidTr="009D11B7">
        <w:trPr>
          <w:trHeight w:val="20"/>
          <w:jc w:val="center"/>
        </w:trPr>
        <w:tc>
          <w:tcPr>
            <w:tcW w:w="809" w:type="pct"/>
            <w:tcBorders>
              <w:top w:val="nil"/>
              <w:left w:val="single" w:sz="4" w:space="0" w:color="auto"/>
              <w:bottom w:val="single" w:sz="4" w:space="0" w:color="auto"/>
              <w:right w:val="single" w:sz="4" w:space="0" w:color="auto"/>
            </w:tcBorders>
            <w:vAlign w:val="center"/>
          </w:tcPr>
          <w:p w14:paraId="0599460E" w14:textId="77777777" w:rsidR="009D11B7" w:rsidRPr="009D11B7" w:rsidRDefault="009D11B7" w:rsidP="009D11B7">
            <w:pPr>
              <w:spacing w:after="0" w:line="276" w:lineRule="auto"/>
              <w:jc w:val="center"/>
              <w:rPr>
                <w:rFonts w:ascii="Book Antiqua" w:eastAsia="Times New Roman" w:hAnsi="Book Antiqua" w:cs="Calibri"/>
                <w:b/>
                <w:bCs/>
                <w:color w:val="000000"/>
                <w:lang w:eastAsia="es-CR"/>
              </w:rPr>
            </w:pPr>
            <w:r w:rsidRPr="009D11B7">
              <w:rPr>
                <w:rFonts w:ascii="Book Antiqua" w:eastAsia="Times New Roman" w:hAnsi="Book Antiqua" w:cs="Calibri"/>
                <w:b/>
                <w:bCs/>
                <w:color w:val="000000"/>
                <w:lang w:eastAsia="es-CR"/>
              </w:rPr>
              <w:lastRenderedPageBreak/>
              <w:t>Personal Auxiliar de Servicios Generales</w:t>
            </w:r>
          </w:p>
        </w:tc>
        <w:tc>
          <w:tcPr>
            <w:tcW w:w="4191" w:type="pct"/>
            <w:tcBorders>
              <w:top w:val="nil"/>
              <w:left w:val="nil"/>
              <w:bottom w:val="single" w:sz="4" w:space="0" w:color="auto"/>
              <w:right w:val="single" w:sz="4" w:space="0" w:color="auto"/>
            </w:tcBorders>
            <w:shd w:val="clear" w:color="auto" w:fill="auto"/>
            <w:vAlign w:val="bottom"/>
            <w:hideMark/>
          </w:tcPr>
          <w:p w14:paraId="64214101" w14:textId="77777777" w:rsidR="009D11B7" w:rsidRPr="009D11B7" w:rsidRDefault="009D11B7" w:rsidP="009D11B7">
            <w:pPr>
              <w:spacing w:after="0" w:line="276" w:lineRule="auto"/>
              <w:rPr>
                <w:rFonts w:ascii="Book Antiqua" w:eastAsia="Calibri" w:hAnsi="Book Antiqua" w:cs="Arial"/>
              </w:rPr>
            </w:pPr>
            <w:r w:rsidRPr="009D11B7">
              <w:rPr>
                <w:rFonts w:ascii="Book Antiqua" w:eastAsia="Calibri" w:hAnsi="Book Antiqua" w:cs="Arial"/>
              </w:rPr>
              <w:t>•Atención de personas usuarias (manifestación)</w:t>
            </w:r>
            <w:r w:rsidRPr="009D11B7">
              <w:rPr>
                <w:rFonts w:ascii="Book Antiqua" w:eastAsia="Calibri" w:hAnsi="Book Antiqua" w:cs="Arial"/>
              </w:rPr>
              <w:br/>
              <w:t>•Labores de limpieza</w:t>
            </w:r>
            <w:r w:rsidRPr="009D11B7">
              <w:rPr>
                <w:rFonts w:ascii="Book Antiqua" w:eastAsia="Calibri" w:hAnsi="Book Antiqua" w:cs="Arial"/>
              </w:rPr>
              <w:br/>
              <w:t>•Confección de ejecutorias</w:t>
            </w:r>
            <w:r w:rsidRPr="009D11B7">
              <w:rPr>
                <w:rFonts w:ascii="Book Antiqua" w:eastAsia="Calibri" w:hAnsi="Book Antiqua" w:cs="Arial"/>
              </w:rPr>
              <w:br/>
              <w:t>•Escaneo de documentos</w:t>
            </w:r>
            <w:r w:rsidRPr="009D11B7">
              <w:rPr>
                <w:rFonts w:ascii="Book Antiqua" w:eastAsia="Calibri" w:hAnsi="Book Antiqua" w:cs="Arial"/>
              </w:rPr>
              <w:br/>
              <w:t>•Agregar la documentación que ingresa por correo certificado a los expedientes</w:t>
            </w:r>
            <w:r w:rsidRPr="009D11B7">
              <w:rPr>
                <w:rFonts w:ascii="Book Antiqua" w:eastAsia="Calibri" w:hAnsi="Book Antiqua" w:cs="Arial"/>
              </w:rPr>
              <w:br/>
              <w:t>•Confección de correo certificado</w:t>
            </w:r>
            <w:r w:rsidRPr="009D11B7">
              <w:rPr>
                <w:rFonts w:ascii="Book Antiqua" w:eastAsia="Calibri" w:hAnsi="Book Antiqua" w:cs="Arial"/>
              </w:rPr>
              <w:br/>
              <w:t>•Sacar fotocopias</w:t>
            </w:r>
            <w:r w:rsidRPr="009D11B7">
              <w:rPr>
                <w:rFonts w:ascii="Book Antiqua" w:eastAsia="Calibri" w:hAnsi="Book Antiqua" w:cs="Arial"/>
              </w:rPr>
              <w:br/>
              <w:t xml:space="preserve">•Llevar las ejecutorias al Registro Civil </w:t>
            </w:r>
          </w:p>
        </w:tc>
      </w:tr>
    </w:tbl>
    <w:p w14:paraId="071FAA25" w14:textId="77777777" w:rsidR="00AF796A" w:rsidRPr="00AF796A" w:rsidRDefault="00AF796A" w:rsidP="00AF796A">
      <w:pPr>
        <w:tabs>
          <w:tab w:val="left" w:pos="8364"/>
        </w:tabs>
        <w:spacing w:after="0" w:line="276" w:lineRule="auto"/>
        <w:ind w:right="1700"/>
        <w:jc w:val="both"/>
        <w:rPr>
          <w:rFonts w:ascii="Book Antiqua" w:eastAsia="Calibri" w:hAnsi="Book Antiqua" w:cs="Arial"/>
          <w:bCs/>
          <w:i/>
          <w:sz w:val="20"/>
          <w:szCs w:val="20"/>
        </w:rPr>
      </w:pPr>
      <w:r w:rsidRPr="00AF796A">
        <w:rPr>
          <w:rFonts w:ascii="Book Antiqua" w:eastAsia="Calibri" w:hAnsi="Book Antiqua" w:cs="Arial"/>
          <w:bCs/>
          <w:i/>
          <w:sz w:val="20"/>
          <w:szCs w:val="20"/>
        </w:rPr>
        <w:t>Fuente: Subproceso de Modernización Institucional.</w:t>
      </w:r>
    </w:p>
    <w:p w14:paraId="69D6C71E" w14:textId="18268B58" w:rsidR="00116B89" w:rsidRDefault="00116B89" w:rsidP="009C01E1">
      <w:pPr>
        <w:spacing w:line="276" w:lineRule="auto"/>
        <w:jc w:val="both"/>
        <w:rPr>
          <w:rFonts w:ascii="Book Antiqua" w:hAnsi="Book Antiqua"/>
          <w:sz w:val="24"/>
          <w:szCs w:val="24"/>
        </w:rPr>
      </w:pPr>
    </w:p>
    <w:p w14:paraId="4CDB111D" w14:textId="19B84C5C" w:rsidR="00EC28D8" w:rsidRPr="00EC28D8" w:rsidRDefault="00EC28D8" w:rsidP="00EC28D8">
      <w:pPr>
        <w:spacing w:after="0" w:line="276" w:lineRule="auto"/>
        <w:jc w:val="both"/>
        <w:rPr>
          <w:rFonts w:ascii="Book Antiqua" w:eastAsia="Calibri" w:hAnsi="Book Antiqua" w:cs="Arial"/>
          <w:sz w:val="24"/>
          <w:szCs w:val="24"/>
        </w:rPr>
      </w:pPr>
      <w:r w:rsidRPr="00EC28D8">
        <w:rPr>
          <w:rFonts w:ascii="Book Antiqua" w:eastAsia="Calibri" w:hAnsi="Book Antiqua" w:cs="Arial"/>
          <w:sz w:val="24"/>
          <w:szCs w:val="24"/>
        </w:rPr>
        <w:t xml:space="preserve">De la revisión de las funciones que realiza el personal, se verifica que están de acuerdo con las tareas de los manuales de puestos normados por la Dirección de Gestión Humana del Poder Judicial y se encuentran acordes a la estructura de trabajo de los Juzgados que atienden la materia de Familia; sin embargo, existen diferencias en la distribución de funciones de un juzgado a otro. Por ejemplo, en lo que respecta a las personas técnicas judiciales, se rotan la atención de las personas usuarias y en otros juzgados, se tiene una persona específicamente asignada con esta labor, otro ejemplo, es el puesto de auxiliar de servicios generales, en los despachos que cuentan con esta figura, es la persona que se encarga de la atención de las personas usuarias, entre otras diferencias. No obstante, la Dirección de Planificación, analizó la situación particular de cada Despacho para definir las funciones de puestos de la misma categoría en línea con los Manuales de Perfiles Competenciales </w:t>
      </w:r>
      <w:r w:rsidRPr="00EC28D8">
        <w:rPr>
          <w:rFonts w:ascii="Book Antiqua" w:eastAsia="Calibri" w:hAnsi="Book Antiqua" w:cs="Arial"/>
          <w:sz w:val="24"/>
          <w:szCs w:val="24"/>
        </w:rPr>
        <w:lastRenderedPageBreak/>
        <w:t>de la Dirección de Gestión Humana y cantidad de puestos existentes en cada oficina</w:t>
      </w:r>
      <w:r w:rsidR="000F0D2B">
        <w:rPr>
          <w:rFonts w:ascii="Book Antiqua" w:eastAsia="Calibri" w:hAnsi="Book Antiqua" w:cs="Arial"/>
          <w:sz w:val="24"/>
          <w:szCs w:val="24"/>
        </w:rPr>
        <w:t>, y eso se indicó en los informes de estructuras citados en el cuadro 1</w:t>
      </w:r>
      <w:r w:rsidR="00E816ED">
        <w:rPr>
          <w:rFonts w:ascii="Book Antiqua" w:eastAsia="Calibri" w:hAnsi="Book Antiqua" w:cs="Arial"/>
          <w:sz w:val="24"/>
          <w:szCs w:val="24"/>
        </w:rPr>
        <w:t>2</w:t>
      </w:r>
      <w:r w:rsidR="000F0D2B">
        <w:rPr>
          <w:rFonts w:ascii="Book Antiqua" w:eastAsia="Calibri" w:hAnsi="Book Antiqua" w:cs="Arial"/>
          <w:sz w:val="24"/>
          <w:szCs w:val="24"/>
        </w:rPr>
        <w:t xml:space="preserve"> de este informe</w:t>
      </w:r>
      <w:r w:rsidRPr="00EC28D8">
        <w:rPr>
          <w:rFonts w:ascii="Book Antiqua" w:eastAsia="Calibri" w:hAnsi="Book Antiqua" w:cs="Arial"/>
          <w:sz w:val="24"/>
          <w:szCs w:val="24"/>
        </w:rPr>
        <w:t xml:space="preserve">. </w:t>
      </w:r>
    </w:p>
    <w:p w14:paraId="19BC7CD2" w14:textId="2C800E04" w:rsidR="00AF796A" w:rsidRDefault="00AF796A" w:rsidP="009C01E1">
      <w:pPr>
        <w:spacing w:line="276" w:lineRule="auto"/>
        <w:jc w:val="both"/>
        <w:rPr>
          <w:rFonts w:ascii="Book Antiqua" w:hAnsi="Book Antiqua"/>
          <w:sz w:val="24"/>
          <w:szCs w:val="24"/>
        </w:rPr>
      </w:pPr>
    </w:p>
    <w:p w14:paraId="6CD36FBF" w14:textId="77777777" w:rsidR="00446672" w:rsidRPr="003540BE" w:rsidRDefault="00446672" w:rsidP="003540B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540BE">
        <w:rPr>
          <w:rFonts w:ascii="Book Antiqua" w:eastAsiaTheme="majorEastAsia" w:hAnsi="Book Antiqua" w:cstheme="majorBidi"/>
          <w:b/>
          <w:color w:val="1F3864" w:themeColor="accent1" w:themeShade="80"/>
          <w:sz w:val="24"/>
          <w:lang w:val="es-ES"/>
        </w:rPr>
        <w:t xml:space="preserve">Coordinación con otras Instancias </w:t>
      </w:r>
    </w:p>
    <w:p w14:paraId="6D725DAF" w14:textId="5780FA15" w:rsidR="00446672" w:rsidRDefault="00446672" w:rsidP="009C01E1">
      <w:pPr>
        <w:spacing w:line="276" w:lineRule="auto"/>
        <w:jc w:val="both"/>
        <w:rPr>
          <w:rFonts w:ascii="Book Antiqua" w:hAnsi="Book Antiqua"/>
          <w:sz w:val="24"/>
          <w:szCs w:val="24"/>
        </w:rPr>
      </w:pPr>
    </w:p>
    <w:p w14:paraId="54E808B3" w14:textId="77777777" w:rsidR="005252CC" w:rsidRPr="005252CC" w:rsidRDefault="005252CC" w:rsidP="005252CC">
      <w:pPr>
        <w:spacing w:after="0" w:line="276" w:lineRule="auto"/>
        <w:jc w:val="both"/>
        <w:rPr>
          <w:rFonts w:ascii="Book Antiqua" w:eastAsia="Calibri" w:hAnsi="Book Antiqua" w:cs="Arial"/>
          <w:sz w:val="24"/>
          <w:szCs w:val="24"/>
        </w:rPr>
      </w:pPr>
      <w:r w:rsidRPr="005252CC">
        <w:rPr>
          <w:rFonts w:ascii="Book Antiqua" w:eastAsia="Calibri" w:hAnsi="Book Antiqua" w:cs="Arial"/>
          <w:sz w:val="24"/>
          <w:szCs w:val="24"/>
        </w:rPr>
        <w:t>Los despachos que atienden la materia de Familia, según el tipo de proceso que tramitan solicitan diferentes pruebas: médicas, psicológicas, sociales, entre otras; por lo que tienen relación con otras oficinas a las cuales solicitan estos estudios.</w:t>
      </w:r>
    </w:p>
    <w:p w14:paraId="64A2917E" w14:textId="77777777" w:rsidR="005252CC" w:rsidRPr="005252CC" w:rsidRDefault="005252CC" w:rsidP="005252CC">
      <w:pPr>
        <w:spacing w:after="0" w:line="276" w:lineRule="auto"/>
        <w:jc w:val="both"/>
        <w:rPr>
          <w:rFonts w:ascii="Book Antiqua" w:eastAsia="Calibri" w:hAnsi="Book Antiqua" w:cs="Arial"/>
          <w:sz w:val="24"/>
          <w:szCs w:val="24"/>
        </w:rPr>
      </w:pPr>
    </w:p>
    <w:p w14:paraId="4BB48024" w14:textId="77777777" w:rsidR="005252CC" w:rsidRPr="005252CC" w:rsidRDefault="005252CC" w:rsidP="005252CC">
      <w:pPr>
        <w:spacing w:after="0" w:line="276" w:lineRule="auto"/>
        <w:jc w:val="both"/>
        <w:rPr>
          <w:rFonts w:ascii="Book Antiqua" w:eastAsia="Calibri" w:hAnsi="Book Antiqua" w:cs="Arial"/>
          <w:sz w:val="24"/>
          <w:szCs w:val="24"/>
        </w:rPr>
      </w:pPr>
      <w:r w:rsidRPr="005252CC">
        <w:rPr>
          <w:rFonts w:ascii="Book Antiqua" w:eastAsia="Calibri" w:hAnsi="Book Antiqua" w:cs="Arial"/>
          <w:sz w:val="24"/>
          <w:szCs w:val="24"/>
        </w:rPr>
        <w:t>A continuación, se mencionan algunas oficinas con las que deben coordinar los Juzgados Especializados de Familia a nivel interno.</w:t>
      </w:r>
    </w:p>
    <w:p w14:paraId="66A4B819" w14:textId="77777777" w:rsidR="005252CC" w:rsidRPr="005252CC" w:rsidRDefault="005252CC" w:rsidP="005252CC">
      <w:pPr>
        <w:spacing w:after="0" w:line="276" w:lineRule="auto"/>
        <w:jc w:val="both"/>
        <w:rPr>
          <w:rFonts w:ascii="Book Antiqua" w:eastAsia="Calibri" w:hAnsi="Book Antiqua" w:cs="Arial"/>
          <w:sz w:val="24"/>
          <w:szCs w:val="24"/>
        </w:rPr>
      </w:pPr>
    </w:p>
    <w:p w14:paraId="13382D99" w14:textId="77777777" w:rsidR="00625442" w:rsidRPr="00625442" w:rsidRDefault="00625442" w:rsidP="00625442">
      <w:pPr>
        <w:pStyle w:val="Prrafodelista"/>
        <w:keepNext/>
        <w:keepLines/>
        <w:numPr>
          <w:ilvl w:val="0"/>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3413DA9D" w14:textId="77777777" w:rsidR="00625442" w:rsidRPr="00625442" w:rsidRDefault="00625442" w:rsidP="00625442">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0AE07E95" w14:textId="77777777" w:rsidR="00625442" w:rsidRPr="00625442" w:rsidRDefault="00625442" w:rsidP="00625442">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3F3FC2F" w14:textId="77777777" w:rsidR="00625442" w:rsidRPr="00625442" w:rsidRDefault="00625442" w:rsidP="00625442">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18CCA57E" w14:textId="77777777" w:rsidR="00625442" w:rsidRPr="00625442" w:rsidRDefault="00625442" w:rsidP="00625442">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527930E6" w14:textId="77777777" w:rsidR="00625442" w:rsidRPr="00625442" w:rsidRDefault="00625442" w:rsidP="00625442">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58377ACF" w14:textId="7DF59C46" w:rsidR="005252CC" w:rsidRPr="008D6799" w:rsidRDefault="005252CC" w:rsidP="008456A9">
      <w:pPr>
        <w:pStyle w:val="Ttulo2"/>
      </w:pPr>
      <w:r w:rsidRPr="008D6799">
        <w:t>Departamento de Medicina Legal</w:t>
      </w:r>
    </w:p>
    <w:p w14:paraId="636F4E55" w14:textId="77777777" w:rsidR="005252CC" w:rsidRPr="005252CC" w:rsidRDefault="005252CC" w:rsidP="005252CC">
      <w:pPr>
        <w:spacing w:after="0" w:line="276" w:lineRule="auto"/>
        <w:jc w:val="both"/>
        <w:rPr>
          <w:rFonts w:ascii="Book Antiqua" w:eastAsia="Calibri" w:hAnsi="Book Antiqua" w:cs="Arial"/>
          <w:u w:val="single"/>
        </w:rPr>
      </w:pPr>
    </w:p>
    <w:p w14:paraId="401D0BBD" w14:textId="0FC2D890" w:rsidR="005252CC" w:rsidRPr="00EF146D" w:rsidRDefault="005252CC"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15</w:t>
      </w:r>
      <w:r w:rsidRPr="00EF146D">
        <w:rPr>
          <w:rFonts w:ascii="Book Antiqua" w:eastAsia="Calibri" w:hAnsi="Book Antiqua" w:cs="Arial"/>
          <w:b/>
          <w:bCs/>
          <w:color w:val="1F497D"/>
          <w:szCs w:val="24"/>
          <w:lang w:val="es-ES" w:eastAsia="es-ES"/>
        </w:rPr>
        <w:fldChar w:fldCharType="end"/>
      </w:r>
    </w:p>
    <w:p w14:paraId="35582AFA" w14:textId="77777777" w:rsidR="005252CC" w:rsidRPr="005252CC" w:rsidRDefault="005252CC"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5252CC">
        <w:rPr>
          <w:rFonts w:ascii="Book Antiqua" w:eastAsia="Times New Roman" w:hAnsi="Book Antiqua" w:cs="Arial"/>
          <w:b/>
          <w:bCs/>
          <w:color w:val="1F497D"/>
          <w:lang w:eastAsia="es-ES"/>
        </w:rPr>
        <w:t xml:space="preserve">Cantidad de solicitudes de pruebas médico legales solicitadas por los Juzgados </w:t>
      </w:r>
    </w:p>
    <w:p w14:paraId="12758015" w14:textId="0C40E085" w:rsidR="005252CC" w:rsidRPr="00C15C74" w:rsidRDefault="005252CC"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5252CC">
        <w:rPr>
          <w:rFonts w:ascii="Book Antiqua" w:eastAsia="Times New Roman" w:hAnsi="Book Antiqua" w:cs="Arial"/>
          <w:b/>
          <w:bCs/>
          <w:color w:val="1F497D"/>
          <w:lang w:eastAsia="es-ES"/>
        </w:rPr>
        <w:t xml:space="preserve">que tramitan la materia de Familia del </w:t>
      </w:r>
      <w:r w:rsidRPr="00C15C74">
        <w:rPr>
          <w:rFonts w:ascii="Book Antiqua" w:eastAsia="Times New Roman" w:hAnsi="Book Antiqua" w:cs="Arial"/>
          <w:b/>
          <w:bCs/>
          <w:color w:val="1F497D"/>
          <w:lang w:eastAsia="es-ES"/>
        </w:rPr>
        <w:t>201</w:t>
      </w:r>
      <w:r w:rsidR="005361A0" w:rsidRPr="00C15C74">
        <w:rPr>
          <w:rFonts w:ascii="Book Antiqua" w:eastAsia="Times New Roman" w:hAnsi="Book Antiqua" w:cs="Arial"/>
          <w:b/>
          <w:bCs/>
          <w:color w:val="1F497D"/>
          <w:lang w:eastAsia="es-ES"/>
        </w:rPr>
        <w:t>7</w:t>
      </w:r>
      <w:r w:rsidRPr="00C15C74">
        <w:rPr>
          <w:rFonts w:ascii="Book Antiqua" w:eastAsia="Times New Roman" w:hAnsi="Book Antiqua" w:cs="Arial"/>
          <w:b/>
          <w:bCs/>
          <w:color w:val="1F497D"/>
          <w:lang w:eastAsia="es-ES"/>
        </w:rPr>
        <w:t xml:space="preserve"> al 20</w:t>
      </w:r>
      <w:r w:rsidR="005361A0" w:rsidRPr="00C15C74">
        <w:rPr>
          <w:rFonts w:ascii="Book Antiqua" w:eastAsia="Times New Roman" w:hAnsi="Book Antiqua" w:cs="Arial"/>
          <w:b/>
          <w:bCs/>
          <w:color w:val="1F497D"/>
          <w:lang w:eastAsia="es-ES"/>
        </w:rPr>
        <w:t>2</w:t>
      </w:r>
      <w:r w:rsidRPr="00C15C74">
        <w:rPr>
          <w:rFonts w:ascii="Book Antiqua" w:eastAsia="Times New Roman" w:hAnsi="Book Antiqua" w:cs="Arial"/>
          <w:b/>
          <w:bCs/>
          <w:color w:val="1F497D"/>
          <w:lang w:eastAsia="es-ES"/>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9"/>
        <w:gridCol w:w="1052"/>
        <w:gridCol w:w="1052"/>
        <w:gridCol w:w="1054"/>
        <w:gridCol w:w="1052"/>
        <w:gridCol w:w="1054"/>
        <w:gridCol w:w="1155"/>
      </w:tblGrid>
      <w:tr w:rsidR="006F7A6B" w:rsidRPr="006F7A6B" w14:paraId="5C3D73D9" w14:textId="77777777" w:rsidTr="005361A0">
        <w:trPr>
          <w:trHeight w:val="620"/>
          <w:jc w:val="center"/>
        </w:trPr>
        <w:tc>
          <w:tcPr>
            <w:tcW w:w="1364" w:type="pct"/>
            <w:shd w:val="clear" w:color="000000" w:fill="002060"/>
            <w:vAlign w:val="center"/>
            <w:hideMark/>
          </w:tcPr>
          <w:p w14:paraId="697FE5A3" w14:textId="77777777" w:rsidR="006F7A6B" w:rsidRPr="006F7A6B" w:rsidRDefault="006F7A6B" w:rsidP="006F7A6B">
            <w:pPr>
              <w:spacing w:after="0" w:line="276" w:lineRule="auto"/>
              <w:jc w:val="center"/>
              <w:rPr>
                <w:rFonts w:ascii="Book Antiqua" w:eastAsia="Times New Roman" w:hAnsi="Book Antiqua" w:cs="Calibri"/>
                <w:b/>
                <w:bCs/>
                <w:color w:val="FFFFFF"/>
                <w:sz w:val="24"/>
                <w:szCs w:val="24"/>
                <w:lang w:eastAsia="es-CR"/>
              </w:rPr>
            </w:pPr>
            <w:r w:rsidRPr="006F7A6B">
              <w:rPr>
                <w:rFonts w:ascii="Book Antiqua" w:eastAsia="Times New Roman" w:hAnsi="Book Antiqua" w:cs="Calibri"/>
                <w:b/>
                <w:bCs/>
                <w:color w:val="FFFFFF"/>
                <w:sz w:val="24"/>
                <w:szCs w:val="24"/>
                <w:lang w:eastAsia="es-CR"/>
              </w:rPr>
              <w:t>Tipo de documento</w:t>
            </w:r>
          </w:p>
        </w:tc>
        <w:tc>
          <w:tcPr>
            <w:tcW w:w="596" w:type="pct"/>
            <w:shd w:val="clear" w:color="000000" w:fill="002060"/>
            <w:noWrap/>
            <w:vAlign w:val="center"/>
          </w:tcPr>
          <w:p w14:paraId="6A9986E3" w14:textId="64819E3A" w:rsidR="006F7A6B" w:rsidRPr="006F7A6B" w:rsidRDefault="005361A0" w:rsidP="006F7A6B">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2017</w:t>
            </w:r>
          </w:p>
        </w:tc>
        <w:tc>
          <w:tcPr>
            <w:tcW w:w="596" w:type="pct"/>
            <w:shd w:val="clear" w:color="000000" w:fill="002060"/>
            <w:noWrap/>
            <w:vAlign w:val="center"/>
          </w:tcPr>
          <w:p w14:paraId="1ED8A927" w14:textId="5670C451" w:rsidR="006F7A6B" w:rsidRPr="006F7A6B" w:rsidRDefault="005361A0" w:rsidP="006F7A6B">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2018</w:t>
            </w:r>
          </w:p>
        </w:tc>
        <w:tc>
          <w:tcPr>
            <w:tcW w:w="597" w:type="pct"/>
            <w:shd w:val="clear" w:color="000000" w:fill="002060"/>
            <w:noWrap/>
            <w:vAlign w:val="center"/>
            <w:hideMark/>
          </w:tcPr>
          <w:p w14:paraId="78DE0C37" w14:textId="395B6F10" w:rsidR="006F7A6B" w:rsidRPr="006F7A6B" w:rsidRDefault="005361A0" w:rsidP="006F7A6B">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2019</w:t>
            </w:r>
          </w:p>
        </w:tc>
        <w:tc>
          <w:tcPr>
            <w:tcW w:w="596" w:type="pct"/>
            <w:shd w:val="clear" w:color="000000" w:fill="002060"/>
            <w:noWrap/>
            <w:vAlign w:val="center"/>
            <w:hideMark/>
          </w:tcPr>
          <w:p w14:paraId="79878C05" w14:textId="00FB257E" w:rsidR="006F7A6B" w:rsidRPr="006F7A6B" w:rsidRDefault="005361A0" w:rsidP="006F7A6B">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2020</w:t>
            </w:r>
          </w:p>
        </w:tc>
        <w:tc>
          <w:tcPr>
            <w:tcW w:w="597" w:type="pct"/>
            <w:shd w:val="clear" w:color="000000" w:fill="002060"/>
            <w:noWrap/>
            <w:vAlign w:val="center"/>
            <w:hideMark/>
          </w:tcPr>
          <w:p w14:paraId="60138756" w14:textId="63DC9C15" w:rsidR="006F7A6B" w:rsidRPr="006F7A6B" w:rsidRDefault="005361A0" w:rsidP="006F7A6B">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2021</w:t>
            </w:r>
          </w:p>
        </w:tc>
        <w:tc>
          <w:tcPr>
            <w:tcW w:w="654" w:type="pct"/>
            <w:shd w:val="clear" w:color="000000" w:fill="002060"/>
            <w:vAlign w:val="center"/>
            <w:hideMark/>
          </w:tcPr>
          <w:p w14:paraId="683BE141" w14:textId="77777777" w:rsidR="006F7A6B" w:rsidRPr="006F7A6B" w:rsidRDefault="006F7A6B" w:rsidP="006F7A6B">
            <w:pPr>
              <w:spacing w:after="0" w:line="276" w:lineRule="auto"/>
              <w:jc w:val="center"/>
              <w:rPr>
                <w:rFonts w:ascii="Book Antiqua" w:eastAsia="Times New Roman" w:hAnsi="Book Antiqua" w:cs="Calibri"/>
                <w:b/>
                <w:bCs/>
                <w:color w:val="FFFFFF"/>
                <w:sz w:val="24"/>
                <w:szCs w:val="24"/>
                <w:lang w:eastAsia="es-CR"/>
              </w:rPr>
            </w:pPr>
            <w:r w:rsidRPr="006F7A6B">
              <w:rPr>
                <w:rFonts w:ascii="Book Antiqua" w:eastAsia="Times New Roman" w:hAnsi="Book Antiqua" w:cs="Calibri"/>
                <w:b/>
                <w:bCs/>
                <w:color w:val="FFFFFF"/>
                <w:sz w:val="24"/>
                <w:szCs w:val="24"/>
                <w:lang w:eastAsia="es-CR"/>
              </w:rPr>
              <w:t>Total</w:t>
            </w:r>
          </w:p>
        </w:tc>
      </w:tr>
      <w:tr w:rsidR="005361A0" w:rsidRPr="006F7A6B" w14:paraId="7ED77F12" w14:textId="77777777" w:rsidTr="005361A0">
        <w:trPr>
          <w:trHeight w:val="300"/>
          <w:jc w:val="center"/>
        </w:trPr>
        <w:tc>
          <w:tcPr>
            <w:tcW w:w="1364" w:type="pct"/>
            <w:shd w:val="clear" w:color="000000" w:fill="FFFFFF"/>
            <w:vAlign w:val="center"/>
            <w:hideMark/>
          </w:tcPr>
          <w:p w14:paraId="3C9221A0" w14:textId="77777777" w:rsidR="005361A0" w:rsidRPr="006F7A6B" w:rsidRDefault="005361A0" w:rsidP="005361A0">
            <w:pPr>
              <w:spacing w:after="0" w:line="276" w:lineRule="auto"/>
              <w:jc w:val="both"/>
              <w:rPr>
                <w:rFonts w:ascii="Book Antiqua" w:eastAsia="Times New Roman" w:hAnsi="Book Antiqua" w:cs="Calibri"/>
                <w:color w:val="000000"/>
                <w:sz w:val="24"/>
                <w:szCs w:val="24"/>
                <w:lang w:eastAsia="es-CR"/>
              </w:rPr>
            </w:pPr>
            <w:r w:rsidRPr="006F7A6B">
              <w:rPr>
                <w:rFonts w:ascii="Book Antiqua" w:eastAsia="Times New Roman" w:hAnsi="Book Antiqua" w:cs="Calibri"/>
                <w:color w:val="000000"/>
                <w:sz w:val="24"/>
                <w:szCs w:val="24"/>
                <w:lang w:eastAsia="es-CR"/>
              </w:rPr>
              <w:t>Dictamen Médico</w:t>
            </w:r>
          </w:p>
        </w:tc>
        <w:tc>
          <w:tcPr>
            <w:tcW w:w="596" w:type="pct"/>
            <w:shd w:val="clear" w:color="000000" w:fill="FFFFFF"/>
            <w:vAlign w:val="center"/>
          </w:tcPr>
          <w:p w14:paraId="4D20D024" w14:textId="685E59C9" w:rsidR="005361A0" w:rsidRPr="006F7A6B" w:rsidRDefault="005361A0" w:rsidP="005361A0">
            <w:pPr>
              <w:spacing w:after="0" w:line="276" w:lineRule="auto"/>
              <w:jc w:val="center"/>
              <w:rPr>
                <w:rFonts w:ascii="Book Antiqua" w:eastAsia="Times New Roman" w:hAnsi="Book Antiqua" w:cs="Calibri"/>
                <w:color w:val="000000"/>
                <w:sz w:val="24"/>
                <w:szCs w:val="24"/>
                <w:lang w:eastAsia="es-CR"/>
              </w:rPr>
            </w:pPr>
            <w:r w:rsidRPr="006F7A6B">
              <w:rPr>
                <w:rFonts w:ascii="Book Antiqua" w:eastAsia="Times New Roman" w:hAnsi="Book Antiqua" w:cs="Calibri"/>
                <w:color w:val="000000"/>
                <w:sz w:val="24"/>
                <w:szCs w:val="24"/>
                <w:lang w:eastAsia="es-CR"/>
              </w:rPr>
              <w:t>1251</w:t>
            </w:r>
          </w:p>
        </w:tc>
        <w:tc>
          <w:tcPr>
            <w:tcW w:w="596" w:type="pct"/>
            <w:shd w:val="clear" w:color="000000" w:fill="FFFFFF"/>
            <w:vAlign w:val="center"/>
          </w:tcPr>
          <w:p w14:paraId="7EDDC6D2" w14:textId="06A75DAC" w:rsidR="005361A0" w:rsidRPr="006F7A6B" w:rsidRDefault="005361A0" w:rsidP="005361A0">
            <w:pPr>
              <w:spacing w:after="0" w:line="276" w:lineRule="auto"/>
              <w:jc w:val="center"/>
              <w:rPr>
                <w:rFonts w:ascii="Book Antiqua" w:eastAsia="Times New Roman" w:hAnsi="Book Antiqua" w:cs="Calibri"/>
                <w:color w:val="000000"/>
                <w:sz w:val="24"/>
                <w:szCs w:val="24"/>
                <w:lang w:eastAsia="es-CR"/>
              </w:rPr>
            </w:pPr>
            <w:r w:rsidRPr="006F7A6B">
              <w:rPr>
                <w:rFonts w:ascii="Book Antiqua" w:eastAsia="Times New Roman" w:hAnsi="Book Antiqua" w:cs="Calibri"/>
                <w:color w:val="000000"/>
                <w:sz w:val="24"/>
                <w:szCs w:val="24"/>
                <w:lang w:eastAsia="es-CR"/>
              </w:rPr>
              <w:t>1297</w:t>
            </w:r>
          </w:p>
        </w:tc>
        <w:tc>
          <w:tcPr>
            <w:tcW w:w="597" w:type="pct"/>
            <w:shd w:val="clear" w:color="000000" w:fill="FFFFFF"/>
            <w:vAlign w:val="center"/>
            <w:hideMark/>
          </w:tcPr>
          <w:p w14:paraId="1D216D03" w14:textId="4840A214" w:rsidR="005361A0" w:rsidRPr="006F7A6B" w:rsidRDefault="002921C5" w:rsidP="005361A0">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1000</w:t>
            </w:r>
          </w:p>
        </w:tc>
        <w:tc>
          <w:tcPr>
            <w:tcW w:w="596" w:type="pct"/>
            <w:shd w:val="clear" w:color="000000" w:fill="FFFFFF"/>
            <w:vAlign w:val="center"/>
          </w:tcPr>
          <w:p w14:paraId="265FD658" w14:textId="4041C983" w:rsidR="005361A0" w:rsidRPr="006F7A6B" w:rsidRDefault="002921C5" w:rsidP="005361A0">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924</w:t>
            </w:r>
          </w:p>
        </w:tc>
        <w:tc>
          <w:tcPr>
            <w:tcW w:w="597" w:type="pct"/>
            <w:shd w:val="clear" w:color="000000" w:fill="FFFFFF"/>
            <w:vAlign w:val="center"/>
          </w:tcPr>
          <w:p w14:paraId="45AEC808" w14:textId="611F9974" w:rsidR="005361A0" w:rsidRPr="006F7A6B" w:rsidRDefault="002921C5" w:rsidP="005361A0">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1047</w:t>
            </w:r>
          </w:p>
        </w:tc>
        <w:tc>
          <w:tcPr>
            <w:tcW w:w="654" w:type="pct"/>
            <w:shd w:val="clear" w:color="000000" w:fill="FFFFFF"/>
            <w:vAlign w:val="center"/>
          </w:tcPr>
          <w:p w14:paraId="5D3CC17B" w14:textId="3EB2BF32" w:rsidR="005361A0" w:rsidRPr="006F7A6B" w:rsidRDefault="002921C5" w:rsidP="005361A0">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5519</w:t>
            </w:r>
          </w:p>
        </w:tc>
      </w:tr>
    </w:tbl>
    <w:p w14:paraId="0A06ED0C" w14:textId="6890D6CC" w:rsidR="00446672" w:rsidRDefault="00C91E98" w:rsidP="00C50766">
      <w:pPr>
        <w:pStyle w:val="Fuentes"/>
      </w:pPr>
      <w:r w:rsidRPr="00C91E98">
        <w:t>Fuente: Subproceso de Modernización Institucional, con datos de la Unidad Tecnológica Informática.</w:t>
      </w:r>
    </w:p>
    <w:p w14:paraId="36D236EA" w14:textId="77777777" w:rsidR="005361A0" w:rsidRDefault="005361A0" w:rsidP="00C012CE">
      <w:pPr>
        <w:spacing w:after="0" w:line="276" w:lineRule="auto"/>
        <w:jc w:val="both"/>
        <w:rPr>
          <w:rFonts w:ascii="Book Antiqua" w:eastAsia="Calibri" w:hAnsi="Book Antiqua" w:cs="Arial"/>
          <w:sz w:val="24"/>
          <w:szCs w:val="24"/>
        </w:rPr>
      </w:pPr>
    </w:p>
    <w:p w14:paraId="3765E0C4" w14:textId="592C20EC" w:rsidR="00C012CE" w:rsidRPr="00C012CE" w:rsidRDefault="00C012CE" w:rsidP="00C012CE">
      <w:pPr>
        <w:spacing w:after="0" w:line="276" w:lineRule="auto"/>
        <w:jc w:val="both"/>
        <w:rPr>
          <w:rFonts w:ascii="Book Antiqua" w:eastAsia="Calibri" w:hAnsi="Book Antiqua" w:cs="Arial"/>
          <w:sz w:val="24"/>
          <w:szCs w:val="24"/>
        </w:rPr>
      </w:pPr>
      <w:r w:rsidRPr="00C012CE">
        <w:rPr>
          <w:rFonts w:ascii="Book Antiqua" w:eastAsia="Calibri" w:hAnsi="Book Antiqua" w:cs="Arial"/>
          <w:sz w:val="24"/>
          <w:szCs w:val="24"/>
        </w:rPr>
        <w:t>Como puede observarse durante el periodo del 201</w:t>
      </w:r>
      <w:r w:rsidR="005361A0">
        <w:rPr>
          <w:rFonts w:ascii="Book Antiqua" w:eastAsia="Calibri" w:hAnsi="Book Antiqua" w:cs="Arial"/>
          <w:sz w:val="24"/>
          <w:szCs w:val="24"/>
        </w:rPr>
        <w:t>7</w:t>
      </w:r>
      <w:r w:rsidRPr="00C012CE">
        <w:rPr>
          <w:rFonts w:ascii="Book Antiqua" w:eastAsia="Calibri" w:hAnsi="Book Antiqua" w:cs="Arial"/>
          <w:sz w:val="24"/>
          <w:szCs w:val="24"/>
        </w:rPr>
        <w:t xml:space="preserve"> al 20</w:t>
      </w:r>
      <w:r w:rsidR="005361A0">
        <w:rPr>
          <w:rFonts w:ascii="Book Antiqua" w:eastAsia="Calibri" w:hAnsi="Book Antiqua" w:cs="Arial"/>
          <w:sz w:val="24"/>
          <w:szCs w:val="24"/>
        </w:rPr>
        <w:t>2</w:t>
      </w:r>
      <w:r w:rsidRPr="00C012CE">
        <w:rPr>
          <w:rFonts w:ascii="Book Antiqua" w:eastAsia="Calibri" w:hAnsi="Book Antiqua" w:cs="Arial"/>
          <w:sz w:val="24"/>
          <w:szCs w:val="24"/>
        </w:rPr>
        <w:t xml:space="preserve">1, los Juzgados de Familia a nivel nacional, solicitaron un total de </w:t>
      </w:r>
      <w:r w:rsidR="002921C5">
        <w:rPr>
          <w:rFonts w:ascii="Book Antiqua" w:eastAsia="Calibri" w:hAnsi="Book Antiqua" w:cs="Arial"/>
          <w:sz w:val="24"/>
          <w:szCs w:val="24"/>
        </w:rPr>
        <w:t>5 519</w:t>
      </w:r>
      <w:r w:rsidRPr="00C012CE">
        <w:rPr>
          <w:rFonts w:ascii="Book Antiqua" w:eastAsia="Calibri" w:hAnsi="Book Antiqua" w:cs="Arial"/>
          <w:sz w:val="24"/>
          <w:szCs w:val="24"/>
        </w:rPr>
        <w:t xml:space="preserve"> pruebas médico</w:t>
      </w:r>
      <w:r w:rsidR="009B71C9">
        <w:rPr>
          <w:rFonts w:ascii="Book Antiqua" w:eastAsia="Calibri" w:hAnsi="Book Antiqua" w:cs="Arial"/>
          <w:sz w:val="24"/>
          <w:szCs w:val="24"/>
        </w:rPr>
        <w:t xml:space="preserve"> </w:t>
      </w:r>
      <w:r w:rsidRPr="00C012CE">
        <w:rPr>
          <w:rFonts w:ascii="Book Antiqua" w:eastAsia="Calibri" w:hAnsi="Book Antiqua" w:cs="Arial"/>
          <w:sz w:val="24"/>
          <w:szCs w:val="24"/>
        </w:rPr>
        <w:t xml:space="preserve">legales, en los diferentes procesos que se llevan en estos Despachos, para un promedio anual de </w:t>
      </w:r>
      <w:r w:rsidR="002921C5">
        <w:rPr>
          <w:rFonts w:ascii="Book Antiqua" w:eastAsia="Calibri" w:hAnsi="Book Antiqua" w:cs="Arial"/>
          <w:sz w:val="24"/>
          <w:szCs w:val="24"/>
        </w:rPr>
        <w:t xml:space="preserve">    1 104</w:t>
      </w:r>
      <w:r w:rsidRPr="00C012CE">
        <w:rPr>
          <w:rFonts w:ascii="Book Antiqua" w:eastAsia="Calibri" w:hAnsi="Book Antiqua" w:cs="Arial"/>
          <w:sz w:val="24"/>
          <w:szCs w:val="24"/>
        </w:rPr>
        <w:t xml:space="preserve">, equivalente a </w:t>
      </w:r>
      <w:r w:rsidR="002921C5" w:rsidRPr="002921C5">
        <w:rPr>
          <w:rFonts w:ascii="Book Antiqua" w:eastAsia="Calibri" w:hAnsi="Book Antiqua" w:cs="Arial"/>
          <w:sz w:val="24"/>
          <w:szCs w:val="24"/>
        </w:rPr>
        <w:t>9</w:t>
      </w:r>
      <w:r w:rsidRPr="002921C5">
        <w:rPr>
          <w:rFonts w:ascii="Book Antiqua" w:eastAsia="Calibri" w:hAnsi="Book Antiqua" w:cs="Arial"/>
          <w:sz w:val="24"/>
          <w:szCs w:val="24"/>
        </w:rPr>
        <w:t>8 s</w:t>
      </w:r>
      <w:r w:rsidRPr="00C012CE">
        <w:rPr>
          <w:rFonts w:ascii="Book Antiqua" w:eastAsia="Calibri" w:hAnsi="Book Antiqua" w:cs="Arial"/>
          <w:sz w:val="24"/>
          <w:szCs w:val="24"/>
        </w:rPr>
        <w:t>olicitudes por mes a nivel nacional.</w:t>
      </w:r>
    </w:p>
    <w:p w14:paraId="5A6C8E1A" w14:textId="030725D0" w:rsidR="00C012CE" w:rsidRDefault="00C012CE" w:rsidP="00C012CE">
      <w:pPr>
        <w:spacing w:after="0" w:line="276" w:lineRule="auto"/>
        <w:jc w:val="both"/>
        <w:rPr>
          <w:rFonts w:ascii="Book Antiqua" w:eastAsia="Calibri" w:hAnsi="Book Antiqua" w:cs="Arial"/>
          <w:sz w:val="24"/>
          <w:szCs w:val="24"/>
        </w:rPr>
      </w:pPr>
    </w:p>
    <w:p w14:paraId="44425309" w14:textId="3F785C22" w:rsidR="008F717E" w:rsidRDefault="008F717E" w:rsidP="00C012CE">
      <w:pPr>
        <w:spacing w:after="0" w:line="276" w:lineRule="auto"/>
        <w:jc w:val="both"/>
        <w:rPr>
          <w:rFonts w:ascii="Book Antiqua" w:eastAsia="Calibri" w:hAnsi="Book Antiqua" w:cs="Arial"/>
          <w:sz w:val="24"/>
          <w:szCs w:val="24"/>
        </w:rPr>
      </w:pPr>
    </w:p>
    <w:p w14:paraId="0773695C" w14:textId="719D9C33" w:rsidR="008F717E" w:rsidRDefault="008F717E" w:rsidP="00C012CE">
      <w:pPr>
        <w:spacing w:after="0" w:line="276" w:lineRule="auto"/>
        <w:jc w:val="both"/>
        <w:rPr>
          <w:rFonts w:ascii="Book Antiqua" w:eastAsia="Calibri" w:hAnsi="Book Antiqua" w:cs="Arial"/>
          <w:sz w:val="24"/>
          <w:szCs w:val="24"/>
        </w:rPr>
      </w:pPr>
    </w:p>
    <w:p w14:paraId="467E500E" w14:textId="76D208EB" w:rsidR="008F717E" w:rsidRDefault="008F717E" w:rsidP="00C012CE">
      <w:pPr>
        <w:spacing w:after="0" w:line="276" w:lineRule="auto"/>
        <w:jc w:val="both"/>
        <w:rPr>
          <w:rFonts w:ascii="Book Antiqua" w:eastAsia="Calibri" w:hAnsi="Book Antiqua" w:cs="Arial"/>
          <w:sz w:val="24"/>
          <w:szCs w:val="24"/>
        </w:rPr>
      </w:pPr>
    </w:p>
    <w:p w14:paraId="72AD056C" w14:textId="77777777" w:rsidR="008F717E" w:rsidRPr="00C012CE" w:rsidRDefault="008F717E" w:rsidP="00C012CE">
      <w:pPr>
        <w:spacing w:after="0" w:line="276" w:lineRule="auto"/>
        <w:jc w:val="both"/>
        <w:rPr>
          <w:rFonts w:ascii="Book Antiqua" w:eastAsia="Calibri" w:hAnsi="Book Antiqua" w:cs="Arial"/>
          <w:sz w:val="24"/>
          <w:szCs w:val="24"/>
        </w:rPr>
      </w:pPr>
    </w:p>
    <w:p w14:paraId="11945F8D" w14:textId="363A431B" w:rsidR="00C012CE" w:rsidRDefault="00C012CE" w:rsidP="008456A9">
      <w:pPr>
        <w:pStyle w:val="Ttulo2"/>
      </w:pPr>
      <w:r w:rsidRPr="00625442">
        <w:lastRenderedPageBreak/>
        <w:t>Sección de Bioquímica</w:t>
      </w:r>
    </w:p>
    <w:p w14:paraId="742D2591" w14:textId="77777777" w:rsidR="008F717E" w:rsidRPr="008F717E" w:rsidRDefault="008F717E" w:rsidP="008F717E">
      <w:pPr>
        <w:rPr>
          <w:lang w:val="es-ES"/>
        </w:rPr>
      </w:pPr>
    </w:p>
    <w:p w14:paraId="0422717A" w14:textId="40FAC0D6" w:rsidR="00C012CE" w:rsidRPr="00EF146D" w:rsidRDefault="00C012CE"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16</w:t>
      </w:r>
      <w:r w:rsidRPr="00EF146D">
        <w:rPr>
          <w:rFonts w:ascii="Book Antiqua" w:eastAsia="Calibri" w:hAnsi="Book Antiqua" w:cs="Arial"/>
          <w:b/>
          <w:bCs/>
          <w:color w:val="1F497D"/>
          <w:szCs w:val="24"/>
          <w:lang w:val="es-ES" w:eastAsia="es-ES"/>
        </w:rPr>
        <w:fldChar w:fldCharType="end"/>
      </w:r>
    </w:p>
    <w:p w14:paraId="38681336" w14:textId="77777777" w:rsidR="00C012CE" w:rsidRPr="00A37461" w:rsidRDefault="00C012CE"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C012CE">
        <w:rPr>
          <w:rFonts w:ascii="Book Antiqua" w:eastAsia="Times New Roman" w:hAnsi="Book Antiqua" w:cs="Arial"/>
          <w:b/>
          <w:bCs/>
          <w:color w:val="1F497D"/>
          <w:lang w:eastAsia="es-ES"/>
        </w:rPr>
        <w:t xml:space="preserve">Cantidad de pruebas de ADN </w:t>
      </w:r>
      <w:r w:rsidRPr="00A37461">
        <w:rPr>
          <w:rFonts w:ascii="Book Antiqua" w:eastAsia="Times New Roman" w:hAnsi="Book Antiqua" w:cs="Arial"/>
          <w:b/>
          <w:bCs/>
          <w:color w:val="1F497D"/>
          <w:lang w:eastAsia="es-ES"/>
        </w:rPr>
        <w:t xml:space="preserve">solicitadas por los Juzgados </w:t>
      </w:r>
    </w:p>
    <w:p w14:paraId="0BB5D9CF" w14:textId="2ACBDEBA" w:rsidR="00C012CE" w:rsidRPr="00A37461" w:rsidRDefault="00C012CE" w:rsidP="0090609F">
      <w:pPr>
        <w:keepNext/>
        <w:widowControl w:val="0"/>
        <w:numPr>
          <w:ilvl w:val="12"/>
          <w:numId w:val="12"/>
        </w:numPr>
        <w:spacing w:after="0" w:line="276" w:lineRule="auto"/>
        <w:contextualSpacing/>
        <w:jc w:val="center"/>
        <w:rPr>
          <w:rFonts w:ascii="Book Antiqua" w:eastAsia="Calibri" w:hAnsi="Book Antiqua" w:cs="Book Antiqua"/>
          <w:b/>
          <w:snapToGrid w:val="0"/>
          <w:lang w:eastAsia="es-CR"/>
        </w:rPr>
      </w:pPr>
      <w:r w:rsidRPr="00A37461">
        <w:rPr>
          <w:rFonts w:ascii="Book Antiqua" w:eastAsia="Times New Roman" w:hAnsi="Book Antiqua" w:cs="Arial"/>
          <w:b/>
          <w:bCs/>
          <w:color w:val="1F497D"/>
          <w:lang w:eastAsia="es-ES"/>
        </w:rPr>
        <w:t>que tramitan la materia de Familia del 201</w:t>
      </w:r>
      <w:r w:rsidR="00A37461" w:rsidRPr="00A37461">
        <w:rPr>
          <w:rFonts w:ascii="Book Antiqua" w:eastAsia="Times New Roman" w:hAnsi="Book Antiqua" w:cs="Arial"/>
          <w:b/>
          <w:bCs/>
          <w:color w:val="1F497D"/>
          <w:lang w:eastAsia="es-ES"/>
        </w:rPr>
        <w:t>7</w:t>
      </w:r>
      <w:r w:rsidRPr="00A37461">
        <w:rPr>
          <w:rFonts w:ascii="Book Antiqua" w:eastAsia="Times New Roman" w:hAnsi="Book Antiqua" w:cs="Arial"/>
          <w:b/>
          <w:bCs/>
          <w:color w:val="1F497D"/>
          <w:lang w:eastAsia="es-ES"/>
        </w:rPr>
        <w:t xml:space="preserve"> al 20</w:t>
      </w:r>
      <w:r w:rsidR="00A37461" w:rsidRPr="00A37461">
        <w:rPr>
          <w:rFonts w:ascii="Book Antiqua" w:eastAsia="Times New Roman" w:hAnsi="Book Antiqua" w:cs="Arial"/>
          <w:b/>
          <w:bCs/>
          <w:color w:val="1F497D"/>
          <w:lang w:eastAsia="es-ES"/>
        </w:rPr>
        <w:t>2</w:t>
      </w:r>
      <w:r w:rsidRPr="00A37461">
        <w:rPr>
          <w:rFonts w:ascii="Book Antiqua" w:eastAsia="Times New Roman" w:hAnsi="Book Antiqua" w:cs="Arial"/>
          <w:b/>
          <w:bCs/>
          <w:color w:val="1F497D"/>
          <w:lang w:eastAsia="es-ES"/>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00"/>
        <w:gridCol w:w="1122"/>
        <w:gridCol w:w="1122"/>
        <w:gridCol w:w="1121"/>
        <w:gridCol w:w="1121"/>
        <w:gridCol w:w="1121"/>
        <w:gridCol w:w="1121"/>
      </w:tblGrid>
      <w:tr w:rsidR="000625D9" w:rsidRPr="000625D9" w14:paraId="48598450" w14:textId="77777777" w:rsidTr="00A37461">
        <w:trPr>
          <w:trHeight w:val="479"/>
          <w:jc w:val="center"/>
        </w:trPr>
        <w:tc>
          <w:tcPr>
            <w:tcW w:w="1189" w:type="pct"/>
            <w:shd w:val="clear" w:color="000000" w:fill="002060"/>
            <w:vAlign w:val="center"/>
            <w:hideMark/>
          </w:tcPr>
          <w:p w14:paraId="3C84E773" w14:textId="77777777" w:rsidR="000625D9" w:rsidRPr="000625D9" w:rsidRDefault="000625D9" w:rsidP="000625D9">
            <w:pPr>
              <w:spacing w:after="0" w:line="276" w:lineRule="auto"/>
              <w:jc w:val="center"/>
              <w:rPr>
                <w:rFonts w:ascii="Book Antiqua" w:eastAsia="Times New Roman" w:hAnsi="Book Antiqua" w:cs="Calibri"/>
                <w:b/>
                <w:bCs/>
                <w:color w:val="FFFFFF"/>
                <w:sz w:val="24"/>
                <w:szCs w:val="24"/>
                <w:lang w:eastAsia="es-CR"/>
              </w:rPr>
            </w:pPr>
            <w:r w:rsidRPr="000625D9">
              <w:rPr>
                <w:rFonts w:ascii="Book Antiqua" w:eastAsia="Times New Roman" w:hAnsi="Book Antiqua" w:cs="Calibri"/>
                <w:b/>
                <w:bCs/>
                <w:color w:val="FFFFFF"/>
                <w:sz w:val="24"/>
                <w:szCs w:val="24"/>
                <w:lang w:eastAsia="es-CR"/>
              </w:rPr>
              <w:t>Tipo de documento</w:t>
            </w:r>
          </w:p>
        </w:tc>
        <w:tc>
          <w:tcPr>
            <w:tcW w:w="635" w:type="pct"/>
            <w:shd w:val="clear" w:color="000000" w:fill="002060"/>
            <w:noWrap/>
            <w:vAlign w:val="center"/>
          </w:tcPr>
          <w:p w14:paraId="51B006D6" w14:textId="7DFAD46B" w:rsidR="000625D9" w:rsidRPr="000625D9" w:rsidRDefault="00A37461" w:rsidP="000625D9">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2017</w:t>
            </w:r>
          </w:p>
        </w:tc>
        <w:tc>
          <w:tcPr>
            <w:tcW w:w="635" w:type="pct"/>
            <w:shd w:val="clear" w:color="000000" w:fill="002060"/>
            <w:noWrap/>
            <w:vAlign w:val="center"/>
          </w:tcPr>
          <w:p w14:paraId="69031456" w14:textId="64BA8B07" w:rsidR="000625D9" w:rsidRPr="000625D9" w:rsidRDefault="00A37461" w:rsidP="000625D9">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2018</w:t>
            </w:r>
          </w:p>
        </w:tc>
        <w:tc>
          <w:tcPr>
            <w:tcW w:w="635" w:type="pct"/>
            <w:shd w:val="clear" w:color="000000" w:fill="002060"/>
            <w:noWrap/>
            <w:vAlign w:val="center"/>
            <w:hideMark/>
          </w:tcPr>
          <w:p w14:paraId="363003DB" w14:textId="7DBF8E2A" w:rsidR="000625D9" w:rsidRPr="000625D9" w:rsidRDefault="00A37461" w:rsidP="000625D9">
            <w:pPr>
              <w:spacing w:after="0" w:line="276" w:lineRule="auto"/>
              <w:jc w:val="center"/>
              <w:rPr>
                <w:rFonts w:ascii="Book Antiqua" w:eastAsia="Times New Roman" w:hAnsi="Book Antiqua" w:cs="Calibri"/>
                <w:b/>
                <w:bCs/>
                <w:color w:val="FFFFFF"/>
                <w:sz w:val="24"/>
                <w:szCs w:val="24"/>
                <w:lang w:eastAsia="es-CR"/>
              </w:rPr>
            </w:pPr>
            <w:r>
              <w:rPr>
                <w:rFonts w:ascii="Book Antiqua" w:eastAsia="Times New Roman" w:hAnsi="Book Antiqua" w:cs="Calibri"/>
                <w:b/>
                <w:bCs/>
                <w:color w:val="FFFFFF"/>
                <w:sz w:val="24"/>
                <w:szCs w:val="24"/>
                <w:lang w:eastAsia="es-CR"/>
              </w:rPr>
              <w:t>2019</w:t>
            </w:r>
          </w:p>
        </w:tc>
        <w:tc>
          <w:tcPr>
            <w:tcW w:w="635" w:type="pct"/>
            <w:shd w:val="clear" w:color="000000" w:fill="002060"/>
            <w:noWrap/>
            <w:vAlign w:val="center"/>
            <w:hideMark/>
          </w:tcPr>
          <w:p w14:paraId="6B10AF83" w14:textId="0C023803" w:rsidR="000625D9" w:rsidRPr="000625D9" w:rsidRDefault="000625D9" w:rsidP="000625D9">
            <w:pPr>
              <w:spacing w:after="0" w:line="276" w:lineRule="auto"/>
              <w:jc w:val="center"/>
              <w:rPr>
                <w:rFonts w:ascii="Book Antiqua" w:eastAsia="Times New Roman" w:hAnsi="Book Antiqua" w:cs="Calibri"/>
                <w:b/>
                <w:bCs/>
                <w:color w:val="FFFFFF"/>
                <w:sz w:val="24"/>
                <w:szCs w:val="24"/>
                <w:lang w:eastAsia="es-CR"/>
              </w:rPr>
            </w:pPr>
            <w:r w:rsidRPr="000625D9">
              <w:rPr>
                <w:rFonts w:ascii="Book Antiqua" w:eastAsia="Times New Roman" w:hAnsi="Book Antiqua" w:cs="Calibri"/>
                <w:b/>
                <w:bCs/>
                <w:color w:val="FFFFFF"/>
                <w:sz w:val="24"/>
                <w:szCs w:val="24"/>
                <w:lang w:eastAsia="es-CR"/>
              </w:rPr>
              <w:t>20</w:t>
            </w:r>
            <w:r w:rsidR="00A37461">
              <w:rPr>
                <w:rFonts w:ascii="Book Antiqua" w:eastAsia="Times New Roman" w:hAnsi="Book Antiqua" w:cs="Calibri"/>
                <w:b/>
                <w:bCs/>
                <w:color w:val="FFFFFF"/>
                <w:sz w:val="24"/>
                <w:szCs w:val="24"/>
                <w:lang w:eastAsia="es-CR"/>
              </w:rPr>
              <w:t>20</w:t>
            </w:r>
          </w:p>
        </w:tc>
        <w:tc>
          <w:tcPr>
            <w:tcW w:w="635" w:type="pct"/>
            <w:shd w:val="clear" w:color="000000" w:fill="002060"/>
            <w:noWrap/>
            <w:vAlign w:val="center"/>
            <w:hideMark/>
          </w:tcPr>
          <w:p w14:paraId="7A2A3550" w14:textId="3E667289" w:rsidR="000625D9" w:rsidRPr="000625D9" w:rsidRDefault="000625D9" w:rsidP="000625D9">
            <w:pPr>
              <w:spacing w:after="0" w:line="276" w:lineRule="auto"/>
              <w:jc w:val="center"/>
              <w:rPr>
                <w:rFonts w:ascii="Book Antiqua" w:eastAsia="Times New Roman" w:hAnsi="Book Antiqua" w:cs="Calibri"/>
                <w:b/>
                <w:bCs/>
                <w:color w:val="FFFFFF"/>
                <w:sz w:val="24"/>
                <w:szCs w:val="24"/>
                <w:lang w:eastAsia="es-CR"/>
              </w:rPr>
            </w:pPr>
            <w:r w:rsidRPr="000625D9">
              <w:rPr>
                <w:rFonts w:ascii="Book Antiqua" w:eastAsia="Times New Roman" w:hAnsi="Book Antiqua" w:cs="Calibri"/>
                <w:b/>
                <w:bCs/>
                <w:color w:val="FFFFFF"/>
                <w:sz w:val="24"/>
                <w:szCs w:val="24"/>
                <w:lang w:eastAsia="es-CR"/>
              </w:rPr>
              <w:t>20</w:t>
            </w:r>
            <w:r w:rsidR="00A37461">
              <w:rPr>
                <w:rFonts w:ascii="Book Antiqua" w:eastAsia="Times New Roman" w:hAnsi="Book Antiqua" w:cs="Calibri"/>
                <w:b/>
                <w:bCs/>
                <w:color w:val="FFFFFF"/>
                <w:sz w:val="24"/>
                <w:szCs w:val="24"/>
                <w:lang w:eastAsia="es-CR"/>
              </w:rPr>
              <w:t>2</w:t>
            </w:r>
            <w:r w:rsidRPr="000625D9">
              <w:rPr>
                <w:rFonts w:ascii="Book Antiqua" w:eastAsia="Times New Roman" w:hAnsi="Book Antiqua" w:cs="Calibri"/>
                <w:b/>
                <w:bCs/>
                <w:color w:val="FFFFFF"/>
                <w:sz w:val="24"/>
                <w:szCs w:val="24"/>
                <w:lang w:eastAsia="es-CR"/>
              </w:rPr>
              <w:t>1</w:t>
            </w:r>
          </w:p>
        </w:tc>
        <w:tc>
          <w:tcPr>
            <w:tcW w:w="635" w:type="pct"/>
            <w:shd w:val="clear" w:color="000000" w:fill="002060"/>
            <w:vAlign w:val="center"/>
          </w:tcPr>
          <w:p w14:paraId="404C40AA" w14:textId="77777777" w:rsidR="000625D9" w:rsidRPr="000625D9" w:rsidRDefault="000625D9" w:rsidP="000625D9">
            <w:pPr>
              <w:spacing w:after="0" w:line="276" w:lineRule="auto"/>
              <w:jc w:val="center"/>
              <w:rPr>
                <w:rFonts w:ascii="Book Antiqua" w:eastAsia="Times New Roman" w:hAnsi="Book Antiqua" w:cs="Calibri"/>
                <w:b/>
                <w:bCs/>
                <w:color w:val="FFFFFF"/>
                <w:sz w:val="24"/>
                <w:szCs w:val="24"/>
                <w:lang w:eastAsia="es-CR"/>
              </w:rPr>
            </w:pPr>
            <w:r w:rsidRPr="000625D9">
              <w:rPr>
                <w:rFonts w:ascii="Book Antiqua" w:eastAsia="Times New Roman" w:hAnsi="Book Antiqua" w:cs="Calibri"/>
                <w:b/>
                <w:bCs/>
                <w:color w:val="FFFFFF"/>
                <w:sz w:val="24"/>
                <w:szCs w:val="24"/>
                <w:lang w:eastAsia="es-CR"/>
              </w:rPr>
              <w:t>Total</w:t>
            </w:r>
          </w:p>
        </w:tc>
      </w:tr>
      <w:tr w:rsidR="000625D9" w:rsidRPr="000625D9" w14:paraId="6497BF23" w14:textId="77777777" w:rsidTr="00A37461">
        <w:trPr>
          <w:trHeight w:val="300"/>
          <w:jc w:val="center"/>
        </w:trPr>
        <w:tc>
          <w:tcPr>
            <w:tcW w:w="1189" w:type="pct"/>
            <w:shd w:val="clear" w:color="000000" w:fill="FFFFFF"/>
            <w:vAlign w:val="center"/>
            <w:hideMark/>
          </w:tcPr>
          <w:p w14:paraId="2D35C0A3" w14:textId="77777777" w:rsidR="000625D9" w:rsidRPr="000625D9" w:rsidRDefault="000625D9" w:rsidP="000625D9">
            <w:pPr>
              <w:spacing w:after="0" w:line="276" w:lineRule="auto"/>
              <w:jc w:val="both"/>
              <w:rPr>
                <w:rFonts w:ascii="Book Antiqua" w:eastAsia="Times New Roman" w:hAnsi="Book Antiqua" w:cs="Calibri"/>
                <w:color w:val="000000"/>
                <w:sz w:val="24"/>
                <w:szCs w:val="24"/>
                <w:lang w:eastAsia="es-CR"/>
              </w:rPr>
            </w:pPr>
            <w:r w:rsidRPr="000625D9">
              <w:rPr>
                <w:rFonts w:ascii="Book Antiqua" w:eastAsia="Times New Roman" w:hAnsi="Book Antiqua" w:cs="Calibri"/>
                <w:color w:val="000000"/>
                <w:sz w:val="24"/>
                <w:szCs w:val="24"/>
                <w:lang w:eastAsia="es-CR"/>
              </w:rPr>
              <w:t>Dictamen</w:t>
            </w:r>
          </w:p>
        </w:tc>
        <w:tc>
          <w:tcPr>
            <w:tcW w:w="635" w:type="pct"/>
            <w:shd w:val="clear" w:color="000000" w:fill="FFFFFF"/>
            <w:vAlign w:val="center"/>
          </w:tcPr>
          <w:p w14:paraId="022C0350" w14:textId="3C6AA7F8" w:rsidR="000625D9" w:rsidRPr="000625D9" w:rsidRDefault="00A37461" w:rsidP="000625D9">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1395</w:t>
            </w:r>
          </w:p>
        </w:tc>
        <w:tc>
          <w:tcPr>
            <w:tcW w:w="635" w:type="pct"/>
            <w:shd w:val="clear" w:color="000000" w:fill="FFFFFF"/>
            <w:vAlign w:val="center"/>
          </w:tcPr>
          <w:p w14:paraId="6D87BC39" w14:textId="5E7F3C3D" w:rsidR="000625D9" w:rsidRPr="000625D9" w:rsidRDefault="00A37461" w:rsidP="000625D9">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1314</w:t>
            </w:r>
          </w:p>
        </w:tc>
        <w:tc>
          <w:tcPr>
            <w:tcW w:w="635" w:type="pct"/>
            <w:shd w:val="clear" w:color="000000" w:fill="FFFFFF"/>
            <w:vAlign w:val="center"/>
            <w:hideMark/>
          </w:tcPr>
          <w:p w14:paraId="0B4CBE57" w14:textId="578276C1" w:rsidR="000625D9" w:rsidRPr="000625D9" w:rsidRDefault="00A37461" w:rsidP="000625D9">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1265</w:t>
            </w:r>
          </w:p>
        </w:tc>
        <w:tc>
          <w:tcPr>
            <w:tcW w:w="635" w:type="pct"/>
            <w:shd w:val="clear" w:color="000000" w:fill="FFFFFF"/>
            <w:vAlign w:val="center"/>
            <w:hideMark/>
          </w:tcPr>
          <w:p w14:paraId="1A2EBBBE" w14:textId="69C7E6DA" w:rsidR="000625D9" w:rsidRPr="000625D9" w:rsidRDefault="00EE3569" w:rsidP="000625D9">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26</w:t>
            </w:r>
            <w:r w:rsidR="000625D9" w:rsidRPr="000625D9">
              <w:rPr>
                <w:rFonts w:ascii="Book Antiqua" w:eastAsia="Times New Roman" w:hAnsi="Book Antiqua" w:cs="Calibri"/>
                <w:color w:val="000000"/>
                <w:sz w:val="24"/>
                <w:szCs w:val="24"/>
                <w:lang w:eastAsia="es-CR"/>
              </w:rPr>
              <w:t>4</w:t>
            </w:r>
            <w:r>
              <w:rPr>
                <w:rFonts w:ascii="Book Antiqua" w:eastAsia="Times New Roman" w:hAnsi="Book Antiqua" w:cs="Calibri"/>
                <w:color w:val="000000"/>
                <w:sz w:val="24"/>
                <w:szCs w:val="24"/>
                <w:lang w:eastAsia="es-CR"/>
              </w:rPr>
              <w:t>1</w:t>
            </w:r>
          </w:p>
        </w:tc>
        <w:tc>
          <w:tcPr>
            <w:tcW w:w="635" w:type="pct"/>
            <w:shd w:val="clear" w:color="000000" w:fill="FFFFFF"/>
            <w:vAlign w:val="center"/>
            <w:hideMark/>
          </w:tcPr>
          <w:p w14:paraId="0DE51AFA" w14:textId="4BF2AE3E" w:rsidR="000625D9" w:rsidRPr="000625D9" w:rsidRDefault="000625D9" w:rsidP="000625D9">
            <w:pPr>
              <w:spacing w:after="0" w:line="276" w:lineRule="auto"/>
              <w:jc w:val="center"/>
              <w:rPr>
                <w:rFonts w:ascii="Book Antiqua" w:eastAsia="Times New Roman" w:hAnsi="Book Antiqua" w:cs="Calibri"/>
                <w:color w:val="000000"/>
                <w:sz w:val="24"/>
                <w:szCs w:val="24"/>
                <w:lang w:eastAsia="es-CR"/>
              </w:rPr>
            </w:pPr>
            <w:r w:rsidRPr="000625D9">
              <w:rPr>
                <w:rFonts w:ascii="Book Antiqua" w:eastAsia="Times New Roman" w:hAnsi="Book Antiqua" w:cs="Calibri"/>
                <w:color w:val="000000"/>
                <w:sz w:val="24"/>
                <w:szCs w:val="24"/>
                <w:lang w:eastAsia="es-CR"/>
              </w:rPr>
              <w:t>2</w:t>
            </w:r>
            <w:r w:rsidR="00EE3569">
              <w:rPr>
                <w:rFonts w:ascii="Book Antiqua" w:eastAsia="Times New Roman" w:hAnsi="Book Antiqua" w:cs="Calibri"/>
                <w:color w:val="000000"/>
                <w:sz w:val="24"/>
                <w:szCs w:val="24"/>
                <w:lang w:eastAsia="es-CR"/>
              </w:rPr>
              <w:t>7</w:t>
            </w:r>
            <w:r w:rsidRPr="000625D9">
              <w:rPr>
                <w:rFonts w:ascii="Book Antiqua" w:eastAsia="Times New Roman" w:hAnsi="Book Antiqua" w:cs="Calibri"/>
                <w:color w:val="000000"/>
                <w:sz w:val="24"/>
                <w:szCs w:val="24"/>
                <w:lang w:eastAsia="es-CR"/>
              </w:rPr>
              <w:t>6</w:t>
            </w:r>
            <w:r w:rsidR="00EE3569">
              <w:rPr>
                <w:rFonts w:ascii="Book Antiqua" w:eastAsia="Times New Roman" w:hAnsi="Book Antiqua" w:cs="Calibri"/>
                <w:color w:val="000000"/>
                <w:sz w:val="24"/>
                <w:szCs w:val="24"/>
                <w:lang w:eastAsia="es-CR"/>
              </w:rPr>
              <w:t>7</w:t>
            </w:r>
          </w:p>
        </w:tc>
        <w:tc>
          <w:tcPr>
            <w:tcW w:w="635" w:type="pct"/>
            <w:shd w:val="clear" w:color="000000" w:fill="FFFFFF"/>
            <w:vAlign w:val="center"/>
          </w:tcPr>
          <w:p w14:paraId="2948B014" w14:textId="02BCE910" w:rsidR="000625D9" w:rsidRPr="000625D9" w:rsidRDefault="00EE3569" w:rsidP="000625D9">
            <w:pPr>
              <w:spacing w:after="0" w:line="276" w:lineRule="auto"/>
              <w:jc w:val="center"/>
              <w:rPr>
                <w:rFonts w:ascii="Book Antiqua" w:eastAsia="Times New Roman" w:hAnsi="Book Antiqua" w:cs="Calibri"/>
                <w:color w:val="000000"/>
                <w:sz w:val="24"/>
                <w:szCs w:val="24"/>
                <w:lang w:eastAsia="es-CR"/>
              </w:rPr>
            </w:pPr>
            <w:r>
              <w:rPr>
                <w:rFonts w:ascii="Book Antiqua" w:eastAsia="Times New Roman" w:hAnsi="Book Antiqua" w:cs="Calibri"/>
                <w:color w:val="000000"/>
                <w:sz w:val="24"/>
                <w:szCs w:val="24"/>
                <w:lang w:eastAsia="es-CR"/>
              </w:rPr>
              <w:t>93</w:t>
            </w:r>
            <w:r w:rsidR="000625D9" w:rsidRPr="000625D9">
              <w:rPr>
                <w:rFonts w:ascii="Book Antiqua" w:eastAsia="Times New Roman" w:hAnsi="Book Antiqua" w:cs="Calibri"/>
                <w:color w:val="000000"/>
                <w:sz w:val="24"/>
                <w:szCs w:val="24"/>
                <w:lang w:eastAsia="es-CR"/>
              </w:rPr>
              <w:t>82</w:t>
            </w:r>
          </w:p>
        </w:tc>
      </w:tr>
    </w:tbl>
    <w:p w14:paraId="5F4AC757" w14:textId="60A881AA" w:rsidR="000625D9" w:rsidRPr="00C012CE" w:rsidRDefault="000625D9" w:rsidP="000625D9">
      <w:pPr>
        <w:pStyle w:val="Fuentes"/>
      </w:pPr>
      <w:r w:rsidRPr="00C91E98">
        <w:t xml:space="preserve">Fuente: Subproceso de Modernización Institucional, con datos de la </w:t>
      </w:r>
      <w:r w:rsidR="00B043EE">
        <w:t>Sección de Bioquímica</w:t>
      </w:r>
      <w:r w:rsidRPr="00C91E98">
        <w:t>.</w:t>
      </w:r>
    </w:p>
    <w:p w14:paraId="47C64244" w14:textId="77777777" w:rsidR="008F717E" w:rsidRDefault="008F717E" w:rsidP="00FF78F9">
      <w:pPr>
        <w:spacing w:after="0" w:line="276" w:lineRule="auto"/>
        <w:jc w:val="both"/>
        <w:rPr>
          <w:rFonts w:ascii="Book Antiqua" w:eastAsia="Calibri" w:hAnsi="Book Antiqua" w:cs="Arial"/>
          <w:sz w:val="24"/>
          <w:szCs w:val="24"/>
        </w:rPr>
      </w:pPr>
    </w:p>
    <w:p w14:paraId="27FAD872" w14:textId="1BE90E6F" w:rsidR="00FF78F9" w:rsidRDefault="00FF78F9" w:rsidP="00FF78F9">
      <w:pPr>
        <w:spacing w:after="0" w:line="276" w:lineRule="auto"/>
        <w:jc w:val="both"/>
        <w:rPr>
          <w:rFonts w:ascii="Book Antiqua" w:eastAsia="Calibri" w:hAnsi="Book Antiqua" w:cs="Arial"/>
          <w:sz w:val="24"/>
          <w:szCs w:val="24"/>
        </w:rPr>
      </w:pPr>
      <w:r w:rsidRPr="00FF78F9">
        <w:rPr>
          <w:rFonts w:ascii="Book Antiqua" w:eastAsia="Calibri" w:hAnsi="Book Antiqua" w:cs="Arial"/>
          <w:sz w:val="24"/>
          <w:szCs w:val="24"/>
        </w:rPr>
        <w:t xml:space="preserve">Como se observa durante el periodo en análisis, se </w:t>
      </w:r>
      <w:r w:rsidRPr="00EE3569">
        <w:rPr>
          <w:rFonts w:ascii="Book Antiqua" w:eastAsia="Calibri" w:hAnsi="Book Antiqua" w:cs="Arial"/>
          <w:sz w:val="24"/>
          <w:szCs w:val="24"/>
        </w:rPr>
        <w:t xml:space="preserve">solicitaron </w:t>
      </w:r>
      <w:r w:rsidR="00EE3569" w:rsidRPr="00EE3569">
        <w:rPr>
          <w:rFonts w:ascii="Book Antiqua" w:eastAsia="Calibri" w:hAnsi="Book Antiqua" w:cs="Arial"/>
          <w:sz w:val="24"/>
          <w:szCs w:val="24"/>
        </w:rPr>
        <w:t>9</w:t>
      </w:r>
      <w:r w:rsidR="002238F9">
        <w:rPr>
          <w:rFonts w:ascii="Book Antiqua" w:eastAsia="Calibri" w:hAnsi="Book Antiqua" w:cs="Arial"/>
          <w:sz w:val="24"/>
          <w:szCs w:val="24"/>
        </w:rPr>
        <w:t xml:space="preserve"> </w:t>
      </w:r>
      <w:r w:rsidR="00EE3569" w:rsidRPr="00EE3569">
        <w:rPr>
          <w:rFonts w:ascii="Book Antiqua" w:eastAsia="Calibri" w:hAnsi="Book Antiqua" w:cs="Arial"/>
          <w:sz w:val="24"/>
          <w:szCs w:val="24"/>
        </w:rPr>
        <w:t>3</w:t>
      </w:r>
      <w:r w:rsidRPr="00EE3569">
        <w:rPr>
          <w:rFonts w:ascii="Book Antiqua" w:eastAsia="Calibri" w:hAnsi="Book Antiqua" w:cs="Arial"/>
          <w:sz w:val="24"/>
          <w:szCs w:val="24"/>
        </w:rPr>
        <w:t>82</w:t>
      </w:r>
      <w:r w:rsidRPr="00FF78F9">
        <w:rPr>
          <w:rFonts w:ascii="Book Antiqua" w:eastAsia="Calibri" w:hAnsi="Book Antiqua" w:cs="Arial"/>
          <w:sz w:val="24"/>
          <w:szCs w:val="24"/>
        </w:rPr>
        <w:t xml:space="preserve"> pruebas de paternidad, un promedio de </w:t>
      </w:r>
      <w:r w:rsidR="00EE3569">
        <w:rPr>
          <w:rFonts w:ascii="Book Antiqua" w:eastAsia="Calibri" w:hAnsi="Book Antiqua" w:cs="Arial"/>
          <w:sz w:val="24"/>
          <w:szCs w:val="24"/>
        </w:rPr>
        <w:t>1</w:t>
      </w:r>
      <w:r w:rsidR="002238F9">
        <w:rPr>
          <w:rFonts w:ascii="Book Antiqua" w:eastAsia="Calibri" w:hAnsi="Book Antiqua" w:cs="Arial"/>
          <w:sz w:val="24"/>
          <w:szCs w:val="24"/>
        </w:rPr>
        <w:t xml:space="preserve"> </w:t>
      </w:r>
      <w:r w:rsidR="00EE3569">
        <w:rPr>
          <w:rFonts w:ascii="Book Antiqua" w:eastAsia="Calibri" w:hAnsi="Book Antiqua" w:cs="Arial"/>
          <w:sz w:val="24"/>
          <w:szCs w:val="24"/>
        </w:rPr>
        <w:t>876</w:t>
      </w:r>
      <w:r w:rsidRPr="00FF78F9">
        <w:rPr>
          <w:rFonts w:ascii="Book Antiqua" w:eastAsia="Calibri" w:hAnsi="Book Antiqua" w:cs="Arial"/>
          <w:sz w:val="24"/>
          <w:szCs w:val="24"/>
        </w:rPr>
        <w:t xml:space="preserve"> anuales, equivalente a </w:t>
      </w:r>
      <w:r w:rsidRPr="00EE3569">
        <w:rPr>
          <w:rFonts w:ascii="Book Antiqua" w:eastAsia="Calibri" w:hAnsi="Book Antiqua" w:cs="Arial"/>
          <w:sz w:val="24"/>
          <w:szCs w:val="24"/>
        </w:rPr>
        <w:t>1</w:t>
      </w:r>
      <w:r w:rsidR="00EE3569" w:rsidRPr="00EE3569">
        <w:rPr>
          <w:rFonts w:ascii="Book Antiqua" w:eastAsia="Calibri" w:hAnsi="Book Antiqua" w:cs="Arial"/>
          <w:sz w:val="24"/>
          <w:szCs w:val="24"/>
        </w:rPr>
        <w:t>6</w:t>
      </w:r>
      <w:r w:rsidR="00EE3569">
        <w:rPr>
          <w:rFonts w:ascii="Book Antiqua" w:eastAsia="Calibri" w:hAnsi="Book Antiqua" w:cs="Arial"/>
          <w:sz w:val="24"/>
          <w:szCs w:val="24"/>
        </w:rPr>
        <w:t>7</w:t>
      </w:r>
      <w:r w:rsidRPr="00FF78F9">
        <w:rPr>
          <w:rFonts w:ascii="Book Antiqua" w:eastAsia="Calibri" w:hAnsi="Book Antiqua" w:cs="Arial"/>
          <w:sz w:val="24"/>
          <w:szCs w:val="24"/>
        </w:rPr>
        <w:t xml:space="preserve"> pruebas por mes, con una tendencia </w:t>
      </w:r>
      <w:r w:rsidR="00A763D8" w:rsidRPr="00FF78F9">
        <w:rPr>
          <w:rFonts w:ascii="Book Antiqua" w:eastAsia="Calibri" w:hAnsi="Book Antiqua" w:cs="Arial"/>
          <w:sz w:val="24"/>
          <w:szCs w:val="24"/>
        </w:rPr>
        <w:t>al alza</w:t>
      </w:r>
      <w:r w:rsidR="00EE3569" w:rsidRPr="00A763D8">
        <w:rPr>
          <w:rFonts w:ascii="Book Antiqua" w:eastAsia="Calibri" w:hAnsi="Book Antiqua" w:cs="Arial"/>
          <w:sz w:val="24"/>
          <w:szCs w:val="24"/>
        </w:rPr>
        <w:t xml:space="preserve"> </w:t>
      </w:r>
      <w:r w:rsidRPr="00A763D8">
        <w:rPr>
          <w:rFonts w:ascii="Book Antiqua" w:eastAsia="Calibri" w:hAnsi="Book Antiqua" w:cs="Arial"/>
          <w:sz w:val="24"/>
          <w:szCs w:val="24"/>
        </w:rPr>
        <w:t>a partir de 20</w:t>
      </w:r>
      <w:r w:rsidR="00A763D8" w:rsidRPr="00A763D8">
        <w:rPr>
          <w:rFonts w:ascii="Book Antiqua" w:eastAsia="Calibri" w:hAnsi="Book Antiqua" w:cs="Arial"/>
          <w:sz w:val="24"/>
          <w:szCs w:val="24"/>
        </w:rPr>
        <w:t>20</w:t>
      </w:r>
      <w:r w:rsidRPr="00A763D8">
        <w:rPr>
          <w:rFonts w:ascii="Book Antiqua" w:eastAsia="Calibri" w:hAnsi="Book Antiqua" w:cs="Arial"/>
          <w:sz w:val="24"/>
          <w:szCs w:val="24"/>
        </w:rPr>
        <w:t>.</w:t>
      </w:r>
    </w:p>
    <w:p w14:paraId="56DB8919" w14:textId="77777777" w:rsidR="008F717E" w:rsidRPr="00FF78F9" w:rsidRDefault="008F717E" w:rsidP="00FF78F9">
      <w:pPr>
        <w:spacing w:after="0" w:line="276" w:lineRule="auto"/>
        <w:jc w:val="both"/>
        <w:rPr>
          <w:rFonts w:ascii="Book Antiqua" w:eastAsia="Calibri" w:hAnsi="Book Antiqua" w:cs="Arial"/>
          <w:sz w:val="24"/>
          <w:szCs w:val="24"/>
        </w:rPr>
      </w:pPr>
    </w:p>
    <w:p w14:paraId="1FC5A95D" w14:textId="09FE9080" w:rsidR="00FF78F9" w:rsidRPr="00625442" w:rsidRDefault="00FF78F9" w:rsidP="008456A9">
      <w:pPr>
        <w:pStyle w:val="Ttulo2"/>
      </w:pPr>
      <w:r w:rsidRPr="00625442">
        <w:t>Departamento de Trabajo Social y Psicología</w:t>
      </w:r>
    </w:p>
    <w:p w14:paraId="6BA3B55E" w14:textId="4A8864B6" w:rsidR="00FF78F9" w:rsidRDefault="00FF78F9" w:rsidP="00FF78F9">
      <w:pPr>
        <w:spacing w:after="0" w:line="276" w:lineRule="auto"/>
        <w:jc w:val="both"/>
        <w:rPr>
          <w:rFonts w:ascii="Book Antiqua" w:eastAsia="Calibri" w:hAnsi="Book Antiqua" w:cs="Arial"/>
          <w:sz w:val="24"/>
          <w:szCs w:val="24"/>
        </w:rPr>
      </w:pPr>
    </w:p>
    <w:p w14:paraId="29E636A9" w14:textId="77777777" w:rsidR="00843DD4" w:rsidRPr="00326277" w:rsidRDefault="00843DD4" w:rsidP="00843DD4">
      <w:pPr>
        <w:spacing w:after="0" w:line="276" w:lineRule="auto"/>
        <w:jc w:val="both"/>
        <w:rPr>
          <w:rFonts w:ascii="Book Antiqua" w:eastAsia="Calibri" w:hAnsi="Book Antiqua" w:cs="Arial"/>
          <w:sz w:val="24"/>
          <w:szCs w:val="24"/>
        </w:rPr>
      </w:pPr>
      <w:r w:rsidRPr="00326277">
        <w:rPr>
          <w:rFonts w:ascii="Book Antiqua" w:eastAsia="Calibri" w:hAnsi="Book Antiqua" w:cs="Arial"/>
          <w:sz w:val="24"/>
          <w:szCs w:val="24"/>
        </w:rPr>
        <w:t xml:space="preserve">Las Oficinas de Trabajo Social y Psicología, cuentan con un total de 160 plazas de Perito Judicial 2, 87 puestos corresponden a Peritos Judiciales 2 destacados en Trabajo Social, 67 plazas de Psicólogos y 19 puestos de Profesional 2 entre los que están trabajadores sociales y psicólogos para la atención de Justicia Restaurativa. </w:t>
      </w:r>
    </w:p>
    <w:p w14:paraId="6D8C6DBC" w14:textId="3F5ABA69" w:rsidR="00843DD4" w:rsidRDefault="00843DD4" w:rsidP="00FF78F9">
      <w:pPr>
        <w:spacing w:after="0" w:line="276" w:lineRule="auto"/>
        <w:jc w:val="both"/>
        <w:rPr>
          <w:rFonts w:ascii="Book Antiqua" w:eastAsia="Calibri" w:hAnsi="Book Antiqua" w:cs="Arial"/>
          <w:sz w:val="24"/>
          <w:szCs w:val="24"/>
        </w:rPr>
      </w:pPr>
    </w:p>
    <w:p w14:paraId="45AE27EF" w14:textId="77777777" w:rsidR="000C38CF" w:rsidRPr="000C38CF"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Las materias que atienden los profesionales de Trabajo Social y Psicología relacionadas con la materia de Familia son las siguientes:</w:t>
      </w:r>
    </w:p>
    <w:p w14:paraId="453ED729" w14:textId="77777777" w:rsidR="000C38CF" w:rsidRPr="000C38CF" w:rsidRDefault="000C38CF" w:rsidP="000C38CF">
      <w:pPr>
        <w:spacing w:after="0" w:line="276" w:lineRule="auto"/>
        <w:jc w:val="both"/>
        <w:rPr>
          <w:rFonts w:ascii="Book Antiqua" w:eastAsia="Calibri" w:hAnsi="Book Antiqua" w:cs="Arial"/>
          <w:sz w:val="24"/>
          <w:szCs w:val="24"/>
        </w:rPr>
      </w:pPr>
    </w:p>
    <w:p w14:paraId="16D129D9" w14:textId="77777777" w:rsidR="000C38CF" w:rsidRPr="000C38CF"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w:t>
      </w:r>
      <w:r w:rsidRPr="000C38CF">
        <w:rPr>
          <w:rFonts w:ascii="Book Antiqua" w:eastAsia="Calibri" w:hAnsi="Book Antiqua" w:cs="Arial"/>
          <w:sz w:val="24"/>
          <w:szCs w:val="24"/>
        </w:rPr>
        <w:tab/>
        <w:t>Familia</w:t>
      </w:r>
    </w:p>
    <w:p w14:paraId="713F1729" w14:textId="77777777" w:rsidR="000C38CF" w:rsidRPr="000C38CF"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w:t>
      </w:r>
      <w:r w:rsidRPr="000C38CF">
        <w:rPr>
          <w:rFonts w:ascii="Book Antiqua" w:eastAsia="Calibri" w:hAnsi="Book Antiqua" w:cs="Arial"/>
          <w:sz w:val="24"/>
          <w:szCs w:val="24"/>
        </w:rPr>
        <w:tab/>
        <w:t>Violencia Doméstica</w:t>
      </w:r>
    </w:p>
    <w:p w14:paraId="1C687BFA" w14:textId="77777777" w:rsidR="000C38CF" w:rsidRPr="000C38CF"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w:t>
      </w:r>
      <w:r w:rsidRPr="000C38CF">
        <w:rPr>
          <w:rFonts w:ascii="Book Antiqua" w:eastAsia="Calibri" w:hAnsi="Book Antiqua" w:cs="Arial"/>
          <w:sz w:val="24"/>
          <w:szCs w:val="24"/>
        </w:rPr>
        <w:tab/>
        <w:t>Pensiones Alimentarias</w:t>
      </w:r>
    </w:p>
    <w:p w14:paraId="6F68F7DD" w14:textId="77777777" w:rsidR="000C38CF" w:rsidRPr="000C38CF" w:rsidRDefault="000C38CF" w:rsidP="000C38CF">
      <w:pPr>
        <w:spacing w:after="0" w:line="276" w:lineRule="auto"/>
        <w:jc w:val="both"/>
        <w:rPr>
          <w:rFonts w:ascii="Book Antiqua" w:eastAsia="Calibri" w:hAnsi="Book Antiqua" w:cs="Arial"/>
          <w:sz w:val="24"/>
          <w:szCs w:val="24"/>
        </w:rPr>
      </w:pPr>
    </w:p>
    <w:p w14:paraId="16AE2464" w14:textId="7ADE4B13" w:rsidR="00843DD4" w:rsidRDefault="000C38CF" w:rsidP="000C38CF">
      <w:pPr>
        <w:spacing w:after="0" w:line="276" w:lineRule="auto"/>
        <w:jc w:val="both"/>
        <w:rPr>
          <w:rFonts w:ascii="Book Antiqua" w:eastAsia="Calibri" w:hAnsi="Book Antiqua" w:cs="Arial"/>
          <w:sz w:val="24"/>
          <w:szCs w:val="24"/>
        </w:rPr>
      </w:pPr>
      <w:r w:rsidRPr="000C38CF">
        <w:rPr>
          <w:rFonts w:ascii="Book Antiqua" w:eastAsia="Calibri" w:hAnsi="Book Antiqua" w:cs="Arial"/>
          <w:sz w:val="24"/>
          <w:szCs w:val="24"/>
        </w:rPr>
        <w:t xml:space="preserve">En las que se realizan peritajes, supervisiones de regímenes de interrelación familiar, seguimientos de salvaguardia, seguimientos de medidas de protección, entre otras (en el anexo </w:t>
      </w:r>
      <w:r w:rsidR="007858F3">
        <w:rPr>
          <w:rFonts w:ascii="Book Antiqua" w:eastAsia="Calibri" w:hAnsi="Book Antiqua" w:cs="Arial"/>
          <w:sz w:val="24"/>
          <w:szCs w:val="24"/>
        </w:rPr>
        <w:t>5</w:t>
      </w:r>
      <w:r w:rsidR="007858F3" w:rsidRPr="000C38CF">
        <w:rPr>
          <w:rFonts w:ascii="Book Antiqua" w:eastAsia="Calibri" w:hAnsi="Book Antiqua" w:cs="Arial"/>
          <w:sz w:val="24"/>
          <w:szCs w:val="24"/>
        </w:rPr>
        <w:t xml:space="preserve"> </w:t>
      </w:r>
      <w:r w:rsidRPr="000C38CF">
        <w:rPr>
          <w:rFonts w:ascii="Book Antiqua" w:eastAsia="Calibri" w:hAnsi="Book Antiqua" w:cs="Arial"/>
          <w:sz w:val="24"/>
          <w:szCs w:val="24"/>
        </w:rPr>
        <w:t>se adjunta la circular 29-2020 con la boleta de solicitud aprobada).</w:t>
      </w:r>
    </w:p>
    <w:p w14:paraId="15F0F5B9" w14:textId="77777777" w:rsidR="00843DD4" w:rsidRDefault="00843DD4" w:rsidP="00FF78F9">
      <w:pPr>
        <w:spacing w:after="0" w:line="276" w:lineRule="auto"/>
        <w:jc w:val="both"/>
        <w:rPr>
          <w:rFonts w:ascii="Book Antiqua" w:eastAsia="Calibri" w:hAnsi="Book Antiqua" w:cs="Arial"/>
          <w:sz w:val="24"/>
          <w:szCs w:val="24"/>
        </w:rPr>
      </w:pPr>
    </w:p>
    <w:p w14:paraId="7CFF0BB4" w14:textId="5D2D507A" w:rsidR="00FF78F9" w:rsidRPr="00FF78F9" w:rsidRDefault="00FF78F9" w:rsidP="00FF78F9">
      <w:pPr>
        <w:spacing w:after="0" w:line="276" w:lineRule="auto"/>
        <w:jc w:val="both"/>
        <w:rPr>
          <w:rFonts w:ascii="Book Antiqua" w:eastAsia="Calibri" w:hAnsi="Book Antiqua" w:cs="Arial"/>
          <w:sz w:val="24"/>
          <w:szCs w:val="24"/>
        </w:rPr>
      </w:pPr>
      <w:r w:rsidRPr="00FF78F9">
        <w:rPr>
          <w:rFonts w:ascii="Book Antiqua" w:eastAsia="Calibri" w:hAnsi="Book Antiqua" w:cs="Arial"/>
          <w:sz w:val="24"/>
          <w:szCs w:val="24"/>
        </w:rPr>
        <w:lastRenderedPageBreak/>
        <w:t xml:space="preserve">En los siguientes gráficos, se detalla la información de la cantidad de casos ingresados, reingresados, atención inmediata y los casos cerrados, de las Oficinas de Trabajo Social y Psicología a nivel nacional, durante el periodo </w:t>
      </w:r>
      <w:r w:rsidRPr="00FB132A">
        <w:rPr>
          <w:rFonts w:ascii="Book Antiqua" w:eastAsia="Calibri" w:hAnsi="Book Antiqua" w:cs="Arial"/>
          <w:sz w:val="24"/>
          <w:szCs w:val="24"/>
        </w:rPr>
        <w:t>del 20</w:t>
      </w:r>
      <w:r w:rsidR="00FB132A" w:rsidRPr="00FB132A">
        <w:rPr>
          <w:rFonts w:ascii="Book Antiqua" w:eastAsia="Calibri" w:hAnsi="Book Antiqua" w:cs="Arial"/>
          <w:sz w:val="24"/>
          <w:szCs w:val="24"/>
        </w:rPr>
        <w:t>20</w:t>
      </w:r>
      <w:r w:rsidRPr="00FB132A">
        <w:rPr>
          <w:rFonts w:ascii="Book Antiqua" w:eastAsia="Calibri" w:hAnsi="Book Antiqua" w:cs="Arial"/>
          <w:sz w:val="24"/>
          <w:szCs w:val="24"/>
        </w:rPr>
        <w:t xml:space="preserve"> al 20</w:t>
      </w:r>
      <w:r w:rsidR="00FB132A" w:rsidRPr="00FB132A">
        <w:rPr>
          <w:rFonts w:ascii="Book Antiqua" w:eastAsia="Calibri" w:hAnsi="Book Antiqua" w:cs="Arial"/>
          <w:sz w:val="24"/>
          <w:szCs w:val="24"/>
        </w:rPr>
        <w:t>2</w:t>
      </w:r>
      <w:r w:rsidRPr="00FB132A">
        <w:rPr>
          <w:rFonts w:ascii="Book Antiqua" w:eastAsia="Calibri" w:hAnsi="Book Antiqua" w:cs="Arial"/>
          <w:sz w:val="24"/>
          <w:szCs w:val="24"/>
        </w:rPr>
        <w:t>1:</w:t>
      </w:r>
    </w:p>
    <w:p w14:paraId="2818EF91" w14:textId="5FAB4964" w:rsidR="00116B89" w:rsidRDefault="00116B89" w:rsidP="009C01E1">
      <w:pPr>
        <w:spacing w:line="276" w:lineRule="auto"/>
        <w:jc w:val="both"/>
        <w:rPr>
          <w:rFonts w:ascii="Book Antiqua" w:hAnsi="Book Antiqua"/>
          <w:sz w:val="24"/>
          <w:szCs w:val="24"/>
        </w:rPr>
      </w:pPr>
    </w:p>
    <w:p w14:paraId="27524829" w14:textId="49DDC5C4" w:rsidR="00B01DD0" w:rsidRPr="00B01DD0" w:rsidRDefault="00B01DD0" w:rsidP="00B01DD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Gráfico </w:t>
      </w:r>
      <w:r w:rsidRPr="00B01DD0">
        <w:rPr>
          <w:rFonts w:ascii="Book Antiqua" w:eastAsia="Calibri" w:hAnsi="Book Antiqua" w:cs="Arial"/>
          <w:b/>
          <w:bCs/>
          <w:color w:val="1F497D"/>
          <w:szCs w:val="24"/>
          <w:lang w:val="es-ES" w:eastAsia="es-ES"/>
        </w:rPr>
        <w:fldChar w:fldCharType="begin"/>
      </w:r>
      <w:r w:rsidRPr="00B01DD0">
        <w:rPr>
          <w:rFonts w:ascii="Book Antiqua" w:eastAsia="Calibri" w:hAnsi="Book Antiqua" w:cs="Arial"/>
          <w:b/>
          <w:bCs/>
          <w:color w:val="1F497D"/>
          <w:szCs w:val="24"/>
          <w:lang w:val="es-ES" w:eastAsia="es-ES"/>
        </w:rPr>
        <w:instrText xml:space="preserve"> SEQ Gráfico \* ARABIC </w:instrText>
      </w:r>
      <w:r w:rsidRPr="00B01DD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6</w:t>
      </w:r>
      <w:r w:rsidRPr="00B01DD0">
        <w:rPr>
          <w:rFonts w:ascii="Book Antiqua" w:eastAsia="Calibri" w:hAnsi="Book Antiqua" w:cs="Arial"/>
          <w:b/>
          <w:bCs/>
          <w:color w:val="1F497D"/>
          <w:szCs w:val="24"/>
          <w:lang w:val="es-ES" w:eastAsia="es-ES"/>
        </w:rPr>
        <w:fldChar w:fldCharType="end"/>
      </w:r>
      <w:r w:rsidRPr="00B01DD0">
        <w:rPr>
          <w:rFonts w:ascii="Book Antiqua" w:eastAsia="Calibri" w:hAnsi="Book Antiqua" w:cs="Arial"/>
          <w:b/>
          <w:bCs/>
          <w:color w:val="1F497D"/>
          <w:szCs w:val="24"/>
          <w:lang w:val="es-ES" w:eastAsia="es-ES"/>
        </w:rPr>
        <w:t xml:space="preserve"> </w:t>
      </w:r>
    </w:p>
    <w:p w14:paraId="1AA701B9" w14:textId="77777777" w:rsidR="00B01DD0" w:rsidRPr="00B01DD0" w:rsidRDefault="00B01DD0" w:rsidP="00B01DD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Cantidad de solicitudes de estudios de Trabajo Social y </w:t>
      </w:r>
    </w:p>
    <w:p w14:paraId="13F9CBDC" w14:textId="0EF805D8" w:rsidR="00B01DD0" w:rsidRPr="00B01DD0" w:rsidRDefault="00B01DD0" w:rsidP="00B01DD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Psicología </w:t>
      </w:r>
      <w:r w:rsidRPr="00FB132A">
        <w:rPr>
          <w:rFonts w:ascii="Book Antiqua" w:eastAsia="Calibri" w:hAnsi="Book Antiqua" w:cs="Arial"/>
          <w:b/>
          <w:bCs/>
          <w:color w:val="1F497D"/>
          <w:szCs w:val="24"/>
          <w:lang w:val="es-ES" w:eastAsia="es-ES"/>
        </w:rPr>
        <w:t>del 20</w:t>
      </w:r>
      <w:r w:rsidR="00FB132A" w:rsidRPr="00FB132A">
        <w:rPr>
          <w:rFonts w:ascii="Book Antiqua" w:eastAsia="Calibri" w:hAnsi="Book Antiqua" w:cs="Arial"/>
          <w:b/>
          <w:bCs/>
          <w:color w:val="1F497D"/>
          <w:szCs w:val="24"/>
          <w:lang w:val="es-ES" w:eastAsia="es-ES"/>
        </w:rPr>
        <w:t>20</w:t>
      </w:r>
      <w:r w:rsidRPr="00FB132A">
        <w:rPr>
          <w:rFonts w:ascii="Book Antiqua" w:eastAsia="Calibri" w:hAnsi="Book Antiqua" w:cs="Arial"/>
          <w:b/>
          <w:bCs/>
          <w:color w:val="1F497D"/>
          <w:szCs w:val="24"/>
          <w:lang w:val="es-ES" w:eastAsia="es-ES"/>
        </w:rPr>
        <w:t xml:space="preserve"> al 20</w:t>
      </w:r>
      <w:r w:rsidR="00FB132A" w:rsidRPr="00FB132A">
        <w:rPr>
          <w:rFonts w:ascii="Book Antiqua" w:eastAsia="Calibri" w:hAnsi="Book Antiqua" w:cs="Arial"/>
          <w:b/>
          <w:bCs/>
          <w:color w:val="1F497D"/>
          <w:szCs w:val="24"/>
          <w:lang w:val="es-ES" w:eastAsia="es-ES"/>
        </w:rPr>
        <w:t>2</w:t>
      </w:r>
      <w:r w:rsidRPr="00FB132A">
        <w:rPr>
          <w:rFonts w:ascii="Book Antiqua" w:eastAsia="Calibri" w:hAnsi="Book Antiqua" w:cs="Arial"/>
          <w:b/>
          <w:bCs/>
          <w:color w:val="1F497D"/>
          <w:szCs w:val="24"/>
          <w:lang w:val="es-ES" w:eastAsia="es-ES"/>
        </w:rPr>
        <w:t>1</w:t>
      </w:r>
    </w:p>
    <w:p w14:paraId="492B789D" w14:textId="7419A683" w:rsidR="00116B89" w:rsidRDefault="00FC21BE" w:rsidP="00FB132A">
      <w:pPr>
        <w:spacing w:line="276" w:lineRule="auto"/>
        <w:jc w:val="center"/>
        <w:rPr>
          <w:rFonts w:ascii="Book Antiqua" w:hAnsi="Book Antiqua"/>
          <w:sz w:val="24"/>
          <w:szCs w:val="24"/>
        </w:rPr>
      </w:pPr>
      <w:r>
        <w:rPr>
          <w:noProof/>
        </w:rPr>
        <w:drawing>
          <wp:inline distT="0" distB="0" distL="0" distR="0" wp14:anchorId="1715E78E" wp14:editId="538C81FD">
            <wp:extent cx="4572000" cy="2743200"/>
            <wp:effectExtent l="0" t="0" r="0" b="0"/>
            <wp:docPr id="21" name="Gráfico 21">
              <a:extLst xmlns:a="http://schemas.openxmlformats.org/drawingml/2006/main">
                <a:ext uri="{FF2B5EF4-FFF2-40B4-BE49-F238E27FC236}">
                  <a16:creationId xmlns:a16="http://schemas.microsoft.com/office/drawing/2014/main" id="{E0E53C2B-9994-4918-9F0A-9F1D248244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396257C" w14:textId="77777777" w:rsidR="00FB132A" w:rsidRDefault="00FB132A" w:rsidP="00FB132A">
      <w:pPr>
        <w:spacing w:after="0" w:line="240" w:lineRule="auto"/>
        <w:jc w:val="both"/>
        <w:rPr>
          <w:rFonts w:ascii="Book Antiqua" w:hAnsi="Book Antiqua"/>
          <w:i/>
          <w:iCs/>
          <w:sz w:val="20"/>
          <w:szCs w:val="20"/>
        </w:rPr>
      </w:pPr>
      <w:r>
        <w:rPr>
          <w:rFonts w:ascii="Book Antiqua" w:hAnsi="Book Antiqua"/>
          <w:sz w:val="24"/>
          <w:szCs w:val="24"/>
        </w:rPr>
        <w:t xml:space="preserve">               </w:t>
      </w:r>
      <w:bookmarkStart w:id="21" w:name="_Hlk97303078"/>
      <w:r w:rsidRPr="00FB132A">
        <w:rPr>
          <w:rFonts w:ascii="Book Antiqua" w:hAnsi="Book Antiqua"/>
          <w:i/>
          <w:iCs/>
          <w:sz w:val="20"/>
          <w:szCs w:val="20"/>
        </w:rPr>
        <w:t xml:space="preserve">Fuente: Modernización Institucional con datos del Departamento de Trabajo Social </w:t>
      </w:r>
    </w:p>
    <w:p w14:paraId="71029E6B" w14:textId="61FFC903" w:rsidR="00FB132A" w:rsidRDefault="00FB132A" w:rsidP="00FB132A">
      <w:pPr>
        <w:spacing w:after="0" w:line="240" w:lineRule="auto"/>
        <w:jc w:val="both"/>
        <w:rPr>
          <w:rFonts w:ascii="Book Antiqua" w:hAnsi="Book Antiqua"/>
          <w:i/>
          <w:iCs/>
          <w:sz w:val="20"/>
          <w:szCs w:val="20"/>
        </w:rPr>
      </w:pPr>
      <w:r>
        <w:rPr>
          <w:rFonts w:ascii="Book Antiqua" w:hAnsi="Book Antiqua"/>
          <w:i/>
          <w:iCs/>
          <w:sz w:val="20"/>
          <w:szCs w:val="20"/>
        </w:rPr>
        <w:t xml:space="preserve">                 </w:t>
      </w:r>
      <w:r w:rsidRPr="00FB132A">
        <w:rPr>
          <w:rFonts w:ascii="Book Antiqua" w:hAnsi="Book Antiqua"/>
          <w:i/>
          <w:iCs/>
          <w:sz w:val="20"/>
          <w:szCs w:val="20"/>
        </w:rPr>
        <w:t>y Psicología 2020 al 2021.</w:t>
      </w:r>
    </w:p>
    <w:bookmarkEnd w:id="21"/>
    <w:p w14:paraId="2CCF7466" w14:textId="508AA348" w:rsidR="00FB132A" w:rsidRPr="00FB132A" w:rsidRDefault="00FB132A" w:rsidP="00FB132A">
      <w:pPr>
        <w:spacing w:after="0" w:line="240" w:lineRule="auto"/>
        <w:jc w:val="both"/>
        <w:rPr>
          <w:rFonts w:ascii="Book Antiqua" w:hAnsi="Book Antiqua"/>
          <w:i/>
          <w:iCs/>
          <w:sz w:val="20"/>
          <w:szCs w:val="20"/>
        </w:rPr>
      </w:pPr>
      <w:r>
        <w:rPr>
          <w:rFonts w:ascii="Book Antiqua" w:hAnsi="Book Antiqua"/>
          <w:i/>
          <w:iCs/>
          <w:sz w:val="20"/>
          <w:szCs w:val="20"/>
        </w:rPr>
        <w:t xml:space="preserve">                Nota: Los casos ingresados incluyen los reentrados.</w:t>
      </w:r>
    </w:p>
    <w:p w14:paraId="4FF0BA49" w14:textId="61276AD1" w:rsidR="00FB132A" w:rsidRDefault="00FB132A" w:rsidP="009C01E1">
      <w:pPr>
        <w:spacing w:line="276" w:lineRule="auto"/>
        <w:jc w:val="both"/>
        <w:rPr>
          <w:rFonts w:ascii="Book Antiqua" w:hAnsi="Book Antiqua"/>
          <w:sz w:val="24"/>
          <w:szCs w:val="24"/>
        </w:rPr>
      </w:pPr>
    </w:p>
    <w:p w14:paraId="4712D940" w14:textId="34146696" w:rsidR="00326277" w:rsidRPr="00326277" w:rsidRDefault="00326277" w:rsidP="00326277">
      <w:pPr>
        <w:spacing w:after="0" w:line="276" w:lineRule="auto"/>
        <w:jc w:val="both"/>
        <w:rPr>
          <w:rFonts w:ascii="Book Antiqua" w:eastAsia="Calibri" w:hAnsi="Book Antiqua" w:cs="Arial"/>
          <w:sz w:val="24"/>
          <w:szCs w:val="24"/>
        </w:rPr>
      </w:pPr>
      <w:r w:rsidRPr="00326277">
        <w:rPr>
          <w:rFonts w:ascii="Book Antiqua" w:eastAsia="Calibri" w:hAnsi="Book Antiqua" w:cs="Arial"/>
          <w:sz w:val="24"/>
          <w:szCs w:val="24"/>
        </w:rPr>
        <w:t xml:space="preserve">De la información del gráfico anterior, para el </w:t>
      </w:r>
      <w:r w:rsidRPr="00FB132A">
        <w:rPr>
          <w:rFonts w:ascii="Book Antiqua" w:eastAsia="Calibri" w:hAnsi="Book Antiqua" w:cs="Arial"/>
          <w:sz w:val="24"/>
          <w:szCs w:val="24"/>
        </w:rPr>
        <w:t>periodo 20</w:t>
      </w:r>
      <w:r w:rsidR="00FB132A" w:rsidRPr="00FB132A">
        <w:rPr>
          <w:rFonts w:ascii="Book Antiqua" w:eastAsia="Calibri" w:hAnsi="Book Antiqua" w:cs="Arial"/>
          <w:sz w:val="24"/>
          <w:szCs w:val="24"/>
        </w:rPr>
        <w:t>20</w:t>
      </w:r>
      <w:r w:rsidRPr="00FB132A">
        <w:rPr>
          <w:rFonts w:ascii="Book Antiqua" w:eastAsia="Calibri" w:hAnsi="Book Antiqua" w:cs="Arial"/>
          <w:sz w:val="24"/>
          <w:szCs w:val="24"/>
        </w:rPr>
        <w:t xml:space="preserve"> al 20</w:t>
      </w:r>
      <w:r w:rsidR="00FB132A" w:rsidRPr="00FB132A">
        <w:rPr>
          <w:rFonts w:ascii="Book Antiqua" w:eastAsia="Calibri" w:hAnsi="Book Antiqua" w:cs="Arial"/>
          <w:sz w:val="24"/>
          <w:szCs w:val="24"/>
        </w:rPr>
        <w:t>2</w:t>
      </w:r>
      <w:r w:rsidRPr="00FB132A">
        <w:rPr>
          <w:rFonts w:ascii="Book Antiqua" w:eastAsia="Calibri" w:hAnsi="Book Antiqua" w:cs="Arial"/>
          <w:sz w:val="24"/>
          <w:szCs w:val="24"/>
        </w:rPr>
        <w:t>1</w:t>
      </w:r>
      <w:r w:rsidRPr="00326277">
        <w:rPr>
          <w:rFonts w:ascii="Book Antiqua" w:eastAsia="Calibri" w:hAnsi="Book Antiqua" w:cs="Arial"/>
          <w:sz w:val="24"/>
          <w:szCs w:val="24"/>
        </w:rPr>
        <w:t xml:space="preserve">, las oficinas de Trabajo Social y Psicología del país recibieron entre casos ingresados, reingresados y de atención inmediata en total </w:t>
      </w:r>
      <w:r w:rsidR="00FC21BE" w:rsidRPr="00FC21BE">
        <w:rPr>
          <w:rFonts w:ascii="Book Antiqua" w:eastAsia="Calibri" w:hAnsi="Book Antiqua" w:cs="Arial"/>
          <w:sz w:val="24"/>
          <w:szCs w:val="24"/>
        </w:rPr>
        <w:t>56</w:t>
      </w:r>
      <w:r w:rsidRPr="00FC21BE">
        <w:rPr>
          <w:rFonts w:ascii="Book Antiqua" w:eastAsia="Calibri" w:hAnsi="Book Antiqua" w:cs="Arial"/>
          <w:sz w:val="24"/>
          <w:szCs w:val="24"/>
        </w:rPr>
        <w:t> </w:t>
      </w:r>
      <w:r w:rsidR="00FC21BE" w:rsidRPr="00FC21BE">
        <w:rPr>
          <w:rFonts w:ascii="Book Antiqua" w:eastAsia="Calibri" w:hAnsi="Book Antiqua" w:cs="Arial"/>
          <w:sz w:val="24"/>
          <w:szCs w:val="24"/>
        </w:rPr>
        <w:t>87</w:t>
      </w:r>
      <w:r w:rsidRPr="00FC21BE">
        <w:rPr>
          <w:rFonts w:ascii="Book Antiqua" w:eastAsia="Calibri" w:hAnsi="Book Antiqua" w:cs="Arial"/>
          <w:sz w:val="24"/>
          <w:szCs w:val="24"/>
        </w:rPr>
        <w:t>9 solicitudes.</w:t>
      </w:r>
      <w:r w:rsidRPr="00326277">
        <w:rPr>
          <w:rFonts w:ascii="Book Antiqua" w:eastAsia="Calibri" w:hAnsi="Book Antiqua" w:cs="Arial"/>
          <w:sz w:val="24"/>
          <w:szCs w:val="24"/>
        </w:rPr>
        <w:t xml:space="preserve"> </w:t>
      </w:r>
    </w:p>
    <w:p w14:paraId="3925505B" w14:textId="77777777" w:rsidR="00326277" w:rsidRPr="00326277" w:rsidRDefault="00326277" w:rsidP="00326277">
      <w:pPr>
        <w:spacing w:after="0" w:line="276" w:lineRule="auto"/>
        <w:jc w:val="both"/>
        <w:rPr>
          <w:rFonts w:ascii="Book Antiqua" w:eastAsia="Calibri" w:hAnsi="Book Antiqua" w:cs="Arial"/>
          <w:sz w:val="24"/>
          <w:szCs w:val="24"/>
        </w:rPr>
      </w:pPr>
    </w:p>
    <w:p w14:paraId="6788804F" w14:textId="38D344C2" w:rsidR="00326277" w:rsidRPr="00326277" w:rsidRDefault="00326277" w:rsidP="00326277">
      <w:pPr>
        <w:spacing w:after="0" w:line="276" w:lineRule="auto"/>
        <w:jc w:val="both"/>
        <w:rPr>
          <w:rFonts w:ascii="Book Antiqua" w:eastAsia="Calibri" w:hAnsi="Book Antiqua" w:cs="Arial"/>
          <w:sz w:val="24"/>
          <w:szCs w:val="24"/>
        </w:rPr>
      </w:pPr>
      <w:r w:rsidRPr="00326277">
        <w:rPr>
          <w:rFonts w:ascii="Book Antiqua" w:eastAsia="Calibri" w:hAnsi="Book Antiqua" w:cs="Arial"/>
          <w:sz w:val="24"/>
          <w:szCs w:val="24"/>
        </w:rPr>
        <w:t>En cuanto a los estudios de trabajo social el periodo de mayor ingreso fue el 20</w:t>
      </w:r>
      <w:r w:rsidR="00FC21BE">
        <w:rPr>
          <w:rFonts w:ascii="Book Antiqua" w:eastAsia="Calibri" w:hAnsi="Book Antiqua" w:cs="Arial"/>
          <w:sz w:val="24"/>
          <w:szCs w:val="24"/>
        </w:rPr>
        <w:t>2</w:t>
      </w:r>
      <w:r w:rsidRPr="00326277">
        <w:rPr>
          <w:rFonts w:ascii="Book Antiqua" w:eastAsia="Calibri" w:hAnsi="Book Antiqua" w:cs="Arial"/>
          <w:sz w:val="24"/>
          <w:szCs w:val="24"/>
        </w:rPr>
        <w:t xml:space="preserve">1 con un total </w:t>
      </w:r>
      <w:r w:rsidRPr="00B900AE">
        <w:rPr>
          <w:rFonts w:ascii="Book Antiqua" w:eastAsia="Calibri" w:hAnsi="Book Antiqua" w:cs="Arial"/>
          <w:sz w:val="24"/>
          <w:szCs w:val="24"/>
        </w:rPr>
        <w:t xml:space="preserve">de 1 </w:t>
      </w:r>
      <w:r w:rsidR="00B900AE" w:rsidRPr="00B900AE">
        <w:rPr>
          <w:rFonts w:ascii="Book Antiqua" w:eastAsia="Calibri" w:hAnsi="Book Antiqua" w:cs="Arial"/>
          <w:sz w:val="24"/>
          <w:szCs w:val="24"/>
        </w:rPr>
        <w:t>12</w:t>
      </w:r>
      <w:r w:rsidR="00B900AE">
        <w:rPr>
          <w:rFonts w:ascii="Book Antiqua" w:eastAsia="Calibri" w:hAnsi="Book Antiqua" w:cs="Arial"/>
          <w:sz w:val="24"/>
          <w:szCs w:val="24"/>
        </w:rPr>
        <w:t>3</w:t>
      </w:r>
      <w:r w:rsidRPr="00326277">
        <w:rPr>
          <w:rFonts w:ascii="Book Antiqua" w:eastAsia="Calibri" w:hAnsi="Book Antiqua" w:cs="Arial"/>
          <w:sz w:val="24"/>
          <w:szCs w:val="24"/>
        </w:rPr>
        <w:t xml:space="preserve"> más que en el 20</w:t>
      </w:r>
      <w:r w:rsidR="00B900AE">
        <w:rPr>
          <w:rFonts w:ascii="Book Antiqua" w:eastAsia="Calibri" w:hAnsi="Book Antiqua" w:cs="Arial"/>
          <w:sz w:val="24"/>
          <w:szCs w:val="24"/>
        </w:rPr>
        <w:t>20</w:t>
      </w:r>
      <w:r w:rsidRPr="00326277">
        <w:rPr>
          <w:rFonts w:ascii="Book Antiqua" w:eastAsia="Calibri" w:hAnsi="Book Antiqua" w:cs="Arial"/>
          <w:sz w:val="24"/>
          <w:szCs w:val="24"/>
        </w:rPr>
        <w:t xml:space="preserve">; mientras que en psicología </w:t>
      </w:r>
      <w:r w:rsidRPr="00B900AE">
        <w:rPr>
          <w:rFonts w:ascii="Book Antiqua" w:eastAsia="Calibri" w:hAnsi="Book Antiqua" w:cs="Arial"/>
          <w:sz w:val="24"/>
          <w:szCs w:val="24"/>
        </w:rPr>
        <w:t>ingresaron 1 </w:t>
      </w:r>
      <w:r w:rsidR="00B900AE" w:rsidRPr="00B900AE">
        <w:rPr>
          <w:rFonts w:ascii="Book Antiqua" w:eastAsia="Calibri" w:hAnsi="Book Antiqua" w:cs="Arial"/>
          <w:sz w:val="24"/>
          <w:szCs w:val="24"/>
        </w:rPr>
        <w:t>152</w:t>
      </w:r>
      <w:r w:rsidRPr="00326277">
        <w:rPr>
          <w:rFonts w:ascii="Book Antiqua" w:eastAsia="Calibri" w:hAnsi="Book Antiqua" w:cs="Arial"/>
          <w:sz w:val="24"/>
          <w:szCs w:val="24"/>
        </w:rPr>
        <w:t xml:space="preserve"> asuntos más para el 20</w:t>
      </w:r>
      <w:r w:rsidR="00B900AE">
        <w:rPr>
          <w:rFonts w:ascii="Book Antiqua" w:eastAsia="Calibri" w:hAnsi="Book Antiqua" w:cs="Arial"/>
          <w:sz w:val="24"/>
          <w:szCs w:val="24"/>
        </w:rPr>
        <w:t>2</w:t>
      </w:r>
      <w:r w:rsidRPr="00326277">
        <w:rPr>
          <w:rFonts w:ascii="Book Antiqua" w:eastAsia="Calibri" w:hAnsi="Book Antiqua" w:cs="Arial"/>
          <w:sz w:val="24"/>
          <w:szCs w:val="24"/>
        </w:rPr>
        <w:t>1 en comparación con su antecesor el 20</w:t>
      </w:r>
      <w:r w:rsidR="00B900AE">
        <w:rPr>
          <w:rFonts w:ascii="Book Antiqua" w:eastAsia="Calibri" w:hAnsi="Book Antiqua" w:cs="Arial"/>
          <w:sz w:val="24"/>
          <w:szCs w:val="24"/>
        </w:rPr>
        <w:t>20</w:t>
      </w:r>
      <w:r w:rsidRPr="00326277">
        <w:rPr>
          <w:rFonts w:ascii="Book Antiqua" w:eastAsia="Calibri" w:hAnsi="Book Antiqua" w:cs="Arial"/>
          <w:sz w:val="24"/>
          <w:szCs w:val="24"/>
        </w:rPr>
        <w:t xml:space="preserve">, por último, se tiene la entrada de los casos de atención inmediata, para el periodo en análisis ingresaron en total </w:t>
      </w:r>
      <w:r w:rsidR="00B900AE">
        <w:rPr>
          <w:rFonts w:ascii="Book Antiqua" w:eastAsia="Calibri" w:hAnsi="Book Antiqua" w:cs="Arial"/>
          <w:sz w:val="24"/>
          <w:szCs w:val="24"/>
        </w:rPr>
        <w:t>6 386</w:t>
      </w:r>
      <w:r w:rsidRPr="00326277">
        <w:rPr>
          <w:rFonts w:ascii="Book Antiqua" w:eastAsia="Calibri" w:hAnsi="Book Antiqua" w:cs="Arial"/>
          <w:sz w:val="24"/>
          <w:szCs w:val="24"/>
        </w:rPr>
        <w:t xml:space="preserve"> casos, siendo el 20</w:t>
      </w:r>
      <w:r w:rsidR="00E173F7">
        <w:rPr>
          <w:rFonts w:ascii="Book Antiqua" w:eastAsia="Calibri" w:hAnsi="Book Antiqua" w:cs="Arial"/>
          <w:sz w:val="24"/>
          <w:szCs w:val="24"/>
        </w:rPr>
        <w:t>20</w:t>
      </w:r>
      <w:r w:rsidRPr="00326277">
        <w:rPr>
          <w:rFonts w:ascii="Book Antiqua" w:eastAsia="Calibri" w:hAnsi="Book Antiqua" w:cs="Arial"/>
          <w:sz w:val="24"/>
          <w:szCs w:val="24"/>
        </w:rPr>
        <w:t xml:space="preserve"> el periodo con más solicitudes </w:t>
      </w:r>
      <w:r w:rsidRPr="00E173F7">
        <w:rPr>
          <w:rFonts w:ascii="Book Antiqua" w:eastAsia="Calibri" w:hAnsi="Book Antiqua" w:cs="Arial"/>
          <w:sz w:val="24"/>
          <w:szCs w:val="24"/>
        </w:rPr>
        <w:t>1 </w:t>
      </w:r>
      <w:r w:rsidR="00E173F7" w:rsidRPr="00E173F7">
        <w:rPr>
          <w:rFonts w:ascii="Book Antiqua" w:eastAsia="Calibri" w:hAnsi="Book Antiqua" w:cs="Arial"/>
          <w:sz w:val="24"/>
          <w:szCs w:val="24"/>
        </w:rPr>
        <w:t>6</w:t>
      </w:r>
      <w:r w:rsidR="00E173F7">
        <w:rPr>
          <w:rFonts w:ascii="Book Antiqua" w:eastAsia="Calibri" w:hAnsi="Book Antiqua" w:cs="Arial"/>
          <w:sz w:val="24"/>
          <w:szCs w:val="24"/>
        </w:rPr>
        <w:t>20</w:t>
      </w:r>
      <w:r w:rsidRPr="00326277">
        <w:rPr>
          <w:rFonts w:ascii="Book Antiqua" w:eastAsia="Calibri" w:hAnsi="Book Antiqua" w:cs="Arial"/>
          <w:sz w:val="24"/>
          <w:szCs w:val="24"/>
        </w:rPr>
        <w:t xml:space="preserve"> más que el 20</w:t>
      </w:r>
      <w:r w:rsidR="00E173F7">
        <w:rPr>
          <w:rFonts w:ascii="Book Antiqua" w:eastAsia="Calibri" w:hAnsi="Book Antiqua" w:cs="Arial"/>
          <w:sz w:val="24"/>
          <w:szCs w:val="24"/>
        </w:rPr>
        <w:t>2</w:t>
      </w:r>
      <w:r w:rsidRPr="00326277">
        <w:rPr>
          <w:rFonts w:ascii="Book Antiqua" w:eastAsia="Calibri" w:hAnsi="Book Antiqua" w:cs="Arial"/>
          <w:sz w:val="24"/>
          <w:szCs w:val="24"/>
        </w:rPr>
        <w:t>1.</w:t>
      </w:r>
    </w:p>
    <w:p w14:paraId="7AAF3AF3" w14:textId="55F39606" w:rsidR="00326277" w:rsidRDefault="00326277" w:rsidP="00326277">
      <w:pPr>
        <w:spacing w:after="0" w:line="276" w:lineRule="auto"/>
        <w:jc w:val="both"/>
        <w:rPr>
          <w:rFonts w:ascii="Book Antiqua" w:eastAsia="Calibri" w:hAnsi="Book Antiqua" w:cs="Arial"/>
          <w:sz w:val="24"/>
          <w:szCs w:val="24"/>
        </w:rPr>
      </w:pPr>
    </w:p>
    <w:p w14:paraId="11F296EF" w14:textId="307AA803" w:rsidR="00BD208F" w:rsidRPr="00B01DD0" w:rsidRDefault="00BD208F" w:rsidP="00BD208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lastRenderedPageBreak/>
        <w:t xml:space="preserve">Gráfico </w:t>
      </w:r>
      <w:r w:rsidRPr="00B01DD0">
        <w:rPr>
          <w:rFonts w:ascii="Book Antiqua" w:eastAsia="Calibri" w:hAnsi="Book Antiqua" w:cs="Arial"/>
          <w:b/>
          <w:bCs/>
          <w:color w:val="1F497D"/>
          <w:szCs w:val="24"/>
          <w:lang w:val="es-ES" w:eastAsia="es-ES"/>
        </w:rPr>
        <w:fldChar w:fldCharType="begin"/>
      </w:r>
      <w:r w:rsidRPr="00B01DD0">
        <w:rPr>
          <w:rFonts w:ascii="Book Antiqua" w:eastAsia="Calibri" w:hAnsi="Book Antiqua" w:cs="Arial"/>
          <w:b/>
          <w:bCs/>
          <w:color w:val="1F497D"/>
          <w:szCs w:val="24"/>
          <w:lang w:val="es-ES" w:eastAsia="es-ES"/>
        </w:rPr>
        <w:instrText xml:space="preserve"> SEQ Gráfico \* ARABIC </w:instrText>
      </w:r>
      <w:r w:rsidRPr="00B01DD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7</w:t>
      </w:r>
      <w:r w:rsidRPr="00B01DD0">
        <w:rPr>
          <w:rFonts w:ascii="Book Antiqua" w:eastAsia="Calibri" w:hAnsi="Book Antiqua" w:cs="Arial"/>
          <w:b/>
          <w:bCs/>
          <w:color w:val="1F497D"/>
          <w:szCs w:val="24"/>
          <w:lang w:val="es-ES" w:eastAsia="es-ES"/>
        </w:rPr>
        <w:fldChar w:fldCharType="end"/>
      </w:r>
      <w:r w:rsidRPr="00B01DD0">
        <w:rPr>
          <w:rFonts w:ascii="Book Antiqua" w:eastAsia="Calibri" w:hAnsi="Book Antiqua" w:cs="Arial"/>
          <w:b/>
          <w:bCs/>
          <w:color w:val="1F497D"/>
          <w:szCs w:val="24"/>
          <w:lang w:val="es-ES" w:eastAsia="es-ES"/>
        </w:rPr>
        <w:t xml:space="preserve"> </w:t>
      </w:r>
    </w:p>
    <w:p w14:paraId="2294F99C" w14:textId="2B24503A" w:rsidR="00BD208F" w:rsidRPr="00B01DD0" w:rsidRDefault="00BD208F" w:rsidP="00BD208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Cantidad de </w:t>
      </w:r>
      <w:r>
        <w:rPr>
          <w:rFonts w:ascii="Book Antiqua" w:eastAsia="Calibri" w:hAnsi="Book Antiqua" w:cs="Arial"/>
          <w:b/>
          <w:bCs/>
          <w:color w:val="1F497D"/>
          <w:szCs w:val="24"/>
          <w:lang w:val="es-ES" w:eastAsia="es-ES"/>
        </w:rPr>
        <w:t>casos cerrados</w:t>
      </w:r>
      <w:r w:rsidRPr="00B01DD0">
        <w:rPr>
          <w:rFonts w:ascii="Book Antiqua" w:eastAsia="Calibri" w:hAnsi="Book Antiqua" w:cs="Arial"/>
          <w:b/>
          <w:bCs/>
          <w:color w:val="1F497D"/>
          <w:szCs w:val="24"/>
          <w:lang w:val="es-ES" w:eastAsia="es-ES"/>
        </w:rPr>
        <w:t xml:space="preserve"> de Trabajo Social y </w:t>
      </w:r>
    </w:p>
    <w:p w14:paraId="4838A4A5" w14:textId="77777777" w:rsidR="00BD208F" w:rsidRPr="00B01DD0" w:rsidRDefault="00BD208F" w:rsidP="00BD208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01DD0">
        <w:rPr>
          <w:rFonts w:ascii="Book Antiqua" w:eastAsia="Calibri" w:hAnsi="Book Antiqua" w:cs="Arial"/>
          <w:b/>
          <w:bCs/>
          <w:color w:val="1F497D"/>
          <w:szCs w:val="24"/>
          <w:lang w:val="es-ES" w:eastAsia="es-ES"/>
        </w:rPr>
        <w:t xml:space="preserve">Psicología </w:t>
      </w:r>
      <w:r w:rsidRPr="00FB132A">
        <w:rPr>
          <w:rFonts w:ascii="Book Antiqua" w:eastAsia="Calibri" w:hAnsi="Book Antiqua" w:cs="Arial"/>
          <w:b/>
          <w:bCs/>
          <w:color w:val="1F497D"/>
          <w:szCs w:val="24"/>
          <w:lang w:val="es-ES" w:eastAsia="es-ES"/>
        </w:rPr>
        <w:t>del 2020 al 2021</w:t>
      </w:r>
    </w:p>
    <w:p w14:paraId="7A99F0FD" w14:textId="7A73A15E" w:rsidR="00BD208F" w:rsidRDefault="00BD208F" w:rsidP="00BD208F">
      <w:pPr>
        <w:spacing w:after="0" w:line="276" w:lineRule="auto"/>
        <w:jc w:val="center"/>
        <w:rPr>
          <w:rFonts w:ascii="Book Antiqua" w:eastAsia="Calibri" w:hAnsi="Book Antiqua" w:cs="Arial"/>
          <w:sz w:val="24"/>
          <w:szCs w:val="24"/>
        </w:rPr>
      </w:pPr>
      <w:r>
        <w:rPr>
          <w:noProof/>
        </w:rPr>
        <w:drawing>
          <wp:inline distT="0" distB="0" distL="0" distR="0" wp14:anchorId="410292FA" wp14:editId="1ACD562B">
            <wp:extent cx="4321175" cy="2330450"/>
            <wp:effectExtent l="0" t="0" r="3175" b="12700"/>
            <wp:docPr id="22" name="Gráfico 22">
              <a:extLst xmlns:a="http://schemas.openxmlformats.org/drawingml/2006/main">
                <a:ext uri="{FF2B5EF4-FFF2-40B4-BE49-F238E27FC236}">
                  <a16:creationId xmlns:a16="http://schemas.microsoft.com/office/drawing/2014/main" id="{CC1F8738-8397-4389-8E13-61C85205E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3AA84D7" w14:textId="478AFA4C" w:rsidR="00BD208F" w:rsidRDefault="00BD208F" w:rsidP="00BD208F">
      <w:pPr>
        <w:spacing w:after="0" w:line="240" w:lineRule="auto"/>
        <w:jc w:val="both"/>
        <w:rPr>
          <w:rFonts w:ascii="Book Antiqua" w:hAnsi="Book Antiqua"/>
          <w:i/>
          <w:iCs/>
          <w:sz w:val="20"/>
          <w:szCs w:val="20"/>
        </w:rPr>
      </w:pPr>
      <w:r>
        <w:rPr>
          <w:rFonts w:ascii="Book Antiqua" w:hAnsi="Book Antiqua"/>
          <w:i/>
          <w:iCs/>
          <w:sz w:val="20"/>
          <w:szCs w:val="20"/>
        </w:rPr>
        <w:t xml:space="preserve">                    </w:t>
      </w:r>
      <w:r w:rsidRPr="00FB132A">
        <w:rPr>
          <w:rFonts w:ascii="Book Antiqua" w:hAnsi="Book Antiqua"/>
          <w:i/>
          <w:iCs/>
          <w:sz w:val="20"/>
          <w:szCs w:val="20"/>
        </w:rPr>
        <w:t xml:space="preserve">Fuente: Modernización Institucional con datos del Departamento de Trabajo Social </w:t>
      </w:r>
    </w:p>
    <w:p w14:paraId="4FB704AC" w14:textId="47CBFDF1" w:rsidR="00BD208F" w:rsidRDefault="00BD208F" w:rsidP="00BD208F">
      <w:pPr>
        <w:spacing w:after="0" w:line="240" w:lineRule="auto"/>
        <w:jc w:val="both"/>
        <w:rPr>
          <w:rFonts w:ascii="Book Antiqua" w:hAnsi="Book Antiqua"/>
          <w:i/>
          <w:iCs/>
          <w:sz w:val="20"/>
          <w:szCs w:val="20"/>
        </w:rPr>
      </w:pPr>
      <w:r>
        <w:rPr>
          <w:rFonts w:ascii="Book Antiqua" w:hAnsi="Book Antiqua"/>
          <w:i/>
          <w:iCs/>
          <w:sz w:val="20"/>
          <w:szCs w:val="20"/>
        </w:rPr>
        <w:t xml:space="preserve">                    </w:t>
      </w:r>
      <w:r w:rsidRPr="00FB132A">
        <w:rPr>
          <w:rFonts w:ascii="Book Antiqua" w:hAnsi="Book Antiqua"/>
          <w:i/>
          <w:iCs/>
          <w:sz w:val="20"/>
          <w:szCs w:val="20"/>
        </w:rPr>
        <w:t>y Psicología 2020 al 2021.</w:t>
      </w:r>
    </w:p>
    <w:p w14:paraId="02E10D27" w14:textId="77D9DA51" w:rsidR="00BD208F" w:rsidRDefault="00BD208F" w:rsidP="00326277">
      <w:pPr>
        <w:spacing w:after="0" w:line="276" w:lineRule="auto"/>
        <w:jc w:val="both"/>
        <w:rPr>
          <w:rFonts w:ascii="Book Antiqua" w:eastAsia="Calibri" w:hAnsi="Book Antiqua" w:cs="Arial"/>
          <w:sz w:val="24"/>
          <w:szCs w:val="24"/>
        </w:rPr>
      </w:pPr>
    </w:p>
    <w:p w14:paraId="7C063D12" w14:textId="06DD4AD3" w:rsidR="00BD208F" w:rsidRDefault="00BD208F" w:rsidP="00326277">
      <w:pPr>
        <w:spacing w:after="0" w:line="276" w:lineRule="auto"/>
        <w:jc w:val="both"/>
        <w:rPr>
          <w:rFonts w:ascii="Book Antiqua" w:eastAsia="Calibri" w:hAnsi="Book Antiqua" w:cs="Arial"/>
          <w:sz w:val="24"/>
          <w:szCs w:val="24"/>
        </w:rPr>
      </w:pPr>
      <w:r w:rsidRPr="00BD208F">
        <w:rPr>
          <w:rFonts w:ascii="Book Antiqua" w:eastAsia="Calibri" w:hAnsi="Book Antiqua" w:cs="Arial"/>
          <w:sz w:val="24"/>
          <w:szCs w:val="24"/>
        </w:rPr>
        <w:t xml:space="preserve">En cuanto a los casos cerrados se tiene un total de </w:t>
      </w:r>
      <w:r w:rsidR="00843DD4">
        <w:rPr>
          <w:rFonts w:ascii="Book Antiqua" w:eastAsia="Calibri" w:hAnsi="Book Antiqua" w:cs="Arial"/>
          <w:sz w:val="24"/>
          <w:szCs w:val="24"/>
        </w:rPr>
        <w:t xml:space="preserve">48 318 </w:t>
      </w:r>
      <w:r w:rsidR="00843DD4" w:rsidRPr="00BD208F">
        <w:rPr>
          <w:rFonts w:ascii="Book Antiqua" w:eastAsia="Calibri" w:hAnsi="Book Antiqua" w:cs="Arial"/>
          <w:sz w:val="24"/>
          <w:szCs w:val="24"/>
        </w:rPr>
        <w:t>casos</w:t>
      </w:r>
      <w:r w:rsidRPr="00BD208F">
        <w:rPr>
          <w:rFonts w:ascii="Book Antiqua" w:eastAsia="Calibri" w:hAnsi="Book Antiqua" w:cs="Arial"/>
          <w:sz w:val="24"/>
          <w:szCs w:val="24"/>
        </w:rPr>
        <w:t xml:space="preserve"> entre asuntos de trabajo social y psicología, siendo el 20</w:t>
      </w:r>
      <w:r w:rsidR="00843DD4">
        <w:rPr>
          <w:rFonts w:ascii="Book Antiqua" w:eastAsia="Calibri" w:hAnsi="Book Antiqua" w:cs="Arial"/>
          <w:sz w:val="24"/>
          <w:szCs w:val="24"/>
        </w:rPr>
        <w:t>2</w:t>
      </w:r>
      <w:r w:rsidRPr="00BD208F">
        <w:rPr>
          <w:rFonts w:ascii="Book Antiqua" w:eastAsia="Calibri" w:hAnsi="Book Antiqua" w:cs="Arial"/>
          <w:sz w:val="24"/>
          <w:szCs w:val="24"/>
        </w:rPr>
        <w:t>1 el año en el que se cerraron más casos</w:t>
      </w:r>
      <w:r w:rsidR="00843DD4">
        <w:rPr>
          <w:rFonts w:ascii="Book Antiqua" w:eastAsia="Calibri" w:hAnsi="Book Antiqua" w:cs="Arial"/>
          <w:sz w:val="24"/>
          <w:szCs w:val="24"/>
        </w:rPr>
        <w:t xml:space="preserve">         </w:t>
      </w:r>
      <w:r w:rsidRPr="00BD208F">
        <w:rPr>
          <w:rFonts w:ascii="Book Antiqua" w:eastAsia="Calibri" w:hAnsi="Book Antiqua" w:cs="Arial"/>
          <w:sz w:val="24"/>
          <w:szCs w:val="24"/>
        </w:rPr>
        <w:t xml:space="preserve"> 2</w:t>
      </w:r>
      <w:r w:rsidR="00843DD4">
        <w:rPr>
          <w:rFonts w:ascii="Book Antiqua" w:eastAsia="Calibri" w:hAnsi="Book Antiqua" w:cs="Arial"/>
          <w:sz w:val="24"/>
          <w:szCs w:val="24"/>
        </w:rPr>
        <w:t xml:space="preserve">5 </w:t>
      </w:r>
      <w:r w:rsidRPr="00BD208F">
        <w:rPr>
          <w:rFonts w:ascii="Book Antiqua" w:eastAsia="Calibri" w:hAnsi="Book Antiqua" w:cs="Arial"/>
          <w:sz w:val="24"/>
          <w:szCs w:val="24"/>
        </w:rPr>
        <w:t>3</w:t>
      </w:r>
      <w:r w:rsidR="00843DD4">
        <w:rPr>
          <w:rFonts w:ascii="Book Antiqua" w:eastAsia="Calibri" w:hAnsi="Book Antiqua" w:cs="Arial"/>
          <w:sz w:val="24"/>
          <w:szCs w:val="24"/>
        </w:rPr>
        <w:t>33</w:t>
      </w:r>
      <w:r w:rsidRPr="00BD208F">
        <w:rPr>
          <w:rFonts w:ascii="Book Antiqua" w:eastAsia="Calibri" w:hAnsi="Book Antiqua" w:cs="Arial"/>
          <w:sz w:val="24"/>
          <w:szCs w:val="24"/>
        </w:rPr>
        <w:t xml:space="preserve">, de los cuales </w:t>
      </w:r>
      <w:r w:rsidR="00843DD4">
        <w:rPr>
          <w:rFonts w:ascii="Book Antiqua" w:eastAsia="Calibri" w:hAnsi="Book Antiqua" w:cs="Arial"/>
          <w:sz w:val="24"/>
          <w:szCs w:val="24"/>
        </w:rPr>
        <w:t>15 211</w:t>
      </w:r>
      <w:r w:rsidRPr="00BD208F">
        <w:rPr>
          <w:rFonts w:ascii="Book Antiqua" w:eastAsia="Calibri" w:hAnsi="Book Antiqua" w:cs="Arial"/>
          <w:sz w:val="24"/>
          <w:szCs w:val="24"/>
        </w:rPr>
        <w:t xml:space="preserve"> corresponden a estudios de trabajo social. Es importante mencionar que los Despachos completen la boleta de Solicitud de valoraciones al Departamento de Trabajo Social y Psicología</w:t>
      </w:r>
      <w:r w:rsidR="00843DD4">
        <w:rPr>
          <w:rFonts w:ascii="Book Antiqua" w:eastAsia="Calibri" w:hAnsi="Book Antiqua" w:cs="Arial"/>
          <w:sz w:val="24"/>
          <w:szCs w:val="24"/>
        </w:rPr>
        <w:t>,</w:t>
      </w:r>
      <w:r w:rsidRPr="00BD208F">
        <w:rPr>
          <w:rFonts w:ascii="Book Antiqua" w:eastAsia="Calibri" w:hAnsi="Book Antiqua" w:cs="Arial"/>
          <w:sz w:val="24"/>
          <w:szCs w:val="24"/>
        </w:rPr>
        <w:t xml:space="preserve"> cuando solicit</w:t>
      </w:r>
      <w:r w:rsidR="00843DD4">
        <w:rPr>
          <w:rFonts w:ascii="Book Antiqua" w:eastAsia="Calibri" w:hAnsi="Book Antiqua" w:cs="Arial"/>
          <w:sz w:val="24"/>
          <w:szCs w:val="24"/>
        </w:rPr>
        <w:t>e</w:t>
      </w:r>
      <w:r w:rsidRPr="00BD208F">
        <w:rPr>
          <w:rFonts w:ascii="Book Antiqua" w:eastAsia="Calibri" w:hAnsi="Book Antiqua" w:cs="Arial"/>
          <w:sz w:val="24"/>
          <w:szCs w:val="24"/>
        </w:rPr>
        <w:t>n las valoraciones</w:t>
      </w:r>
      <w:r w:rsidR="00843DD4">
        <w:rPr>
          <w:rFonts w:ascii="Book Antiqua" w:eastAsia="Calibri" w:hAnsi="Book Antiqua" w:cs="Arial"/>
          <w:sz w:val="24"/>
          <w:szCs w:val="24"/>
        </w:rPr>
        <w:t>.</w:t>
      </w:r>
    </w:p>
    <w:p w14:paraId="4409B041" w14:textId="77777777" w:rsidR="00BD208F" w:rsidRDefault="00BD208F" w:rsidP="00326277">
      <w:pPr>
        <w:spacing w:after="0" w:line="276" w:lineRule="auto"/>
        <w:jc w:val="both"/>
        <w:rPr>
          <w:rFonts w:ascii="Book Antiqua" w:eastAsia="Calibri" w:hAnsi="Book Antiqua" w:cs="Arial"/>
          <w:sz w:val="24"/>
          <w:szCs w:val="24"/>
        </w:rPr>
      </w:pPr>
    </w:p>
    <w:p w14:paraId="44C4B3FF" w14:textId="5560CCAD" w:rsidR="00A72336" w:rsidRPr="00A72336" w:rsidRDefault="00A72336" w:rsidP="00A72336">
      <w:pPr>
        <w:spacing w:after="0" w:line="276" w:lineRule="auto"/>
        <w:jc w:val="both"/>
        <w:rPr>
          <w:rFonts w:ascii="Book Antiqua" w:eastAsia="Calibri" w:hAnsi="Book Antiqua" w:cs="Arial"/>
          <w:sz w:val="24"/>
          <w:szCs w:val="24"/>
        </w:rPr>
      </w:pPr>
      <w:r w:rsidRPr="00A72336">
        <w:rPr>
          <w:rFonts w:ascii="Book Antiqua" w:eastAsia="Calibri" w:hAnsi="Book Antiqua" w:cs="Arial"/>
          <w:sz w:val="24"/>
          <w:szCs w:val="24"/>
        </w:rPr>
        <w:t xml:space="preserve">Por otra parte, el Departamento de Trabajo Social y Psicología, mediante la circular 08-2018-DTSP, relacionada con los tiempos de entrega de los informes periciales estableció los siguientes plazos de entrega de los productos que se generen de la intervención profesional por parte de las personas peritos </w:t>
      </w:r>
      <w:r w:rsidRPr="00E173F7">
        <w:rPr>
          <w:rFonts w:ascii="Book Antiqua" w:eastAsia="Calibri" w:hAnsi="Book Antiqua" w:cs="Arial"/>
          <w:sz w:val="24"/>
          <w:szCs w:val="24"/>
        </w:rPr>
        <w:t xml:space="preserve">(ver </w:t>
      </w:r>
      <w:r w:rsidRPr="00E173F7">
        <w:rPr>
          <w:rFonts w:ascii="Book Antiqua" w:eastAsia="Calibri" w:hAnsi="Book Antiqua" w:cs="Arial"/>
          <w:b/>
          <w:i/>
          <w:sz w:val="24"/>
          <w:szCs w:val="24"/>
        </w:rPr>
        <w:t xml:space="preserve">anexo </w:t>
      </w:r>
      <w:r w:rsidR="007858F3">
        <w:rPr>
          <w:rFonts w:ascii="Book Antiqua" w:eastAsia="Calibri" w:hAnsi="Book Antiqua" w:cs="Arial"/>
          <w:b/>
          <w:i/>
          <w:sz w:val="24"/>
          <w:szCs w:val="24"/>
        </w:rPr>
        <w:t>6</w:t>
      </w:r>
      <w:r w:rsidRPr="00E173F7">
        <w:rPr>
          <w:rFonts w:ascii="Book Antiqua" w:eastAsia="Calibri" w:hAnsi="Book Antiqua" w:cs="Arial"/>
          <w:sz w:val="24"/>
          <w:szCs w:val="24"/>
        </w:rPr>
        <w:t>).</w:t>
      </w:r>
      <w:r w:rsidRPr="00A72336">
        <w:rPr>
          <w:rFonts w:ascii="Book Antiqua" w:eastAsia="Calibri" w:hAnsi="Book Antiqua" w:cs="Arial"/>
          <w:sz w:val="24"/>
          <w:szCs w:val="24"/>
        </w:rPr>
        <w:t xml:space="preserve"> </w:t>
      </w:r>
    </w:p>
    <w:p w14:paraId="493A1321" w14:textId="77777777" w:rsidR="00A72336" w:rsidRPr="00A72336" w:rsidRDefault="00A72336" w:rsidP="00A72336">
      <w:pPr>
        <w:spacing w:after="0" w:line="276" w:lineRule="auto"/>
        <w:jc w:val="both"/>
        <w:rPr>
          <w:rFonts w:ascii="Book Antiqua" w:eastAsia="Calibri" w:hAnsi="Book Antiqua" w:cs="Arial"/>
          <w:sz w:val="24"/>
          <w:szCs w:val="24"/>
        </w:rPr>
      </w:pPr>
    </w:p>
    <w:p w14:paraId="53FCBC7E" w14:textId="77777777" w:rsidR="00A72336" w:rsidRPr="00A72336" w:rsidRDefault="00A72336" w:rsidP="00A72336">
      <w:pPr>
        <w:spacing w:after="0" w:line="276" w:lineRule="auto"/>
        <w:jc w:val="both"/>
        <w:rPr>
          <w:rFonts w:ascii="Book Antiqua" w:eastAsia="Calibri" w:hAnsi="Book Antiqua" w:cs="Arial"/>
          <w:sz w:val="24"/>
          <w:szCs w:val="24"/>
        </w:rPr>
      </w:pPr>
      <w:r w:rsidRPr="00A72336">
        <w:rPr>
          <w:rFonts w:ascii="Book Antiqua" w:eastAsia="Calibri" w:hAnsi="Book Antiqua" w:cs="Arial"/>
          <w:sz w:val="24"/>
          <w:szCs w:val="24"/>
        </w:rPr>
        <w:t>Tiempos para la materia de Familia:</w:t>
      </w:r>
    </w:p>
    <w:p w14:paraId="58466C8E" w14:textId="77777777" w:rsidR="000C38CF" w:rsidRDefault="000C38CF" w:rsidP="009A629B">
      <w:pPr>
        <w:spacing w:after="0" w:line="276" w:lineRule="auto"/>
        <w:jc w:val="both"/>
        <w:rPr>
          <w:rFonts w:ascii="Book Antiqua" w:eastAsia="Calibri" w:hAnsi="Book Antiqua" w:cs="Arial"/>
          <w:sz w:val="24"/>
          <w:szCs w:val="24"/>
        </w:rPr>
      </w:pPr>
    </w:p>
    <w:p w14:paraId="3D12887F" w14:textId="13810917"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 xml:space="preserve">Informe de gestión: 1 semana calendario. </w:t>
      </w:r>
    </w:p>
    <w:p w14:paraId="0B0B4A21" w14:textId="77777777"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 xml:space="preserve">Informe de intervención: 3 meses calendario. </w:t>
      </w:r>
    </w:p>
    <w:p w14:paraId="4B278D3C" w14:textId="77777777"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Dictamen: 5 meses calendario.</w:t>
      </w:r>
    </w:p>
    <w:p w14:paraId="476207F2" w14:textId="77777777" w:rsidR="009A629B" w:rsidRPr="009A629B" w:rsidRDefault="009A629B" w:rsidP="009A629B">
      <w:pPr>
        <w:spacing w:after="0" w:line="276" w:lineRule="auto"/>
        <w:jc w:val="both"/>
        <w:rPr>
          <w:rFonts w:ascii="Book Antiqua" w:eastAsia="Calibri" w:hAnsi="Book Antiqua" w:cs="Arial"/>
          <w:sz w:val="24"/>
          <w:szCs w:val="24"/>
        </w:rPr>
      </w:pPr>
    </w:p>
    <w:p w14:paraId="16D79DE4" w14:textId="77777777"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 xml:space="preserve">Casos del Tribunal de Familia: </w:t>
      </w:r>
    </w:p>
    <w:p w14:paraId="68D0F889" w14:textId="77777777" w:rsidR="009A629B" w:rsidRPr="009A629B" w:rsidRDefault="009A629B" w:rsidP="009A629B">
      <w:pPr>
        <w:spacing w:after="0" w:line="276" w:lineRule="auto"/>
        <w:jc w:val="both"/>
        <w:rPr>
          <w:rFonts w:ascii="Book Antiqua" w:eastAsia="Calibri" w:hAnsi="Book Antiqua" w:cs="Arial"/>
          <w:sz w:val="24"/>
          <w:szCs w:val="24"/>
        </w:rPr>
      </w:pPr>
      <w:r w:rsidRPr="009A629B">
        <w:rPr>
          <w:rFonts w:ascii="Book Antiqua" w:eastAsia="Calibri" w:hAnsi="Book Antiqua" w:cs="Arial"/>
          <w:sz w:val="24"/>
          <w:szCs w:val="24"/>
        </w:rPr>
        <w:t>1 mes calendario a excepción del Informe de Gestión, que se rinde en una semana.</w:t>
      </w:r>
    </w:p>
    <w:p w14:paraId="64914F40"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lastRenderedPageBreak/>
        <w:t>Tiempos para la materia de Violencia Doméstica:</w:t>
      </w:r>
    </w:p>
    <w:p w14:paraId="359A3865" w14:textId="77777777" w:rsidR="00CA0A27" w:rsidRPr="00CA0A27" w:rsidRDefault="00CA0A27" w:rsidP="00CA0A27">
      <w:pPr>
        <w:spacing w:after="0" w:line="276" w:lineRule="auto"/>
        <w:jc w:val="both"/>
        <w:rPr>
          <w:rFonts w:ascii="Book Antiqua" w:eastAsia="Calibri" w:hAnsi="Book Antiqua" w:cs="Arial"/>
          <w:sz w:val="24"/>
          <w:szCs w:val="24"/>
        </w:rPr>
      </w:pPr>
    </w:p>
    <w:p w14:paraId="787254FA"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 xml:space="preserve">Informe de gestión: 1 semana calendario. </w:t>
      </w:r>
    </w:p>
    <w:p w14:paraId="5532F64D"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 xml:space="preserve">Informe evaluativo: 2 semanas calendario. </w:t>
      </w:r>
    </w:p>
    <w:p w14:paraId="1F1FCF00"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 xml:space="preserve">Informe de intervención: 2 meses y medio calendario. </w:t>
      </w:r>
    </w:p>
    <w:p w14:paraId="2255037A"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 xml:space="preserve">Dictamen: 3 meses calendario. </w:t>
      </w:r>
    </w:p>
    <w:p w14:paraId="327315F2" w14:textId="77777777" w:rsidR="00CA0A27" w:rsidRPr="00CA0A27" w:rsidRDefault="00CA0A27" w:rsidP="00CA0A27">
      <w:pPr>
        <w:spacing w:after="0" w:line="276" w:lineRule="auto"/>
        <w:jc w:val="both"/>
        <w:rPr>
          <w:rFonts w:ascii="Book Antiqua" w:eastAsia="Calibri" w:hAnsi="Book Antiqua" w:cs="Arial"/>
          <w:sz w:val="24"/>
          <w:szCs w:val="24"/>
        </w:rPr>
      </w:pPr>
    </w:p>
    <w:p w14:paraId="041DA85A"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Tiempos para la materia de Pensiones Alimentarias:</w:t>
      </w:r>
    </w:p>
    <w:p w14:paraId="00D04A75"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 xml:space="preserve">Informe de gestión: 1 semana calendario. </w:t>
      </w:r>
    </w:p>
    <w:p w14:paraId="51C5221A" w14:textId="77777777" w:rsidR="00CA0A27" w:rsidRP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Informe de intervención: 1 mes y medio calendario.</w:t>
      </w:r>
    </w:p>
    <w:p w14:paraId="12BA10BF" w14:textId="3BB6D398" w:rsidR="00CA0A27" w:rsidRDefault="00CA0A27" w:rsidP="00CA0A27">
      <w:pPr>
        <w:spacing w:after="0" w:line="276" w:lineRule="auto"/>
        <w:jc w:val="both"/>
        <w:rPr>
          <w:rFonts w:ascii="Book Antiqua" w:eastAsia="Calibri" w:hAnsi="Book Antiqua" w:cs="Arial"/>
          <w:sz w:val="24"/>
          <w:szCs w:val="24"/>
        </w:rPr>
      </w:pPr>
      <w:r w:rsidRPr="00CA0A27">
        <w:rPr>
          <w:rFonts w:ascii="Book Antiqua" w:eastAsia="Calibri" w:hAnsi="Book Antiqua" w:cs="Arial"/>
          <w:sz w:val="24"/>
          <w:szCs w:val="24"/>
        </w:rPr>
        <w:t>Dictamen: 3 meses calendario.</w:t>
      </w:r>
    </w:p>
    <w:p w14:paraId="0982D501" w14:textId="77777777" w:rsidR="0076767F" w:rsidRDefault="0076767F" w:rsidP="00CA0A27">
      <w:pPr>
        <w:spacing w:after="0" w:line="276" w:lineRule="auto"/>
        <w:jc w:val="both"/>
        <w:rPr>
          <w:rFonts w:ascii="Book Antiqua" w:eastAsia="Calibri" w:hAnsi="Book Antiqua" w:cs="Arial"/>
          <w:sz w:val="24"/>
          <w:szCs w:val="24"/>
        </w:rPr>
      </w:pPr>
    </w:p>
    <w:p w14:paraId="6FE04702" w14:textId="2A1BCCFD" w:rsidR="00A92178" w:rsidRDefault="0076767F" w:rsidP="00CA0A27">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Se hace la observación de que estos plazos son los citados en la circular </w:t>
      </w:r>
      <w:r w:rsidRPr="00A72336">
        <w:rPr>
          <w:rFonts w:ascii="Book Antiqua" w:eastAsia="Calibri" w:hAnsi="Book Antiqua" w:cs="Arial"/>
          <w:sz w:val="24"/>
          <w:szCs w:val="24"/>
        </w:rPr>
        <w:t>08-2018-DTSP</w:t>
      </w:r>
      <w:r>
        <w:rPr>
          <w:rFonts w:ascii="Book Antiqua" w:eastAsia="Calibri" w:hAnsi="Book Antiqua" w:cs="Arial"/>
          <w:sz w:val="24"/>
          <w:szCs w:val="24"/>
        </w:rPr>
        <w:t>, sin embargo para tener un dato de cuál es la duración real, se consultó al Departamento de Trabajo Social y Psicología quienes el 8 de marzo 2021 informan</w:t>
      </w:r>
      <w:r w:rsidR="00DC2A6A">
        <w:rPr>
          <w:rFonts w:ascii="Book Antiqua" w:eastAsia="Calibri" w:hAnsi="Book Antiqua" w:cs="Arial"/>
          <w:sz w:val="24"/>
          <w:szCs w:val="24"/>
        </w:rPr>
        <w:t xml:space="preserve"> que una vez consultadas las distintas oficinas, se tien</w:t>
      </w:r>
      <w:r w:rsidR="007858F3">
        <w:rPr>
          <w:rFonts w:ascii="Book Antiqua" w:eastAsia="Calibri" w:hAnsi="Book Antiqua" w:cs="Arial"/>
          <w:sz w:val="24"/>
          <w:szCs w:val="24"/>
        </w:rPr>
        <w:t>e</w:t>
      </w:r>
      <w:r w:rsidR="00DC2A6A">
        <w:rPr>
          <w:rFonts w:ascii="Book Antiqua" w:eastAsia="Calibri" w:hAnsi="Book Antiqua" w:cs="Arial"/>
          <w:sz w:val="24"/>
          <w:szCs w:val="24"/>
        </w:rPr>
        <w:t xml:space="preserve">n los siguientes datos, de </w:t>
      </w:r>
      <w:r w:rsidR="00F93B09">
        <w:rPr>
          <w:rFonts w:ascii="Book Antiqua" w:eastAsia="Calibri" w:hAnsi="Book Antiqua" w:cs="Arial"/>
          <w:sz w:val="24"/>
          <w:szCs w:val="24"/>
        </w:rPr>
        <w:t xml:space="preserve">aquellas oficinas </w:t>
      </w:r>
      <w:r w:rsidR="00DC2A6A">
        <w:rPr>
          <w:rFonts w:ascii="Book Antiqua" w:eastAsia="Calibri" w:hAnsi="Book Antiqua" w:cs="Arial"/>
          <w:sz w:val="24"/>
          <w:szCs w:val="24"/>
        </w:rPr>
        <w:t>que contestaron la consul</w:t>
      </w:r>
      <w:r w:rsidR="00F93B09">
        <w:rPr>
          <w:rFonts w:ascii="Book Antiqua" w:eastAsia="Calibri" w:hAnsi="Book Antiqua" w:cs="Arial"/>
          <w:sz w:val="24"/>
          <w:szCs w:val="24"/>
        </w:rPr>
        <w:t>t</w:t>
      </w:r>
      <w:r w:rsidR="00DC2A6A">
        <w:rPr>
          <w:rFonts w:ascii="Book Antiqua" w:eastAsia="Calibri" w:hAnsi="Book Antiqua" w:cs="Arial"/>
          <w:sz w:val="24"/>
          <w:szCs w:val="24"/>
        </w:rPr>
        <w:t>a realizada</w:t>
      </w:r>
      <w:r w:rsidR="007858F3">
        <w:rPr>
          <w:rFonts w:ascii="Book Antiqua" w:eastAsia="Calibri" w:hAnsi="Book Antiqua" w:cs="Arial"/>
          <w:sz w:val="24"/>
          <w:szCs w:val="24"/>
        </w:rPr>
        <w:t xml:space="preserve"> (anexo 7)</w:t>
      </w:r>
      <w:r>
        <w:rPr>
          <w:rFonts w:ascii="Book Antiqua" w:eastAsia="Calibri" w:hAnsi="Book Antiqua" w:cs="Arial"/>
          <w:sz w:val="24"/>
          <w:szCs w:val="24"/>
        </w:rPr>
        <w:t xml:space="preserve">: </w:t>
      </w:r>
    </w:p>
    <w:p w14:paraId="5D7A7638" w14:textId="5778C520" w:rsidR="0076767F" w:rsidRDefault="0076767F" w:rsidP="00CA0A27">
      <w:pPr>
        <w:spacing w:after="0" w:line="276" w:lineRule="auto"/>
        <w:jc w:val="both"/>
        <w:rPr>
          <w:rFonts w:ascii="Book Antiqua" w:eastAsia="Calibri" w:hAnsi="Book Antiqua" w:cs="Arial"/>
          <w:sz w:val="24"/>
          <w:szCs w:val="24"/>
        </w:rPr>
      </w:pPr>
    </w:p>
    <w:p w14:paraId="4F2F3D6F" w14:textId="53E7692A" w:rsidR="00DC2A6A" w:rsidRPr="001D0C10" w:rsidRDefault="004407B8" w:rsidP="004407B8">
      <w:pPr>
        <w:spacing w:after="0" w:line="276" w:lineRule="auto"/>
        <w:jc w:val="both"/>
        <w:rPr>
          <w:rFonts w:ascii="Book Antiqua" w:eastAsia="Calibri" w:hAnsi="Book Antiqua" w:cs="Arial"/>
          <w:i/>
          <w:iCs/>
        </w:rPr>
      </w:pPr>
      <w:r w:rsidRPr="001D0C10">
        <w:rPr>
          <w:rFonts w:ascii="Book Antiqua" w:eastAsia="Calibri" w:hAnsi="Book Antiqua" w:cs="Arial"/>
          <w:i/>
          <w:iCs/>
        </w:rPr>
        <w:t>“…</w:t>
      </w:r>
    </w:p>
    <w:p w14:paraId="6EAD9B12"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De conformidad con la información recibida por las oficinas de Trabajo Social y Psicología a nivel nacional con relación a la duración en la atención de las solicitudes realizadas por los Juzgado de Familia, Pensiones Alimentarias y Violencia Doméstica durante el 2021, se indica lo siguiente:</w:t>
      </w:r>
    </w:p>
    <w:p w14:paraId="1522E978" w14:textId="04B766CD" w:rsidR="004407B8" w:rsidRDefault="004407B8">
      <w:pPr>
        <w:jc w:val="both"/>
        <w:rPr>
          <w:rFonts w:ascii="Book Antiqua" w:hAnsi="Book Antiqua"/>
          <w:i/>
          <w:iCs/>
          <w:lang w:val="es-ES"/>
        </w:rPr>
      </w:pPr>
    </w:p>
    <w:p w14:paraId="4DFE03D7" w14:textId="6EC4B83E" w:rsidR="00F93B09" w:rsidRPr="00F93B09" w:rsidRDefault="00F93B09" w:rsidP="00F93B0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93B09">
        <w:rPr>
          <w:rFonts w:ascii="Book Antiqua" w:eastAsia="Calibri" w:hAnsi="Book Antiqua" w:cs="Arial"/>
          <w:b/>
          <w:bCs/>
          <w:color w:val="1F497D"/>
          <w:szCs w:val="24"/>
          <w:lang w:val="es-ES" w:eastAsia="es-ES"/>
        </w:rPr>
        <w:t xml:space="preserve">Cuadro </w:t>
      </w:r>
      <w:r w:rsidRPr="00F93B09">
        <w:rPr>
          <w:rFonts w:ascii="Book Antiqua" w:eastAsia="Calibri" w:hAnsi="Book Antiqua" w:cs="Arial"/>
          <w:b/>
          <w:bCs/>
          <w:color w:val="1F497D"/>
          <w:szCs w:val="24"/>
          <w:lang w:val="es-ES" w:eastAsia="es-ES"/>
        </w:rPr>
        <w:fldChar w:fldCharType="begin"/>
      </w:r>
      <w:r w:rsidRPr="00F93B09">
        <w:rPr>
          <w:rFonts w:ascii="Book Antiqua" w:eastAsia="Calibri" w:hAnsi="Book Antiqua" w:cs="Arial"/>
          <w:b/>
          <w:bCs/>
          <w:color w:val="1F497D"/>
          <w:szCs w:val="24"/>
          <w:lang w:val="es-ES" w:eastAsia="es-ES"/>
        </w:rPr>
        <w:instrText xml:space="preserve"> SEQ Cuadro \* ARABIC </w:instrText>
      </w:r>
      <w:r w:rsidRPr="00F93B09">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17</w:t>
      </w:r>
      <w:r w:rsidRPr="00F93B09">
        <w:rPr>
          <w:rFonts w:ascii="Book Antiqua" w:eastAsia="Calibri" w:hAnsi="Book Antiqua" w:cs="Arial"/>
          <w:b/>
          <w:bCs/>
          <w:color w:val="1F497D"/>
          <w:szCs w:val="24"/>
          <w:lang w:val="es-ES" w:eastAsia="es-ES"/>
        </w:rPr>
        <w:fldChar w:fldCharType="end"/>
      </w:r>
      <w:r w:rsidRPr="00F93B09">
        <w:rPr>
          <w:rFonts w:ascii="Book Antiqua" w:eastAsia="Calibri" w:hAnsi="Book Antiqua" w:cs="Arial"/>
          <w:b/>
          <w:bCs/>
          <w:color w:val="1F497D"/>
          <w:szCs w:val="24"/>
          <w:lang w:val="es-ES" w:eastAsia="es-ES"/>
        </w:rPr>
        <w:t xml:space="preserve"> </w:t>
      </w:r>
    </w:p>
    <w:p w14:paraId="008D7340" w14:textId="4C60B86D" w:rsidR="000B7781" w:rsidRDefault="000B7781" w:rsidP="00F93B09">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Duración en la atención de las solicitudes por el Departamento </w:t>
      </w:r>
    </w:p>
    <w:p w14:paraId="24E63935" w14:textId="22786A29" w:rsidR="00F93B09" w:rsidRPr="00F93B09" w:rsidRDefault="000B7781" w:rsidP="00F93B09">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de Trabajo Social y Psicología</w:t>
      </w:r>
    </w:p>
    <w:tbl>
      <w:tblPr>
        <w:tblStyle w:val="Tablaconcuadrcula"/>
        <w:tblW w:w="0" w:type="auto"/>
        <w:tblLook w:val="04A0" w:firstRow="1" w:lastRow="0" w:firstColumn="1" w:lastColumn="0" w:noHBand="0" w:noVBand="1"/>
      </w:tblPr>
      <w:tblGrid>
        <w:gridCol w:w="4414"/>
        <w:gridCol w:w="4414"/>
      </w:tblGrid>
      <w:tr w:rsidR="004407B8" w:rsidRPr="004407B8" w14:paraId="32839CA8" w14:textId="77777777" w:rsidTr="001D0C10">
        <w:tc>
          <w:tcPr>
            <w:tcW w:w="4414" w:type="dxa"/>
            <w:shd w:val="clear" w:color="auto" w:fill="002060"/>
          </w:tcPr>
          <w:p w14:paraId="776351AB" w14:textId="5CFA7808" w:rsidR="004407B8" w:rsidRPr="001D0C10" w:rsidRDefault="004407B8" w:rsidP="004407B8">
            <w:pPr>
              <w:jc w:val="center"/>
              <w:rPr>
                <w:rFonts w:ascii="Book Antiqua" w:hAnsi="Book Antiqua"/>
                <w:b/>
                <w:bCs/>
                <w:i/>
                <w:iCs/>
                <w:color w:val="FFFFFF" w:themeColor="background1"/>
                <w:lang w:val="es-ES"/>
              </w:rPr>
            </w:pPr>
            <w:r w:rsidRPr="001D0C10">
              <w:rPr>
                <w:rFonts w:ascii="Book Antiqua" w:hAnsi="Book Antiqua"/>
                <w:b/>
                <w:bCs/>
                <w:i/>
                <w:iCs/>
                <w:color w:val="FFFFFF" w:themeColor="background1"/>
                <w:lang w:val="es-ES"/>
              </w:rPr>
              <w:t>O</w:t>
            </w:r>
            <w:r w:rsidR="000B7781" w:rsidRPr="000B7781">
              <w:rPr>
                <w:rFonts w:ascii="Book Antiqua" w:hAnsi="Book Antiqua"/>
                <w:b/>
                <w:bCs/>
                <w:i/>
                <w:iCs/>
                <w:color w:val="FFFFFF" w:themeColor="background1"/>
                <w:lang w:val="es-ES"/>
              </w:rPr>
              <w:t>ficina</w:t>
            </w:r>
          </w:p>
        </w:tc>
        <w:tc>
          <w:tcPr>
            <w:tcW w:w="4414" w:type="dxa"/>
            <w:shd w:val="clear" w:color="auto" w:fill="002060"/>
          </w:tcPr>
          <w:p w14:paraId="38410C5A" w14:textId="616DDCEE" w:rsidR="004407B8" w:rsidRPr="001D0C10" w:rsidRDefault="004407B8" w:rsidP="004407B8">
            <w:pPr>
              <w:jc w:val="center"/>
              <w:rPr>
                <w:rFonts w:ascii="Book Antiqua" w:hAnsi="Book Antiqua"/>
                <w:b/>
                <w:bCs/>
                <w:i/>
                <w:iCs/>
                <w:color w:val="FFFFFF" w:themeColor="background1"/>
                <w:lang w:val="es-ES"/>
              </w:rPr>
            </w:pPr>
            <w:r w:rsidRPr="001D0C10">
              <w:rPr>
                <w:rFonts w:ascii="Book Antiqua" w:hAnsi="Book Antiqua"/>
                <w:b/>
                <w:bCs/>
                <w:i/>
                <w:iCs/>
                <w:color w:val="FFFFFF" w:themeColor="background1"/>
                <w:lang w:val="es-ES"/>
              </w:rPr>
              <w:t>O</w:t>
            </w:r>
            <w:r w:rsidR="000B7781" w:rsidRPr="000B7781">
              <w:rPr>
                <w:rFonts w:ascii="Book Antiqua" w:hAnsi="Book Antiqua"/>
                <w:b/>
                <w:bCs/>
                <w:i/>
                <w:iCs/>
                <w:color w:val="FFFFFF" w:themeColor="background1"/>
                <w:lang w:val="es-ES"/>
              </w:rPr>
              <w:t>bservaciones</w:t>
            </w:r>
            <w:r w:rsidRPr="001D0C10">
              <w:rPr>
                <w:rFonts w:ascii="Book Antiqua" w:hAnsi="Book Antiqua"/>
                <w:b/>
                <w:bCs/>
                <w:i/>
                <w:iCs/>
                <w:color w:val="FFFFFF" w:themeColor="background1"/>
                <w:lang w:val="es-ES"/>
              </w:rPr>
              <w:t xml:space="preserve"> </w:t>
            </w:r>
            <w:r w:rsidR="000B7781" w:rsidRPr="000B7781">
              <w:rPr>
                <w:rFonts w:ascii="Book Antiqua" w:hAnsi="Book Antiqua"/>
                <w:b/>
                <w:bCs/>
                <w:i/>
                <w:iCs/>
                <w:color w:val="FFFFFF" w:themeColor="background1"/>
                <w:lang w:val="es-ES"/>
              </w:rPr>
              <w:t>de las oficinas</w:t>
            </w:r>
          </w:p>
        </w:tc>
      </w:tr>
      <w:tr w:rsidR="004407B8" w:rsidRPr="004407B8" w14:paraId="5424F30C" w14:textId="77777777" w:rsidTr="001D0C10">
        <w:tc>
          <w:tcPr>
            <w:tcW w:w="4414" w:type="dxa"/>
            <w:vAlign w:val="center"/>
          </w:tcPr>
          <w:p w14:paraId="7E1DA933"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Limón</w:t>
            </w:r>
          </w:p>
        </w:tc>
        <w:tc>
          <w:tcPr>
            <w:tcW w:w="4414" w:type="dxa"/>
            <w:vAlign w:val="center"/>
          </w:tcPr>
          <w:p w14:paraId="52F1175E"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Casos de Familia, dos meses</w:t>
            </w:r>
          </w:p>
          <w:p w14:paraId="061A4526"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quince días</w:t>
            </w:r>
          </w:p>
          <w:p w14:paraId="38DB67AC"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Doméstica, dos meses</w:t>
            </w:r>
          </w:p>
        </w:tc>
      </w:tr>
      <w:tr w:rsidR="004407B8" w:rsidRPr="004407B8" w14:paraId="7892CA86" w14:textId="77777777" w:rsidTr="001D0C10">
        <w:tc>
          <w:tcPr>
            <w:tcW w:w="4414" w:type="dxa"/>
            <w:vAlign w:val="center"/>
          </w:tcPr>
          <w:p w14:paraId="288CEABA"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Corredores y Golfito</w:t>
            </w:r>
          </w:p>
        </w:tc>
        <w:tc>
          <w:tcPr>
            <w:tcW w:w="4414" w:type="dxa"/>
            <w:vAlign w:val="center"/>
          </w:tcPr>
          <w:p w14:paraId="4115B378"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Estas oficinas solo reciben solicitudes de las Fiscalías</w:t>
            </w:r>
          </w:p>
        </w:tc>
      </w:tr>
      <w:tr w:rsidR="004407B8" w:rsidRPr="004407B8" w14:paraId="45796554" w14:textId="77777777" w:rsidTr="001D0C10">
        <w:tc>
          <w:tcPr>
            <w:tcW w:w="4414" w:type="dxa"/>
            <w:vAlign w:val="center"/>
          </w:tcPr>
          <w:p w14:paraId="32705EE8"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Bribri</w:t>
            </w:r>
          </w:p>
        </w:tc>
        <w:tc>
          <w:tcPr>
            <w:tcW w:w="4414" w:type="dxa"/>
            <w:vAlign w:val="center"/>
          </w:tcPr>
          <w:p w14:paraId="1BF5B73C"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un mes</w:t>
            </w:r>
          </w:p>
          <w:p w14:paraId="3C83412E"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no tramitan</w:t>
            </w:r>
          </w:p>
          <w:p w14:paraId="12684706"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Doméstica, un mes</w:t>
            </w:r>
          </w:p>
        </w:tc>
      </w:tr>
      <w:tr w:rsidR="004407B8" w:rsidRPr="004407B8" w14:paraId="7271DEB1" w14:textId="77777777" w:rsidTr="001D0C10">
        <w:tc>
          <w:tcPr>
            <w:tcW w:w="4414" w:type="dxa"/>
            <w:vAlign w:val="center"/>
          </w:tcPr>
          <w:p w14:paraId="5D31318A" w14:textId="77777777" w:rsidR="004407B8" w:rsidRPr="00E659AD" w:rsidRDefault="004407B8" w:rsidP="001D0C10">
            <w:pPr>
              <w:jc w:val="both"/>
              <w:rPr>
                <w:rFonts w:ascii="Book Antiqua" w:hAnsi="Book Antiqua"/>
                <w:i/>
                <w:iCs/>
                <w:lang w:val="es-ES"/>
              </w:rPr>
            </w:pPr>
            <w:r w:rsidRPr="00E659AD">
              <w:rPr>
                <w:rFonts w:ascii="Book Antiqua" w:hAnsi="Book Antiqua"/>
                <w:i/>
                <w:iCs/>
                <w:lang w:val="es-ES"/>
              </w:rPr>
              <w:t>Oficina de Trabajo Social y Psicología de Puntarenas</w:t>
            </w:r>
          </w:p>
        </w:tc>
        <w:tc>
          <w:tcPr>
            <w:tcW w:w="4414" w:type="dxa"/>
            <w:vAlign w:val="center"/>
          </w:tcPr>
          <w:p w14:paraId="434655CC"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8 meses</w:t>
            </w:r>
          </w:p>
          <w:p w14:paraId="7C5644B4"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5 meses</w:t>
            </w:r>
          </w:p>
          <w:p w14:paraId="1496A62E"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lastRenderedPageBreak/>
              <w:t>Violencia Doméstica, 4 meses</w:t>
            </w:r>
          </w:p>
        </w:tc>
      </w:tr>
      <w:tr w:rsidR="004407B8" w:rsidRPr="004407B8" w14:paraId="591FCD34" w14:textId="77777777" w:rsidTr="001D0C10">
        <w:tc>
          <w:tcPr>
            <w:tcW w:w="4414" w:type="dxa"/>
            <w:vAlign w:val="center"/>
          </w:tcPr>
          <w:p w14:paraId="15791E0B" w14:textId="2FCC92AE" w:rsidR="004407B8" w:rsidRPr="00E659AD" w:rsidRDefault="004407B8" w:rsidP="001D0C10">
            <w:pPr>
              <w:jc w:val="both"/>
              <w:rPr>
                <w:rFonts w:ascii="Book Antiqua" w:hAnsi="Book Antiqua"/>
                <w:i/>
                <w:iCs/>
                <w:lang w:val="es-ES"/>
              </w:rPr>
            </w:pPr>
            <w:r w:rsidRPr="00E659AD">
              <w:rPr>
                <w:rFonts w:ascii="Book Antiqua" w:hAnsi="Book Antiqua"/>
                <w:i/>
                <w:iCs/>
                <w:lang w:val="es-ES"/>
              </w:rPr>
              <w:lastRenderedPageBreak/>
              <w:t xml:space="preserve">Oficina de Trabajo Social y Psicología de </w:t>
            </w:r>
            <w:r w:rsidR="0055226F">
              <w:rPr>
                <w:rFonts w:ascii="Book Antiqua" w:hAnsi="Book Antiqua"/>
                <w:i/>
                <w:iCs/>
                <w:lang w:val="es-ES"/>
              </w:rPr>
              <w:t>Liberia (*)</w:t>
            </w:r>
          </w:p>
        </w:tc>
        <w:tc>
          <w:tcPr>
            <w:tcW w:w="4414" w:type="dxa"/>
            <w:vAlign w:val="center"/>
          </w:tcPr>
          <w:p w14:paraId="62825BA5"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4 meses</w:t>
            </w:r>
          </w:p>
          <w:p w14:paraId="3E02A601"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4 meses</w:t>
            </w:r>
          </w:p>
          <w:p w14:paraId="06A73EC5"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Domestica, 4 meses</w:t>
            </w:r>
          </w:p>
        </w:tc>
      </w:tr>
      <w:tr w:rsidR="004407B8" w:rsidRPr="004407B8" w14:paraId="7CBBB46A" w14:textId="77777777" w:rsidTr="001D0C10">
        <w:tc>
          <w:tcPr>
            <w:tcW w:w="4414" w:type="dxa"/>
            <w:vAlign w:val="center"/>
          </w:tcPr>
          <w:p w14:paraId="3410223A"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Nicoya</w:t>
            </w:r>
          </w:p>
        </w:tc>
        <w:tc>
          <w:tcPr>
            <w:tcW w:w="4414" w:type="dxa"/>
            <w:vAlign w:val="center"/>
          </w:tcPr>
          <w:p w14:paraId="69FDD8D8"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Para las valoraciones psicosociales el tiempo es de seis meses aproximadamente.</w:t>
            </w:r>
          </w:p>
          <w:p w14:paraId="4A74C523"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En los casos de disciplina, el tiempo aproximado es de un mes para psicología y dos meses para Trabajo Social.</w:t>
            </w:r>
          </w:p>
        </w:tc>
      </w:tr>
      <w:tr w:rsidR="004407B8" w:rsidRPr="004407B8" w14:paraId="79586B19" w14:textId="77777777" w:rsidTr="001D0C10">
        <w:tc>
          <w:tcPr>
            <w:tcW w:w="4414" w:type="dxa"/>
            <w:vAlign w:val="center"/>
          </w:tcPr>
          <w:p w14:paraId="48054B81"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Heredia</w:t>
            </w:r>
          </w:p>
        </w:tc>
        <w:tc>
          <w:tcPr>
            <w:tcW w:w="4414" w:type="dxa"/>
            <w:vAlign w:val="center"/>
          </w:tcPr>
          <w:p w14:paraId="0E2E7D97"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de 6 a 8 meses</w:t>
            </w:r>
          </w:p>
          <w:p w14:paraId="2894C8A6"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Doméstica, de 3 a 6 meses</w:t>
            </w:r>
          </w:p>
          <w:p w14:paraId="6EE24405"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de 6 a 8 meses</w:t>
            </w:r>
          </w:p>
        </w:tc>
      </w:tr>
      <w:tr w:rsidR="004407B8" w:rsidRPr="004407B8" w14:paraId="259C3FF9" w14:textId="77777777" w:rsidTr="001D0C10">
        <w:tc>
          <w:tcPr>
            <w:tcW w:w="4414" w:type="dxa"/>
            <w:vAlign w:val="center"/>
          </w:tcPr>
          <w:p w14:paraId="5011A4E1"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Sarapiquí</w:t>
            </w:r>
          </w:p>
        </w:tc>
        <w:tc>
          <w:tcPr>
            <w:tcW w:w="4414" w:type="dxa"/>
            <w:vAlign w:val="center"/>
          </w:tcPr>
          <w:p w14:paraId="4FEF1CE3"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3 meses</w:t>
            </w:r>
          </w:p>
          <w:p w14:paraId="2333FF71"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Doméstica, 3 meses</w:t>
            </w:r>
          </w:p>
          <w:p w14:paraId="1CDB56C3"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no reportó en el 2021</w:t>
            </w:r>
          </w:p>
        </w:tc>
      </w:tr>
      <w:tr w:rsidR="004407B8" w:rsidRPr="004407B8" w14:paraId="4A0EF9E3" w14:textId="77777777" w:rsidTr="001D0C10">
        <w:tc>
          <w:tcPr>
            <w:tcW w:w="4414" w:type="dxa"/>
            <w:vAlign w:val="center"/>
          </w:tcPr>
          <w:p w14:paraId="764EF1B8"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Oficina de Trabajo Social y Psicología de San Carlos</w:t>
            </w:r>
          </w:p>
        </w:tc>
        <w:tc>
          <w:tcPr>
            <w:tcW w:w="4414" w:type="dxa"/>
            <w:vAlign w:val="center"/>
          </w:tcPr>
          <w:p w14:paraId="4D9C1DDF"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Familia, 5 a 6 meses</w:t>
            </w:r>
          </w:p>
          <w:p w14:paraId="7932E1EE"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Pensiones Alimentarias (sociales), 4 meses</w:t>
            </w:r>
          </w:p>
          <w:p w14:paraId="30125336" w14:textId="77777777" w:rsidR="004407B8" w:rsidRPr="001D0C10" w:rsidRDefault="004407B8" w:rsidP="001D0C10">
            <w:pPr>
              <w:jc w:val="both"/>
              <w:rPr>
                <w:rFonts w:ascii="Book Antiqua" w:hAnsi="Book Antiqua"/>
                <w:i/>
                <w:iCs/>
                <w:lang w:val="es-ES"/>
              </w:rPr>
            </w:pPr>
            <w:r w:rsidRPr="001D0C10">
              <w:rPr>
                <w:rFonts w:ascii="Book Antiqua" w:hAnsi="Book Antiqua"/>
                <w:i/>
                <w:iCs/>
                <w:lang w:val="es-ES"/>
              </w:rPr>
              <w:t>Violencia doméstica, 1 a 2 meses</w:t>
            </w:r>
          </w:p>
        </w:tc>
      </w:tr>
    </w:tbl>
    <w:p w14:paraId="3B9546F1" w14:textId="43E51125" w:rsidR="004407B8" w:rsidRDefault="00F93B09">
      <w:pPr>
        <w:jc w:val="both"/>
        <w:rPr>
          <w:rFonts w:ascii="Book Antiqua" w:hAnsi="Book Antiqua"/>
          <w:i/>
          <w:iCs/>
          <w:lang w:val="es-ES"/>
        </w:rPr>
      </w:pPr>
      <w:r>
        <w:rPr>
          <w:rFonts w:ascii="Book Antiqua" w:hAnsi="Book Antiqua"/>
          <w:i/>
          <w:iCs/>
          <w:lang w:val="es-ES"/>
        </w:rPr>
        <w:t>Fuente: Departamento de Trabajo Social y Psicología.</w:t>
      </w:r>
    </w:p>
    <w:p w14:paraId="45CF8505" w14:textId="1F1E3DFB" w:rsidR="00F93B09" w:rsidRPr="001D0C10" w:rsidRDefault="0055226F" w:rsidP="001D0C10">
      <w:pPr>
        <w:jc w:val="both"/>
        <w:rPr>
          <w:rFonts w:ascii="Book Antiqua" w:hAnsi="Book Antiqua"/>
          <w:i/>
          <w:iCs/>
          <w:lang w:val="es-ES"/>
        </w:rPr>
      </w:pPr>
      <w:r>
        <w:rPr>
          <w:rFonts w:ascii="Book Antiqua" w:hAnsi="Book Antiqua"/>
          <w:i/>
          <w:iCs/>
          <w:lang w:val="es-ES"/>
        </w:rPr>
        <w:t>(*) Este dato fue proporcionado por don Alcioni Vazquez Retana, el 16 de marzo de 2022</w:t>
      </w:r>
    </w:p>
    <w:p w14:paraId="426780EA" w14:textId="52CD19D4" w:rsidR="004407B8" w:rsidRPr="001D0C10" w:rsidRDefault="004407B8" w:rsidP="001D0C10">
      <w:pPr>
        <w:spacing w:after="0" w:line="276" w:lineRule="auto"/>
        <w:jc w:val="right"/>
        <w:rPr>
          <w:rFonts w:ascii="Book Antiqua" w:eastAsia="Calibri" w:hAnsi="Book Antiqua" w:cs="Arial"/>
          <w:i/>
          <w:iCs/>
        </w:rPr>
      </w:pPr>
      <w:r w:rsidRPr="001D0C10">
        <w:rPr>
          <w:rFonts w:ascii="Book Antiqua" w:eastAsia="Calibri" w:hAnsi="Book Antiqua" w:cs="Arial"/>
          <w:i/>
          <w:iCs/>
        </w:rPr>
        <w:t>…”</w:t>
      </w:r>
    </w:p>
    <w:p w14:paraId="15A4D701" w14:textId="77777777" w:rsidR="00DC2A6A" w:rsidRDefault="00DC2A6A" w:rsidP="00CA0A27">
      <w:pPr>
        <w:spacing w:after="0" w:line="276" w:lineRule="auto"/>
        <w:jc w:val="both"/>
        <w:rPr>
          <w:rFonts w:ascii="Book Antiqua" w:eastAsia="Calibri" w:hAnsi="Book Antiqua" w:cs="Arial"/>
          <w:sz w:val="24"/>
          <w:szCs w:val="24"/>
        </w:rPr>
      </w:pPr>
    </w:p>
    <w:p w14:paraId="1DF837D6" w14:textId="31667789" w:rsidR="00485CAA" w:rsidRDefault="00485CAA" w:rsidP="00DC2A6A">
      <w:pPr>
        <w:spacing w:after="0" w:line="276" w:lineRule="auto"/>
        <w:jc w:val="both"/>
        <w:rPr>
          <w:rFonts w:ascii="Segoe UI" w:eastAsia="Times New Roman" w:hAnsi="Segoe UI" w:cs="Segoe UI"/>
          <w:color w:val="242424"/>
          <w:sz w:val="21"/>
          <w:szCs w:val="21"/>
          <w:lang w:eastAsia="es-CR"/>
        </w:rPr>
      </w:pPr>
      <w:r>
        <w:rPr>
          <w:rFonts w:ascii="Book Antiqua" w:eastAsia="Calibri" w:hAnsi="Book Antiqua" w:cs="Arial"/>
          <w:sz w:val="24"/>
          <w:szCs w:val="24"/>
        </w:rPr>
        <w:t xml:space="preserve">Al respecto, el Subproceso de Estadística de la Dirección de </w:t>
      </w:r>
      <w:r w:rsidR="00DC2A6A">
        <w:rPr>
          <w:rFonts w:ascii="Book Antiqua" w:eastAsia="Calibri" w:hAnsi="Book Antiqua" w:cs="Arial"/>
          <w:sz w:val="24"/>
          <w:szCs w:val="24"/>
        </w:rPr>
        <w:t xml:space="preserve">Planificación incorporó dentro de la plantilla de informe mensual del DTSP la duración de los procesos, desde que entran hasta que se finalizan. Sin embargo, ese informe </w:t>
      </w:r>
      <w:r w:rsidRPr="001D0C10">
        <w:rPr>
          <w:rFonts w:ascii="Book Antiqua" w:eastAsia="Calibri" w:hAnsi="Book Antiqua" w:cs="Arial"/>
          <w:sz w:val="24"/>
          <w:szCs w:val="24"/>
        </w:rPr>
        <w:t>está en pruebas con las oficinas, hasta que</w:t>
      </w:r>
      <w:r w:rsidR="00DC2A6A" w:rsidRPr="001D0C10">
        <w:rPr>
          <w:rFonts w:ascii="Book Antiqua" w:eastAsia="Calibri" w:hAnsi="Book Antiqua" w:cs="Arial"/>
          <w:sz w:val="24"/>
          <w:szCs w:val="24"/>
        </w:rPr>
        <w:t xml:space="preserve"> el DTSP indique </w:t>
      </w:r>
      <w:r w:rsidRPr="001D0C10">
        <w:rPr>
          <w:rFonts w:ascii="Book Antiqua" w:eastAsia="Calibri" w:hAnsi="Book Antiqua" w:cs="Arial"/>
          <w:sz w:val="24"/>
          <w:szCs w:val="24"/>
        </w:rPr>
        <w:t xml:space="preserve">que la información está </w:t>
      </w:r>
      <w:r w:rsidR="00DC2A6A" w:rsidRPr="001D0C10">
        <w:rPr>
          <w:rFonts w:ascii="Book Antiqua" w:eastAsia="Calibri" w:hAnsi="Book Antiqua" w:cs="Arial"/>
          <w:sz w:val="24"/>
          <w:szCs w:val="24"/>
        </w:rPr>
        <w:t xml:space="preserve">generándose correctamente, que a nivel de SIGMA se están reflejando los datos de todas las oficinas y se obtenga el visto bueno de la jefatura de ese departamento, el Subproceso de Estadística coordinaría con las oficinas la realización de </w:t>
      </w:r>
      <w:r w:rsidR="00F93B09">
        <w:rPr>
          <w:rFonts w:ascii="Book Antiqua" w:eastAsia="Calibri" w:hAnsi="Book Antiqua" w:cs="Arial"/>
          <w:sz w:val="24"/>
          <w:szCs w:val="24"/>
        </w:rPr>
        <w:t>un</w:t>
      </w:r>
      <w:r w:rsidR="00DC2A6A" w:rsidRPr="001D0C10">
        <w:rPr>
          <w:rFonts w:ascii="Book Antiqua" w:eastAsia="Calibri" w:hAnsi="Book Antiqua" w:cs="Arial"/>
          <w:sz w:val="24"/>
          <w:szCs w:val="24"/>
        </w:rPr>
        <w:t xml:space="preserve"> inventario para actualizar la información según la nueva fórmula y a partir de ese momento se podría generar </w:t>
      </w:r>
      <w:r w:rsidR="00F93B09">
        <w:rPr>
          <w:rFonts w:ascii="Book Antiqua" w:eastAsia="Calibri" w:hAnsi="Book Antiqua" w:cs="Arial"/>
          <w:sz w:val="24"/>
          <w:szCs w:val="24"/>
        </w:rPr>
        <w:t>los</w:t>
      </w:r>
      <w:r w:rsidR="00DC2A6A" w:rsidRPr="001D0C10">
        <w:rPr>
          <w:rFonts w:ascii="Book Antiqua" w:eastAsia="Calibri" w:hAnsi="Book Antiqua" w:cs="Arial"/>
          <w:sz w:val="24"/>
          <w:szCs w:val="24"/>
        </w:rPr>
        <w:t xml:space="preserve"> datos de la duración directamente de los sistemas.</w:t>
      </w:r>
      <w:r w:rsidR="00DC2A6A">
        <w:rPr>
          <w:rFonts w:ascii="Segoe UI" w:eastAsia="Times New Roman" w:hAnsi="Segoe UI" w:cs="Segoe UI"/>
          <w:color w:val="242424"/>
          <w:sz w:val="21"/>
          <w:szCs w:val="21"/>
          <w:lang w:eastAsia="es-CR"/>
        </w:rPr>
        <w:t xml:space="preserve"> </w:t>
      </w:r>
    </w:p>
    <w:p w14:paraId="72550948" w14:textId="77777777" w:rsidR="00485CAA" w:rsidRDefault="00485CAA" w:rsidP="00CA0A27">
      <w:pPr>
        <w:spacing w:after="0" w:line="276" w:lineRule="auto"/>
        <w:jc w:val="both"/>
        <w:rPr>
          <w:rFonts w:ascii="Book Antiqua" w:eastAsia="Calibri" w:hAnsi="Book Antiqua" w:cs="Arial"/>
          <w:sz w:val="24"/>
          <w:szCs w:val="24"/>
        </w:rPr>
      </w:pPr>
    </w:p>
    <w:p w14:paraId="5C4D2C39" w14:textId="43049E08" w:rsidR="00485CAA" w:rsidRDefault="00511838" w:rsidP="00CA0A27">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De los datos anteriores, se observa la necesidad de acortar los plazos de entrega de informes de este Departamento, por lo que en 2022 se coordinará con ese departamento para la elaboración de planes remediales, no existiendo para este periodo la posib</w:t>
      </w:r>
      <w:r w:rsidR="000B7781">
        <w:rPr>
          <w:rFonts w:ascii="Book Antiqua" w:eastAsia="Calibri" w:hAnsi="Book Antiqua" w:cs="Arial"/>
          <w:sz w:val="24"/>
          <w:szCs w:val="24"/>
        </w:rPr>
        <w:t>i</w:t>
      </w:r>
      <w:r>
        <w:rPr>
          <w:rFonts w:ascii="Book Antiqua" w:eastAsia="Calibri" w:hAnsi="Book Antiqua" w:cs="Arial"/>
          <w:sz w:val="24"/>
          <w:szCs w:val="24"/>
        </w:rPr>
        <w:t>l</w:t>
      </w:r>
      <w:r w:rsidR="000B7781">
        <w:rPr>
          <w:rFonts w:ascii="Book Antiqua" w:eastAsia="Calibri" w:hAnsi="Book Antiqua" w:cs="Arial"/>
          <w:sz w:val="24"/>
          <w:szCs w:val="24"/>
        </w:rPr>
        <w:t>idad</w:t>
      </w:r>
      <w:r>
        <w:rPr>
          <w:rFonts w:ascii="Book Antiqua" w:eastAsia="Calibri" w:hAnsi="Book Antiqua" w:cs="Arial"/>
          <w:sz w:val="24"/>
          <w:szCs w:val="24"/>
        </w:rPr>
        <w:t xml:space="preserve"> de crear recurso adicional; máxime que pese a la incorporación de un monto para la contratación de peritos externos </w:t>
      </w:r>
      <w:r w:rsidR="00A94111">
        <w:rPr>
          <w:rFonts w:ascii="Book Antiqua" w:eastAsia="Calibri" w:hAnsi="Book Antiqua" w:cs="Arial"/>
          <w:sz w:val="24"/>
          <w:szCs w:val="24"/>
        </w:rPr>
        <w:t xml:space="preserve">(para la atención por esa vía de algunos peritajes previamente seleccionados por la jefatura del DTSP </w:t>
      </w:r>
      <w:r w:rsidR="00A94111">
        <w:rPr>
          <w:rFonts w:ascii="Book Antiqua" w:eastAsia="Calibri" w:hAnsi="Book Antiqua" w:cs="Arial"/>
          <w:sz w:val="24"/>
          <w:szCs w:val="24"/>
        </w:rPr>
        <w:lastRenderedPageBreak/>
        <w:t>con la intención de reducir circulante y plazos de respuesta), para ello se incorporaron</w:t>
      </w:r>
      <w:r>
        <w:rPr>
          <w:rFonts w:ascii="Book Antiqua" w:eastAsia="Calibri" w:hAnsi="Book Antiqua" w:cs="Arial"/>
          <w:sz w:val="24"/>
          <w:szCs w:val="24"/>
        </w:rPr>
        <w:t xml:space="preserve"> 30 millones </w:t>
      </w:r>
      <w:r w:rsidR="00A94111">
        <w:rPr>
          <w:rFonts w:ascii="Book Antiqua" w:eastAsia="Calibri" w:hAnsi="Book Antiqua" w:cs="Arial"/>
          <w:sz w:val="24"/>
          <w:szCs w:val="24"/>
        </w:rPr>
        <w:t>para</w:t>
      </w:r>
      <w:r>
        <w:rPr>
          <w:rFonts w:ascii="Book Antiqua" w:eastAsia="Calibri" w:hAnsi="Book Antiqua" w:cs="Arial"/>
          <w:sz w:val="24"/>
          <w:szCs w:val="24"/>
        </w:rPr>
        <w:t xml:space="preserve"> 2020 y 30 millones </w:t>
      </w:r>
      <w:r w:rsidR="00A94111">
        <w:rPr>
          <w:rFonts w:ascii="Book Antiqua" w:eastAsia="Calibri" w:hAnsi="Book Antiqua" w:cs="Arial"/>
          <w:sz w:val="24"/>
          <w:szCs w:val="24"/>
        </w:rPr>
        <w:t>para</w:t>
      </w:r>
      <w:r>
        <w:rPr>
          <w:rFonts w:ascii="Book Antiqua" w:eastAsia="Calibri" w:hAnsi="Book Antiqua" w:cs="Arial"/>
          <w:sz w:val="24"/>
          <w:szCs w:val="24"/>
        </w:rPr>
        <w:t xml:space="preserve"> 2021, los cuales en ninguno de esos </w:t>
      </w:r>
      <w:r w:rsidR="00A94111">
        <w:rPr>
          <w:rFonts w:ascii="Book Antiqua" w:eastAsia="Calibri" w:hAnsi="Book Antiqua" w:cs="Arial"/>
          <w:sz w:val="24"/>
          <w:szCs w:val="24"/>
        </w:rPr>
        <w:t>periodos</w:t>
      </w:r>
      <w:r>
        <w:rPr>
          <w:rFonts w:ascii="Book Antiqua" w:eastAsia="Calibri" w:hAnsi="Book Antiqua" w:cs="Arial"/>
          <w:sz w:val="24"/>
          <w:szCs w:val="24"/>
        </w:rPr>
        <w:t xml:space="preserve"> se ejecutaron.  </w:t>
      </w:r>
    </w:p>
    <w:p w14:paraId="121EEAE0" w14:textId="77777777" w:rsidR="00912F27" w:rsidRDefault="00912F27" w:rsidP="00CA0A27">
      <w:pPr>
        <w:spacing w:after="0" w:line="276" w:lineRule="auto"/>
        <w:jc w:val="both"/>
        <w:rPr>
          <w:rFonts w:ascii="Book Antiqua" w:eastAsia="Calibri" w:hAnsi="Book Antiqua" w:cs="Arial"/>
          <w:sz w:val="24"/>
          <w:szCs w:val="24"/>
        </w:rPr>
      </w:pPr>
    </w:p>
    <w:p w14:paraId="750B5940" w14:textId="33994EBA" w:rsidR="00CA0A27" w:rsidRPr="000012B5" w:rsidRDefault="004B3C2D" w:rsidP="000012B5">
      <w:pPr>
        <w:pStyle w:val="Ttulo4"/>
        <w:rPr>
          <w:iCs/>
        </w:rPr>
      </w:pPr>
      <w:r w:rsidRPr="000012B5">
        <w:t>Cambios para el Departamento de Trabajo Social y Piscología a partir de la entrada en vigencia del Código Procesal de Familia</w:t>
      </w:r>
    </w:p>
    <w:p w14:paraId="0D9A460A" w14:textId="77777777" w:rsidR="00116B89" w:rsidRDefault="00116B89" w:rsidP="009C01E1">
      <w:pPr>
        <w:spacing w:line="276" w:lineRule="auto"/>
        <w:jc w:val="both"/>
        <w:rPr>
          <w:rFonts w:ascii="Book Antiqua" w:hAnsi="Book Antiqua"/>
          <w:sz w:val="24"/>
          <w:szCs w:val="24"/>
        </w:rPr>
      </w:pPr>
    </w:p>
    <w:p w14:paraId="5CB8C745" w14:textId="77777777" w:rsidR="00625B69" w:rsidRPr="00625B69" w:rsidRDefault="00625B69" w:rsidP="0090609F">
      <w:pPr>
        <w:numPr>
          <w:ilvl w:val="0"/>
          <w:numId w:val="13"/>
        </w:numPr>
        <w:spacing w:after="0" w:line="276" w:lineRule="auto"/>
        <w:contextualSpacing/>
        <w:jc w:val="both"/>
        <w:rPr>
          <w:rFonts w:ascii="Book Antiqua" w:eastAsia="Calibri" w:hAnsi="Book Antiqua" w:cs="Arial"/>
          <w:sz w:val="24"/>
          <w:szCs w:val="24"/>
          <w:lang w:eastAsia="es-CR"/>
        </w:rPr>
      </w:pPr>
      <w:r w:rsidRPr="00625B69">
        <w:rPr>
          <w:rFonts w:ascii="Book Antiqua" w:eastAsia="Calibri" w:hAnsi="Book Antiqua" w:cs="Arial"/>
          <w:sz w:val="24"/>
          <w:szCs w:val="24"/>
          <w:lang w:eastAsia="es-CR"/>
        </w:rPr>
        <w:t>Valoración de personas menores de 12 años cuando quieran ejercer su capacidad procesal</w:t>
      </w:r>
    </w:p>
    <w:p w14:paraId="37C17B62" w14:textId="77777777" w:rsidR="00625B69" w:rsidRPr="00625B69" w:rsidRDefault="00625B69" w:rsidP="00625B69">
      <w:pPr>
        <w:spacing w:after="0" w:line="276" w:lineRule="auto"/>
        <w:jc w:val="both"/>
        <w:rPr>
          <w:rFonts w:ascii="Book Antiqua" w:eastAsia="Calibri" w:hAnsi="Book Antiqua" w:cs="Arial"/>
          <w:sz w:val="24"/>
          <w:szCs w:val="24"/>
        </w:rPr>
      </w:pPr>
    </w:p>
    <w:p w14:paraId="14A725DD" w14:textId="77777777" w:rsidR="00625B69" w:rsidRPr="00625B69" w:rsidRDefault="00625B69" w:rsidP="00625B69">
      <w:pPr>
        <w:spacing w:after="0" w:line="276" w:lineRule="auto"/>
        <w:jc w:val="both"/>
        <w:rPr>
          <w:rFonts w:ascii="Book Antiqua" w:eastAsia="Calibri" w:hAnsi="Book Antiqua" w:cs="Arial"/>
          <w:sz w:val="24"/>
          <w:szCs w:val="24"/>
        </w:rPr>
      </w:pPr>
      <w:r w:rsidRPr="00625B69">
        <w:rPr>
          <w:rFonts w:ascii="Book Antiqua" w:eastAsia="Calibri" w:hAnsi="Book Antiqua" w:cs="Arial"/>
          <w:sz w:val="24"/>
          <w:szCs w:val="24"/>
        </w:rPr>
        <w:t>El párrafo final del artículo 41 del Código Procesal de Familia, respecto a la representación de personas menores de edad establece:</w:t>
      </w:r>
    </w:p>
    <w:p w14:paraId="6B6438CB" w14:textId="77777777" w:rsidR="00625B69" w:rsidRPr="00625B69" w:rsidRDefault="00625B69" w:rsidP="00625B69">
      <w:pPr>
        <w:spacing w:after="0" w:line="276" w:lineRule="auto"/>
        <w:jc w:val="both"/>
        <w:rPr>
          <w:rFonts w:ascii="Book Antiqua" w:eastAsia="Calibri" w:hAnsi="Book Antiqua" w:cs="Arial"/>
          <w:sz w:val="24"/>
          <w:highlight w:val="yellow"/>
        </w:rPr>
      </w:pPr>
    </w:p>
    <w:p w14:paraId="7EE3B5B5" w14:textId="77777777" w:rsidR="00625B69" w:rsidRPr="00625B69" w:rsidRDefault="00625B69" w:rsidP="00625B69">
      <w:pPr>
        <w:autoSpaceDE w:val="0"/>
        <w:autoSpaceDN w:val="0"/>
        <w:adjustRightInd w:val="0"/>
        <w:spacing w:after="0" w:line="276" w:lineRule="auto"/>
        <w:ind w:left="567" w:right="616"/>
        <w:jc w:val="both"/>
        <w:rPr>
          <w:rFonts w:ascii="Book Antiqua" w:eastAsia="Calibri" w:hAnsi="Book Antiqua" w:cs="Arial"/>
          <w:i/>
          <w:iCs/>
          <w:sz w:val="24"/>
          <w:szCs w:val="24"/>
        </w:rPr>
      </w:pPr>
      <w:r w:rsidRPr="00625B69">
        <w:rPr>
          <w:rFonts w:ascii="Book Antiqua" w:eastAsia="Calibri" w:hAnsi="Book Antiqua" w:cs="Arial"/>
          <w:i/>
          <w:iCs/>
          <w:sz w:val="24"/>
          <w:szCs w:val="24"/>
        </w:rPr>
        <w:t>“</w:t>
      </w:r>
      <w:r w:rsidRPr="00625B69">
        <w:rPr>
          <w:rFonts w:ascii="Book Antiqua" w:eastAsia="Calibri" w:hAnsi="Book Antiqua" w:cs="Arial"/>
          <w:b/>
          <w:bCs/>
          <w:i/>
          <w:iCs/>
          <w:sz w:val="24"/>
          <w:szCs w:val="24"/>
        </w:rPr>
        <w:t>Artículo 41- Representación de personas menores de edad</w:t>
      </w:r>
    </w:p>
    <w:p w14:paraId="00BEEB9A" w14:textId="77777777" w:rsidR="00625B69" w:rsidRPr="00625B69" w:rsidRDefault="00625B69" w:rsidP="00625B69">
      <w:pPr>
        <w:autoSpaceDE w:val="0"/>
        <w:autoSpaceDN w:val="0"/>
        <w:adjustRightInd w:val="0"/>
        <w:spacing w:after="0" w:line="276" w:lineRule="auto"/>
        <w:ind w:left="567" w:right="616"/>
        <w:jc w:val="both"/>
        <w:rPr>
          <w:rFonts w:ascii="Book Antiqua" w:eastAsia="Calibri" w:hAnsi="Book Antiqua" w:cs="Arial"/>
          <w:i/>
          <w:iCs/>
          <w:sz w:val="24"/>
          <w:szCs w:val="24"/>
        </w:rPr>
      </w:pPr>
      <w:r w:rsidRPr="00625B69">
        <w:rPr>
          <w:rFonts w:ascii="Book Antiqua" w:eastAsia="Calibri" w:hAnsi="Book Antiqua" w:cs="Arial"/>
          <w:i/>
          <w:iCs/>
          <w:sz w:val="24"/>
          <w:szCs w:val="24"/>
        </w:rPr>
        <w:t>Se reconoce a todas las personas mayores de doce años el ejercicio personal y pleno de la capacidad procesal para el trámite de los procesos establecidos en este Código, sin perjuicio de que prefieran que sus padres u otras personas representantes actúen en su nombre.</w:t>
      </w:r>
    </w:p>
    <w:p w14:paraId="37611663" w14:textId="77777777" w:rsidR="00625B69" w:rsidRPr="00625B69" w:rsidRDefault="00625B69" w:rsidP="00625B69">
      <w:pPr>
        <w:autoSpaceDE w:val="0"/>
        <w:autoSpaceDN w:val="0"/>
        <w:adjustRightInd w:val="0"/>
        <w:spacing w:after="0" w:line="276" w:lineRule="auto"/>
        <w:ind w:left="567" w:right="616"/>
        <w:jc w:val="both"/>
        <w:rPr>
          <w:rFonts w:ascii="Book Antiqua" w:eastAsia="Calibri" w:hAnsi="Book Antiqua" w:cs="Arial"/>
          <w:i/>
          <w:iCs/>
          <w:sz w:val="24"/>
          <w:szCs w:val="24"/>
        </w:rPr>
      </w:pPr>
      <w:r w:rsidRPr="00625B69">
        <w:rPr>
          <w:rFonts w:ascii="Book Antiqua" w:eastAsia="Calibri" w:hAnsi="Book Antiqua" w:cs="Arial"/>
          <w:i/>
          <w:iCs/>
          <w:sz w:val="24"/>
          <w:szCs w:val="24"/>
        </w:rPr>
        <w:t>Tratándose de personas menores de doce años, la autoridad judicial llamará a quien ejerza la responsabilidad parental o bien, en su caso, a quien asigne el Patronato Nacional de la Infancia (PANI) y, si esta persona no se encontrara disponible en ese momento, podrá nombrársele representación provisional hasta tanto el ente mencionado apersone a la persona elegida. No obstante, estas personas podrán ejercer el derecho a ser oídas y participar activamente de manera progresiva y conforme a su capacidad volitiva, según la ley y bajo la apreciación del tribunal, teniendo derecho de acudir personalmente ante este y a que se les atienda de forma personalizada y conforme a sus características etarias, debiendo velar, las personas funcionarias judiciales, por la efectivización de los derechos de las personas menores de edad.</w:t>
      </w:r>
    </w:p>
    <w:p w14:paraId="22A4AA96" w14:textId="1B9520AC" w:rsidR="00625B69" w:rsidRDefault="00625B69" w:rsidP="00625B69">
      <w:pPr>
        <w:autoSpaceDE w:val="0"/>
        <w:autoSpaceDN w:val="0"/>
        <w:adjustRightInd w:val="0"/>
        <w:spacing w:after="0" w:line="276" w:lineRule="auto"/>
        <w:ind w:left="567" w:right="616"/>
        <w:jc w:val="both"/>
        <w:rPr>
          <w:rFonts w:ascii="Book Antiqua" w:eastAsia="Calibri" w:hAnsi="Book Antiqua" w:cs="Arial"/>
          <w:b/>
          <w:bCs/>
          <w:i/>
          <w:iCs/>
          <w:sz w:val="24"/>
          <w:szCs w:val="24"/>
          <w:u w:val="single"/>
        </w:rPr>
      </w:pPr>
      <w:r w:rsidRPr="00625B69">
        <w:rPr>
          <w:rFonts w:ascii="Book Antiqua" w:eastAsia="Calibri" w:hAnsi="Book Antiqua" w:cs="Arial"/>
          <w:b/>
          <w:bCs/>
          <w:i/>
          <w:iCs/>
          <w:sz w:val="24"/>
          <w:szCs w:val="24"/>
          <w:u w:val="single"/>
        </w:rPr>
        <w:t>Excepcionalmente, las personas menores de doce años podrán accionar de forma personal. En este caso, para el inicio del proceso el tribunal deberá contar con un informe psicológico del Departamento de Trabajo Social y Psicología del Poder Judicial, que acredite que la persona menor de edad tiene la capacidad para ejercer dicha acción.”.</w:t>
      </w:r>
    </w:p>
    <w:p w14:paraId="43132E6A" w14:textId="77777777" w:rsidR="00E03A52" w:rsidRPr="00625B69" w:rsidRDefault="00E03A52" w:rsidP="00625B69">
      <w:pPr>
        <w:autoSpaceDE w:val="0"/>
        <w:autoSpaceDN w:val="0"/>
        <w:adjustRightInd w:val="0"/>
        <w:spacing w:after="0" w:line="276" w:lineRule="auto"/>
        <w:ind w:left="567" w:right="616"/>
        <w:jc w:val="both"/>
        <w:rPr>
          <w:rFonts w:ascii="Book Antiqua" w:eastAsia="Calibri" w:hAnsi="Book Antiqua" w:cs="Arial"/>
          <w:b/>
          <w:bCs/>
          <w:i/>
          <w:iCs/>
          <w:sz w:val="24"/>
          <w:szCs w:val="24"/>
          <w:u w:val="single"/>
        </w:rPr>
      </w:pPr>
    </w:p>
    <w:p w14:paraId="4B8BCC30" w14:textId="77777777" w:rsidR="00E03A52" w:rsidRPr="00E03A52" w:rsidRDefault="00E03A52" w:rsidP="0090609F">
      <w:pPr>
        <w:numPr>
          <w:ilvl w:val="0"/>
          <w:numId w:val="13"/>
        </w:numPr>
        <w:spacing w:after="0" w:line="276" w:lineRule="auto"/>
        <w:contextualSpacing/>
        <w:jc w:val="both"/>
        <w:rPr>
          <w:rFonts w:ascii="Book Antiqua" w:eastAsia="Calibri" w:hAnsi="Book Antiqua" w:cs="Arial"/>
          <w:sz w:val="24"/>
          <w:szCs w:val="24"/>
          <w:lang w:eastAsia="es-CR"/>
        </w:rPr>
      </w:pPr>
      <w:r w:rsidRPr="00E03A52">
        <w:rPr>
          <w:rFonts w:ascii="Book Antiqua" w:eastAsia="Calibri" w:hAnsi="Book Antiqua" w:cs="Arial"/>
          <w:sz w:val="24"/>
          <w:szCs w:val="24"/>
          <w:lang w:eastAsia="es-CR"/>
        </w:rPr>
        <w:lastRenderedPageBreak/>
        <w:t>Ampliación de dictámenes en audiencia</w:t>
      </w:r>
    </w:p>
    <w:p w14:paraId="26AE1177" w14:textId="77777777" w:rsidR="00E03A52" w:rsidRPr="00E03A52" w:rsidRDefault="00E03A52" w:rsidP="00E03A52">
      <w:pPr>
        <w:spacing w:after="0" w:line="276" w:lineRule="auto"/>
        <w:jc w:val="both"/>
        <w:rPr>
          <w:rFonts w:ascii="Book Antiqua" w:eastAsia="Calibri" w:hAnsi="Book Antiqua" w:cs="Arial"/>
          <w:sz w:val="24"/>
        </w:rPr>
      </w:pPr>
      <w:r w:rsidRPr="00E03A52">
        <w:rPr>
          <w:rFonts w:ascii="Book Antiqua" w:eastAsia="Calibri" w:hAnsi="Book Antiqua" w:cs="Arial"/>
          <w:sz w:val="24"/>
        </w:rPr>
        <w:t xml:space="preserve">Debe considerarse que, a partir de la entrada en vigencia de la Ley 9747, los dictámenes podrán rendirse en audiencia dando posibilidad al contradictorio en los casos que el tribunal así lo determine, de conformidad con lo dispuesto en el artículo 186 del Código Procesal de Familia. Por ello, deberá el Departamento de Trabajo Social y Psicología incluir en sus controles, dentro del Modelo de estimación de cargas de trabajo, en el campo de “otra actividad por particulares” la cantidad de horas que mensualmente les consuma participar en audiencias en materia de Familia (al igual que contabilizan actualmente su participación en audiencias de trabajo). No siendo posible en este momento realizar una estimación, ya que la metodología aplicaría en ciertos casos y hasta la entrada en vigencia de la norma.   </w:t>
      </w:r>
    </w:p>
    <w:p w14:paraId="7EE0C9EF" w14:textId="77777777" w:rsidR="00E03A52" w:rsidRPr="00E03A52" w:rsidRDefault="00E03A52" w:rsidP="00E03A52">
      <w:pPr>
        <w:spacing w:after="0" w:line="276" w:lineRule="auto"/>
        <w:jc w:val="both"/>
        <w:rPr>
          <w:rFonts w:ascii="Book Antiqua" w:eastAsia="Calibri" w:hAnsi="Book Antiqua" w:cs="Arial"/>
          <w:sz w:val="24"/>
          <w:szCs w:val="24"/>
        </w:rPr>
      </w:pPr>
    </w:p>
    <w:p w14:paraId="10AFCF83" w14:textId="77777777" w:rsidR="00E03A52" w:rsidRPr="00E03A52" w:rsidRDefault="00E03A52" w:rsidP="00E03A52">
      <w:pPr>
        <w:autoSpaceDE w:val="0"/>
        <w:autoSpaceDN w:val="0"/>
        <w:adjustRightInd w:val="0"/>
        <w:spacing w:after="0" w:line="276" w:lineRule="auto"/>
        <w:ind w:left="567" w:right="616"/>
        <w:jc w:val="both"/>
        <w:rPr>
          <w:rFonts w:ascii="Book Antiqua" w:eastAsia="Calibri" w:hAnsi="Book Antiqua" w:cs="*Arial-6245-Identity-H"/>
          <w:b/>
          <w:bCs/>
          <w:i/>
          <w:iCs/>
          <w:color w:val="0A0A0A"/>
          <w:sz w:val="24"/>
          <w:szCs w:val="24"/>
        </w:rPr>
      </w:pPr>
      <w:r w:rsidRPr="00E03A52">
        <w:rPr>
          <w:rFonts w:ascii="Book Antiqua" w:eastAsia="Calibri" w:hAnsi="Book Antiqua" w:cs="*Arial-6245-Identity-H"/>
          <w:b/>
          <w:bCs/>
          <w:i/>
          <w:iCs/>
          <w:color w:val="0A0A0A"/>
          <w:sz w:val="24"/>
          <w:szCs w:val="24"/>
        </w:rPr>
        <w:t>“Artículo 186- Examen y ampliación de peritajes en audiencias</w:t>
      </w:r>
    </w:p>
    <w:p w14:paraId="43B88777" w14:textId="77777777" w:rsidR="00E03A52" w:rsidRPr="00E03A52" w:rsidRDefault="00E03A52" w:rsidP="00E03A52">
      <w:pPr>
        <w:autoSpaceDE w:val="0"/>
        <w:autoSpaceDN w:val="0"/>
        <w:adjustRightInd w:val="0"/>
        <w:spacing w:after="0" w:line="276" w:lineRule="auto"/>
        <w:ind w:left="567" w:right="616"/>
        <w:jc w:val="both"/>
        <w:rPr>
          <w:rFonts w:ascii="Book Antiqua" w:eastAsia="Calibri" w:hAnsi="Book Antiqua" w:cs="*Arial-6245-Identity-H"/>
          <w:i/>
          <w:iCs/>
          <w:color w:val="0B0B0B"/>
          <w:sz w:val="24"/>
          <w:szCs w:val="24"/>
        </w:rPr>
      </w:pPr>
      <w:r w:rsidRPr="00E03A52">
        <w:rPr>
          <w:rFonts w:ascii="Book Antiqua" w:eastAsia="Calibri" w:hAnsi="Book Antiqua" w:cs="*Arial-6245-Identity-H"/>
          <w:i/>
          <w:iCs/>
          <w:color w:val="0B0B0B"/>
          <w:sz w:val="24"/>
          <w:szCs w:val="24"/>
        </w:rPr>
        <w:t>Cuando así lo determine el tribunal, la persona perita deberá comparecer a la</w:t>
      </w:r>
    </w:p>
    <w:p w14:paraId="1931C6E3" w14:textId="77777777" w:rsidR="00E03A52" w:rsidRPr="00E03A52" w:rsidRDefault="00E03A52" w:rsidP="00E03A52">
      <w:pPr>
        <w:autoSpaceDE w:val="0"/>
        <w:autoSpaceDN w:val="0"/>
        <w:adjustRightInd w:val="0"/>
        <w:spacing w:after="0" w:line="276" w:lineRule="auto"/>
        <w:ind w:left="567" w:right="616"/>
        <w:jc w:val="both"/>
        <w:rPr>
          <w:rFonts w:ascii="Book Antiqua" w:eastAsia="Calibri" w:hAnsi="Book Antiqua" w:cs="Arial"/>
          <w:i/>
          <w:iCs/>
          <w:sz w:val="24"/>
          <w:szCs w:val="24"/>
        </w:rPr>
      </w:pPr>
      <w:r w:rsidRPr="00E03A52">
        <w:rPr>
          <w:rFonts w:ascii="Book Antiqua" w:eastAsia="Calibri" w:hAnsi="Book Antiqua" w:cs="*Arial-6245-Identity-H"/>
          <w:i/>
          <w:iCs/>
          <w:color w:val="0B0B0B"/>
          <w:sz w:val="24"/>
          <w:szCs w:val="24"/>
        </w:rPr>
        <w:t xml:space="preserve">audiencia de prueba para informar, ampliar o aclarar la pericia y lo hará de la forma más sencilla posible. Las partes podrán hacerse acompañar, para estos efectos, de una persona profesional en la materia, quien podrá solicitar, por medio de la autoridad judicial, las aclaraciones y adiciones que sean necesarias.”. </w:t>
      </w:r>
    </w:p>
    <w:p w14:paraId="25A7A019" w14:textId="77777777" w:rsidR="00E03A52" w:rsidRPr="00E03A52" w:rsidRDefault="00E03A52" w:rsidP="00E03A52">
      <w:pPr>
        <w:spacing w:after="0" w:line="276" w:lineRule="auto"/>
        <w:ind w:left="284"/>
        <w:jc w:val="both"/>
        <w:rPr>
          <w:rFonts w:ascii="Book Antiqua" w:eastAsia="Calibri" w:hAnsi="Book Antiqua" w:cs="Arial"/>
          <w:sz w:val="24"/>
          <w:szCs w:val="24"/>
        </w:rPr>
      </w:pPr>
    </w:p>
    <w:p w14:paraId="2AB5AA50" w14:textId="18D5B016" w:rsidR="00E03A52" w:rsidRPr="00E03A52" w:rsidRDefault="00E03A52" w:rsidP="00E03A52">
      <w:pPr>
        <w:spacing w:after="0" w:line="276" w:lineRule="auto"/>
        <w:jc w:val="both"/>
        <w:rPr>
          <w:rFonts w:ascii="Book Antiqua" w:eastAsia="Calibri" w:hAnsi="Book Antiqua" w:cs="Arial"/>
          <w:sz w:val="24"/>
        </w:rPr>
      </w:pPr>
      <w:r w:rsidRPr="00E03A52">
        <w:rPr>
          <w:rFonts w:ascii="Book Antiqua" w:eastAsia="Calibri" w:hAnsi="Book Antiqua" w:cs="Arial"/>
          <w:sz w:val="24"/>
        </w:rPr>
        <w:t>Conforme lo indicado por la Licenciada Alba Gutiérrez Villalobos, jefatura del Departamento de Trabajo Social Psicología (DTSP) en sesión de trabajo del 29 de enero de 2021 (minuta 49-PLA-MI-MNTA-2021</w:t>
      </w:r>
      <w:r w:rsidRPr="002609AA">
        <w:rPr>
          <w:rFonts w:ascii="Book Antiqua" w:eastAsia="Calibri" w:hAnsi="Book Antiqua" w:cs="Arial"/>
          <w:sz w:val="24"/>
        </w:rPr>
        <w:t>-</w:t>
      </w:r>
      <w:r w:rsidRPr="002609AA">
        <w:rPr>
          <w:rFonts w:ascii="Book Antiqua" w:eastAsia="Calibri" w:hAnsi="Book Antiqua" w:cs="Arial"/>
          <w:b/>
          <w:bCs/>
          <w:i/>
          <w:iCs/>
          <w:sz w:val="24"/>
        </w:rPr>
        <w:t xml:space="preserve">anexo </w:t>
      </w:r>
      <w:r w:rsidR="00C43B80">
        <w:rPr>
          <w:rFonts w:ascii="Book Antiqua" w:eastAsia="Calibri" w:hAnsi="Book Antiqua" w:cs="Arial"/>
          <w:b/>
          <w:bCs/>
          <w:i/>
          <w:iCs/>
          <w:sz w:val="24"/>
        </w:rPr>
        <w:t>9</w:t>
      </w:r>
      <w:r w:rsidRPr="002609AA">
        <w:rPr>
          <w:rFonts w:ascii="Book Antiqua" w:eastAsia="Calibri" w:hAnsi="Book Antiqua" w:cs="Arial"/>
          <w:sz w:val="24"/>
        </w:rPr>
        <w:t>); respecto</w:t>
      </w:r>
      <w:r w:rsidRPr="00E03A52">
        <w:rPr>
          <w:rFonts w:ascii="Book Antiqua" w:eastAsia="Calibri" w:hAnsi="Book Antiqua" w:cs="Arial"/>
          <w:sz w:val="24"/>
        </w:rPr>
        <w:t xml:space="preserve"> a la valoración de menores de 12 años, ya el departamento las realiza, pero en materia penal principalmente, </w:t>
      </w:r>
      <w:r w:rsidRPr="00391382">
        <w:rPr>
          <w:rFonts w:ascii="Book Antiqua" w:eastAsia="Calibri" w:hAnsi="Book Antiqua" w:cs="Arial"/>
          <w:b/>
          <w:bCs/>
          <w:sz w:val="24"/>
        </w:rPr>
        <w:t>por lo que el cambio radicará básicamente en la materia, pero la metodología ya se tiene.</w:t>
      </w:r>
      <w:r w:rsidRPr="00E03A52">
        <w:rPr>
          <w:rFonts w:ascii="Book Antiqua" w:eastAsia="Calibri" w:hAnsi="Book Antiqua" w:cs="Arial"/>
          <w:sz w:val="24"/>
        </w:rPr>
        <w:t xml:space="preserve"> </w:t>
      </w:r>
    </w:p>
    <w:p w14:paraId="04ED7C72" w14:textId="77777777" w:rsidR="00FC14AD" w:rsidRDefault="00FC14AD" w:rsidP="00AD2B6E">
      <w:pPr>
        <w:spacing w:after="0" w:line="276" w:lineRule="auto"/>
        <w:jc w:val="both"/>
        <w:rPr>
          <w:rFonts w:ascii="Book Antiqua" w:eastAsia="Calibri" w:hAnsi="Book Antiqua" w:cs="Arial"/>
          <w:sz w:val="24"/>
        </w:rPr>
      </w:pPr>
    </w:p>
    <w:p w14:paraId="5E9E1C3D" w14:textId="66B69135" w:rsidR="00AD2B6E" w:rsidRPr="00AD2B6E" w:rsidRDefault="00AD2B6E" w:rsidP="00AD2B6E">
      <w:pPr>
        <w:spacing w:after="0" w:line="276" w:lineRule="auto"/>
        <w:jc w:val="both"/>
        <w:rPr>
          <w:rFonts w:ascii="Book Antiqua" w:eastAsia="Calibri" w:hAnsi="Book Antiqua" w:cs="Arial"/>
          <w:sz w:val="24"/>
        </w:rPr>
      </w:pPr>
      <w:r w:rsidRPr="00AD2B6E">
        <w:rPr>
          <w:rFonts w:ascii="Book Antiqua" w:eastAsia="Calibri" w:hAnsi="Book Antiqua" w:cs="Arial"/>
          <w:sz w:val="24"/>
        </w:rPr>
        <w:t>Respecto al punto 2, una vez entrada en vigencia la Ley, es que se podrá valorar el impacto. Se cuenta con el antecedente en materia de Trabajo en donde a la fecha solo se tuvo que rendir el dictamen en audiencia en 1 ocasión (la reforma al Código de Trabajo entró en vigencia en julio 2017).</w:t>
      </w:r>
    </w:p>
    <w:p w14:paraId="72AE48DE" w14:textId="77777777" w:rsidR="00AD2B6E" w:rsidRPr="00AD2B6E" w:rsidRDefault="00AD2B6E" w:rsidP="00AD2B6E">
      <w:pPr>
        <w:spacing w:after="0" w:line="276" w:lineRule="auto"/>
        <w:jc w:val="both"/>
        <w:rPr>
          <w:rFonts w:ascii="Book Antiqua" w:eastAsia="Calibri" w:hAnsi="Book Antiqua" w:cs="Arial"/>
          <w:sz w:val="24"/>
        </w:rPr>
      </w:pPr>
    </w:p>
    <w:p w14:paraId="232E5E64" w14:textId="77777777" w:rsidR="00AD2B6E" w:rsidRPr="00AD2B6E" w:rsidRDefault="00AD2B6E" w:rsidP="00AD2B6E">
      <w:pPr>
        <w:spacing w:after="0" w:line="276" w:lineRule="auto"/>
        <w:jc w:val="both"/>
        <w:rPr>
          <w:rFonts w:ascii="Book Antiqua" w:eastAsia="Calibri" w:hAnsi="Book Antiqua" w:cs="Arial"/>
          <w:sz w:val="24"/>
        </w:rPr>
      </w:pPr>
      <w:r w:rsidRPr="00AD2B6E">
        <w:rPr>
          <w:rFonts w:ascii="Book Antiqua" w:eastAsia="Calibri" w:hAnsi="Book Antiqua" w:cs="Arial"/>
          <w:sz w:val="24"/>
        </w:rPr>
        <w:t xml:space="preserve">Respecto a la preparación del DTSP para la entrada en vigencia del Código Procesal de Familia se indica en la minuta de la sesión de trabajo: </w:t>
      </w:r>
    </w:p>
    <w:p w14:paraId="44E7F1FA" w14:textId="77777777" w:rsidR="00AD2B6E" w:rsidRPr="00AD2B6E" w:rsidRDefault="00AD2B6E" w:rsidP="00AD2B6E">
      <w:pPr>
        <w:spacing w:after="0" w:line="276" w:lineRule="auto"/>
        <w:ind w:left="567" w:right="616"/>
        <w:jc w:val="both"/>
        <w:rPr>
          <w:rFonts w:ascii="Book Antiqua" w:eastAsia="Calibri" w:hAnsi="Book Antiqua" w:cs="Arial"/>
          <w:i/>
          <w:iCs/>
          <w:sz w:val="24"/>
          <w:szCs w:val="24"/>
        </w:rPr>
      </w:pPr>
      <w:r w:rsidRPr="00AD2B6E">
        <w:rPr>
          <w:rFonts w:ascii="Book Antiqua" w:eastAsia="Calibri" w:hAnsi="Book Antiqua" w:cs="Arial"/>
          <w:i/>
          <w:iCs/>
          <w:sz w:val="24"/>
          <w:szCs w:val="24"/>
        </w:rPr>
        <w:t>“…</w:t>
      </w:r>
    </w:p>
    <w:p w14:paraId="113AE0E2" w14:textId="77777777" w:rsidR="00AD2B6E" w:rsidRPr="00AD2B6E" w:rsidRDefault="00AD2B6E" w:rsidP="003472C3">
      <w:pPr>
        <w:spacing w:after="0" w:line="276" w:lineRule="auto"/>
        <w:ind w:left="567" w:right="616"/>
        <w:jc w:val="both"/>
        <w:rPr>
          <w:rFonts w:ascii="Book Antiqua" w:eastAsia="Calibri" w:hAnsi="Book Antiqua" w:cs="Arial"/>
          <w:i/>
          <w:iCs/>
          <w:sz w:val="24"/>
          <w:szCs w:val="24"/>
        </w:rPr>
      </w:pPr>
      <w:r w:rsidRPr="00AD2B6E">
        <w:rPr>
          <w:rFonts w:ascii="Book Antiqua" w:eastAsia="Calibri" w:hAnsi="Book Antiqua" w:cs="Arial"/>
          <w:i/>
          <w:iCs/>
          <w:sz w:val="24"/>
          <w:szCs w:val="24"/>
        </w:rPr>
        <w:lastRenderedPageBreak/>
        <w:t>1.</w:t>
      </w:r>
      <w:r w:rsidRPr="00AD2B6E">
        <w:rPr>
          <w:rFonts w:ascii="Book Antiqua" w:eastAsia="Calibri" w:hAnsi="Book Antiqua" w:cs="Arial"/>
          <w:i/>
          <w:iCs/>
          <w:sz w:val="24"/>
          <w:szCs w:val="24"/>
        </w:rPr>
        <w:tab/>
        <w:t>Doña Alba explica en el DTSP como parte de las acciones de preparación entrada en vigencia del CPF se han realizado 2 capacitaciones.  Una del tema de personas con discapacidad enfocado a la valoración de salvaguardias en coordinación con la UCR, otra “Familias en Litigio” en coordinación igualmente con la UCR y el Colegio de Trabajadores Sociales. Esta última sobre el nuevo enfoque de configuraciones de Familia. En años anteriores se llevó otra acerca de la Ley de Autonomía personal de las personas con discapacidad.</w:t>
      </w:r>
    </w:p>
    <w:p w14:paraId="0C03E459" w14:textId="77777777" w:rsidR="00E64F82" w:rsidRPr="00E64F82" w:rsidRDefault="00AD2B6E" w:rsidP="003472C3">
      <w:pPr>
        <w:spacing w:line="276" w:lineRule="auto"/>
        <w:ind w:left="567" w:right="616"/>
        <w:jc w:val="both"/>
        <w:rPr>
          <w:rFonts w:ascii="Book Antiqua" w:eastAsia="Calibri" w:hAnsi="Book Antiqua" w:cs="Arial"/>
          <w:i/>
          <w:iCs/>
          <w:sz w:val="24"/>
          <w:szCs w:val="24"/>
        </w:rPr>
      </w:pPr>
      <w:r w:rsidRPr="00AD2B6E">
        <w:rPr>
          <w:rFonts w:ascii="Book Antiqua" w:eastAsia="Calibri" w:hAnsi="Book Antiqua" w:cs="Arial"/>
          <w:i/>
          <w:iCs/>
          <w:sz w:val="24"/>
          <w:szCs w:val="24"/>
        </w:rPr>
        <w:t>2.</w:t>
      </w:r>
      <w:r w:rsidRPr="00AD2B6E">
        <w:rPr>
          <w:rFonts w:ascii="Book Antiqua" w:eastAsia="Calibri" w:hAnsi="Book Antiqua" w:cs="Arial"/>
          <w:i/>
          <w:iCs/>
          <w:sz w:val="24"/>
          <w:szCs w:val="24"/>
        </w:rPr>
        <w:tab/>
        <w:t>También informa que el año pasado, el DTSP a nivel nacional consolidó las dudas del personal respecto al CPF y sostuvo una reunión con el Lic. Cristian Martínez gestor en la materia y la Licda. Francia León Gestora de la Escuela Judicial, donde aclararon las dudas a nivel jurídico y acordaron realizar una capacitación de fortalecimiento para los y las personas profesionales, la cual se llevara a cabo a principios del 2022; en donde se le explique al personal</w:t>
      </w:r>
      <w:r w:rsidR="00E64F82">
        <w:rPr>
          <w:rFonts w:ascii="Book Antiqua" w:eastAsia="Calibri" w:hAnsi="Book Antiqua" w:cs="Arial"/>
          <w:i/>
          <w:iCs/>
          <w:sz w:val="24"/>
          <w:szCs w:val="24"/>
        </w:rPr>
        <w:t xml:space="preserve"> </w:t>
      </w:r>
      <w:r w:rsidR="00E64F82" w:rsidRPr="00E64F82">
        <w:rPr>
          <w:rFonts w:ascii="Book Antiqua" w:eastAsia="Calibri" w:hAnsi="Book Antiqua" w:cs="Arial"/>
          <w:i/>
          <w:iCs/>
          <w:sz w:val="24"/>
          <w:szCs w:val="24"/>
        </w:rPr>
        <w:t>del DTSP las nuevas competencias y el alcance del CPF dentro de su labor ordinaria incluyendo la participación en audiencias simuladas para mejorar las habilidades de cada uno en oralidad.</w:t>
      </w:r>
    </w:p>
    <w:p w14:paraId="0C5BD98A" w14:textId="77777777" w:rsidR="00E64F82" w:rsidRPr="00E64F82" w:rsidRDefault="00E64F82" w:rsidP="003472C3">
      <w:pPr>
        <w:spacing w:after="0" w:line="276" w:lineRule="auto"/>
        <w:ind w:left="567" w:right="616"/>
        <w:jc w:val="both"/>
        <w:rPr>
          <w:rFonts w:ascii="Book Antiqua" w:eastAsia="Calibri" w:hAnsi="Book Antiqua" w:cs="Arial"/>
          <w:i/>
          <w:iCs/>
          <w:sz w:val="24"/>
          <w:szCs w:val="24"/>
        </w:rPr>
      </w:pPr>
      <w:r w:rsidRPr="00E64F82">
        <w:rPr>
          <w:rFonts w:ascii="Book Antiqua" w:eastAsia="Calibri" w:hAnsi="Book Antiqua" w:cs="Arial"/>
          <w:i/>
          <w:iCs/>
          <w:sz w:val="24"/>
          <w:szCs w:val="24"/>
        </w:rPr>
        <w:t>3.</w:t>
      </w:r>
      <w:r w:rsidRPr="00E64F82">
        <w:rPr>
          <w:rFonts w:ascii="Book Antiqua" w:eastAsia="Calibri" w:hAnsi="Book Antiqua" w:cs="Arial"/>
          <w:i/>
          <w:iCs/>
          <w:sz w:val="24"/>
          <w:szCs w:val="24"/>
        </w:rPr>
        <w:tab/>
        <w:t xml:space="preserve">Lo anterior, dado que a partir de la entrada en vigencia del CPF el profesional debe estar en capacidad de rendir el dictamen, ampliarlo, contestar dudas durante la audiencia oral si así lo considera la persona juzgadora.  </w:t>
      </w:r>
    </w:p>
    <w:p w14:paraId="3AB5473E" w14:textId="77777777" w:rsidR="00E64F82" w:rsidRPr="00E64F82" w:rsidRDefault="00E64F82" w:rsidP="003472C3">
      <w:pPr>
        <w:spacing w:after="0" w:line="276" w:lineRule="auto"/>
        <w:ind w:left="567" w:right="616"/>
        <w:jc w:val="both"/>
        <w:rPr>
          <w:rFonts w:ascii="Book Antiqua" w:eastAsia="Calibri" w:hAnsi="Book Antiqua" w:cs="Arial"/>
          <w:i/>
          <w:iCs/>
          <w:sz w:val="24"/>
          <w:szCs w:val="24"/>
        </w:rPr>
      </w:pPr>
      <w:r w:rsidRPr="00E64F82">
        <w:rPr>
          <w:rFonts w:ascii="Book Antiqua" w:eastAsia="Calibri" w:hAnsi="Book Antiqua" w:cs="Arial"/>
          <w:i/>
          <w:iCs/>
          <w:sz w:val="24"/>
          <w:szCs w:val="24"/>
        </w:rPr>
        <w:t xml:space="preserve">Al respecto se le consultó a la Licda. Alba sobre la experiencia en Laboral, a casi 4 años de entrada en vigencia de la reforma, que también daba la posibilidad para que los peritajes en materia de seguridad social se rendieran de forma oral durante la audiencia, a lo que indica que solamente ha habido 1 experiencia en donde se solicitó de esa forma la pericia. </w:t>
      </w:r>
    </w:p>
    <w:p w14:paraId="577AF3A2" w14:textId="77777777" w:rsidR="00E64F82" w:rsidRPr="00E64F82" w:rsidRDefault="00E64F82" w:rsidP="00E64F82">
      <w:pPr>
        <w:spacing w:after="0" w:line="276" w:lineRule="auto"/>
        <w:ind w:left="567" w:right="616"/>
        <w:jc w:val="both"/>
        <w:rPr>
          <w:rFonts w:ascii="Book Antiqua" w:eastAsia="Calibri" w:hAnsi="Book Antiqua" w:cs="Arial"/>
          <w:i/>
          <w:iCs/>
          <w:sz w:val="24"/>
          <w:szCs w:val="24"/>
        </w:rPr>
      </w:pPr>
      <w:r w:rsidRPr="00E64F82">
        <w:rPr>
          <w:rFonts w:ascii="Book Antiqua" w:eastAsia="Calibri" w:hAnsi="Book Antiqua" w:cs="Arial"/>
          <w:i/>
          <w:iCs/>
          <w:sz w:val="24"/>
          <w:szCs w:val="24"/>
        </w:rPr>
        <w:t>4.</w:t>
      </w:r>
      <w:r w:rsidRPr="00E64F82">
        <w:rPr>
          <w:rFonts w:ascii="Book Antiqua" w:eastAsia="Calibri" w:hAnsi="Book Antiqua" w:cs="Arial"/>
          <w:i/>
          <w:iCs/>
          <w:sz w:val="24"/>
          <w:szCs w:val="24"/>
        </w:rPr>
        <w:tab/>
        <w:t xml:space="preserve">De parte del DTSP están a la expectativa de cómo va a cambiar su dinámica de trabajo a partir de la entrada en vigencia del CPF, dado que actualmente ellos rinden los dictámenes por escrito, y además atienden asuntos urgentes y con prioridad sobre familia, como en violencia doméstica, penal, penal juvenil máxime cuando se trata de personas detenidas o casos en donde esta pronta a vencer la prisión preventiva,  y aún con esos asuntos urgentes deberán atender casos de familia o incluso audiencias en plazos cortos y sin contar con más recursos profesionales.  </w:t>
      </w:r>
    </w:p>
    <w:p w14:paraId="22E16D16" w14:textId="784E5292" w:rsidR="00E64F82" w:rsidRPr="00E64F82" w:rsidRDefault="00E64F82" w:rsidP="00E64F82">
      <w:pPr>
        <w:spacing w:after="0" w:line="276" w:lineRule="auto"/>
        <w:ind w:left="567" w:right="616"/>
        <w:jc w:val="both"/>
        <w:rPr>
          <w:rFonts w:ascii="Book Antiqua" w:eastAsia="Calibri" w:hAnsi="Book Antiqua" w:cs="Arial"/>
          <w:i/>
          <w:iCs/>
          <w:sz w:val="24"/>
          <w:szCs w:val="24"/>
        </w:rPr>
      </w:pPr>
      <w:r w:rsidRPr="00E64F82">
        <w:rPr>
          <w:rFonts w:ascii="Book Antiqua" w:eastAsia="Calibri" w:hAnsi="Book Antiqua" w:cs="Arial"/>
          <w:i/>
          <w:iCs/>
          <w:sz w:val="24"/>
          <w:szCs w:val="24"/>
        </w:rPr>
        <w:t>5.</w:t>
      </w:r>
      <w:r w:rsidRPr="00E64F82">
        <w:rPr>
          <w:rFonts w:ascii="Book Antiqua" w:eastAsia="Calibri" w:hAnsi="Book Antiqua" w:cs="Arial"/>
          <w:i/>
          <w:iCs/>
          <w:sz w:val="24"/>
          <w:szCs w:val="24"/>
        </w:rPr>
        <w:tab/>
        <w:t xml:space="preserve">Respecto a lo que establece el artículo 41 del CPF sobre la valoración de personas menores de 12 años que quieran formar parte del proceso de familia, indica doña Alba que ese tipo de valoración ya la hace el Departamento en </w:t>
      </w:r>
      <w:r w:rsidRPr="00E64F82">
        <w:rPr>
          <w:rFonts w:ascii="Book Antiqua" w:eastAsia="Calibri" w:hAnsi="Book Antiqua" w:cs="Arial"/>
          <w:i/>
          <w:iCs/>
          <w:sz w:val="24"/>
          <w:szCs w:val="24"/>
        </w:rPr>
        <w:lastRenderedPageBreak/>
        <w:t>materia penal, el cambio sería en que ahora se sumaran los casos en materia de familia.”.</w:t>
      </w:r>
    </w:p>
    <w:p w14:paraId="2FB8AA94" w14:textId="1432816A" w:rsidR="0080427B" w:rsidRDefault="0080427B" w:rsidP="00AD2B6E">
      <w:pPr>
        <w:spacing w:line="276" w:lineRule="auto"/>
        <w:jc w:val="both"/>
        <w:rPr>
          <w:rFonts w:ascii="Book Antiqua" w:hAnsi="Book Antiqua"/>
          <w:sz w:val="24"/>
          <w:szCs w:val="24"/>
        </w:rPr>
      </w:pPr>
    </w:p>
    <w:p w14:paraId="33EE58B4" w14:textId="77777777" w:rsidR="00C27B4F" w:rsidRPr="0064552E" w:rsidRDefault="00C27B4F" w:rsidP="00C27B4F">
      <w:pPr>
        <w:keepNext/>
        <w:widowControl w:val="0"/>
        <w:tabs>
          <w:tab w:val="left" w:pos="993"/>
        </w:tabs>
        <w:spacing w:before="120" w:after="0" w:line="276" w:lineRule="auto"/>
        <w:jc w:val="both"/>
        <w:outlineLvl w:val="3"/>
        <w:rPr>
          <w:rFonts w:ascii="Book Antiqua" w:eastAsia="Times New Roman" w:hAnsi="Book Antiqua" w:cs="Times New Roman"/>
          <w:b/>
          <w:bCs/>
          <w:sz w:val="24"/>
          <w:szCs w:val="24"/>
        </w:rPr>
      </w:pPr>
      <w:r w:rsidRPr="0064552E">
        <w:rPr>
          <w:rFonts w:ascii="Book Antiqua" w:eastAsia="Times New Roman" w:hAnsi="Book Antiqua" w:cs="Times New Roman"/>
          <w:b/>
          <w:bCs/>
          <w:sz w:val="24"/>
          <w:szCs w:val="24"/>
        </w:rPr>
        <w:t>Presupuesto para contratación de pericias</w:t>
      </w:r>
    </w:p>
    <w:p w14:paraId="4197F21A" w14:textId="355E610F" w:rsidR="00585486" w:rsidRDefault="008904E0" w:rsidP="008904E0">
      <w:pPr>
        <w:spacing w:after="0" w:line="276" w:lineRule="auto"/>
        <w:jc w:val="both"/>
        <w:rPr>
          <w:rFonts w:ascii="Book Antiqua" w:eastAsia="Calibri" w:hAnsi="Book Antiqua" w:cs="Arial"/>
          <w:sz w:val="24"/>
          <w:szCs w:val="24"/>
        </w:rPr>
      </w:pPr>
      <w:r w:rsidRPr="008904E0">
        <w:rPr>
          <w:rFonts w:ascii="Book Antiqua" w:eastAsia="Calibri" w:hAnsi="Book Antiqua" w:cs="Arial"/>
          <w:sz w:val="24"/>
          <w:szCs w:val="24"/>
        </w:rPr>
        <w:t xml:space="preserve">Con el fin de reducir los plazos de entrega de las distintas pericias pendientes en los Juzgados de Familia a nivel nacional, </w:t>
      </w:r>
      <w:r w:rsidRPr="00A763D8">
        <w:rPr>
          <w:rFonts w:ascii="Book Antiqua" w:eastAsia="Calibri" w:hAnsi="Book Antiqua" w:cs="Arial"/>
          <w:sz w:val="24"/>
          <w:szCs w:val="24"/>
        </w:rPr>
        <w:t xml:space="preserve">para </w:t>
      </w:r>
      <w:r w:rsidR="00DD4821">
        <w:rPr>
          <w:rFonts w:ascii="Book Antiqua" w:eastAsia="Calibri" w:hAnsi="Book Antiqua" w:cs="Arial"/>
          <w:sz w:val="24"/>
          <w:szCs w:val="24"/>
        </w:rPr>
        <w:t xml:space="preserve">2020 y </w:t>
      </w:r>
      <w:r w:rsidRPr="00A763D8">
        <w:rPr>
          <w:rFonts w:ascii="Book Antiqua" w:eastAsia="Calibri" w:hAnsi="Book Antiqua" w:cs="Arial"/>
          <w:sz w:val="24"/>
          <w:szCs w:val="24"/>
        </w:rPr>
        <w:t xml:space="preserve">2021, se incluyó en el presupuesto ordinario de la Institución un monto de 30 millones de colones </w:t>
      </w:r>
      <w:r w:rsidR="00DD4821">
        <w:rPr>
          <w:rFonts w:ascii="Book Antiqua" w:eastAsia="Calibri" w:hAnsi="Book Antiqua" w:cs="Arial"/>
          <w:sz w:val="24"/>
          <w:szCs w:val="24"/>
        </w:rPr>
        <w:t xml:space="preserve">respectivamente, </w:t>
      </w:r>
      <w:r w:rsidRPr="00A763D8">
        <w:rPr>
          <w:rFonts w:ascii="Book Antiqua" w:eastAsia="Calibri" w:hAnsi="Book Antiqua" w:cs="Arial"/>
          <w:sz w:val="24"/>
          <w:szCs w:val="24"/>
        </w:rPr>
        <w:t xml:space="preserve">a fin de que el Departamento </w:t>
      </w:r>
      <w:r w:rsidR="00CC035A">
        <w:rPr>
          <w:rFonts w:ascii="Book Antiqua" w:eastAsia="Calibri" w:hAnsi="Book Antiqua" w:cs="Arial"/>
          <w:sz w:val="24"/>
          <w:szCs w:val="24"/>
        </w:rPr>
        <w:t>d</w:t>
      </w:r>
      <w:r w:rsidRPr="00A763D8">
        <w:rPr>
          <w:rFonts w:ascii="Book Antiqua" w:eastAsia="Calibri" w:hAnsi="Book Antiqua" w:cs="Arial"/>
          <w:sz w:val="24"/>
          <w:szCs w:val="24"/>
        </w:rPr>
        <w:t>e Trabajo Social y Psicología, gestion</w:t>
      </w:r>
      <w:r w:rsidR="00DD4821">
        <w:rPr>
          <w:rFonts w:ascii="Book Antiqua" w:eastAsia="Calibri" w:hAnsi="Book Antiqua" w:cs="Arial"/>
          <w:sz w:val="24"/>
          <w:szCs w:val="24"/>
        </w:rPr>
        <w:t>ar</w:t>
      </w:r>
      <w:r w:rsidR="00563C5B">
        <w:rPr>
          <w:rFonts w:ascii="Book Antiqua" w:eastAsia="Calibri" w:hAnsi="Book Antiqua" w:cs="Arial"/>
          <w:sz w:val="24"/>
          <w:szCs w:val="24"/>
        </w:rPr>
        <w:t>a</w:t>
      </w:r>
      <w:r w:rsidRPr="00A763D8">
        <w:rPr>
          <w:rFonts w:ascii="Book Antiqua" w:eastAsia="Calibri" w:hAnsi="Book Antiqua" w:cs="Arial"/>
          <w:sz w:val="24"/>
          <w:szCs w:val="24"/>
        </w:rPr>
        <w:t xml:space="preserve"> el plan de trabajo necesario para que distintas pericias sean asumidas por peritos externos al departamento y contratados con el presupuesto disponible para esos efectos.  </w:t>
      </w:r>
    </w:p>
    <w:p w14:paraId="390D2FB1" w14:textId="77777777" w:rsidR="00754790" w:rsidRDefault="00754790" w:rsidP="008904E0">
      <w:pPr>
        <w:spacing w:after="0" w:line="276" w:lineRule="auto"/>
        <w:jc w:val="both"/>
        <w:rPr>
          <w:rFonts w:ascii="Book Antiqua" w:eastAsia="Calibri" w:hAnsi="Book Antiqua" w:cs="Arial"/>
          <w:sz w:val="24"/>
          <w:szCs w:val="24"/>
        </w:rPr>
      </w:pPr>
    </w:p>
    <w:p w14:paraId="2EE9B94E" w14:textId="318AEA25" w:rsidR="001F7EC3" w:rsidRDefault="008904E0" w:rsidP="008904E0">
      <w:pPr>
        <w:spacing w:after="0" w:line="276" w:lineRule="auto"/>
        <w:jc w:val="both"/>
        <w:rPr>
          <w:rFonts w:ascii="Book Antiqua" w:eastAsia="Calibri" w:hAnsi="Book Antiqua" w:cs="Arial"/>
          <w:sz w:val="24"/>
          <w:szCs w:val="24"/>
        </w:rPr>
      </w:pPr>
      <w:r w:rsidRPr="00585486">
        <w:rPr>
          <w:rFonts w:ascii="Book Antiqua" w:eastAsia="Calibri" w:hAnsi="Book Antiqua" w:cs="Arial"/>
          <w:sz w:val="24"/>
          <w:szCs w:val="24"/>
        </w:rPr>
        <w:t>Para 202</w:t>
      </w:r>
      <w:r w:rsidR="00DD4821">
        <w:rPr>
          <w:rFonts w:ascii="Book Antiqua" w:eastAsia="Calibri" w:hAnsi="Book Antiqua" w:cs="Arial"/>
          <w:sz w:val="24"/>
          <w:szCs w:val="24"/>
        </w:rPr>
        <w:t>3</w:t>
      </w:r>
      <w:r w:rsidRPr="00585486">
        <w:rPr>
          <w:rFonts w:ascii="Book Antiqua" w:eastAsia="Calibri" w:hAnsi="Book Antiqua" w:cs="Arial"/>
          <w:sz w:val="24"/>
          <w:szCs w:val="24"/>
        </w:rPr>
        <w:t>, se incluye</w:t>
      </w:r>
      <w:r w:rsidR="00DD4821">
        <w:rPr>
          <w:rFonts w:ascii="Book Antiqua" w:eastAsia="Calibri" w:hAnsi="Book Antiqua" w:cs="Arial"/>
          <w:sz w:val="24"/>
          <w:szCs w:val="24"/>
        </w:rPr>
        <w:t xml:space="preserve"> en este informe la propuesta de incorporar</w:t>
      </w:r>
      <w:r w:rsidRPr="00585486">
        <w:rPr>
          <w:rFonts w:ascii="Book Antiqua" w:eastAsia="Calibri" w:hAnsi="Book Antiqua" w:cs="Arial"/>
          <w:sz w:val="24"/>
          <w:szCs w:val="24"/>
        </w:rPr>
        <w:t xml:space="preserve"> en el presupuesto </w:t>
      </w:r>
      <w:r w:rsidR="00DD4821">
        <w:rPr>
          <w:rFonts w:ascii="Book Antiqua" w:eastAsia="Calibri" w:hAnsi="Book Antiqua" w:cs="Arial"/>
          <w:sz w:val="24"/>
          <w:szCs w:val="24"/>
        </w:rPr>
        <w:t>del DTSP nuevamente el</w:t>
      </w:r>
      <w:r w:rsidRPr="00585486">
        <w:rPr>
          <w:rFonts w:ascii="Book Antiqua" w:eastAsia="Calibri" w:hAnsi="Book Antiqua" w:cs="Arial"/>
          <w:sz w:val="24"/>
          <w:szCs w:val="24"/>
        </w:rPr>
        <w:t xml:space="preserve"> monto de </w:t>
      </w:r>
      <w:r w:rsidR="001F7EC3" w:rsidRPr="0064552E">
        <w:rPr>
          <w:rFonts w:ascii="Book Antiqua" w:eastAsia="Calibri" w:hAnsi="Book Antiqua" w:cs="Arial"/>
          <w:sz w:val="24"/>
          <w:szCs w:val="24"/>
          <w:shd w:val="clear" w:color="auto" w:fill="FFFFFF" w:themeFill="background1"/>
        </w:rPr>
        <w:t>6</w:t>
      </w:r>
      <w:r w:rsidRPr="0064552E">
        <w:rPr>
          <w:rFonts w:ascii="Book Antiqua" w:eastAsia="Calibri" w:hAnsi="Book Antiqua" w:cs="Arial"/>
          <w:sz w:val="24"/>
          <w:szCs w:val="24"/>
          <w:shd w:val="clear" w:color="auto" w:fill="FFFFFF" w:themeFill="background1"/>
        </w:rPr>
        <w:t>0 millones de colones</w:t>
      </w:r>
      <w:r w:rsidRPr="00585486">
        <w:rPr>
          <w:rFonts w:ascii="Book Antiqua" w:eastAsia="Calibri" w:hAnsi="Book Antiqua" w:cs="Arial"/>
          <w:sz w:val="24"/>
          <w:szCs w:val="24"/>
        </w:rPr>
        <w:t xml:space="preserve"> para garantizar la atención célere de los dictámenes solicitados por los distintos juzgados de familia a nivel nacional y permitir que el Departamento de Trabajo Social y Psicología pueda reducir al mínimo los plazos de respuesta para la realización de las valoraciones solicitadas en adelante</w:t>
      </w:r>
      <w:r w:rsidR="001F7EC3">
        <w:rPr>
          <w:rFonts w:ascii="Book Antiqua" w:eastAsia="Calibri" w:hAnsi="Book Antiqua" w:cs="Arial"/>
          <w:sz w:val="24"/>
          <w:szCs w:val="24"/>
        </w:rPr>
        <w:t>, tanto en materia de Familia como en Violencia Doméstica.</w:t>
      </w:r>
    </w:p>
    <w:p w14:paraId="09AB2A5F" w14:textId="3461C04E" w:rsidR="008904E0" w:rsidRDefault="001F7EC3" w:rsidP="008904E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 partir de los talleres de retroalimentación realizado en febrero y marzo 2022 con Juzgados contra la Violencia Doméstica, se identificaron oportunidades de mejora las cuales serán compartidas con el Departamento como uno de los entregables de este proyecto. </w:t>
      </w:r>
    </w:p>
    <w:p w14:paraId="0BC1065F" w14:textId="071E2542" w:rsidR="00754790" w:rsidRDefault="00754790" w:rsidP="008904E0">
      <w:pPr>
        <w:spacing w:after="0" w:line="276" w:lineRule="auto"/>
        <w:jc w:val="both"/>
        <w:rPr>
          <w:rFonts w:ascii="Book Antiqua" w:eastAsia="Calibri" w:hAnsi="Book Antiqua" w:cs="Arial"/>
          <w:sz w:val="24"/>
          <w:szCs w:val="24"/>
        </w:rPr>
      </w:pPr>
    </w:p>
    <w:p w14:paraId="038B4267" w14:textId="251B4FF2" w:rsidR="00754790" w:rsidRDefault="00754790" w:rsidP="0075479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Sobre lo mencionado en párrafos </w:t>
      </w:r>
      <w:r w:rsidR="00DD4821">
        <w:rPr>
          <w:rFonts w:ascii="Book Antiqua" w:eastAsia="Calibri" w:hAnsi="Book Antiqua" w:cs="Arial"/>
          <w:sz w:val="24"/>
          <w:szCs w:val="24"/>
        </w:rPr>
        <w:t>líneas</w:t>
      </w:r>
      <w:r>
        <w:rPr>
          <w:rFonts w:ascii="Book Antiqua" w:eastAsia="Calibri" w:hAnsi="Book Antiqua" w:cs="Arial"/>
          <w:sz w:val="24"/>
          <w:szCs w:val="24"/>
        </w:rPr>
        <w:t xml:space="preserve"> arriba</w:t>
      </w:r>
      <w:r w:rsidR="00243342">
        <w:rPr>
          <w:rFonts w:ascii="Book Antiqua" w:eastAsia="Calibri" w:hAnsi="Book Antiqua" w:cs="Arial"/>
          <w:sz w:val="24"/>
          <w:szCs w:val="24"/>
        </w:rPr>
        <w:t xml:space="preserve"> </w:t>
      </w:r>
      <w:r w:rsidR="005330A4">
        <w:rPr>
          <w:rFonts w:ascii="Book Antiqua" w:eastAsia="Calibri" w:hAnsi="Book Antiqua" w:cs="Arial"/>
          <w:sz w:val="24"/>
          <w:szCs w:val="24"/>
        </w:rPr>
        <w:t>sobre el monto incorporado en 2020 y 2021</w:t>
      </w:r>
      <w:r>
        <w:rPr>
          <w:rFonts w:ascii="Book Antiqua" w:eastAsia="Calibri" w:hAnsi="Book Antiqua" w:cs="Arial"/>
          <w:sz w:val="24"/>
          <w:szCs w:val="24"/>
        </w:rPr>
        <w:t>, el Lic. Alcioni Vásquez Retana, Administrador del Departamento de Trabajo Social y Psicología, indica lo siguiente</w:t>
      </w:r>
      <w:r w:rsidR="00093ECD">
        <w:rPr>
          <w:rFonts w:ascii="Book Antiqua" w:eastAsia="Calibri" w:hAnsi="Book Antiqua" w:cs="Arial"/>
          <w:sz w:val="24"/>
          <w:szCs w:val="24"/>
        </w:rPr>
        <w:t xml:space="preserve"> (</w:t>
      </w:r>
      <w:r w:rsidR="00093ECD" w:rsidRPr="00C43B80">
        <w:rPr>
          <w:rFonts w:ascii="Book Antiqua" w:eastAsia="Calibri" w:hAnsi="Book Antiqua" w:cs="Arial"/>
          <w:sz w:val="24"/>
          <w:szCs w:val="24"/>
        </w:rPr>
        <w:t xml:space="preserve">anexo </w:t>
      </w:r>
      <w:r w:rsidR="001A76E5" w:rsidRPr="00C43B80">
        <w:rPr>
          <w:rFonts w:ascii="Book Antiqua" w:eastAsia="Calibri" w:hAnsi="Book Antiqua" w:cs="Arial"/>
          <w:sz w:val="24"/>
          <w:szCs w:val="24"/>
        </w:rPr>
        <w:t>8</w:t>
      </w:r>
      <w:r w:rsidR="00093ECD">
        <w:rPr>
          <w:rFonts w:ascii="Book Antiqua" w:eastAsia="Calibri" w:hAnsi="Book Antiqua" w:cs="Arial"/>
          <w:sz w:val="24"/>
          <w:szCs w:val="24"/>
        </w:rPr>
        <w:t>)</w:t>
      </w:r>
      <w:r>
        <w:rPr>
          <w:rFonts w:ascii="Book Antiqua" w:eastAsia="Calibri" w:hAnsi="Book Antiqua" w:cs="Arial"/>
          <w:sz w:val="24"/>
          <w:szCs w:val="24"/>
        </w:rPr>
        <w:t>:</w:t>
      </w:r>
    </w:p>
    <w:p w14:paraId="107F2AE9" w14:textId="77777777" w:rsidR="00754790" w:rsidRDefault="00754790" w:rsidP="00754790">
      <w:pPr>
        <w:spacing w:after="0" w:line="276" w:lineRule="auto"/>
        <w:jc w:val="both"/>
        <w:rPr>
          <w:rFonts w:ascii="Book Antiqua" w:eastAsia="Calibri" w:hAnsi="Book Antiqua" w:cs="Arial"/>
          <w:sz w:val="24"/>
          <w:szCs w:val="24"/>
        </w:rPr>
      </w:pPr>
    </w:p>
    <w:p w14:paraId="799DD6AD" w14:textId="77777777" w:rsidR="00754790" w:rsidRPr="00594C46" w:rsidRDefault="00754790" w:rsidP="00754790">
      <w:pPr>
        <w:spacing w:after="0" w:line="276" w:lineRule="auto"/>
        <w:jc w:val="both"/>
        <w:rPr>
          <w:rFonts w:ascii="Book Antiqua" w:eastAsia="Calibri" w:hAnsi="Book Antiqua" w:cs="Arial"/>
          <w:sz w:val="20"/>
          <w:szCs w:val="20"/>
        </w:rPr>
      </w:pPr>
      <w:r w:rsidRPr="00594C46">
        <w:rPr>
          <w:rFonts w:ascii="Book Antiqua" w:eastAsia="Calibri" w:hAnsi="Book Antiqua" w:cs="Arial"/>
          <w:sz w:val="20"/>
          <w:szCs w:val="20"/>
        </w:rPr>
        <w:t>(…)</w:t>
      </w:r>
    </w:p>
    <w:p w14:paraId="3741A73B" w14:textId="77777777" w:rsidR="00754790" w:rsidRPr="00594C46" w:rsidRDefault="00754790" w:rsidP="00754790">
      <w:pPr>
        <w:spacing w:after="0" w:line="276" w:lineRule="auto"/>
        <w:jc w:val="both"/>
        <w:rPr>
          <w:rFonts w:ascii="Book Antiqua" w:eastAsia="Calibri" w:hAnsi="Book Antiqua" w:cs="Arial"/>
          <w:sz w:val="20"/>
          <w:szCs w:val="20"/>
        </w:rPr>
      </w:pPr>
    </w:p>
    <w:p w14:paraId="6CB949FD" w14:textId="145395F1" w:rsidR="00754790" w:rsidRPr="001D0C10" w:rsidRDefault="00754790" w:rsidP="001D0C10">
      <w:pPr>
        <w:spacing w:after="0" w:line="276" w:lineRule="auto"/>
        <w:ind w:left="360"/>
        <w:jc w:val="both"/>
        <w:rPr>
          <w:rFonts w:ascii="Book Antiqua" w:eastAsia="Calibri" w:hAnsi="Book Antiqua" w:cs="Arial"/>
          <w:i/>
          <w:iCs/>
          <w:sz w:val="20"/>
          <w:szCs w:val="20"/>
        </w:rPr>
      </w:pPr>
      <w:r w:rsidRPr="001D0C10">
        <w:rPr>
          <w:rFonts w:ascii="Book Antiqua" w:eastAsia="Calibri" w:hAnsi="Book Antiqua" w:cs="Arial"/>
          <w:i/>
          <w:iCs/>
          <w:sz w:val="20"/>
          <w:szCs w:val="20"/>
        </w:rPr>
        <w:t>5.</w:t>
      </w:r>
      <w:r w:rsidRPr="001D0C10">
        <w:rPr>
          <w:rFonts w:ascii="Book Antiqua" w:eastAsia="Calibri" w:hAnsi="Book Antiqua" w:cs="Arial"/>
          <w:i/>
          <w:iCs/>
          <w:sz w:val="20"/>
          <w:szCs w:val="20"/>
        </w:rPr>
        <w:tab/>
        <w:t>El Departamento de Trabajo Social y Psicología, en conjunto con el Departamento de Proveeduría, tramitó la Contratación Directa número 2021CD-000179-PROVCD, denominada “Contratación de profesionales en trabajo Social, para la realización de pericias sociales en materia de Familia”, sin embargo, en resolución N°000738-DPJ-2021-CD, de las trece horas del doce de agosto del dos mil veintiuno, se archivó la contratación dado que no se recibieron ofertas.</w:t>
      </w:r>
    </w:p>
    <w:p w14:paraId="1B585AA9" w14:textId="77777777" w:rsidR="00754790" w:rsidRPr="00594C46" w:rsidRDefault="00754790" w:rsidP="00754790">
      <w:pPr>
        <w:spacing w:after="0" w:line="276" w:lineRule="auto"/>
        <w:jc w:val="both"/>
        <w:rPr>
          <w:rFonts w:ascii="Book Antiqua" w:eastAsia="Calibri" w:hAnsi="Book Antiqua" w:cs="Arial"/>
          <w:i/>
          <w:iCs/>
          <w:sz w:val="20"/>
          <w:szCs w:val="20"/>
        </w:rPr>
      </w:pPr>
    </w:p>
    <w:p w14:paraId="279AC0AA" w14:textId="77777777" w:rsidR="00754790" w:rsidRPr="00594C46" w:rsidRDefault="00754790" w:rsidP="00754790">
      <w:pPr>
        <w:spacing w:after="0" w:line="276" w:lineRule="auto"/>
        <w:jc w:val="both"/>
        <w:rPr>
          <w:rFonts w:ascii="Book Antiqua" w:eastAsia="Calibri" w:hAnsi="Book Antiqua" w:cs="Arial"/>
          <w:i/>
          <w:iCs/>
          <w:sz w:val="20"/>
          <w:szCs w:val="20"/>
        </w:rPr>
      </w:pPr>
      <w:r w:rsidRPr="00594C46">
        <w:rPr>
          <w:rFonts w:ascii="Book Antiqua" w:eastAsia="Calibri" w:hAnsi="Book Antiqua" w:cs="Arial"/>
          <w:i/>
          <w:iCs/>
          <w:sz w:val="20"/>
          <w:szCs w:val="20"/>
        </w:rPr>
        <w:t>(…)</w:t>
      </w:r>
    </w:p>
    <w:p w14:paraId="76DE073B" w14:textId="77777777" w:rsidR="00754790" w:rsidRDefault="00754790" w:rsidP="00754790">
      <w:pPr>
        <w:spacing w:after="0" w:line="276" w:lineRule="auto"/>
        <w:jc w:val="both"/>
        <w:rPr>
          <w:rFonts w:ascii="Book Antiqua" w:eastAsia="Calibri" w:hAnsi="Book Antiqua" w:cs="Arial"/>
          <w:i/>
          <w:iCs/>
          <w:sz w:val="24"/>
          <w:szCs w:val="24"/>
        </w:rPr>
      </w:pPr>
    </w:p>
    <w:p w14:paraId="3EC85B98" w14:textId="77777777" w:rsidR="00754790" w:rsidRPr="00594C46" w:rsidRDefault="00754790" w:rsidP="00754790">
      <w:pPr>
        <w:spacing w:after="0" w:line="276" w:lineRule="auto"/>
        <w:jc w:val="both"/>
        <w:rPr>
          <w:rFonts w:ascii="Book Antiqua" w:eastAsia="Calibri" w:hAnsi="Book Antiqua" w:cs="Arial"/>
          <w:i/>
          <w:iCs/>
          <w:sz w:val="20"/>
          <w:szCs w:val="20"/>
        </w:rPr>
      </w:pPr>
      <w:r w:rsidRPr="00594C46">
        <w:rPr>
          <w:rFonts w:ascii="Book Antiqua" w:eastAsia="Calibri" w:hAnsi="Book Antiqua" w:cs="Arial"/>
          <w:i/>
          <w:iCs/>
          <w:sz w:val="20"/>
          <w:szCs w:val="20"/>
        </w:rPr>
        <w:lastRenderedPageBreak/>
        <w:t>“debido a la no adjudicación de la contratación para los servicios profesionales de los peritajes requeridos y debido a que los recursos están formulados en el programa 926, se solicitó al Consejo Superior que autorizara de manera excepcional para lo que resta del periodo 2021, que los despachos judiciales recurran al nombramiento de personas peritas en trabajo social por medio del Sistema Institucional de Administración de Peritos, y que dichos peritajes sean sufragados con los recursos disponibles en el programa 929…”.</w:t>
      </w:r>
    </w:p>
    <w:p w14:paraId="5AC15400" w14:textId="77777777" w:rsidR="00754790" w:rsidRPr="00594C46" w:rsidRDefault="00754790" w:rsidP="00754790">
      <w:pPr>
        <w:spacing w:after="0" w:line="276" w:lineRule="auto"/>
        <w:jc w:val="both"/>
        <w:rPr>
          <w:rFonts w:ascii="Book Antiqua" w:eastAsia="Calibri" w:hAnsi="Book Antiqua" w:cs="Arial"/>
          <w:i/>
          <w:iCs/>
          <w:sz w:val="20"/>
          <w:szCs w:val="20"/>
        </w:rPr>
      </w:pPr>
      <w:r w:rsidRPr="00594C46">
        <w:rPr>
          <w:rFonts w:ascii="Book Antiqua" w:eastAsia="Calibri" w:hAnsi="Book Antiqua" w:cs="Arial"/>
          <w:i/>
          <w:iCs/>
          <w:sz w:val="20"/>
          <w:szCs w:val="20"/>
        </w:rPr>
        <w:t>(…)</w:t>
      </w:r>
    </w:p>
    <w:p w14:paraId="03B9A64B" w14:textId="77777777" w:rsidR="00754790" w:rsidRPr="00AA3E2C" w:rsidRDefault="00754790" w:rsidP="00754790">
      <w:pPr>
        <w:spacing w:after="0" w:line="276" w:lineRule="auto"/>
        <w:jc w:val="both"/>
        <w:rPr>
          <w:rFonts w:ascii="Book Antiqua" w:eastAsia="Calibri" w:hAnsi="Book Antiqua" w:cs="Arial"/>
          <w:i/>
          <w:iCs/>
          <w:sz w:val="24"/>
          <w:szCs w:val="24"/>
        </w:rPr>
      </w:pPr>
      <w:r>
        <w:rPr>
          <w:rFonts w:ascii="Book Antiqua" w:eastAsia="Calibri" w:hAnsi="Book Antiqua" w:cs="Arial"/>
          <w:i/>
          <w:iCs/>
          <w:sz w:val="24"/>
          <w:szCs w:val="24"/>
        </w:rPr>
        <w:t>“</w:t>
      </w:r>
      <w:r w:rsidRPr="00201670">
        <w:rPr>
          <w:rFonts w:ascii="Book Antiqua" w:eastAsia="Calibri" w:hAnsi="Book Antiqua" w:cs="Arial"/>
          <w:i/>
          <w:iCs/>
          <w:sz w:val="24"/>
          <w:szCs w:val="24"/>
        </w:rPr>
        <w:t xml:space="preserve">mediante correo electrónico de 6 de octubre de 2021, se solicitó a todas las oficinas de Trabajo Social y Psicología del país, que con el fin de proceder a la contratación de personas peritas </w:t>
      </w:r>
      <w:r w:rsidRPr="00594C46">
        <w:rPr>
          <w:rFonts w:ascii="Book Antiqua" w:eastAsia="Calibri" w:hAnsi="Book Antiqua" w:cs="Arial"/>
          <w:i/>
          <w:iCs/>
          <w:sz w:val="20"/>
          <w:szCs w:val="20"/>
        </w:rPr>
        <w:t>externas en Trabajo Social para los procesos de familia, que a más tardar el 13 de octubre de 2021 debían remitir el detalle de tipo de proceso que llevan en sus oficinas en materia de FAMILIA, SOCIAL y PSICOSOCIAL, que se entran en etapa inicial, esto con el fin de iniciar el proceso de contratación de peritos externos…”.</w:t>
      </w:r>
    </w:p>
    <w:p w14:paraId="7DFC0F8A" w14:textId="77777777" w:rsidR="00754790" w:rsidRDefault="00754790" w:rsidP="00754790">
      <w:pPr>
        <w:spacing w:line="276" w:lineRule="auto"/>
        <w:jc w:val="both"/>
        <w:rPr>
          <w:rFonts w:ascii="Book Antiqua" w:hAnsi="Book Antiqua"/>
          <w:sz w:val="20"/>
          <w:szCs w:val="20"/>
        </w:rPr>
      </w:pPr>
    </w:p>
    <w:p w14:paraId="56FFCE8D" w14:textId="49ED1725" w:rsidR="00754790" w:rsidRDefault="00754790" w:rsidP="00754790">
      <w:pPr>
        <w:spacing w:line="276" w:lineRule="auto"/>
        <w:jc w:val="both"/>
        <w:rPr>
          <w:rFonts w:ascii="Book Antiqua" w:hAnsi="Book Antiqua"/>
          <w:sz w:val="20"/>
          <w:szCs w:val="20"/>
        </w:rPr>
      </w:pPr>
      <w:r w:rsidRPr="00594C46">
        <w:rPr>
          <w:rFonts w:ascii="Book Antiqua" w:hAnsi="Book Antiqua"/>
          <w:sz w:val="20"/>
          <w:szCs w:val="20"/>
        </w:rPr>
        <w:t>(…)</w:t>
      </w:r>
    </w:p>
    <w:p w14:paraId="2EA3D329" w14:textId="77777777" w:rsidR="00754790" w:rsidRDefault="00754790" w:rsidP="00754790">
      <w:pPr>
        <w:spacing w:line="276" w:lineRule="auto"/>
        <w:jc w:val="both"/>
        <w:rPr>
          <w:rFonts w:ascii="Book Antiqua" w:eastAsia="Calibri" w:hAnsi="Book Antiqua" w:cs="Arial"/>
          <w:i/>
          <w:iCs/>
          <w:sz w:val="20"/>
          <w:szCs w:val="20"/>
        </w:rPr>
      </w:pPr>
      <w:r>
        <w:rPr>
          <w:rFonts w:ascii="Book Antiqua" w:eastAsia="Calibri" w:hAnsi="Book Antiqua" w:cs="Arial"/>
          <w:i/>
          <w:iCs/>
          <w:sz w:val="20"/>
          <w:szCs w:val="20"/>
        </w:rPr>
        <w:t>“</w:t>
      </w:r>
      <w:r w:rsidRPr="00594C46">
        <w:rPr>
          <w:rFonts w:ascii="Book Antiqua" w:eastAsia="Calibri" w:hAnsi="Book Antiqua" w:cs="Arial"/>
          <w:i/>
          <w:iCs/>
          <w:sz w:val="20"/>
          <w:szCs w:val="20"/>
        </w:rPr>
        <w:t>Una vez con la información recabada, se procedió a coordinar con la Oficina de peritos de la Dirección Ejecutiva para proceder con la instalación del Sistema de Peritos y su posterior capacitación, una vez llevada acabada esta labor, se procedió con la asignación automática de los peritos que se encuentran inscritos en dicho Sistema (los asigna automáticamente de acuerdo con el rol y zona geográfica); para esta época el tiempo que quedaba es sumamente corto en virtud del cierre del proceso de ejecución presupuestaria</w:t>
      </w:r>
      <w:r>
        <w:rPr>
          <w:rFonts w:ascii="Book Antiqua" w:eastAsia="Calibri" w:hAnsi="Book Antiqua" w:cs="Arial"/>
          <w:i/>
          <w:iCs/>
          <w:sz w:val="20"/>
          <w:szCs w:val="20"/>
        </w:rPr>
        <w:t>…”.</w:t>
      </w:r>
    </w:p>
    <w:p w14:paraId="40701760" w14:textId="77777777" w:rsidR="00754790" w:rsidRDefault="00754790" w:rsidP="00754790">
      <w:pPr>
        <w:spacing w:line="276" w:lineRule="auto"/>
        <w:jc w:val="both"/>
        <w:rPr>
          <w:rFonts w:ascii="Book Antiqua" w:eastAsia="Calibri" w:hAnsi="Book Antiqua" w:cs="Arial"/>
          <w:i/>
          <w:iCs/>
          <w:sz w:val="20"/>
          <w:szCs w:val="20"/>
        </w:rPr>
      </w:pPr>
      <w:r>
        <w:rPr>
          <w:rFonts w:ascii="Book Antiqua" w:eastAsia="Calibri" w:hAnsi="Book Antiqua" w:cs="Arial"/>
          <w:i/>
          <w:iCs/>
          <w:sz w:val="20"/>
          <w:szCs w:val="20"/>
        </w:rPr>
        <w:t>(…)</w:t>
      </w:r>
    </w:p>
    <w:p w14:paraId="273D9698" w14:textId="77777777" w:rsidR="00754790" w:rsidRPr="00594C46" w:rsidRDefault="00754790" w:rsidP="00754790">
      <w:pPr>
        <w:spacing w:line="276" w:lineRule="auto"/>
        <w:jc w:val="both"/>
        <w:rPr>
          <w:rFonts w:ascii="Book Antiqua" w:eastAsia="Calibri" w:hAnsi="Book Antiqua" w:cs="Arial"/>
          <w:i/>
          <w:iCs/>
          <w:sz w:val="20"/>
          <w:szCs w:val="20"/>
        </w:rPr>
      </w:pPr>
      <w:r w:rsidRPr="00594C46">
        <w:rPr>
          <w:rFonts w:ascii="Book Antiqua" w:eastAsia="Calibri" w:hAnsi="Book Antiqua" w:cs="Arial"/>
          <w:i/>
          <w:iCs/>
          <w:sz w:val="20"/>
          <w:szCs w:val="20"/>
        </w:rPr>
        <w:t>Como se ha podido ver en párrafos anterior, se estuvo contra el tiempo en todo momento, lo que provocó que prácticamente los recursos asignados para el 2021 no se hayan podido utilizar para la cancelación de los honorarios de los peritos externos contratados, lo que significa la no ejecución de los recursos en la subpartida 10499.</w:t>
      </w:r>
    </w:p>
    <w:p w14:paraId="54A2DD35" w14:textId="070D300C" w:rsidR="00754790" w:rsidRDefault="00754790" w:rsidP="008904E0">
      <w:pPr>
        <w:spacing w:after="0" w:line="276" w:lineRule="auto"/>
        <w:jc w:val="both"/>
        <w:rPr>
          <w:rFonts w:ascii="Book Antiqua" w:eastAsia="Calibri" w:hAnsi="Book Antiqua" w:cs="Arial"/>
          <w:sz w:val="24"/>
          <w:szCs w:val="24"/>
        </w:rPr>
      </w:pPr>
    </w:p>
    <w:p w14:paraId="1AE6C601" w14:textId="25D2B580" w:rsidR="00421FE9" w:rsidRDefault="00754790" w:rsidP="008904E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Por lo tanto, s</w:t>
      </w:r>
      <w:r w:rsidR="00585486">
        <w:rPr>
          <w:rFonts w:ascii="Book Antiqua" w:eastAsia="Calibri" w:hAnsi="Book Antiqua" w:cs="Arial"/>
          <w:sz w:val="24"/>
          <w:szCs w:val="24"/>
        </w:rPr>
        <w:t xml:space="preserve">e mantiene para el 2023 el monto de </w:t>
      </w:r>
      <w:r w:rsidR="005330A4">
        <w:rPr>
          <w:rFonts w:ascii="Book Antiqua" w:eastAsia="Calibri" w:hAnsi="Book Antiqua" w:cs="Arial"/>
          <w:sz w:val="24"/>
          <w:szCs w:val="24"/>
        </w:rPr>
        <w:t>6</w:t>
      </w:r>
      <w:r w:rsidR="00585486">
        <w:rPr>
          <w:rFonts w:ascii="Book Antiqua" w:eastAsia="Calibri" w:hAnsi="Book Antiqua" w:cs="Arial"/>
          <w:sz w:val="24"/>
          <w:szCs w:val="24"/>
        </w:rPr>
        <w:t>0 millones de colones</w:t>
      </w:r>
      <w:r w:rsidR="00545C67">
        <w:rPr>
          <w:rFonts w:ascii="Book Antiqua" w:eastAsia="Calibri" w:hAnsi="Book Antiqua" w:cs="Arial"/>
          <w:sz w:val="24"/>
          <w:szCs w:val="24"/>
        </w:rPr>
        <w:t>,</w:t>
      </w:r>
      <w:r w:rsidR="00585486">
        <w:rPr>
          <w:rFonts w:ascii="Book Antiqua" w:eastAsia="Calibri" w:hAnsi="Book Antiqua" w:cs="Arial"/>
          <w:sz w:val="24"/>
          <w:szCs w:val="24"/>
        </w:rPr>
        <w:t xml:space="preserve"> para la atención de las pericias que solicitan los juzgados </w:t>
      </w:r>
      <w:r w:rsidR="00825FD5">
        <w:rPr>
          <w:rFonts w:ascii="Book Antiqua" w:eastAsia="Calibri" w:hAnsi="Book Antiqua" w:cs="Arial"/>
          <w:sz w:val="24"/>
          <w:szCs w:val="24"/>
        </w:rPr>
        <w:t xml:space="preserve">que conocen </w:t>
      </w:r>
      <w:r>
        <w:rPr>
          <w:rFonts w:ascii="Book Antiqua" w:eastAsia="Calibri" w:hAnsi="Book Antiqua" w:cs="Arial"/>
          <w:sz w:val="24"/>
          <w:szCs w:val="24"/>
        </w:rPr>
        <w:t xml:space="preserve">la materia </w:t>
      </w:r>
      <w:r w:rsidR="003A4C6A">
        <w:rPr>
          <w:rFonts w:ascii="Book Antiqua" w:eastAsia="Calibri" w:hAnsi="Book Antiqua" w:cs="Arial"/>
          <w:sz w:val="24"/>
          <w:szCs w:val="24"/>
        </w:rPr>
        <w:t xml:space="preserve">de Familia </w:t>
      </w:r>
      <w:r w:rsidR="002E6406">
        <w:rPr>
          <w:rFonts w:ascii="Book Antiqua" w:eastAsia="Calibri" w:hAnsi="Book Antiqua" w:cs="Arial"/>
          <w:sz w:val="24"/>
          <w:szCs w:val="24"/>
        </w:rPr>
        <w:t>al</w:t>
      </w:r>
      <w:r w:rsidR="00585486">
        <w:rPr>
          <w:rFonts w:ascii="Book Antiqua" w:eastAsia="Calibri" w:hAnsi="Book Antiqua" w:cs="Arial"/>
          <w:sz w:val="24"/>
          <w:szCs w:val="24"/>
        </w:rPr>
        <w:t xml:space="preserve"> Departamento de Trabajo Social y Psicología</w:t>
      </w:r>
      <w:r w:rsidR="002E6406" w:rsidRPr="002E6406">
        <w:rPr>
          <w:rFonts w:ascii="Book Antiqua" w:eastAsia="Calibri" w:hAnsi="Book Antiqua" w:cs="Arial"/>
          <w:sz w:val="24"/>
          <w:szCs w:val="24"/>
        </w:rPr>
        <w:t xml:space="preserve">, </w:t>
      </w:r>
      <w:r w:rsidR="002E6406">
        <w:rPr>
          <w:rFonts w:ascii="Book Antiqua" w:eastAsia="Calibri" w:hAnsi="Book Antiqua" w:cs="Arial"/>
          <w:sz w:val="24"/>
          <w:szCs w:val="24"/>
        </w:rPr>
        <w:t xml:space="preserve">con el fin de que este departamento </w:t>
      </w:r>
      <w:r w:rsidR="00585486">
        <w:rPr>
          <w:rFonts w:ascii="Book Antiqua" w:eastAsia="Calibri" w:hAnsi="Book Antiqua" w:cs="Arial"/>
          <w:sz w:val="24"/>
          <w:szCs w:val="24"/>
        </w:rPr>
        <w:t>brind</w:t>
      </w:r>
      <w:r w:rsidR="002E6406">
        <w:rPr>
          <w:rFonts w:ascii="Book Antiqua" w:eastAsia="Calibri" w:hAnsi="Book Antiqua" w:cs="Arial"/>
          <w:sz w:val="24"/>
          <w:szCs w:val="24"/>
        </w:rPr>
        <w:t xml:space="preserve">e </w:t>
      </w:r>
      <w:r w:rsidR="00585486">
        <w:rPr>
          <w:rFonts w:ascii="Book Antiqua" w:eastAsia="Calibri" w:hAnsi="Book Antiqua" w:cs="Arial"/>
          <w:sz w:val="24"/>
          <w:szCs w:val="24"/>
        </w:rPr>
        <w:t xml:space="preserve">un servicio más rápido en la atención de las solicitudes </w:t>
      </w:r>
      <w:r w:rsidR="002E6406">
        <w:rPr>
          <w:rFonts w:ascii="Book Antiqua" w:eastAsia="Calibri" w:hAnsi="Book Antiqua" w:cs="Arial"/>
          <w:sz w:val="24"/>
          <w:szCs w:val="24"/>
        </w:rPr>
        <w:t>que ingresan de los despachos a nivel nacional</w:t>
      </w:r>
      <w:r w:rsidR="003A4C6A">
        <w:rPr>
          <w:rFonts w:ascii="Book Antiqua" w:eastAsia="Calibri" w:hAnsi="Book Antiqua" w:cs="Arial"/>
          <w:sz w:val="24"/>
          <w:szCs w:val="24"/>
        </w:rPr>
        <w:t>, ya que su participación no es solamente con estos despachos, sino también con los Juzgados de Violencia Doméstica</w:t>
      </w:r>
      <w:r w:rsidR="00421FE9">
        <w:rPr>
          <w:rFonts w:ascii="Book Antiqua" w:eastAsia="Calibri" w:hAnsi="Book Antiqua" w:cs="Arial"/>
          <w:sz w:val="24"/>
          <w:szCs w:val="24"/>
        </w:rPr>
        <w:t>.</w:t>
      </w:r>
    </w:p>
    <w:p w14:paraId="3211F21D" w14:textId="77777777" w:rsidR="00E659AD" w:rsidRDefault="00E659AD" w:rsidP="008904E0">
      <w:pPr>
        <w:spacing w:after="0" w:line="276" w:lineRule="auto"/>
        <w:jc w:val="both"/>
        <w:rPr>
          <w:rFonts w:ascii="Book Antiqua" w:eastAsia="Calibri" w:hAnsi="Book Antiqua" w:cs="Arial"/>
          <w:sz w:val="24"/>
          <w:szCs w:val="24"/>
        </w:rPr>
      </w:pPr>
    </w:p>
    <w:p w14:paraId="2A1934B3" w14:textId="176FAB79" w:rsidR="00585486" w:rsidRDefault="00421FE9" w:rsidP="008904E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Adicionalmente, se realizó un </w:t>
      </w:r>
      <w:r w:rsidR="00754790">
        <w:rPr>
          <w:rFonts w:ascii="Book Antiqua" w:eastAsia="Calibri" w:hAnsi="Book Antiqua" w:cs="Arial"/>
          <w:sz w:val="24"/>
          <w:szCs w:val="24"/>
        </w:rPr>
        <w:t>taller</w:t>
      </w:r>
      <w:r>
        <w:rPr>
          <w:rFonts w:ascii="Book Antiqua" w:eastAsia="Calibri" w:hAnsi="Book Antiqua" w:cs="Arial"/>
          <w:sz w:val="24"/>
          <w:szCs w:val="24"/>
        </w:rPr>
        <w:t xml:space="preserve"> con </w:t>
      </w:r>
      <w:r w:rsidR="00945E23">
        <w:rPr>
          <w:rFonts w:ascii="Book Antiqua" w:eastAsia="Calibri" w:hAnsi="Book Antiqua" w:cs="Arial"/>
          <w:sz w:val="24"/>
          <w:szCs w:val="24"/>
        </w:rPr>
        <w:t xml:space="preserve">los despachos que tramitan </w:t>
      </w:r>
      <w:r w:rsidR="005330A4">
        <w:rPr>
          <w:rFonts w:ascii="Book Antiqua" w:eastAsia="Calibri" w:hAnsi="Book Antiqua" w:cs="Arial"/>
          <w:sz w:val="24"/>
          <w:szCs w:val="24"/>
        </w:rPr>
        <w:t>V</w:t>
      </w:r>
      <w:r w:rsidR="00945E23">
        <w:rPr>
          <w:rFonts w:ascii="Book Antiqua" w:eastAsia="Calibri" w:hAnsi="Book Antiqua" w:cs="Arial"/>
          <w:sz w:val="24"/>
          <w:szCs w:val="24"/>
        </w:rPr>
        <w:t xml:space="preserve">iolencia </w:t>
      </w:r>
      <w:r w:rsidR="005330A4">
        <w:rPr>
          <w:rFonts w:ascii="Book Antiqua" w:eastAsia="Calibri" w:hAnsi="Book Antiqua" w:cs="Arial"/>
          <w:sz w:val="24"/>
          <w:szCs w:val="24"/>
        </w:rPr>
        <w:t>D</w:t>
      </w:r>
      <w:r w:rsidR="00945E23">
        <w:rPr>
          <w:rFonts w:ascii="Book Antiqua" w:eastAsia="Calibri" w:hAnsi="Book Antiqua" w:cs="Arial"/>
          <w:sz w:val="24"/>
          <w:szCs w:val="24"/>
        </w:rPr>
        <w:t>oméstica</w:t>
      </w:r>
      <w:r>
        <w:rPr>
          <w:rFonts w:ascii="Book Antiqua" w:eastAsia="Calibri" w:hAnsi="Book Antiqua" w:cs="Arial"/>
          <w:sz w:val="24"/>
          <w:szCs w:val="24"/>
        </w:rPr>
        <w:t xml:space="preserve"> </w:t>
      </w:r>
      <w:r w:rsidR="00EB07BA">
        <w:rPr>
          <w:rFonts w:ascii="Book Antiqua" w:eastAsia="Calibri" w:hAnsi="Book Antiqua" w:cs="Arial"/>
          <w:sz w:val="24"/>
          <w:szCs w:val="24"/>
        </w:rPr>
        <w:t xml:space="preserve">los días 21 y 22 de febrero y 01 de marzo del presente año, </w:t>
      </w:r>
      <w:r w:rsidR="00F43F47">
        <w:rPr>
          <w:rFonts w:ascii="Book Antiqua" w:eastAsia="Calibri" w:hAnsi="Book Antiqua" w:cs="Arial"/>
          <w:sz w:val="24"/>
          <w:szCs w:val="24"/>
        </w:rPr>
        <w:t xml:space="preserve">y del cuestionario aplicado por la Dirección de Planificación relacionado con la detección de nudos críticos, una de las </w:t>
      </w:r>
      <w:r w:rsidR="00945E23">
        <w:rPr>
          <w:rFonts w:ascii="Book Antiqua" w:eastAsia="Calibri" w:hAnsi="Book Antiqua" w:cs="Arial"/>
          <w:sz w:val="24"/>
          <w:szCs w:val="24"/>
        </w:rPr>
        <w:t xml:space="preserve">principales oportunidades de mejora </w:t>
      </w:r>
      <w:r w:rsidR="00F43F47">
        <w:rPr>
          <w:rFonts w:ascii="Book Antiqua" w:eastAsia="Calibri" w:hAnsi="Book Antiqua" w:cs="Arial"/>
          <w:sz w:val="24"/>
          <w:szCs w:val="24"/>
        </w:rPr>
        <w:t>se relaciona precisamente</w:t>
      </w:r>
      <w:r w:rsidR="00EB07BA">
        <w:rPr>
          <w:rFonts w:ascii="Book Antiqua" w:eastAsia="Calibri" w:hAnsi="Book Antiqua" w:cs="Arial"/>
          <w:sz w:val="24"/>
          <w:szCs w:val="24"/>
        </w:rPr>
        <w:t xml:space="preserve"> </w:t>
      </w:r>
      <w:r w:rsidR="003A4C6A">
        <w:rPr>
          <w:rFonts w:ascii="Book Antiqua" w:eastAsia="Calibri" w:hAnsi="Book Antiqua" w:cs="Arial"/>
          <w:sz w:val="24"/>
          <w:szCs w:val="24"/>
        </w:rPr>
        <w:t>con el tema de plazos</w:t>
      </w:r>
      <w:r w:rsidR="00F43F47">
        <w:rPr>
          <w:rFonts w:ascii="Book Antiqua" w:eastAsia="Calibri" w:hAnsi="Book Antiqua" w:cs="Arial"/>
          <w:sz w:val="24"/>
          <w:szCs w:val="24"/>
        </w:rPr>
        <w:t>, por lo que requieren que los trámites de las pericias sean más expeditos.</w:t>
      </w:r>
    </w:p>
    <w:p w14:paraId="71A1EA4C" w14:textId="1F89BFC0" w:rsidR="001F7EC3" w:rsidRDefault="001F7EC3" w:rsidP="008904E0">
      <w:pPr>
        <w:spacing w:after="0" w:line="276" w:lineRule="auto"/>
        <w:jc w:val="both"/>
        <w:rPr>
          <w:rFonts w:ascii="Book Antiqua" w:eastAsia="Calibri" w:hAnsi="Book Antiqua" w:cs="Arial"/>
          <w:sz w:val="24"/>
          <w:szCs w:val="24"/>
        </w:rPr>
      </w:pPr>
    </w:p>
    <w:p w14:paraId="1AEDFF80" w14:textId="77777777" w:rsidR="00912F27" w:rsidRDefault="00912F27" w:rsidP="008904E0">
      <w:pPr>
        <w:spacing w:after="0" w:line="276" w:lineRule="auto"/>
        <w:jc w:val="both"/>
        <w:rPr>
          <w:rFonts w:ascii="Book Antiqua" w:eastAsia="Calibri" w:hAnsi="Book Antiqua" w:cs="Arial"/>
          <w:sz w:val="24"/>
          <w:szCs w:val="24"/>
        </w:rPr>
      </w:pPr>
    </w:p>
    <w:p w14:paraId="747E6D50" w14:textId="77777777" w:rsidR="0025554E" w:rsidRPr="00585486" w:rsidRDefault="0025554E" w:rsidP="00585486">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85486">
        <w:rPr>
          <w:rFonts w:ascii="Book Antiqua" w:eastAsiaTheme="majorEastAsia" w:hAnsi="Book Antiqua" w:cstheme="majorBidi"/>
          <w:b/>
          <w:color w:val="1F3864" w:themeColor="accent1" w:themeShade="80"/>
          <w:sz w:val="24"/>
          <w:lang w:val="es-ES"/>
        </w:rPr>
        <w:t>Sistemas Informáticos</w:t>
      </w:r>
    </w:p>
    <w:p w14:paraId="7EBE2CC1" w14:textId="7D59BFD4" w:rsidR="007F4749" w:rsidRDefault="007F4749" w:rsidP="008904E0">
      <w:pPr>
        <w:spacing w:after="0" w:line="276" w:lineRule="auto"/>
        <w:jc w:val="both"/>
        <w:rPr>
          <w:rFonts w:ascii="Book Antiqua" w:eastAsia="Calibri" w:hAnsi="Book Antiqua" w:cs="Arial"/>
          <w:sz w:val="24"/>
          <w:szCs w:val="24"/>
        </w:rPr>
      </w:pPr>
    </w:p>
    <w:p w14:paraId="114E2148" w14:textId="77777777" w:rsidR="003C3841" w:rsidRPr="003C3841" w:rsidRDefault="003C3841" w:rsidP="003C3841">
      <w:pPr>
        <w:spacing w:after="0" w:line="276" w:lineRule="auto"/>
        <w:jc w:val="both"/>
        <w:rPr>
          <w:rFonts w:ascii="Book Antiqua" w:eastAsia="Calibri" w:hAnsi="Book Antiqua" w:cs="Arial"/>
          <w:sz w:val="24"/>
          <w:szCs w:val="24"/>
        </w:rPr>
      </w:pPr>
      <w:r w:rsidRPr="003C3841">
        <w:rPr>
          <w:rFonts w:ascii="Book Antiqua" w:eastAsia="Calibri" w:hAnsi="Book Antiqua" w:cs="Arial"/>
          <w:sz w:val="24"/>
          <w:szCs w:val="24"/>
        </w:rPr>
        <w:t>En todos los Juzgados competentes en materia de Familia están implementados los siguientes sistemas:</w:t>
      </w:r>
    </w:p>
    <w:p w14:paraId="7D5F75FC" w14:textId="77777777" w:rsidR="003C3841" w:rsidRPr="003C3841" w:rsidRDefault="003C3841" w:rsidP="003C3841">
      <w:pPr>
        <w:spacing w:after="0" w:line="276" w:lineRule="auto"/>
        <w:jc w:val="both"/>
        <w:rPr>
          <w:rFonts w:ascii="Book Antiqua" w:eastAsia="Calibri" w:hAnsi="Book Antiqua" w:cs="Arial"/>
          <w:sz w:val="24"/>
          <w:szCs w:val="24"/>
        </w:rPr>
      </w:pPr>
    </w:p>
    <w:p w14:paraId="523E328A" w14:textId="77777777"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 xml:space="preserve">Sistema de Gestión en Línea </w:t>
      </w:r>
    </w:p>
    <w:p w14:paraId="3725CAD9" w14:textId="77777777"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Escritorio Virtual con la totalidad de las mejoras que competan a la materia incluyendo la mejora de pase a fallo y de reparto automático.</w:t>
      </w:r>
    </w:p>
    <w:p w14:paraId="3FE3C431" w14:textId="77777777"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Sistema de Gestión de Despachos Judiciales</w:t>
      </w:r>
    </w:p>
    <w:p w14:paraId="1FEA7215" w14:textId="77777777"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Sistema de Itineraciones</w:t>
      </w:r>
    </w:p>
    <w:p w14:paraId="002740C9" w14:textId="77777777" w:rsidR="003C3841" w:rsidRPr="003C3841" w:rsidRDefault="003C3841"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3C3841">
        <w:rPr>
          <w:rFonts w:ascii="Book Antiqua" w:eastAsia="Calibri" w:hAnsi="Book Antiqua" w:cs="Arial"/>
          <w:sz w:val="24"/>
          <w:szCs w:val="24"/>
          <w:lang w:eastAsia="es-CR"/>
        </w:rPr>
        <w:t>Sistema de Depósitos Judiciales</w:t>
      </w:r>
    </w:p>
    <w:p w14:paraId="0E248A8F"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Sistema de Rol de Peritos</w:t>
      </w:r>
    </w:p>
    <w:p w14:paraId="2AE45077"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Sistema Electrónico de Mandamientos</w:t>
      </w:r>
    </w:p>
    <w:p w14:paraId="13EFA7C5"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Sistema de Obligados Alimentarios y Penal-PA</w:t>
      </w:r>
    </w:p>
    <w:p w14:paraId="6C03EF6E"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 xml:space="preserve">Sistema de Obligados Alimentarios y Penal-ME </w:t>
      </w:r>
    </w:p>
    <w:p w14:paraId="6E053802"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Agenda Cronos</w:t>
      </w:r>
    </w:p>
    <w:p w14:paraId="5942980A" w14:textId="77777777" w:rsidR="00DB42EF" w:rsidRPr="00DB42EF" w:rsidRDefault="00DB42EF" w:rsidP="0090609F">
      <w:pPr>
        <w:pStyle w:val="Prrafodelista"/>
        <w:numPr>
          <w:ilvl w:val="0"/>
          <w:numId w:val="14"/>
        </w:numPr>
        <w:spacing w:after="0" w:line="276" w:lineRule="auto"/>
        <w:ind w:left="0" w:firstLine="0"/>
        <w:jc w:val="both"/>
        <w:rPr>
          <w:rFonts w:ascii="Book Antiqua" w:eastAsia="Calibri" w:hAnsi="Book Antiqua" w:cs="Arial"/>
          <w:sz w:val="24"/>
          <w:szCs w:val="24"/>
          <w:lang w:eastAsia="es-CR"/>
        </w:rPr>
      </w:pPr>
      <w:r w:rsidRPr="00DB42EF">
        <w:rPr>
          <w:rFonts w:ascii="Book Antiqua" w:eastAsia="Calibri" w:hAnsi="Book Antiqua" w:cs="Arial"/>
          <w:sz w:val="24"/>
          <w:szCs w:val="24"/>
          <w:lang w:eastAsia="es-CR"/>
        </w:rPr>
        <w:t>Sistema de envíos archivo FTP (edictos)</w:t>
      </w:r>
    </w:p>
    <w:p w14:paraId="1CFDA5A1" w14:textId="49C7CF3B" w:rsidR="0025554E" w:rsidRDefault="0025554E" w:rsidP="008904E0">
      <w:pPr>
        <w:spacing w:after="0" w:line="276" w:lineRule="auto"/>
        <w:jc w:val="both"/>
        <w:rPr>
          <w:rFonts w:ascii="Book Antiqua" w:eastAsia="Calibri" w:hAnsi="Book Antiqua" w:cs="Arial"/>
          <w:sz w:val="24"/>
          <w:szCs w:val="24"/>
        </w:rPr>
      </w:pPr>
    </w:p>
    <w:p w14:paraId="01C2B107" w14:textId="0781C9A2" w:rsidR="00D534D9" w:rsidRPr="002E6406" w:rsidRDefault="00D534D9" w:rsidP="00D534D9">
      <w:pPr>
        <w:spacing w:after="0" w:line="276" w:lineRule="auto"/>
        <w:jc w:val="both"/>
        <w:rPr>
          <w:rFonts w:ascii="Book Antiqua" w:eastAsia="Calibri" w:hAnsi="Book Antiqua" w:cs="Arial"/>
          <w:sz w:val="24"/>
          <w:szCs w:val="24"/>
        </w:rPr>
      </w:pPr>
      <w:r w:rsidRPr="00D534D9">
        <w:rPr>
          <w:rFonts w:ascii="Book Antiqua" w:eastAsia="Calibri" w:hAnsi="Book Antiqua" w:cs="Arial"/>
          <w:sz w:val="24"/>
          <w:szCs w:val="24"/>
        </w:rPr>
        <w:t xml:space="preserve">Al finalizar 2020 todos </w:t>
      </w:r>
      <w:r w:rsidR="00F20C4A">
        <w:rPr>
          <w:rFonts w:ascii="Book Antiqua" w:eastAsia="Calibri" w:hAnsi="Book Antiqua" w:cs="Arial"/>
          <w:sz w:val="24"/>
          <w:szCs w:val="24"/>
        </w:rPr>
        <w:t xml:space="preserve">los </w:t>
      </w:r>
      <w:r w:rsidRPr="00D534D9">
        <w:rPr>
          <w:rFonts w:ascii="Book Antiqua" w:eastAsia="Calibri" w:hAnsi="Book Antiqua" w:cs="Arial"/>
          <w:sz w:val="24"/>
          <w:szCs w:val="24"/>
        </w:rPr>
        <w:t xml:space="preserve">Juzgados que atienden la materia de Familia cuentan con los sistemas debidamente implementados por parte de la Dirección de Tecnología de la Información. La información se certificó como entregable dentro del Proyecto de implementación del CPF, </w:t>
      </w:r>
      <w:r w:rsidRPr="002E6406">
        <w:rPr>
          <w:rFonts w:ascii="Book Antiqua" w:eastAsia="Calibri" w:hAnsi="Book Antiqua" w:cs="Arial"/>
          <w:b/>
          <w:bCs/>
          <w:i/>
          <w:iCs/>
          <w:sz w:val="24"/>
          <w:szCs w:val="24"/>
        </w:rPr>
        <w:t xml:space="preserve">anexo </w:t>
      </w:r>
      <w:r w:rsidR="00C43B80">
        <w:rPr>
          <w:rFonts w:ascii="Book Antiqua" w:eastAsia="Calibri" w:hAnsi="Book Antiqua" w:cs="Arial"/>
          <w:b/>
          <w:bCs/>
          <w:i/>
          <w:iCs/>
          <w:sz w:val="24"/>
          <w:szCs w:val="24"/>
        </w:rPr>
        <w:t>10</w:t>
      </w:r>
      <w:r w:rsidRPr="002E6406">
        <w:rPr>
          <w:rFonts w:ascii="Book Antiqua" w:eastAsia="Calibri" w:hAnsi="Book Antiqua" w:cs="Arial"/>
          <w:b/>
          <w:bCs/>
          <w:i/>
          <w:iCs/>
          <w:sz w:val="24"/>
          <w:szCs w:val="24"/>
        </w:rPr>
        <w:t>.</w:t>
      </w:r>
    </w:p>
    <w:p w14:paraId="1165D7B0" w14:textId="3C09DAD2" w:rsidR="0025554E" w:rsidRDefault="0025554E" w:rsidP="008904E0">
      <w:pPr>
        <w:spacing w:after="0" w:line="276" w:lineRule="auto"/>
        <w:jc w:val="both"/>
        <w:rPr>
          <w:rFonts w:ascii="Book Antiqua" w:eastAsia="Calibri" w:hAnsi="Book Antiqua" w:cs="Arial"/>
          <w:sz w:val="24"/>
          <w:szCs w:val="24"/>
        </w:rPr>
      </w:pPr>
    </w:p>
    <w:p w14:paraId="142DD489" w14:textId="77777777" w:rsidR="00695CAD" w:rsidRPr="00AA0E8E" w:rsidRDefault="00695CAD" w:rsidP="00AA0E8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E8E">
        <w:rPr>
          <w:rFonts w:ascii="Book Antiqua" w:eastAsiaTheme="majorEastAsia" w:hAnsi="Book Antiqua" w:cstheme="majorBidi"/>
          <w:b/>
          <w:color w:val="1F3864" w:themeColor="accent1" w:themeShade="80"/>
          <w:sz w:val="24"/>
          <w:lang w:val="es-ES"/>
        </w:rPr>
        <w:t xml:space="preserve">Libros de Control </w:t>
      </w:r>
    </w:p>
    <w:p w14:paraId="611C7704" w14:textId="77777777" w:rsidR="00AF28C5" w:rsidRDefault="00AF28C5" w:rsidP="008904E0">
      <w:pPr>
        <w:spacing w:after="0" w:line="276" w:lineRule="auto"/>
        <w:jc w:val="both"/>
        <w:rPr>
          <w:rFonts w:ascii="Book Antiqua" w:eastAsia="Calibri" w:hAnsi="Book Antiqua" w:cs="Arial"/>
          <w:sz w:val="24"/>
          <w:szCs w:val="24"/>
        </w:rPr>
      </w:pPr>
    </w:p>
    <w:p w14:paraId="62EEA9EA" w14:textId="77777777" w:rsidR="00273B7F" w:rsidRPr="00273B7F" w:rsidRDefault="00273B7F" w:rsidP="00273B7F">
      <w:pPr>
        <w:spacing w:after="0" w:line="276" w:lineRule="auto"/>
        <w:jc w:val="both"/>
        <w:rPr>
          <w:rFonts w:ascii="Book Antiqua" w:eastAsia="Calibri" w:hAnsi="Book Antiqua" w:cs="Arial"/>
          <w:sz w:val="24"/>
          <w:szCs w:val="24"/>
        </w:rPr>
      </w:pPr>
      <w:r w:rsidRPr="00273B7F">
        <w:rPr>
          <w:rFonts w:ascii="Book Antiqua" w:eastAsia="Calibri" w:hAnsi="Book Antiqua" w:cs="Arial"/>
          <w:sz w:val="24"/>
          <w:szCs w:val="24"/>
        </w:rPr>
        <w:t>Los Juzgados de Familia deberán llevar como mínimo los siguientes libros de control:</w:t>
      </w:r>
    </w:p>
    <w:p w14:paraId="78F964C0" w14:textId="77777777" w:rsidR="00273B7F" w:rsidRPr="00273B7F" w:rsidRDefault="00273B7F" w:rsidP="00273B7F">
      <w:pPr>
        <w:spacing w:after="0" w:line="276" w:lineRule="auto"/>
        <w:jc w:val="both"/>
        <w:rPr>
          <w:rFonts w:ascii="Book Antiqua" w:eastAsia="Calibri" w:hAnsi="Book Antiqua" w:cs="Arial"/>
          <w:sz w:val="24"/>
          <w:szCs w:val="24"/>
        </w:rPr>
      </w:pPr>
    </w:p>
    <w:p w14:paraId="129B056D" w14:textId="77777777"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bookmarkStart w:id="22" w:name="_Hlk32915803"/>
      <w:r w:rsidRPr="00273B7F">
        <w:rPr>
          <w:rFonts w:ascii="Book Antiqua" w:eastAsia="Calibri" w:hAnsi="Book Antiqua" w:cs="Arial"/>
          <w:sz w:val="24"/>
          <w:szCs w:val="24"/>
          <w:lang w:eastAsia="es-CR"/>
        </w:rPr>
        <w:t>Libro de pase a fallo y utilización módulo de pase a fallo en el Escritorio Virtual</w:t>
      </w:r>
    </w:p>
    <w:p w14:paraId="602BDAD2" w14:textId="77777777"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273B7F">
        <w:rPr>
          <w:rFonts w:ascii="Book Antiqua" w:eastAsia="Calibri" w:hAnsi="Book Antiqua" w:cs="Arial"/>
          <w:sz w:val="24"/>
          <w:szCs w:val="24"/>
          <w:lang w:eastAsia="es-CR"/>
        </w:rPr>
        <w:t>Libro de juramentaciones</w:t>
      </w:r>
    </w:p>
    <w:p w14:paraId="0D769B49" w14:textId="77777777"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273B7F">
        <w:rPr>
          <w:rFonts w:ascii="Book Antiqua" w:eastAsia="Calibri" w:hAnsi="Book Antiqua" w:cs="Arial"/>
          <w:sz w:val="24"/>
          <w:szCs w:val="24"/>
          <w:lang w:eastAsia="es-CR"/>
        </w:rPr>
        <w:t>Libro de depósitos de dineros</w:t>
      </w:r>
    </w:p>
    <w:p w14:paraId="1A2FEFB3" w14:textId="77777777"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273B7F">
        <w:rPr>
          <w:rFonts w:ascii="Book Antiqua" w:eastAsia="Calibri" w:hAnsi="Book Antiqua" w:cs="Arial"/>
          <w:sz w:val="24"/>
          <w:szCs w:val="24"/>
          <w:lang w:eastAsia="es-CR"/>
        </w:rPr>
        <w:lastRenderedPageBreak/>
        <w:t>Libro de recursos de Pensiones Alimentarias</w:t>
      </w:r>
    </w:p>
    <w:p w14:paraId="3C0B7800" w14:textId="77777777" w:rsidR="00273B7F" w:rsidRPr="00273B7F" w:rsidRDefault="00273B7F"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273B7F">
        <w:rPr>
          <w:rFonts w:ascii="Book Antiqua" w:eastAsia="Calibri" w:hAnsi="Book Antiqua" w:cs="Arial"/>
          <w:sz w:val="24"/>
          <w:szCs w:val="24"/>
          <w:lang w:eastAsia="es-CR"/>
        </w:rPr>
        <w:t xml:space="preserve">Libro de remisión de recursos al Tribunal </w:t>
      </w:r>
    </w:p>
    <w:bookmarkEnd w:id="22"/>
    <w:p w14:paraId="1F0766E7" w14:textId="77777777" w:rsidR="00273B7F" w:rsidRPr="00273B7F" w:rsidRDefault="00273B7F" w:rsidP="00273B7F">
      <w:pPr>
        <w:spacing w:after="0" w:line="276" w:lineRule="auto"/>
        <w:jc w:val="both"/>
        <w:rPr>
          <w:rFonts w:ascii="Book Antiqua" w:eastAsia="Calibri" w:hAnsi="Book Antiqua" w:cs="Arial"/>
          <w:sz w:val="24"/>
          <w:szCs w:val="24"/>
        </w:rPr>
      </w:pPr>
    </w:p>
    <w:p w14:paraId="74DDDFD8" w14:textId="3A126638" w:rsidR="008F2D5A" w:rsidRDefault="00273B7F" w:rsidP="00E173C5">
      <w:pPr>
        <w:ind w:right="49"/>
        <w:jc w:val="both"/>
        <w:rPr>
          <w:rFonts w:ascii="Book Antiqua" w:eastAsia="Calibri" w:hAnsi="Book Antiqua" w:cs="Arial"/>
          <w:sz w:val="24"/>
          <w:szCs w:val="24"/>
        </w:rPr>
      </w:pPr>
      <w:r w:rsidRPr="008F2D5A">
        <w:rPr>
          <w:rFonts w:ascii="Book Antiqua" w:eastAsia="Calibri" w:hAnsi="Book Antiqua" w:cs="Arial"/>
          <w:sz w:val="24"/>
          <w:szCs w:val="24"/>
        </w:rPr>
        <w:t xml:space="preserve">De conformidad con la </w:t>
      </w:r>
      <w:r w:rsidRPr="008F2D5A">
        <w:rPr>
          <w:rFonts w:ascii="Book Antiqua" w:eastAsia="Calibri" w:hAnsi="Book Antiqua" w:cs="Arial"/>
          <w:b/>
          <w:bCs/>
          <w:i/>
          <w:iCs/>
          <w:sz w:val="24"/>
          <w:szCs w:val="24"/>
        </w:rPr>
        <w:t>circular 223-2020</w:t>
      </w:r>
      <w:r w:rsidRPr="008F2D5A">
        <w:rPr>
          <w:rFonts w:ascii="Book Antiqua" w:eastAsia="Calibri" w:hAnsi="Book Antiqua" w:cs="Arial"/>
          <w:i/>
          <w:iCs/>
          <w:sz w:val="24"/>
          <w:szCs w:val="24"/>
        </w:rPr>
        <w:t xml:space="preserve"> “Obligación de uso del libro de pase a fallo y de reparto automático de asuntos en materias de Familia y Pensiones Alimentarias”</w:t>
      </w:r>
      <w:r w:rsidRPr="008F2D5A">
        <w:rPr>
          <w:rFonts w:ascii="Book Antiqua" w:eastAsia="Calibri" w:hAnsi="Book Antiqua" w:cs="Arial"/>
          <w:sz w:val="24"/>
          <w:szCs w:val="24"/>
        </w:rPr>
        <w:t xml:space="preserve"> </w:t>
      </w:r>
      <w:r w:rsidRPr="008F2D5A">
        <w:rPr>
          <w:rFonts w:ascii="Book Antiqua" w:eastAsia="Calibri" w:hAnsi="Book Antiqua" w:cs="Arial"/>
          <w:b/>
          <w:bCs/>
          <w:i/>
          <w:iCs/>
          <w:sz w:val="24"/>
          <w:szCs w:val="24"/>
        </w:rPr>
        <w:t>(anexo 1</w:t>
      </w:r>
      <w:r w:rsidR="004A1405">
        <w:rPr>
          <w:rFonts w:ascii="Book Antiqua" w:eastAsia="Calibri" w:hAnsi="Book Antiqua" w:cs="Arial"/>
          <w:b/>
          <w:bCs/>
          <w:i/>
          <w:iCs/>
          <w:sz w:val="24"/>
          <w:szCs w:val="24"/>
        </w:rPr>
        <w:t>1</w:t>
      </w:r>
      <w:r w:rsidRPr="008F2D5A">
        <w:rPr>
          <w:rFonts w:ascii="Book Antiqua" w:eastAsia="Calibri" w:hAnsi="Book Antiqua" w:cs="Arial"/>
          <w:b/>
          <w:bCs/>
          <w:i/>
          <w:iCs/>
          <w:sz w:val="24"/>
          <w:szCs w:val="24"/>
        </w:rPr>
        <w:t>)</w:t>
      </w:r>
      <w:r w:rsidRPr="008F2D5A">
        <w:rPr>
          <w:rFonts w:ascii="Book Antiqua" w:eastAsia="Calibri" w:hAnsi="Book Antiqua" w:cs="Arial"/>
          <w:sz w:val="24"/>
          <w:szCs w:val="24"/>
        </w:rPr>
        <w:t xml:space="preserve"> comunicada el 7 de octubre de 2020, todas las oficinas competentes en materia de Familia y Pensiones Alimentarias deben hacer uso del módulo de pase a fallo en Escritorio Virtual. Para ello fueron configuradas por parte de la Dirección de Tecnología de la Información las</w:t>
      </w:r>
      <w:r w:rsidRPr="00273B7F">
        <w:rPr>
          <w:rFonts w:ascii="Book Antiqua" w:eastAsia="Calibri" w:hAnsi="Book Antiqua" w:cs="Calibri"/>
          <w:sz w:val="24"/>
          <w:szCs w:val="24"/>
          <w:lang w:eastAsia="es-CR"/>
        </w:rPr>
        <w:t xml:space="preserve"> </w:t>
      </w:r>
      <w:r w:rsidRPr="002E1709">
        <w:rPr>
          <w:rFonts w:ascii="Book Antiqua" w:eastAsia="Calibri" w:hAnsi="Book Antiqua" w:cs="Arial"/>
          <w:sz w:val="24"/>
          <w:szCs w:val="24"/>
        </w:rPr>
        <w:t>tareas y plazos definidos con el Juez Gestor en la materia y validadas por la Comisión de Familia, Niñez y Adolescencia; y también se brindó la</w:t>
      </w:r>
      <w:r w:rsidR="00E85731" w:rsidRPr="002E1709">
        <w:rPr>
          <w:rFonts w:ascii="Book Antiqua" w:eastAsia="Calibri" w:hAnsi="Book Antiqua" w:cs="Arial"/>
          <w:sz w:val="24"/>
          <w:szCs w:val="24"/>
        </w:rPr>
        <w:t xml:space="preserve"> </w:t>
      </w:r>
      <w:r w:rsidRPr="002E1709">
        <w:rPr>
          <w:rFonts w:ascii="Book Antiqua" w:eastAsia="Calibri" w:hAnsi="Book Antiqua" w:cs="Arial"/>
          <w:sz w:val="24"/>
          <w:szCs w:val="24"/>
        </w:rPr>
        <w:t>respectiva capacitación a las oficinas en el uso de la</w:t>
      </w:r>
      <w:r w:rsidR="00E85731" w:rsidRPr="002E1709">
        <w:rPr>
          <w:rFonts w:ascii="Book Antiqua" w:eastAsia="Calibri" w:hAnsi="Book Antiqua" w:cs="Arial"/>
          <w:sz w:val="24"/>
          <w:szCs w:val="24"/>
        </w:rPr>
        <w:t xml:space="preserve"> </w:t>
      </w:r>
      <w:r w:rsidRPr="002E1709">
        <w:rPr>
          <w:rFonts w:ascii="Book Antiqua" w:eastAsia="Calibri" w:hAnsi="Book Antiqua" w:cs="Arial"/>
          <w:sz w:val="24"/>
          <w:szCs w:val="24"/>
        </w:rPr>
        <w:t>herramienta por parte de DTI (oficio 2374-DTI-2020-</w:t>
      </w:r>
      <w:r w:rsidRPr="002E1709">
        <w:rPr>
          <w:rFonts w:ascii="Book Antiqua" w:eastAsia="Calibri" w:hAnsi="Book Antiqua" w:cs="Arial"/>
          <w:b/>
          <w:bCs/>
          <w:i/>
          <w:iCs/>
          <w:sz w:val="24"/>
          <w:szCs w:val="24"/>
        </w:rPr>
        <w:t>anexo 1</w:t>
      </w:r>
      <w:r w:rsidR="00E173C5">
        <w:rPr>
          <w:rFonts w:ascii="Book Antiqua" w:eastAsia="Calibri" w:hAnsi="Book Antiqua" w:cs="Arial"/>
          <w:b/>
          <w:bCs/>
          <w:i/>
          <w:iCs/>
          <w:sz w:val="24"/>
          <w:szCs w:val="24"/>
        </w:rPr>
        <w:t>2</w:t>
      </w:r>
      <w:r w:rsidRPr="002E1709">
        <w:rPr>
          <w:rFonts w:ascii="Book Antiqua" w:eastAsia="Calibri" w:hAnsi="Book Antiqua" w:cs="Arial"/>
          <w:sz w:val="24"/>
          <w:szCs w:val="24"/>
        </w:rPr>
        <w:t>)</w:t>
      </w:r>
      <w:r w:rsidR="008F2D5A" w:rsidRPr="002E1709">
        <w:rPr>
          <w:rFonts w:ascii="Book Antiqua" w:eastAsia="Calibri" w:hAnsi="Book Antiqua" w:cs="Arial"/>
          <w:sz w:val="24"/>
          <w:szCs w:val="24"/>
        </w:rPr>
        <w:t>.</w:t>
      </w:r>
    </w:p>
    <w:p w14:paraId="358E7FDB" w14:textId="36CBC987" w:rsidR="0025554E" w:rsidRDefault="0025554E" w:rsidP="008904E0">
      <w:pPr>
        <w:spacing w:after="0" w:line="276" w:lineRule="auto"/>
        <w:jc w:val="both"/>
        <w:rPr>
          <w:rFonts w:ascii="Book Antiqua" w:eastAsia="Calibri" w:hAnsi="Book Antiqua" w:cs="Arial"/>
          <w:sz w:val="24"/>
          <w:szCs w:val="24"/>
        </w:rPr>
      </w:pPr>
    </w:p>
    <w:p w14:paraId="63395005" w14:textId="77777777" w:rsidR="00090F1D" w:rsidRPr="00090F1D" w:rsidRDefault="00090F1D" w:rsidP="00090F1D">
      <w:pPr>
        <w:spacing w:after="0" w:line="276" w:lineRule="auto"/>
        <w:jc w:val="both"/>
        <w:rPr>
          <w:rFonts w:ascii="Book Antiqua" w:eastAsia="Calibri" w:hAnsi="Book Antiqua" w:cs="Calibri"/>
          <w:sz w:val="24"/>
          <w:szCs w:val="24"/>
          <w:lang w:eastAsia="es-CR"/>
        </w:rPr>
      </w:pPr>
      <w:r w:rsidRPr="00090F1D">
        <w:rPr>
          <w:rFonts w:ascii="Book Antiqua" w:eastAsia="Calibri" w:hAnsi="Book Antiqua" w:cs="Calibri"/>
          <w:sz w:val="24"/>
          <w:szCs w:val="24"/>
          <w:lang w:eastAsia="es-CR"/>
        </w:rPr>
        <w:t xml:space="preserve">Adicionalmente, de conformidad con lo acordado por el Consejo Superior en sesión 97-2020 celebrada el 08 de octubre del 2020, artículo LI, las oficinas de Familia y Pensiones a nivel </w:t>
      </w:r>
      <w:r w:rsidRPr="00AA0E8E">
        <w:rPr>
          <w:rFonts w:ascii="Book Antiqua" w:eastAsia="Calibri" w:hAnsi="Book Antiqua" w:cs="Calibri"/>
          <w:sz w:val="24"/>
          <w:szCs w:val="24"/>
          <w:lang w:eastAsia="es-CR"/>
        </w:rPr>
        <w:t>nacional deben llevar tanto el libro de pase a fallo “Excel” como el registro en el módulo de Escritorio Virtual de forma paralela por al menos 6 meses, así como el correspondiente registro que se obtiene de SIGMA.</w:t>
      </w:r>
      <w:r w:rsidRPr="00090F1D">
        <w:rPr>
          <w:rFonts w:ascii="Book Antiqua" w:eastAsia="Calibri" w:hAnsi="Book Antiqua" w:cs="Calibri"/>
          <w:sz w:val="24"/>
          <w:szCs w:val="24"/>
          <w:lang w:eastAsia="es-CR"/>
        </w:rPr>
        <w:t xml:space="preserve">  </w:t>
      </w:r>
    </w:p>
    <w:p w14:paraId="28BFC78E" w14:textId="77777777" w:rsidR="00090F1D" w:rsidRPr="00090F1D" w:rsidRDefault="00090F1D" w:rsidP="00090F1D">
      <w:pPr>
        <w:spacing w:after="0" w:line="276" w:lineRule="auto"/>
        <w:rPr>
          <w:rFonts w:ascii="Book Antiqua" w:eastAsia="Calibri" w:hAnsi="Book Antiqua" w:cs="Calibri"/>
          <w:i/>
          <w:iCs/>
          <w:sz w:val="24"/>
          <w:szCs w:val="24"/>
          <w:lang w:eastAsia="es-CR"/>
        </w:rPr>
      </w:pPr>
    </w:p>
    <w:p w14:paraId="1F4D08F0" w14:textId="77777777" w:rsidR="00BB502D" w:rsidRPr="00BB502D" w:rsidRDefault="00090F1D" w:rsidP="00BB502D">
      <w:pPr>
        <w:spacing w:line="276" w:lineRule="auto"/>
        <w:ind w:left="567" w:right="616"/>
        <w:jc w:val="both"/>
        <w:rPr>
          <w:rFonts w:ascii="Book Antiqua" w:eastAsia="Calibri" w:hAnsi="Book Antiqua" w:cs="Arial"/>
          <w:bCs/>
          <w:i/>
          <w:iCs/>
          <w:sz w:val="24"/>
          <w:szCs w:val="24"/>
          <w:lang w:val="es-419"/>
        </w:rPr>
      </w:pPr>
      <w:bookmarkStart w:id="23" w:name="_Hlk95999041"/>
      <w:r w:rsidRPr="00090F1D">
        <w:rPr>
          <w:rFonts w:ascii="Book Antiqua" w:eastAsia="Calibri" w:hAnsi="Book Antiqua" w:cs="Arial"/>
          <w:b/>
          <w:bCs/>
          <w:i/>
          <w:iCs/>
          <w:sz w:val="24"/>
          <w:szCs w:val="24"/>
          <w:lang w:val="es-419"/>
        </w:rPr>
        <w:t xml:space="preserve">Se acordó: 1.) </w:t>
      </w:r>
      <w:r w:rsidRPr="00090F1D">
        <w:rPr>
          <w:rFonts w:ascii="Book Antiqua" w:eastAsia="Calibri" w:hAnsi="Book Antiqua" w:cs="Arial"/>
          <w:i/>
          <w:iCs/>
          <w:sz w:val="24"/>
          <w:szCs w:val="24"/>
          <w:lang w:val="es-419"/>
        </w:rPr>
        <w:t>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w:t>
      </w:r>
      <w:r w:rsidR="00BB502D">
        <w:rPr>
          <w:rFonts w:ascii="Book Antiqua" w:eastAsia="Calibri" w:hAnsi="Book Antiqua" w:cs="Arial"/>
          <w:i/>
          <w:iCs/>
          <w:sz w:val="24"/>
          <w:szCs w:val="24"/>
          <w:lang w:val="es-419"/>
        </w:rPr>
        <w:t xml:space="preserve"> </w:t>
      </w:r>
      <w:r w:rsidR="00BB502D" w:rsidRPr="00BB502D">
        <w:rPr>
          <w:rFonts w:ascii="Book Antiqua" w:eastAsia="Calibri" w:hAnsi="Book Antiqua" w:cs="Arial"/>
          <w:i/>
          <w:iCs/>
          <w:sz w:val="24"/>
          <w:szCs w:val="24"/>
          <w:lang w:val="es-419"/>
        </w:rPr>
        <w:t>de administración de la justicia de los juzgados de Familia y de Pensiones alimentarias</w:t>
      </w:r>
      <w:r w:rsidR="00BB502D" w:rsidRPr="00BB502D">
        <w:rPr>
          <w:rFonts w:ascii="Book Antiqua" w:eastAsia="Calibri" w:hAnsi="Book Antiqua" w:cs="Arial"/>
          <w:b/>
          <w:bCs/>
          <w:i/>
          <w:iCs/>
          <w:sz w:val="24"/>
          <w:szCs w:val="24"/>
          <w:lang w:val="es-419"/>
        </w:rPr>
        <w:t>. 2.)</w:t>
      </w:r>
      <w:r w:rsidR="00BB502D" w:rsidRPr="00BB502D">
        <w:rPr>
          <w:rFonts w:ascii="Book Antiqua" w:eastAsia="Calibri" w:hAnsi="Book Antiqua" w:cs="Arial"/>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en lo que respecta </w:t>
      </w:r>
      <w:r w:rsidR="00BB502D" w:rsidRPr="00BB502D">
        <w:rPr>
          <w:rFonts w:ascii="Book Antiqua" w:eastAsia="Calibri" w:hAnsi="Book Antiqua" w:cs="Arial"/>
          <w:b/>
          <w:bCs/>
          <w:i/>
          <w:iCs/>
          <w:sz w:val="24"/>
          <w:szCs w:val="24"/>
          <w:u w:val="single"/>
          <w:lang w:val="es-419"/>
        </w:rPr>
        <w:t>al diseño y establecimiento formal de la herramienta de “pase a fallo”.</w:t>
      </w:r>
      <w:r w:rsidR="00BB502D" w:rsidRPr="00BB502D">
        <w:rPr>
          <w:rFonts w:ascii="Book Antiqua" w:eastAsia="Calibri" w:hAnsi="Book Antiqua" w:cs="Arial"/>
          <w:b/>
          <w:bCs/>
          <w:i/>
          <w:iCs/>
          <w:sz w:val="24"/>
          <w:szCs w:val="24"/>
          <w:lang w:val="es-419"/>
        </w:rPr>
        <w:t xml:space="preserve"> 3.) </w:t>
      </w:r>
      <w:r w:rsidR="00BB502D" w:rsidRPr="00BB502D">
        <w:rPr>
          <w:rFonts w:ascii="Book Antiqua" w:eastAsia="Calibri" w:hAnsi="Book Antiqua" w:cs="Arial"/>
          <w:bCs/>
          <w:i/>
          <w:iCs/>
          <w:sz w:val="24"/>
          <w:szCs w:val="24"/>
          <w:lang w:val="es-419"/>
        </w:rPr>
        <w:t xml:space="preserve">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w:t>
      </w:r>
      <w:r w:rsidR="00BB502D" w:rsidRPr="00BB502D">
        <w:rPr>
          <w:rFonts w:ascii="Book Antiqua" w:eastAsia="Calibri" w:hAnsi="Book Antiqua" w:cs="Arial"/>
          <w:bCs/>
          <w:i/>
          <w:iCs/>
          <w:sz w:val="24"/>
          <w:szCs w:val="24"/>
          <w:lang w:val="es-419"/>
        </w:rPr>
        <w:lastRenderedPageBreak/>
        <w:t xml:space="preserve">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w:t>
      </w:r>
      <w:r w:rsidR="00BB502D" w:rsidRPr="00BB502D">
        <w:rPr>
          <w:rFonts w:ascii="Book Antiqua" w:eastAsia="Calibri" w:hAnsi="Book Antiqua" w:cs="Arial"/>
          <w:b/>
          <w:i/>
          <w:iCs/>
          <w:sz w:val="24"/>
          <w:szCs w:val="24"/>
          <w:lang w:val="es-419"/>
        </w:rPr>
        <w:t>4.)</w:t>
      </w:r>
      <w:r w:rsidR="00BB502D" w:rsidRPr="00BB502D">
        <w:rPr>
          <w:rFonts w:ascii="Book Antiqua" w:eastAsia="Calibri" w:hAnsi="Book Antiqua" w:cs="Arial"/>
          <w:bCs/>
          <w:i/>
          <w:iCs/>
          <w:sz w:val="24"/>
          <w:szCs w:val="24"/>
          <w:lang w:val="es-419"/>
        </w:rPr>
        <w:t xml:space="preserve"> El Subproceso de Estadística de la Dirección de Planificación, remitirá posteriormente los contactos electrónicos a donde remitir la información, validada por el Juez o Jueza coordinadora del despacho </w:t>
      </w:r>
      <w:r w:rsidR="00BB502D" w:rsidRPr="005B78EF">
        <w:rPr>
          <w:rFonts w:ascii="Book Antiqua" w:eastAsia="Calibri" w:hAnsi="Book Antiqua" w:cs="Arial"/>
          <w:bCs/>
          <w:i/>
          <w:iCs/>
          <w:sz w:val="24"/>
          <w:szCs w:val="24"/>
          <w:lang w:val="es-419"/>
        </w:rPr>
        <w:t>judicial</w:t>
      </w:r>
      <w:bookmarkStart w:id="24" w:name="_Hlk95998821"/>
      <w:r w:rsidR="00BB502D" w:rsidRPr="005B78EF">
        <w:rPr>
          <w:rFonts w:ascii="Book Antiqua" w:eastAsia="Calibri" w:hAnsi="Book Antiqua" w:cs="Arial"/>
          <w:bCs/>
          <w:i/>
          <w:iCs/>
          <w:sz w:val="24"/>
          <w:szCs w:val="24"/>
          <w:lang w:val="es-419"/>
        </w:rPr>
        <w:t xml:space="preserve">. </w:t>
      </w:r>
      <w:r w:rsidR="00BB502D" w:rsidRPr="005B78EF">
        <w:rPr>
          <w:rFonts w:ascii="Book Antiqua" w:eastAsia="Calibri" w:hAnsi="Book Antiqua" w:cs="Arial"/>
          <w:b/>
          <w:i/>
          <w:iCs/>
          <w:sz w:val="24"/>
          <w:szCs w:val="24"/>
          <w:lang w:val="es-419"/>
        </w:rPr>
        <w:t>5.)</w:t>
      </w:r>
      <w:r w:rsidR="00BB502D" w:rsidRPr="005B78EF">
        <w:rPr>
          <w:rFonts w:ascii="Book Antiqua" w:eastAsia="Calibri" w:hAnsi="Book Antiqua" w:cs="Arial"/>
          <w:bCs/>
          <w:i/>
          <w:iCs/>
          <w:sz w:val="24"/>
          <w:szCs w:val="24"/>
          <w:lang w:val="es-419"/>
        </w:rPr>
        <w:t xml:space="preserve"> El Subproceso de Estadística de la Dirección de Planificación, informará el resultado de ese seguimiento al Consejo Superior y a la Comisión de Familia para lo que corresponda</w:t>
      </w:r>
      <w:bookmarkEnd w:id="24"/>
      <w:r w:rsidR="00BB502D" w:rsidRPr="005B78EF">
        <w:rPr>
          <w:rFonts w:ascii="Book Antiqua" w:eastAsia="Calibri" w:hAnsi="Book Antiqua" w:cs="Arial"/>
          <w:bCs/>
          <w:i/>
          <w:iCs/>
          <w:sz w:val="24"/>
          <w:szCs w:val="24"/>
          <w:lang w:val="es-419"/>
        </w:rPr>
        <w:t xml:space="preserve">. </w:t>
      </w:r>
      <w:r w:rsidR="00BB502D" w:rsidRPr="005B78EF">
        <w:rPr>
          <w:rFonts w:ascii="Book Antiqua" w:eastAsia="Calibri" w:hAnsi="Book Antiqua" w:cs="Arial"/>
          <w:b/>
          <w:i/>
          <w:iCs/>
          <w:sz w:val="24"/>
          <w:szCs w:val="24"/>
          <w:lang w:val="es-419"/>
        </w:rPr>
        <w:t>6</w:t>
      </w:r>
      <w:r w:rsidR="00BB502D" w:rsidRPr="00BB502D">
        <w:rPr>
          <w:rFonts w:ascii="Book Antiqua" w:eastAsia="Calibri" w:hAnsi="Book Antiqua" w:cs="Arial"/>
          <w:b/>
          <w:i/>
          <w:iCs/>
          <w:sz w:val="24"/>
          <w:szCs w:val="24"/>
          <w:lang w:val="es-419"/>
        </w:rPr>
        <w:t>.)</w:t>
      </w:r>
      <w:r w:rsidR="00BB502D" w:rsidRPr="00BB502D">
        <w:rPr>
          <w:rFonts w:ascii="Book Antiqua" w:eastAsia="Calibri" w:hAnsi="Book Antiqua" w:cs="Arial"/>
          <w:bCs/>
          <w:i/>
          <w:iCs/>
          <w:sz w:val="24"/>
          <w:szCs w:val="24"/>
          <w:lang w:val="es-419"/>
        </w:rPr>
        <w:t xml:space="preserve"> Hacer este acuerdo de conocimiento del Despacho de la Presidencia para que comunique a la Contraloría General de la República lo que corresponda.</w:t>
      </w:r>
    </w:p>
    <w:p w14:paraId="20C6862C" w14:textId="04289C89" w:rsidR="00BB502D" w:rsidRDefault="00BB502D" w:rsidP="00BB502D">
      <w:pPr>
        <w:spacing w:after="0" w:line="276" w:lineRule="auto"/>
        <w:ind w:left="567" w:right="616"/>
        <w:jc w:val="both"/>
        <w:rPr>
          <w:rFonts w:ascii="Book Antiqua" w:eastAsia="Calibri" w:hAnsi="Book Antiqua" w:cs="Arial"/>
          <w:bCs/>
          <w:i/>
          <w:iCs/>
          <w:sz w:val="24"/>
          <w:szCs w:val="24"/>
          <w:lang w:val="es-419"/>
        </w:rPr>
      </w:pPr>
      <w:r w:rsidRPr="00BB502D">
        <w:rPr>
          <w:rFonts w:ascii="Book Antiqua" w:eastAsia="Calibri" w:hAnsi="Book Antiqua" w:cs="Arial"/>
          <w:bCs/>
          <w:i/>
          <w:iCs/>
          <w:sz w:val="24"/>
          <w:szCs w:val="24"/>
          <w:lang w:val="es-419"/>
        </w:rPr>
        <w:t>La Comisión de la Jurisdicción de Familia y la Dirección de Planificación, tomarán nota para lo que corresponda. Se declara acuerdo firme.”.</w:t>
      </w:r>
    </w:p>
    <w:p w14:paraId="69017758" w14:textId="7771F0E0" w:rsidR="00F60C0B" w:rsidRDefault="00F60C0B" w:rsidP="00F60C0B">
      <w:pPr>
        <w:spacing w:after="0" w:line="276" w:lineRule="auto"/>
        <w:ind w:right="616"/>
        <w:jc w:val="both"/>
        <w:rPr>
          <w:rFonts w:ascii="Book Antiqua" w:eastAsia="Calibri" w:hAnsi="Book Antiqua" w:cs="Arial"/>
          <w:bCs/>
          <w:i/>
          <w:iCs/>
          <w:sz w:val="24"/>
          <w:szCs w:val="24"/>
          <w:lang w:val="es-419"/>
        </w:rPr>
      </w:pPr>
    </w:p>
    <w:p w14:paraId="04BFC512" w14:textId="425565EE"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sz w:val="24"/>
          <w:szCs w:val="24"/>
        </w:rPr>
        <w:t>Respecto a</w:t>
      </w:r>
      <w:r w:rsidR="00093ECD">
        <w:rPr>
          <w:rFonts w:ascii="Book Antiqua" w:eastAsia="Calibri" w:hAnsi="Book Antiqua" w:cs="Arial"/>
          <w:sz w:val="24"/>
          <w:szCs w:val="24"/>
        </w:rPr>
        <w:t>l</w:t>
      </w:r>
      <w:r w:rsidRPr="00F60C0B">
        <w:rPr>
          <w:rFonts w:ascii="Book Antiqua" w:eastAsia="Calibri" w:hAnsi="Book Antiqua" w:cs="Arial"/>
          <w:sz w:val="24"/>
          <w:szCs w:val="24"/>
        </w:rPr>
        <w:t xml:space="preserve"> reporte en SIGMA del módulo de pase a fallo, este se trabajó en conjunto entre la Dirección de Tecnología de la Información, Dirección de Planificación, Auditoría e Inspección Judicial. En atención a la obligatoriedad de su uso, se emitió por parte de la Dirección de Planificación </w:t>
      </w:r>
      <w:r w:rsidRPr="00F60C0B">
        <w:rPr>
          <w:rFonts w:ascii="Book Antiqua" w:eastAsia="Calibri" w:hAnsi="Book Antiqua" w:cs="Arial"/>
          <w:b/>
          <w:bCs/>
          <w:i/>
          <w:iCs/>
          <w:sz w:val="24"/>
          <w:szCs w:val="24"/>
        </w:rPr>
        <w:t>la</w:t>
      </w:r>
      <w:r w:rsidR="00556515">
        <w:rPr>
          <w:rFonts w:ascii="Book Antiqua" w:eastAsia="Calibri" w:hAnsi="Book Antiqua" w:cs="Arial"/>
          <w:b/>
          <w:bCs/>
          <w:i/>
          <w:iCs/>
          <w:sz w:val="24"/>
          <w:szCs w:val="24"/>
        </w:rPr>
        <w:t>s</w:t>
      </w:r>
      <w:r w:rsidRPr="00F60C0B">
        <w:rPr>
          <w:rFonts w:ascii="Book Antiqua" w:eastAsia="Calibri" w:hAnsi="Book Antiqua" w:cs="Arial"/>
          <w:b/>
          <w:bCs/>
          <w:i/>
          <w:iCs/>
          <w:sz w:val="24"/>
          <w:szCs w:val="24"/>
        </w:rPr>
        <w:t xml:space="preserve"> circular</w:t>
      </w:r>
      <w:r w:rsidR="00556515">
        <w:rPr>
          <w:rFonts w:ascii="Book Antiqua" w:eastAsia="Calibri" w:hAnsi="Book Antiqua" w:cs="Arial"/>
          <w:b/>
          <w:bCs/>
          <w:i/>
          <w:iCs/>
          <w:sz w:val="24"/>
          <w:szCs w:val="24"/>
        </w:rPr>
        <w:t>es</w:t>
      </w:r>
      <w:r w:rsidRPr="00F60C0B">
        <w:rPr>
          <w:rFonts w:ascii="Book Antiqua" w:eastAsia="Calibri" w:hAnsi="Book Antiqua" w:cs="Arial"/>
          <w:b/>
          <w:bCs/>
          <w:i/>
          <w:iCs/>
          <w:sz w:val="24"/>
          <w:szCs w:val="24"/>
        </w:rPr>
        <w:t xml:space="preserve"> externa</w:t>
      </w:r>
      <w:r w:rsidR="00556515">
        <w:rPr>
          <w:rFonts w:ascii="Book Antiqua" w:eastAsia="Calibri" w:hAnsi="Book Antiqua" w:cs="Arial"/>
          <w:b/>
          <w:bCs/>
          <w:i/>
          <w:iCs/>
          <w:sz w:val="24"/>
          <w:szCs w:val="24"/>
        </w:rPr>
        <w:t>s</w:t>
      </w:r>
      <w:r w:rsidRPr="00F60C0B">
        <w:rPr>
          <w:rFonts w:ascii="Book Antiqua" w:eastAsia="Calibri" w:hAnsi="Book Antiqua" w:cs="Arial"/>
          <w:b/>
          <w:bCs/>
          <w:i/>
          <w:iCs/>
          <w:sz w:val="24"/>
          <w:szCs w:val="24"/>
        </w:rPr>
        <w:t xml:space="preserve"> 4</w:t>
      </w:r>
      <w:r w:rsidR="00556515">
        <w:rPr>
          <w:rFonts w:ascii="Book Antiqua" w:eastAsia="Calibri" w:hAnsi="Book Antiqua" w:cs="Arial"/>
          <w:b/>
          <w:bCs/>
          <w:i/>
          <w:iCs/>
          <w:sz w:val="24"/>
          <w:szCs w:val="24"/>
        </w:rPr>
        <w:t xml:space="preserve"> y 7-</w:t>
      </w:r>
      <w:r w:rsidRPr="00F60C0B">
        <w:rPr>
          <w:rFonts w:ascii="Book Antiqua" w:eastAsia="Calibri" w:hAnsi="Book Antiqua" w:cs="Arial"/>
          <w:b/>
          <w:bCs/>
          <w:i/>
          <w:iCs/>
          <w:sz w:val="24"/>
          <w:szCs w:val="24"/>
        </w:rPr>
        <w:t>2021</w:t>
      </w:r>
      <w:r w:rsidRPr="00F60C0B">
        <w:rPr>
          <w:rFonts w:ascii="Book Antiqua" w:eastAsia="Calibri" w:hAnsi="Book Antiqua" w:cs="Arial"/>
          <w:sz w:val="24"/>
          <w:szCs w:val="24"/>
        </w:rPr>
        <w:t xml:space="preserve"> (</w:t>
      </w:r>
      <w:r w:rsidRPr="00F60C0B">
        <w:rPr>
          <w:rFonts w:ascii="Book Antiqua" w:eastAsia="Calibri" w:hAnsi="Book Antiqua" w:cs="Arial"/>
          <w:b/>
          <w:bCs/>
          <w:i/>
          <w:iCs/>
          <w:sz w:val="24"/>
          <w:szCs w:val="24"/>
        </w:rPr>
        <w:t>anexo 1</w:t>
      </w:r>
      <w:r w:rsidR="007655D5">
        <w:rPr>
          <w:rFonts w:ascii="Book Antiqua" w:eastAsia="Calibri" w:hAnsi="Book Antiqua" w:cs="Arial"/>
          <w:b/>
          <w:bCs/>
          <w:i/>
          <w:iCs/>
          <w:sz w:val="24"/>
          <w:szCs w:val="24"/>
        </w:rPr>
        <w:t>3</w:t>
      </w:r>
      <w:r w:rsidRPr="00F60C0B">
        <w:rPr>
          <w:rFonts w:ascii="Book Antiqua" w:eastAsia="Calibri" w:hAnsi="Book Antiqua" w:cs="Arial"/>
          <w:b/>
          <w:bCs/>
          <w:i/>
          <w:iCs/>
          <w:sz w:val="24"/>
          <w:szCs w:val="24"/>
        </w:rPr>
        <w:t>)</w:t>
      </w:r>
      <w:r w:rsidR="00556515">
        <w:rPr>
          <w:rFonts w:ascii="Book Antiqua" w:eastAsia="Calibri" w:hAnsi="Book Antiqua" w:cs="Arial"/>
          <w:b/>
          <w:bCs/>
          <w:i/>
          <w:iCs/>
          <w:sz w:val="24"/>
          <w:szCs w:val="24"/>
        </w:rPr>
        <w:t xml:space="preserve"> </w:t>
      </w:r>
      <w:r w:rsidRPr="00F60C0B">
        <w:rPr>
          <w:rFonts w:ascii="Book Antiqua" w:eastAsia="Calibri" w:hAnsi="Book Antiqua" w:cs="Arial"/>
          <w:sz w:val="24"/>
          <w:szCs w:val="24"/>
        </w:rPr>
        <w:t>donde se les solicita a las oficinas hacer uso del reporte, la ubicación del informe dentro del SIGMA, así mismo la necesidad de certificar al Subproceso de Estadística de la Dirección de Planificación que la información es consistente con el registro en Excel.</w:t>
      </w:r>
    </w:p>
    <w:p w14:paraId="4BF7E961" w14:textId="77777777"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sz w:val="24"/>
          <w:szCs w:val="24"/>
        </w:rPr>
        <w:t xml:space="preserve">  </w:t>
      </w:r>
    </w:p>
    <w:p w14:paraId="00C0FDAB" w14:textId="77777777"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sz w:val="24"/>
          <w:szCs w:val="24"/>
        </w:rPr>
        <w:t>Se aclara que para que la información que se visualice correctamente en el reporte en SIGMA debe hacerse el registro adecuado por parte de las oficinas en las tareas previamente configuradas para estos efectos.</w:t>
      </w:r>
    </w:p>
    <w:p w14:paraId="06D02AEB" w14:textId="77777777" w:rsidR="00F60C0B" w:rsidRPr="00F60C0B" w:rsidRDefault="00F60C0B" w:rsidP="00F60C0B">
      <w:pPr>
        <w:spacing w:after="0" w:line="276" w:lineRule="auto"/>
        <w:jc w:val="both"/>
        <w:rPr>
          <w:rFonts w:ascii="Book Antiqua" w:eastAsia="Calibri" w:hAnsi="Book Antiqua" w:cs="Arial"/>
          <w:sz w:val="24"/>
          <w:szCs w:val="24"/>
        </w:rPr>
      </w:pPr>
    </w:p>
    <w:p w14:paraId="7B0B29C6" w14:textId="7D69A0C7"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bCs/>
          <w:sz w:val="24"/>
          <w:szCs w:val="24"/>
          <w:lang w:val="es-ES"/>
        </w:rPr>
        <w:t xml:space="preserve">De forma simultánea, los diferentes despachos del Poder Judicial </w:t>
      </w:r>
      <w:r w:rsidR="00C26B47">
        <w:rPr>
          <w:rFonts w:ascii="Book Antiqua" w:eastAsia="Calibri" w:hAnsi="Book Antiqua" w:cs="Arial"/>
          <w:bCs/>
          <w:sz w:val="24"/>
          <w:szCs w:val="24"/>
          <w:lang w:val="es-ES"/>
        </w:rPr>
        <w:t>cuentan</w:t>
      </w:r>
      <w:r w:rsidR="00C26B47" w:rsidRPr="00F60C0B">
        <w:rPr>
          <w:rFonts w:ascii="Book Antiqua" w:eastAsia="Calibri" w:hAnsi="Book Antiqua" w:cs="Arial"/>
          <w:bCs/>
          <w:sz w:val="24"/>
          <w:szCs w:val="24"/>
          <w:lang w:val="es-ES"/>
        </w:rPr>
        <w:t xml:space="preserve"> </w:t>
      </w:r>
      <w:r w:rsidRPr="00F60C0B">
        <w:rPr>
          <w:rFonts w:ascii="Book Antiqua" w:eastAsia="Calibri" w:hAnsi="Book Antiqua" w:cs="Arial"/>
          <w:bCs/>
          <w:sz w:val="24"/>
          <w:szCs w:val="24"/>
          <w:lang w:val="es-ES"/>
        </w:rPr>
        <w:t xml:space="preserve">con la herramienta de libro de pase a fallo en versión Excel para el control del pase a fallo y también el reporte que deben generar y certificar mensualmente en el sistema SIGMA (cumple con los requerimientos también de la Inspección y Auditoría Judicial).   En este momento </w:t>
      </w:r>
      <w:r w:rsidR="00C26B47">
        <w:rPr>
          <w:rFonts w:ascii="Book Antiqua" w:eastAsia="Calibri" w:hAnsi="Book Antiqua" w:cs="Arial"/>
          <w:bCs/>
          <w:sz w:val="24"/>
          <w:szCs w:val="24"/>
          <w:lang w:val="es-ES"/>
        </w:rPr>
        <w:t>el Subproceso de Estadística, revisa la información que certifican las oficinas, para valorar eventualmente la necesidad de solicitar al Consejo Superior, que solamente se utilice este control en lugar del manual (excel).</w:t>
      </w:r>
    </w:p>
    <w:p w14:paraId="764E834E" w14:textId="77777777" w:rsidR="00F60C0B" w:rsidRPr="00F60C0B" w:rsidRDefault="00F60C0B" w:rsidP="00F60C0B">
      <w:pPr>
        <w:spacing w:after="0" w:line="276" w:lineRule="auto"/>
        <w:jc w:val="both"/>
        <w:rPr>
          <w:rFonts w:ascii="Book Antiqua" w:eastAsia="Calibri" w:hAnsi="Book Antiqua" w:cs="Arial"/>
          <w:sz w:val="24"/>
          <w:szCs w:val="24"/>
        </w:rPr>
      </w:pPr>
    </w:p>
    <w:p w14:paraId="3D103EFF" w14:textId="0E854416" w:rsidR="00F60C0B" w:rsidRPr="00F60C0B" w:rsidRDefault="00F60C0B" w:rsidP="00F60C0B">
      <w:pPr>
        <w:spacing w:after="0" w:line="276" w:lineRule="auto"/>
        <w:jc w:val="both"/>
        <w:rPr>
          <w:rFonts w:ascii="Book Antiqua" w:eastAsia="Calibri" w:hAnsi="Book Antiqua" w:cs="Arial"/>
          <w:sz w:val="24"/>
          <w:szCs w:val="24"/>
        </w:rPr>
      </w:pPr>
      <w:r w:rsidRPr="00F60C0B">
        <w:rPr>
          <w:rFonts w:ascii="Book Antiqua" w:eastAsia="Calibri" w:hAnsi="Book Antiqua" w:cs="Arial"/>
          <w:sz w:val="24"/>
          <w:szCs w:val="24"/>
        </w:rPr>
        <w:lastRenderedPageBreak/>
        <w:t>De forma adicional se emitió el oficio 46-PLA-MI-2021 con un explicativo para las oficinas de Familia sobre el uso de la herramienta</w:t>
      </w:r>
      <w:r w:rsidRPr="00F60C0B">
        <w:rPr>
          <w:rFonts w:ascii="Book Antiqua" w:eastAsia="Calibri" w:hAnsi="Book Antiqua" w:cs="Arial"/>
          <w:bCs/>
          <w:sz w:val="24"/>
          <w:szCs w:val="24"/>
        </w:rPr>
        <w:t xml:space="preserve"> con el fin de lograr la estandarización en el uso de la mejora y además se reguló por parte de la Comisión de Familia, Niñez y Adolescencia que tipo de resoluciones se catalogan como sentencia y por ende deben registrarse en el libro de pase a fallo </w:t>
      </w:r>
      <w:bookmarkStart w:id="25" w:name="_Hlk97307793"/>
      <w:r w:rsidRPr="00F60C0B">
        <w:rPr>
          <w:rFonts w:ascii="Book Antiqua" w:eastAsia="Calibri" w:hAnsi="Book Antiqua" w:cs="Arial"/>
          <w:bCs/>
          <w:sz w:val="24"/>
          <w:szCs w:val="24"/>
        </w:rPr>
        <w:t>(circular 260-2020-</w:t>
      </w:r>
      <w:r w:rsidRPr="00F60C0B">
        <w:rPr>
          <w:rFonts w:ascii="Book Antiqua" w:eastAsia="Calibri" w:hAnsi="Book Antiqua" w:cs="Arial"/>
          <w:b/>
          <w:i/>
          <w:iCs/>
          <w:sz w:val="24"/>
          <w:szCs w:val="24"/>
        </w:rPr>
        <w:t>anexo 1</w:t>
      </w:r>
      <w:r w:rsidR="00217D4F">
        <w:rPr>
          <w:rFonts w:ascii="Book Antiqua" w:eastAsia="Calibri" w:hAnsi="Book Antiqua" w:cs="Arial"/>
          <w:b/>
          <w:i/>
          <w:iCs/>
          <w:sz w:val="24"/>
          <w:szCs w:val="24"/>
        </w:rPr>
        <w:t>4</w:t>
      </w:r>
      <w:r w:rsidRPr="00F60C0B">
        <w:rPr>
          <w:rFonts w:ascii="Book Antiqua" w:eastAsia="Calibri" w:hAnsi="Book Antiqua" w:cs="Arial"/>
          <w:bCs/>
          <w:sz w:val="24"/>
          <w:szCs w:val="24"/>
        </w:rPr>
        <w:t xml:space="preserve">). </w:t>
      </w:r>
      <w:r w:rsidRPr="00F60C0B">
        <w:rPr>
          <w:rFonts w:ascii="Book Antiqua" w:eastAsia="Calibri" w:hAnsi="Book Antiqua" w:cs="Arial"/>
          <w:sz w:val="24"/>
          <w:szCs w:val="24"/>
        </w:rPr>
        <w:t xml:space="preserve"> </w:t>
      </w:r>
    </w:p>
    <w:bookmarkEnd w:id="23"/>
    <w:bookmarkEnd w:id="25"/>
    <w:p w14:paraId="259FB3CA" w14:textId="7AC11E5A" w:rsidR="005B78EF" w:rsidRDefault="005B78EF" w:rsidP="005B78EF">
      <w:pPr>
        <w:spacing w:after="0" w:line="276" w:lineRule="auto"/>
        <w:ind w:right="616"/>
        <w:jc w:val="both"/>
        <w:rPr>
          <w:rFonts w:ascii="Book Antiqua" w:eastAsia="Calibri" w:hAnsi="Book Antiqua" w:cs="Arial"/>
          <w:bCs/>
          <w:i/>
          <w:iCs/>
          <w:sz w:val="24"/>
          <w:szCs w:val="24"/>
          <w:lang w:val="es-419"/>
        </w:rPr>
      </w:pPr>
    </w:p>
    <w:p w14:paraId="5DB657F5" w14:textId="38C6F317" w:rsidR="005B78EF" w:rsidRDefault="005B78EF" w:rsidP="001D0C10">
      <w:pPr>
        <w:spacing w:after="0" w:line="276" w:lineRule="auto"/>
        <w:ind w:right="49"/>
        <w:jc w:val="both"/>
        <w:rPr>
          <w:rFonts w:ascii="Book Antiqua" w:eastAsia="Calibri" w:hAnsi="Book Antiqua" w:cs="Arial"/>
          <w:sz w:val="24"/>
          <w:szCs w:val="24"/>
        </w:rPr>
      </w:pPr>
      <w:r w:rsidRPr="005B78EF">
        <w:rPr>
          <w:rFonts w:ascii="Book Antiqua" w:eastAsia="Calibri" w:hAnsi="Book Antiqua" w:cs="Arial"/>
          <w:sz w:val="24"/>
          <w:szCs w:val="24"/>
        </w:rPr>
        <w:t xml:space="preserve">Actualmente, </w:t>
      </w:r>
      <w:r>
        <w:rPr>
          <w:rFonts w:ascii="Book Antiqua" w:eastAsia="Calibri" w:hAnsi="Book Antiqua" w:cs="Arial"/>
          <w:sz w:val="24"/>
          <w:szCs w:val="24"/>
        </w:rPr>
        <w:t xml:space="preserve">el Subproceso de Estadística está </w:t>
      </w:r>
      <w:r w:rsidRPr="005B78EF">
        <w:rPr>
          <w:rFonts w:ascii="Book Antiqua" w:eastAsia="Calibri" w:hAnsi="Book Antiqua" w:cs="Arial"/>
          <w:sz w:val="24"/>
          <w:szCs w:val="24"/>
        </w:rPr>
        <w:t xml:space="preserve">remitiendo inconsistencias a las oficinas sobre el informe de pase a fallo para </w:t>
      </w:r>
      <w:r>
        <w:rPr>
          <w:rFonts w:ascii="Book Antiqua" w:eastAsia="Calibri" w:hAnsi="Book Antiqua" w:cs="Arial"/>
          <w:sz w:val="24"/>
          <w:szCs w:val="24"/>
        </w:rPr>
        <w:t xml:space="preserve">posteriormente </w:t>
      </w:r>
      <w:r w:rsidRPr="005B78EF">
        <w:rPr>
          <w:rFonts w:ascii="Book Antiqua" w:eastAsia="Calibri" w:hAnsi="Book Antiqua" w:cs="Arial"/>
          <w:sz w:val="24"/>
          <w:szCs w:val="24"/>
        </w:rPr>
        <w:t>levantar el informe final y comunicarlo a la Comisión</w:t>
      </w:r>
      <w:r>
        <w:rPr>
          <w:rFonts w:ascii="Book Antiqua" w:eastAsia="Calibri" w:hAnsi="Book Antiqua" w:cs="Arial"/>
          <w:sz w:val="24"/>
          <w:szCs w:val="24"/>
        </w:rPr>
        <w:t xml:space="preserve"> de Familia, Niñez y Adolescencia y al Consejo Superior.</w:t>
      </w:r>
    </w:p>
    <w:p w14:paraId="436894C5" w14:textId="77777777" w:rsidR="00A96771" w:rsidRDefault="00A96771" w:rsidP="005B78EF">
      <w:pPr>
        <w:spacing w:after="0" w:line="276" w:lineRule="auto"/>
        <w:ind w:right="616"/>
        <w:jc w:val="both"/>
        <w:rPr>
          <w:rFonts w:ascii="Book Antiqua" w:eastAsia="Calibri" w:hAnsi="Book Antiqua" w:cs="Arial"/>
          <w:sz w:val="24"/>
          <w:szCs w:val="24"/>
        </w:rPr>
      </w:pPr>
    </w:p>
    <w:p w14:paraId="6DF212B4" w14:textId="77777777" w:rsidR="00E54CBF" w:rsidRPr="005B78EF" w:rsidRDefault="00E54CBF" w:rsidP="005B78EF">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5B78EF">
        <w:rPr>
          <w:rFonts w:ascii="Book Antiqua" w:eastAsiaTheme="majorEastAsia" w:hAnsi="Book Antiqua" w:cstheme="majorBidi"/>
          <w:b/>
          <w:color w:val="1F3864" w:themeColor="accent1" w:themeShade="80"/>
          <w:sz w:val="24"/>
          <w:lang w:val="es-ES"/>
        </w:rPr>
        <w:t>Modelo de Sostenibilidad y Seguimiento de los proyectos de rediseño de oficinas en materia de Familia</w:t>
      </w:r>
    </w:p>
    <w:p w14:paraId="7AC46BD6" w14:textId="77777777" w:rsidR="00E54CBF" w:rsidRPr="00E54CBF" w:rsidRDefault="00E54CBF" w:rsidP="00E54CBF">
      <w:pPr>
        <w:spacing w:after="0" w:line="276" w:lineRule="auto"/>
        <w:jc w:val="both"/>
        <w:rPr>
          <w:rFonts w:ascii="Book Antiqua" w:eastAsia="Calibri" w:hAnsi="Book Antiqua" w:cs="Arial"/>
          <w:sz w:val="24"/>
          <w:szCs w:val="24"/>
        </w:rPr>
      </w:pPr>
    </w:p>
    <w:p w14:paraId="5E48FD90" w14:textId="77777777" w:rsidR="006E7FF7" w:rsidRPr="006E7FF7" w:rsidRDefault="006E7FF7" w:rsidP="006E7FF7">
      <w:pPr>
        <w:spacing w:after="0" w:line="276" w:lineRule="auto"/>
        <w:jc w:val="both"/>
        <w:rPr>
          <w:rFonts w:ascii="Book Antiqua" w:eastAsia="Calibri" w:hAnsi="Book Antiqua" w:cs="Arial"/>
          <w:sz w:val="24"/>
          <w:szCs w:val="24"/>
        </w:rPr>
      </w:pPr>
      <w:r w:rsidRPr="006E7FF7">
        <w:rPr>
          <w:rFonts w:ascii="Book Antiqua" w:eastAsia="Calibri" w:hAnsi="Book Antiqua" w:cs="Arial"/>
          <w:sz w:val="24"/>
          <w:szCs w:val="24"/>
        </w:rPr>
        <w:t>El establecimiento de cuotas de trabajo a las personas juzgadoras y técnicas judiciales así como la implementación del Modelo de Sostenibilidad y Rediseño de despachos rediseñados institucional en los despachos de Familia, permitieron que a diciembre 2020, la totalidad de los despachos competentes en materia de Familia en primera instancia, cuenten con el Modelo implementado donde interactúan los equipos de mejora de los despachos, la Administración Regional, el Consejo de Administración, la Dirección de Planificación y el Centro de Apoyo, Coordinación y Mejoramiento de la Función Jurisdiccional.</w:t>
      </w:r>
    </w:p>
    <w:p w14:paraId="31345BA6" w14:textId="77777777" w:rsidR="006E7FF7" w:rsidRPr="006E7FF7" w:rsidRDefault="006E7FF7" w:rsidP="006E7FF7">
      <w:pPr>
        <w:spacing w:after="0" w:line="276" w:lineRule="auto"/>
        <w:jc w:val="both"/>
        <w:rPr>
          <w:rFonts w:ascii="Book Antiqua" w:eastAsia="Calibri" w:hAnsi="Book Antiqua" w:cs="Arial"/>
          <w:sz w:val="24"/>
          <w:szCs w:val="24"/>
        </w:rPr>
      </w:pPr>
    </w:p>
    <w:p w14:paraId="40ACBD15" w14:textId="77777777" w:rsidR="006E7FF7" w:rsidRPr="006E7FF7" w:rsidRDefault="006E7FF7" w:rsidP="006E7FF7">
      <w:pPr>
        <w:spacing w:after="0" w:line="276" w:lineRule="auto"/>
        <w:jc w:val="both"/>
        <w:rPr>
          <w:rFonts w:ascii="Book Antiqua" w:eastAsia="Calibri" w:hAnsi="Book Antiqua" w:cs="Arial"/>
          <w:sz w:val="24"/>
          <w:szCs w:val="24"/>
        </w:rPr>
      </w:pPr>
      <w:r w:rsidRPr="006E7FF7">
        <w:rPr>
          <w:rFonts w:ascii="Book Antiqua" w:eastAsia="Calibri" w:hAnsi="Book Antiqua" w:cs="Arial"/>
          <w:sz w:val="24"/>
          <w:szCs w:val="24"/>
        </w:rPr>
        <w:t xml:space="preserve">El acuerdo del Consejo Superior en sesión 82-2020 celebrada el 20 de agosto del 2020, artículo XLI donde acoge en todos sus extremos el informe 1213-PLA-EV-2020, donde se reiteran las responsabilidades de las personas juzgadoras coordinadoras de oficinas y del Consejo de Administración como participantes de este modelo. </w:t>
      </w:r>
    </w:p>
    <w:p w14:paraId="3DDE96EF" w14:textId="77777777" w:rsidR="006E7FF7" w:rsidRPr="006E7FF7" w:rsidRDefault="006E7FF7" w:rsidP="006E7FF7">
      <w:pPr>
        <w:spacing w:after="0" w:line="276" w:lineRule="auto"/>
        <w:jc w:val="both"/>
        <w:rPr>
          <w:rFonts w:ascii="Book Antiqua" w:eastAsia="Calibri" w:hAnsi="Book Antiqua" w:cs="Arial"/>
          <w:sz w:val="24"/>
          <w:szCs w:val="24"/>
        </w:rPr>
      </w:pPr>
    </w:p>
    <w:p w14:paraId="1F513388" w14:textId="77777777" w:rsidR="006E7FF7" w:rsidRPr="006E7FF7" w:rsidRDefault="006E7FF7" w:rsidP="006E7FF7">
      <w:pPr>
        <w:spacing w:after="0" w:line="276" w:lineRule="auto"/>
        <w:ind w:left="567" w:right="616"/>
        <w:jc w:val="both"/>
        <w:rPr>
          <w:rFonts w:ascii="Book Antiqua" w:eastAsia="Calibri" w:hAnsi="Book Antiqua" w:cs="Arial"/>
          <w:i/>
          <w:iCs/>
          <w:sz w:val="24"/>
          <w:szCs w:val="24"/>
        </w:rPr>
      </w:pPr>
      <w:r w:rsidRPr="006E7FF7">
        <w:rPr>
          <w:rFonts w:ascii="Book Antiqua" w:eastAsia="Calibri" w:hAnsi="Book Antiqua" w:cs="Arial"/>
          <w:i/>
          <w:iCs/>
          <w:sz w:val="24"/>
          <w:szCs w:val="24"/>
        </w:rPr>
        <w:t>“5.3.</w:t>
      </w:r>
      <w:r w:rsidRPr="006E7FF7">
        <w:rPr>
          <w:rFonts w:ascii="Book Antiqua" w:eastAsia="Calibri" w:hAnsi="Book Antiqua" w:cs="Arial"/>
          <w:i/>
          <w:iCs/>
          <w:sz w:val="24"/>
          <w:szCs w:val="24"/>
        </w:rPr>
        <w:tab/>
        <w:t>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w:t>
      </w:r>
      <w:r w:rsidRPr="006E7FF7">
        <w:rPr>
          <w:rFonts w:ascii="Book Antiqua" w:eastAsia="Calibri" w:hAnsi="Book Antiqua" w:cs="Arial"/>
          <w:i/>
          <w:iCs/>
          <w:sz w:val="24"/>
          <w:szCs w:val="24"/>
        </w:rPr>
        <w:lastRenderedPageBreak/>
        <w:t xml:space="preserve">2007), para lo cual podrán hacer uso de los productos del Modelo de Sostenibilidad y Seguimiento como insumo para esta labor. </w:t>
      </w:r>
    </w:p>
    <w:p w14:paraId="0932A0AE" w14:textId="77777777" w:rsidR="006E7FF7" w:rsidRPr="006E7FF7" w:rsidRDefault="006E7FF7" w:rsidP="006E7FF7">
      <w:pPr>
        <w:spacing w:after="0" w:line="276" w:lineRule="auto"/>
        <w:ind w:left="567" w:right="616"/>
        <w:jc w:val="both"/>
        <w:rPr>
          <w:rFonts w:ascii="Book Antiqua" w:eastAsia="Calibri" w:hAnsi="Book Antiqua" w:cs="Arial"/>
          <w:i/>
          <w:iCs/>
          <w:sz w:val="24"/>
          <w:szCs w:val="24"/>
        </w:rPr>
      </w:pPr>
    </w:p>
    <w:p w14:paraId="764AF67E" w14:textId="77777777" w:rsidR="006E7FF7" w:rsidRPr="006E7FF7" w:rsidRDefault="006E7FF7" w:rsidP="006E7FF7">
      <w:pPr>
        <w:spacing w:after="0" w:line="276" w:lineRule="auto"/>
        <w:ind w:left="567" w:right="616"/>
        <w:jc w:val="both"/>
        <w:rPr>
          <w:rFonts w:ascii="Book Antiqua" w:eastAsia="Calibri" w:hAnsi="Book Antiqua" w:cs="Arial"/>
          <w:i/>
          <w:iCs/>
          <w:sz w:val="24"/>
          <w:szCs w:val="24"/>
        </w:rPr>
      </w:pPr>
      <w:r w:rsidRPr="006E7FF7">
        <w:rPr>
          <w:rFonts w:ascii="Book Antiqua" w:eastAsia="Calibri" w:hAnsi="Book Antiqua" w:cs="Arial"/>
          <w:i/>
          <w:iCs/>
          <w:sz w:val="24"/>
          <w:szCs w:val="24"/>
        </w:rPr>
        <w:t>5.4.</w:t>
      </w:r>
      <w:r w:rsidRPr="006E7FF7">
        <w:rPr>
          <w:rFonts w:ascii="Book Antiqua" w:eastAsia="Calibri" w:hAnsi="Book Antiqua" w:cs="Arial"/>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p>
    <w:p w14:paraId="34DF4453" w14:textId="77777777" w:rsidR="006E7FF7" w:rsidRPr="006E7FF7" w:rsidRDefault="006E7FF7" w:rsidP="006E7FF7">
      <w:pPr>
        <w:spacing w:after="0" w:line="276" w:lineRule="auto"/>
        <w:jc w:val="both"/>
        <w:rPr>
          <w:rFonts w:ascii="Book Antiqua" w:eastAsia="Calibri" w:hAnsi="Book Antiqua" w:cs="Arial"/>
          <w:sz w:val="24"/>
          <w:szCs w:val="24"/>
        </w:rPr>
      </w:pPr>
    </w:p>
    <w:p w14:paraId="44D637B1" w14:textId="77777777" w:rsidR="006E7FF7" w:rsidRPr="006E7FF7" w:rsidRDefault="006E7FF7" w:rsidP="006E7FF7">
      <w:pPr>
        <w:spacing w:after="0" w:line="276" w:lineRule="auto"/>
        <w:jc w:val="both"/>
        <w:rPr>
          <w:rFonts w:ascii="Book Antiqua" w:eastAsia="Calibri" w:hAnsi="Book Antiqua" w:cs="Arial"/>
          <w:sz w:val="24"/>
          <w:szCs w:val="24"/>
        </w:rPr>
      </w:pPr>
      <w:r w:rsidRPr="006E7FF7">
        <w:rPr>
          <w:rFonts w:ascii="Book Antiqua" w:eastAsia="Calibri" w:hAnsi="Book Antiqua" w:cs="Arial"/>
          <w:sz w:val="24"/>
          <w:szCs w:val="24"/>
        </w:rPr>
        <w:t xml:space="preserve">Cada Juzgado cuenta con su equipo de mejora conformado y además hacen uso de la matriz de indicadores que se les diseño y para lo cual fueron capacitados por la Dirección de Planificación sobre la forma de completar esa matriz.  </w:t>
      </w:r>
    </w:p>
    <w:p w14:paraId="0D523B68" w14:textId="77777777" w:rsidR="006E7FF7" w:rsidRPr="006E7FF7" w:rsidRDefault="006E7FF7" w:rsidP="006E7FF7">
      <w:pPr>
        <w:spacing w:after="0" w:line="276" w:lineRule="auto"/>
        <w:jc w:val="both"/>
        <w:rPr>
          <w:rFonts w:ascii="Book Antiqua" w:eastAsia="Calibri" w:hAnsi="Book Antiqua" w:cs="Arial"/>
          <w:sz w:val="24"/>
          <w:szCs w:val="24"/>
        </w:rPr>
      </w:pPr>
      <w:r w:rsidRPr="006E7FF7">
        <w:rPr>
          <w:rFonts w:ascii="Book Antiqua" w:eastAsia="Calibri" w:hAnsi="Book Antiqua" w:cs="Arial"/>
          <w:sz w:val="24"/>
          <w:szCs w:val="24"/>
        </w:rPr>
        <w:t>Lo anterior, también como parte de un proceso de retroalimentación en atención de la recomendación 4.7 de informe  DFOE-PG-0098 (2683)-2020, relacionado con el informe DFOE-PG-IF-00002-2020 “</w:t>
      </w:r>
      <w:r w:rsidRPr="006E7FF7">
        <w:rPr>
          <w:rFonts w:ascii="Book Antiqua" w:eastAsia="Calibri" w:hAnsi="Book Antiqua" w:cs="Arial"/>
          <w:i/>
          <w:iCs/>
          <w:sz w:val="24"/>
          <w:szCs w:val="24"/>
        </w:rPr>
        <w:t xml:space="preserve">Informe de Auditoría Operativa sobre la gestión del Poder Judicial en cuanto a la oportunidad de la prestación del servicio público de administración de la justicia de los juzgados de Familia y de Pensiones alimentarias” </w:t>
      </w:r>
      <w:r w:rsidRPr="006E7FF7">
        <w:rPr>
          <w:rFonts w:ascii="Book Antiqua" w:eastAsia="Calibri" w:hAnsi="Book Antiqua" w:cs="Arial"/>
          <w:sz w:val="24"/>
          <w:szCs w:val="24"/>
        </w:rPr>
        <w:t>y donde el Consejo Superior aprueba el oficio 2058-PLA-EV-2020 en sesión 2-2021 celebrada el 07 de enero del 2021, artículo XXXIX y dispuso:</w:t>
      </w:r>
    </w:p>
    <w:p w14:paraId="3119966A" w14:textId="3DAC2AFD" w:rsidR="0025554E" w:rsidRDefault="0025554E" w:rsidP="008904E0">
      <w:pPr>
        <w:spacing w:after="0" w:line="276" w:lineRule="auto"/>
        <w:jc w:val="both"/>
        <w:rPr>
          <w:rFonts w:ascii="Book Antiqua" w:eastAsia="Calibri" w:hAnsi="Book Antiqua" w:cs="Arial"/>
          <w:sz w:val="24"/>
          <w:szCs w:val="24"/>
        </w:rPr>
      </w:pPr>
    </w:p>
    <w:p w14:paraId="6DA4A2B5" w14:textId="35513EDC" w:rsidR="003B3D1C" w:rsidRPr="003B3D1C" w:rsidRDefault="003B3D1C" w:rsidP="003B3D1C">
      <w:pPr>
        <w:spacing w:after="0" w:line="276" w:lineRule="auto"/>
        <w:ind w:left="567" w:right="616"/>
        <w:jc w:val="both"/>
        <w:rPr>
          <w:rFonts w:ascii="Book Antiqua" w:eastAsia="Calibri" w:hAnsi="Book Antiqua" w:cs="Times New Roman"/>
          <w:i/>
          <w:iCs/>
          <w:sz w:val="24"/>
          <w:szCs w:val="24"/>
          <w:lang w:eastAsia="es-CR"/>
        </w:rPr>
      </w:pPr>
      <w:r w:rsidRPr="003B3D1C">
        <w:rPr>
          <w:rFonts w:ascii="Book Antiqua" w:eastAsia="Calibri" w:hAnsi="Book Antiqua" w:cs="Calibri"/>
          <w:i/>
          <w:iCs/>
          <w:sz w:val="24"/>
          <w:szCs w:val="24"/>
          <w:lang w:eastAsia="es-CR"/>
        </w:rPr>
        <w:t>“</w:t>
      </w:r>
      <w:r w:rsidRPr="003B3D1C">
        <w:rPr>
          <w:rFonts w:ascii="Book Antiqua" w:eastAsia="Calibri" w:hAnsi="Book Antiqua" w:cs="Times New Roman"/>
          <w:b/>
          <w:bCs/>
          <w:i/>
          <w:iCs/>
          <w:sz w:val="24"/>
          <w:szCs w:val="24"/>
          <w:lang w:eastAsia="es-CR"/>
        </w:rPr>
        <w:t xml:space="preserve">Se acordó: 1.) </w:t>
      </w:r>
      <w:r w:rsidRPr="003B3D1C">
        <w:rPr>
          <w:rFonts w:ascii="Book Antiqua" w:eastAsia="Calibri" w:hAnsi="Book Antiqua" w:cs="Times New Roman"/>
          <w:i/>
          <w:iCs/>
          <w:sz w:val="24"/>
          <w:szCs w:val="24"/>
          <w:lang w:eastAsia="es-CR"/>
        </w:rPr>
        <w:t xml:space="preserve">Tener por rendido el informe N° 2058-PLA-EV-2020 de 18 de diciembre de 2020, suscrito por el licenciado Erick Antonio Mora Leiva, Jefe del Proceso de Planeación y Evaluación, en el que remitió el informe suscrito por el Ingeniero Jorge Fernando Rodríguez Salazar, Jefe interino del Subproceso de Evaluación, relacionado con el cumplimiento total de la recomendación 4.7 del oficio de la Contraloría General de la República, número DFOE-PG-0098 (2683)-2020. </w:t>
      </w:r>
      <w:r w:rsidRPr="003B3D1C">
        <w:rPr>
          <w:rFonts w:ascii="Book Antiqua" w:eastAsia="Calibri" w:hAnsi="Book Antiqua" w:cs="Times New Roman"/>
          <w:b/>
          <w:bCs/>
          <w:i/>
          <w:iCs/>
          <w:sz w:val="24"/>
          <w:szCs w:val="24"/>
          <w:lang w:eastAsia="es-CR"/>
        </w:rPr>
        <w:t xml:space="preserve">2.) </w:t>
      </w:r>
      <w:r w:rsidRPr="003B3D1C">
        <w:rPr>
          <w:rFonts w:ascii="Book Antiqua" w:eastAsia="Calibri" w:hAnsi="Book Antiqua" w:cs="Times New Roman"/>
          <w:i/>
          <w:iCs/>
          <w:sz w:val="24"/>
          <w:szCs w:val="24"/>
          <w:lang w:eastAsia="es-CR"/>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w:t>
      </w:r>
      <w:r w:rsidRPr="003B3D1C">
        <w:rPr>
          <w:rFonts w:ascii="Book Antiqua" w:eastAsia="Calibri" w:hAnsi="Book Antiqua" w:cs="Times New Roman"/>
          <w:i/>
          <w:iCs/>
          <w:sz w:val="24"/>
          <w:szCs w:val="24"/>
          <w:lang w:eastAsia="es-CR"/>
        </w:rPr>
        <w:lastRenderedPageBreak/>
        <w:t xml:space="preserve">y Pensiones Alimentarias a nivel nacional, cuyas responsabilidades fueron reiteradas a cada uno de los responsables mediante circulares N° 193-2020 y 194-2020. </w:t>
      </w:r>
      <w:r w:rsidRPr="003B3D1C">
        <w:rPr>
          <w:rFonts w:ascii="Book Antiqua" w:eastAsia="Calibri" w:hAnsi="Book Antiqua" w:cs="Times New Roman"/>
          <w:b/>
          <w:bCs/>
          <w:i/>
          <w:iCs/>
          <w:sz w:val="24"/>
          <w:szCs w:val="24"/>
          <w:lang w:eastAsia="es-CR"/>
        </w:rPr>
        <w:t>3.)</w:t>
      </w:r>
      <w:r w:rsidRPr="003B3D1C">
        <w:rPr>
          <w:rFonts w:ascii="Book Antiqua" w:eastAsia="Calibri" w:hAnsi="Book Antiqua" w:cs="Times New Roman"/>
          <w:i/>
          <w:iCs/>
          <w:sz w:val="24"/>
          <w:szCs w:val="24"/>
          <w:lang w:eastAsia="es-CR"/>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3B3D1C">
        <w:rPr>
          <w:rFonts w:ascii="Book Antiqua" w:eastAsia="Calibri" w:hAnsi="Book Antiqua" w:cs="Times New Roman"/>
          <w:b/>
          <w:bCs/>
          <w:i/>
          <w:iCs/>
          <w:sz w:val="24"/>
          <w:szCs w:val="24"/>
          <w:lang w:eastAsia="es-CR"/>
        </w:rPr>
        <w:t xml:space="preserve">4.) </w:t>
      </w:r>
      <w:r w:rsidRPr="003B3D1C">
        <w:rPr>
          <w:rFonts w:ascii="Book Antiqua" w:eastAsia="Calibri" w:hAnsi="Book Antiqua" w:cs="Times New Roman"/>
          <w:i/>
          <w:iCs/>
          <w:sz w:val="24"/>
          <w:szCs w:val="24"/>
          <w:lang w:eastAsia="es-CR"/>
        </w:rPr>
        <w:t>Comisionar a la Secretaría General de la Corte para que tramite la remisión del contenido completo del informe N° 2058-PLA-EV-2020 de 18 de diciembre de 2020, a la Contraloría General de la República.</w:t>
      </w:r>
    </w:p>
    <w:p w14:paraId="6002E234" w14:textId="77777777" w:rsidR="003B3D1C" w:rsidRPr="003B3D1C" w:rsidRDefault="003B3D1C" w:rsidP="003B3D1C">
      <w:pPr>
        <w:spacing w:after="0" w:line="276" w:lineRule="auto"/>
        <w:ind w:left="567" w:right="616"/>
        <w:rPr>
          <w:rFonts w:ascii="Book Antiqua" w:eastAsia="Calibri" w:hAnsi="Book Antiqua" w:cs="Times New Roman"/>
          <w:i/>
          <w:iCs/>
          <w:sz w:val="24"/>
          <w:szCs w:val="24"/>
          <w:lang w:eastAsia="es-CR"/>
        </w:rPr>
      </w:pPr>
      <w:r w:rsidRPr="003B3D1C">
        <w:rPr>
          <w:rFonts w:ascii="Book Antiqua" w:eastAsia="Calibri" w:hAnsi="Book Antiqua" w:cs="Times New Roman"/>
          <w:i/>
          <w:iCs/>
          <w:sz w:val="24"/>
          <w:szCs w:val="24"/>
          <w:lang w:val="es-ES" w:eastAsia="es-CR"/>
        </w:rPr>
        <w:t> </w:t>
      </w:r>
    </w:p>
    <w:p w14:paraId="69ACC6D2" w14:textId="77777777" w:rsidR="003B3D1C" w:rsidRPr="003B3D1C" w:rsidRDefault="003B3D1C" w:rsidP="003B3D1C">
      <w:pPr>
        <w:spacing w:after="0" w:line="276" w:lineRule="auto"/>
        <w:ind w:left="567" w:right="616"/>
        <w:jc w:val="both"/>
        <w:rPr>
          <w:rFonts w:ascii="Book Antiqua" w:eastAsia="Calibri" w:hAnsi="Book Antiqua" w:cs="Times New Roman"/>
          <w:i/>
          <w:iCs/>
          <w:sz w:val="24"/>
          <w:szCs w:val="24"/>
          <w:lang w:eastAsia="es-CR"/>
        </w:rPr>
      </w:pPr>
      <w:r w:rsidRPr="003B3D1C">
        <w:rPr>
          <w:rFonts w:ascii="Book Antiqua" w:eastAsia="Calibri" w:hAnsi="Book Antiqua" w:cs="Times New Roman"/>
          <w:i/>
          <w:iCs/>
          <w:sz w:val="24"/>
          <w:szCs w:val="24"/>
          <w:lang w:eastAsia="es-CR"/>
        </w:rPr>
        <w:t xml:space="preserve">La Dirección de Planificación tomará nota para los fines consiguientes. </w:t>
      </w:r>
      <w:r w:rsidRPr="003B3D1C">
        <w:rPr>
          <w:rFonts w:ascii="Book Antiqua" w:eastAsia="Calibri" w:hAnsi="Book Antiqua" w:cs="Times New Roman"/>
          <w:b/>
          <w:bCs/>
          <w:i/>
          <w:iCs/>
          <w:sz w:val="24"/>
          <w:szCs w:val="24"/>
          <w:lang w:eastAsia="es-CR"/>
        </w:rPr>
        <w:t>Se declara acuerdo firme.</w:t>
      </w:r>
      <w:r w:rsidRPr="003B3D1C">
        <w:rPr>
          <w:rFonts w:ascii="Book Antiqua" w:eastAsia="Calibri" w:hAnsi="Book Antiqua" w:cs="Times New Roman"/>
          <w:i/>
          <w:iCs/>
          <w:sz w:val="24"/>
          <w:szCs w:val="24"/>
          <w:lang w:val="es-ES" w:eastAsia="es-CR"/>
        </w:rPr>
        <w:t>”.</w:t>
      </w:r>
    </w:p>
    <w:p w14:paraId="24544FA4" w14:textId="77777777" w:rsidR="003B3D1C" w:rsidRPr="003B3D1C" w:rsidRDefault="003B3D1C" w:rsidP="003B3D1C">
      <w:pPr>
        <w:spacing w:after="0" w:line="276" w:lineRule="auto"/>
        <w:ind w:left="851" w:right="851"/>
        <w:jc w:val="both"/>
        <w:rPr>
          <w:rFonts w:ascii="Times New Roman" w:eastAsia="Calibri" w:hAnsi="Times New Roman" w:cs="Times New Roman"/>
          <w:sz w:val="24"/>
          <w:szCs w:val="24"/>
          <w:lang w:eastAsia="es-CR"/>
        </w:rPr>
      </w:pPr>
      <w:r w:rsidRPr="003B3D1C">
        <w:rPr>
          <w:rFonts w:ascii="Times New Roman" w:eastAsia="Calibri" w:hAnsi="Times New Roman" w:cs="Times New Roman"/>
          <w:lang w:val="es-ES" w:eastAsia="es-CR"/>
        </w:rPr>
        <w:t> </w:t>
      </w:r>
    </w:p>
    <w:p w14:paraId="518008E4" w14:textId="0F7A0B5F" w:rsidR="003B3D1C" w:rsidRDefault="003B3D1C" w:rsidP="003B3D1C">
      <w:pPr>
        <w:spacing w:after="0" w:line="276" w:lineRule="auto"/>
        <w:jc w:val="both"/>
        <w:rPr>
          <w:rFonts w:ascii="Book Antiqua" w:eastAsia="Calibri" w:hAnsi="Book Antiqua" w:cs="Arial"/>
          <w:i/>
          <w:iCs/>
          <w:sz w:val="24"/>
          <w:szCs w:val="24"/>
        </w:rPr>
      </w:pPr>
      <w:r w:rsidRPr="003B3D1C">
        <w:rPr>
          <w:rFonts w:ascii="Book Antiqua" w:eastAsia="Calibri" w:hAnsi="Book Antiqua" w:cs="Arial"/>
          <w:sz w:val="24"/>
          <w:szCs w:val="24"/>
        </w:rPr>
        <w:t xml:space="preserve">Adicionalmente el Consejo Superior acuerda en sesión 82-2020 celebrada el 20 de agosto del 2020, artículo XLI emitir las circulares 193-2020 </w:t>
      </w:r>
      <w:r w:rsidRPr="003B3D1C">
        <w:rPr>
          <w:rFonts w:ascii="Book Antiqua" w:eastAsia="Calibri" w:hAnsi="Book Antiqua" w:cs="Arial"/>
          <w:i/>
          <w:iCs/>
          <w:sz w:val="24"/>
          <w:szCs w:val="24"/>
        </w:rPr>
        <w:t>“Responsabilidades asociadas al Modelo de Sostenibilidad y Seguimientos de los proyectos de rediseño de oficinas”</w:t>
      </w:r>
      <w:r w:rsidRPr="003B3D1C">
        <w:rPr>
          <w:rFonts w:ascii="Book Antiqua" w:eastAsia="Calibri" w:hAnsi="Book Antiqua" w:cs="Arial"/>
          <w:sz w:val="24"/>
          <w:szCs w:val="24"/>
        </w:rPr>
        <w:t xml:space="preserve"> y 194-2020 </w:t>
      </w:r>
      <w:r w:rsidRPr="003B3D1C">
        <w:rPr>
          <w:rFonts w:ascii="Book Antiqua" w:eastAsia="Calibri" w:hAnsi="Book Antiqua" w:cs="Arial"/>
          <w:i/>
          <w:iCs/>
          <w:sz w:val="24"/>
          <w:szCs w:val="24"/>
        </w:rPr>
        <w:t xml:space="preserve">“Responsabilidades en el cumplimiento de las labores y el rendimiento de todos los servidores del despacho y el régimen disciplinario” </w:t>
      </w:r>
      <w:r w:rsidRPr="003B3D1C">
        <w:rPr>
          <w:rFonts w:ascii="Book Antiqua" w:eastAsia="Calibri" w:hAnsi="Book Antiqua" w:cs="Arial"/>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3B3D1C">
        <w:rPr>
          <w:rFonts w:ascii="Book Antiqua" w:eastAsia="Calibri" w:hAnsi="Book Antiqua" w:cs="Arial"/>
          <w:i/>
          <w:iCs/>
          <w:sz w:val="24"/>
          <w:szCs w:val="24"/>
        </w:rPr>
        <w:t>“Informe de Auditoría Operativa sobre la gestión del Poder Judicial en cuanto a la oportunidad de la prestación del servicio público de administración de la justicia de los juzgados de Familia y de Pensiones alimentarias.”.</w:t>
      </w:r>
    </w:p>
    <w:p w14:paraId="5812E3BF" w14:textId="77777777" w:rsidR="00304C4E" w:rsidRDefault="00304C4E" w:rsidP="003B3D1C">
      <w:pPr>
        <w:spacing w:after="0" w:line="276" w:lineRule="auto"/>
        <w:jc w:val="both"/>
        <w:rPr>
          <w:rFonts w:ascii="Book Antiqua" w:eastAsia="Calibri" w:hAnsi="Book Antiqua" w:cs="Arial"/>
          <w:i/>
          <w:iCs/>
          <w:sz w:val="24"/>
          <w:szCs w:val="24"/>
        </w:rPr>
      </w:pPr>
    </w:p>
    <w:p w14:paraId="43E9A03F" w14:textId="77777777" w:rsidR="00EC233F" w:rsidRPr="00625442" w:rsidRDefault="00EC233F" w:rsidP="00625442">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625442">
        <w:rPr>
          <w:rFonts w:ascii="Book Antiqua" w:eastAsiaTheme="majorEastAsia" w:hAnsi="Book Antiqua" w:cstheme="majorBidi"/>
          <w:b/>
          <w:color w:val="1F3864" w:themeColor="accent1" w:themeShade="80"/>
          <w:sz w:val="24"/>
          <w:lang w:val="es-ES"/>
        </w:rPr>
        <w:t>Indicadores de Gestión en Despachos Rediseñados</w:t>
      </w:r>
    </w:p>
    <w:p w14:paraId="6C5F6EA0" w14:textId="77777777" w:rsidR="00625442" w:rsidRDefault="00625442" w:rsidP="00077CF2">
      <w:pPr>
        <w:spacing w:after="0" w:line="276" w:lineRule="auto"/>
        <w:jc w:val="both"/>
        <w:rPr>
          <w:rFonts w:ascii="Book Antiqua" w:eastAsia="Calibri" w:hAnsi="Book Antiqua" w:cs="Arial"/>
          <w:sz w:val="24"/>
          <w:szCs w:val="24"/>
        </w:rPr>
      </w:pPr>
    </w:p>
    <w:p w14:paraId="420BFE3F" w14:textId="2DF35DBA" w:rsidR="00077CF2" w:rsidRPr="00077CF2" w:rsidRDefault="00077CF2" w:rsidP="00077CF2">
      <w:pPr>
        <w:spacing w:after="0" w:line="276" w:lineRule="auto"/>
        <w:jc w:val="both"/>
        <w:rPr>
          <w:rFonts w:ascii="Book Antiqua" w:eastAsia="Calibri" w:hAnsi="Book Antiqua" w:cs="Arial"/>
          <w:sz w:val="24"/>
          <w:szCs w:val="24"/>
        </w:rPr>
      </w:pPr>
      <w:r w:rsidRPr="00077CF2">
        <w:rPr>
          <w:rFonts w:ascii="Book Antiqua" w:eastAsia="Calibri" w:hAnsi="Book Antiqua" w:cs="Arial"/>
          <w:sz w:val="24"/>
          <w:szCs w:val="24"/>
        </w:rPr>
        <w:t xml:space="preserve">El diseño de la matriz de indicadores de gestión para los despachos competentes en materia de Familia, tomo en consideración Rediseños en los Juzgados de Familia del Segundo Circuito Judicial de Alajuela y Cartago y fueron debidamente validados con el equipo gestor, en donde los indicadores se categorizan de la siguiente manera: </w:t>
      </w:r>
    </w:p>
    <w:p w14:paraId="76E95B5D" w14:textId="67C7974F" w:rsidR="00077CF2" w:rsidRDefault="00077CF2" w:rsidP="005B78EF">
      <w:pPr>
        <w:spacing w:after="0" w:line="276" w:lineRule="auto"/>
        <w:jc w:val="both"/>
        <w:rPr>
          <w:rFonts w:ascii="Book Antiqua" w:eastAsia="Calibri" w:hAnsi="Book Antiqua" w:cs="Arial"/>
          <w:sz w:val="24"/>
          <w:szCs w:val="24"/>
          <w:lang w:eastAsia="es-CR"/>
        </w:rPr>
      </w:pPr>
      <w:r w:rsidRPr="00077CF2">
        <w:rPr>
          <w:rFonts w:ascii="Book Antiqua" w:eastAsia="Calibri" w:hAnsi="Book Antiqua" w:cs="Arial"/>
          <w:sz w:val="24"/>
          <w:szCs w:val="24"/>
        </w:rPr>
        <w:t xml:space="preserve"> </w:t>
      </w:r>
      <w:r w:rsidRPr="00077CF2">
        <w:rPr>
          <w:rFonts w:ascii="Book Antiqua" w:eastAsia="Calibri" w:hAnsi="Book Antiqua" w:cs="Arial"/>
          <w:sz w:val="24"/>
          <w:szCs w:val="24"/>
          <w:lang w:eastAsia="es-CR"/>
        </w:rPr>
        <w:t xml:space="preserve">Rendimiento estadístico del despacho: en términos generales consisten en detallar una serie de variables estadísticas destinadas a calificar de manera general el movimiento de trabajo del despacho (entradas, salidas, circulante, etc.). </w:t>
      </w:r>
    </w:p>
    <w:p w14:paraId="6F04B08D" w14:textId="77777777" w:rsidR="00945E23" w:rsidRPr="00077CF2" w:rsidRDefault="00945E23" w:rsidP="005B78EF">
      <w:pPr>
        <w:spacing w:after="0" w:line="276" w:lineRule="auto"/>
        <w:jc w:val="both"/>
        <w:rPr>
          <w:rFonts w:ascii="Book Antiqua" w:eastAsia="Calibri" w:hAnsi="Book Antiqua" w:cs="Arial"/>
          <w:sz w:val="24"/>
          <w:szCs w:val="24"/>
          <w:lang w:eastAsia="es-CR"/>
        </w:rPr>
      </w:pPr>
    </w:p>
    <w:p w14:paraId="421F7939" w14:textId="77777777" w:rsidR="00F638A5" w:rsidRPr="00F638A5" w:rsidRDefault="00F638A5" w:rsidP="0090609F">
      <w:pPr>
        <w:numPr>
          <w:ilvl w:val="0"/>
          <w:numId w:val="16"/>
        </w:numPr>
        <w:spacing w:after="0" w:line="276" w:lineRule="auto"/>
        <w:ind w:left="0" w:firstLine="0"/>
        <w:contextualSpacing/>
        <w:jc w:val="both"/>
        <w:rPr>
          <w:rFonts w:ascii="Book Antiqua" w:eastAsia="Calibri" w:hAnsi="Book Antiqua" w:cs="Arial"/>
          <w:sz w:val="24"/>
          <w:szCs w:val="24"/>
          <w:lang w:eastAsia="es-CR"/>
        </w:rPr>
      </w:pPr>
      <w:r w:rsidRPr="00F638A5">
        <w:rPr>
          <w:rFonts w:ascii="Book Antiqua" w:eastAsia="Calibri" w:hAnsi="Book Antiqua" w:cs="Arial"/>
          <w:sz w:val="24"/>
          <w:szCs w:val="24"/>
          <w:lang w:eastAsia="es-CR"/>
        </w:rPr>
        <w:lastRenderedPageBreak/>
        <w:t xml:space="preserve">Plazos: valoran cierta cantidad de actividades de acuerdo principalmente a la duración a lo interno del Despacho (dictado de sentencias, resolver demandas nuevas, resolver escritos, entre otros). </w:t>
      </w:r>
    </w:p>
    <w:p w14:paraId="0E28D1C2" w14:textId="308B3461" w:rsidR="00F638A5" w:rsidRDefault="00F638A5" w:rsidP="0090609F">
      <w:pPr>
        <w:numPr>
          <w:ilvl w:val="0"/>
          <w:numId w:val="16"/>
        </w:numPr>
        <w:spacing w:after="0" w:line="276" w:lineRule="auto"/>
        <w:ind w:left="0" w:firstLine="0"/>
        <w:contextualSpacing/>
        <w:jc w:val="both"/>
        <w:rPr>
          <w:rFonts w:ascii="Book Antiqua" w:eastAsia="Calibri" w:hAnsi="Book Antiqua" w:cs="Arial"/>
          <w:sz w:val="24"/>
          <w:szCs w:val="24"/>
          <w:lang w:eastAsia="es-CR"/>
        </w:rPr>
      </w:pPr>
      <w:r w:rsidRPr="009C462E">
        <w:rPr>
          <w:rFonts w:ascii="Book Antiqua" w:eastAsia="Calibri" w:hAnsi="Book Antiqua" w:cs="Arial"/>
          <w:sz w:val="24"/>
          <w:szCs w:val="24"/>
          <w:lang w:eastAsia="es-CR"/>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676532B2" w14:textId="77777777" w:rsidR="009C462E" w:rsidRPr="009C462E" w:rsidRDefault="009C462E" w:rsidP="009C462E">
      <w:pPr>
        <w:spacing w:after="0" w:line="276" w:lineRule="auto"/>
        <w:contextualSpacing/>
        <w:jc w:val="both"/>
        <w:rPr>
          <w:rFonts w:ascii="Book Antiqua" w:eastAsia="Calibri" w:hAnsi="Book Antiqua" w:cs="Arial"/>
          <w:sz w:val="24"/>
          <w:szCs w:val="24"/>
          <w:lang w:eastAsia="es-CR"/>
        </w:rPr>
      </w:pPr>
    </w:p>
    <w:p w14:paraId="4F03AE75" w14:textId="77777777" w:rsidR="00F638A5" w:rsidRPr="009C462E" w:rsidRDefault="00F638A5" w:rsidP="009C462E">
      <w:pPr>
        <w:spacing w:line="276" w:lineRule="auto"/>
        <w:jc w:val="both"/>
        <w:rPr>
          <w:rFonts w:ascii="Book Antiqua" w:eastAsia="Calibri" w:hAnsi="Book Antiqua" w:cs="Arial"/>
          <w:sz w:val="24"/>
          <w:szCs w:val="24"/>
        </w:rPr>
      </w:pPr>
      <w:r w:rsidRPr="009C462E">
        <w:rPr>
          <w:rFonts w:ascii="Book Antiqua" w:eastAsia="Calibri" w:hAnsi="Book Antiqua" w:cs="Arial"/>
          <w:sz w:val="24"/>
          <w:szCs w:val="24"/>
        </w:rPr>
        <w:t xml:space="preserve">Respecto a los indicadores y parámetros estos fueron sometidos a aprobación de Consejo Superior y Corte Plena mediante informe 656-PLA-RH-MI-2020 y aprobados por ambas instancias en sesiones sesión 45-2020 celebrada el 8 de mayo de 2020, artículo XIX y sesión 31-2020 del dos de junio del 2020, artículo I, respectivamente. </w:t>
      </w:r>
    </w:p>
    <w:p w14:paraId="4A02AC93" w14:textId="5BA09E76" w:rsidR="007F24CE" w:rsidRDefault="00B510D7" w:rsidP="002E7334">
      <w:pPr>
        <w:spacing w:line="276" w:lineRule="auto"/>
        <w:jc w:val="both"/>
        <w:rPr>
          <w:rFonts w:ascii="Book Antiqua" w:eastAsia="Calibri" w:hAnsi="Book Antiqua" w:cs="Arial"/>
          <w:sz w:val="24"/>
          <w:szCs w:val="24"/>
        </w:rPr>
      </w:pPr>
      <w:r>
        <w:rPr>
          <w:rFonts w:ascii="Book Antiqua" w:eastAsia="Calibri" w:hAnsi="Book Antiqua" w:cs="Arial"/>
          <w:sz w:val="24"/>
          <w:szCs w:val="24"/>
        </w:rPr>
        <w:t>Adicionalmente</w:t>
      </w:r>
      <w:r w:rsidR="00376141">
        <w:rPr>
          <w:rFonts w:ascii="Book Antiqua" w:eastAsia="Calibri" w:hAnsi="Book Antiqua" w:cs="Arial"/>
          <w:sz w:val="24"/>
          <w:szCs w:val="24"/>
        </w:rPr>
        <w:t>, c</w:t>
      </w:r>
      <w:r w:rsidR="00C35A5E">
        <w:rPr>
          <w:rFonts w:ascii="Book Antiqua" w:eastAsia="Calibri" w:hAnsi="Book Antiqua" w:cs="Arial"/>
          <w:sz w:val="24"/>
          <w:szCs w:val="24"/>
        </w:rPr>
        <w:t>omo parte del seguimiento realizado en los Juzgados</w:t>
      </w:r>
      <w:r w:rsidR="002E7334">
        <w:rPr>
          <w:rFonts w:ascii="Book Antiqua" w:eastAsia="Calibri" w:hAnsi="Book Antiqua" w:cs="Arial"/>
          <w:sz w:val="24"/>
          <w:szCs w:val="24"/>
        </w:rPr>
        <w:t xml:space="preserve"> Especializados de Familia durante el 2021, </w:t>
      </w:r>
      <w:r>
        <w:rPr>
          <w:rFonts w:ascii="Book Antiqua" w:eastAsia="Calibri" w:hAnsi="Book Antiqua" w:cs="Arial"/>
          <w:sz w:val="24"/>
          <w:szCs w:val="24"/>
        </w:rPr>
        <w:t>s</w:t>
      </w:r>
      <w:r w:rsidR="00C35A5E">
        <w:rPr>
          <w:rFonts w:ascii="Book Antiqua" w:eastAsia="Calibri" w:hAnsi="Book Antiqua" w:cs="Arial"/>
          <w:sz w:val="24"/>
          <w:szCs w:val="24"/>
        </w:rPr>
        <w:t>e detect</w:t>
      </w:r>
      <w:r w:rsidR="002E7334">
        <w:rPr>
          <w:rFonts w:ascii="Book Antiqua" w:eastAsia="Calibri" w:hAnsi="Book Antiqua" w:cs="Arial"/>
          <w:sz w:val="24"/>
          <w:szCs w:val="24"/>
        </w:rPr>
        <w:t xml:space="preserve">aron oportunidades de mejora para la matriz de indicadores de gestión, </w:t>
      </w:r>
      <w:r w:rsidR="00276272">
        <w:rPr>
          <w:rFonts w:ascii="Book Antiqua" w:eastAsia="Calibri" w:hAnsi="Book Antiqua" w:cs="Arial"/>
          <w:sz w:val="24"/>
          <w:szCs w:val="24"/>
        </w:rPr>
        <w:t xml:space="preserve">por lo que </w:t>
      </w:r>
      <w:r w:rsidR="002E7334">
        <w:rPr>
          <w:rFonts w:ascii="Book Antiqua" w:eastAsia="Calibri" w:hAnsi="Book Antiqua" w:cs="Arial"/>
          <w:sz w:val="24"/>
          <w:szCs w:val="24"/>
        </w:rPr>
        <w:t xml:space="preserve">se realizaron ajustes a </w:t>
      </w:r>
      <w:r w:rsidR="00276272">
        <w:rPr>
          <w:rFonts w:ascii="Book Antiqua" w:eastAsia="Calibri" w:hAnsi="Book Antiqua" w:cs="Arial"/>
          <w:sz w:val="24"/>
          <w:szCs w:val="24"/>
        </w:rPr>
        <w:t xml:space="preserve">estas, </w:t>
      </w:r>
      <w:r w:rsidR="003D6239">
        <w:rPr>
          <w:rFonts w:ascii="Book Antiqua" w:eastAsia="Calibri" w:hAnsi="Book Antiqua" w:cs="Arial"/>
          <w:sz w:val="24"/>
          <w:szCs w:val="24"/>
        </w:rPr>
        <w:t>los cuales fueron comunicados mediante informe 6-PLA-MI-2022</w:t>
      </w:r>
      <w:r w:rsidR="00376141">
        <w:rPr>
          <w:rFonts w:ascii="Book Antiqua" w:eastAsia="Calibri" w:hAnsi="Book Antiqua" w:cs="Arial"/>
          <w:sz w:val="24"/>
          <w:szCs w:val="24"/>
        </w:rPr>
        <w:t xml:space="preserve"> “</w:t>
      </w:r>
      <w:r w:rsidR="00376141" w:rsidRPr="00B510D7">
        <w:rPr>
          <w:rFonts w:ascii="Book Antiqua" w:eastAsia="Calibri" w:hAnsi="Book Antiqua" w:cs="Arial"/>
          <w:i/>
          <w:iCs/>
          <w:sz w:val="24"/>
          <w:szCs w:val="24"/>
        </w:rPr>
        <w:t>Informe de cierre del seguimiento efectuado a los Juzgados Especializados de Familia</w:t>
      </w:r>
      <w:r>
        <w:rPr>
          <w:rFonts w:ascii="Book Antiqua" w:eastAsia="Calibri" w:hAnsi="Book Antiqua" w:cs="Arial"/>
          <w:i/>
          <w:iCs/>
          <w:sz w:val="24"/>
          <w:szCs w:val="24"/>
        </w:rPr>
        <w:t>”</w:t>
      </w:r>
      <w:r w:rsidR="00376141" w:rsidRPr="00B510D7">
        <w:rPr>
          <w:rFonts w:ascii="Book Antiqua" w:eastAsia="Calibri" w:hAnsi="Book Antiqua" w:cs="Arial"/>
          <w:i/>
          <w:iCs/>
          <w:sz w:val="24"/>
          <w:szCs w:val="24"/>
        </w:rPr>
        <w:t xml:space="preserve"> </w:t>
      </w:r>
      <w:r w:rsidR="00376141" w:rsidRPr="00B510D7">
        <w:rPr>
          <w:rFonts w:ascii="Book Antiqua" w:eastAsia="Calibri" w:hAnsi="Book Antiqua" w:cs="Arial"/>
          <w:sz w:val="24"/>
          <w:szCs w:val="24"/>
        </w:rPr>
        <w:t>de la Dirección de Planificación</w:t>
      </w:r>
      <w:r w:rsidR="004D6013">
        <w:rPr>
          <w:rFonts w:ascii="Book Antiqua" w:eastAsia="Calibri" w:hAnsi="Book Antiqua" w:cs="Arial"/>
          <w:sz w:val="24"/>
          <w:szCs w:val="24"/>
        </w:rPr>
        <w:t xml:space="preserve"> y se remitió a cada uno de los despachos un correo electrónico con los ajustes realizados</w:t>
      </w:r>
      <w:r w:rsidR="00724CC8">
        <w:rPr>
          <w:rFonts w:ascii="Book Antiqua" w:eastAsia="Calibri" w:hAnsi="Book Antiqua" w:cs="Arial"/>
          <w:sz w:val="24"/>
          <w:szCs w:val="24"/>
        </w:rPr>
        <w:t xml:space="preserve"> a la matriz</w:t>
      </w:r>
      <w:r w:rsidR="004D6013">
        <w:rPr>
          <w:rFonts w:ascii="Book Antiqua" w:eastAsia="Calibri" w:hAnsi="Book Antiqua" w:cs="Arial"/>
          <w:sz w:val="24"/>
          <w:szCs w:val="24"/>
        </w:rPr>
        <w:t xml:space="preserve">, además, se capacitó al personal en el uso de la nueva </w:t>
      </w:r>
      <w:r w:rsidR="00724CC8">
        <w:rPr>
          <w:rFonts w:ascii="Book Antiqua" w:eastAsia="Calibri" w:hAnsi="Book Antiqua" w:cs="Arial"/>
          <w:sz w:val="24"/>
          <w:szCs w:val="24"/>
        </w:rPr>
        <w:t>herramienta</w:t>
      </w:r>
      <w:r w:rsidR="003D6239">
        <w:rPr>
          <w:rFonts w:ascii="Book Antiqua" w:eastAsia="Calibri" w:hAnsi="Book Antiqua" w:cs="Arial"/>
          <w:sz w:val="24"/>
          <w:szCs w:val="24"/>
        </w:rPr>
        <w:t>.</w:t>
      </w:r>
    </w:p>
    <w:p w14:paraId="0A656104" w14:textId="3BEBEC29" w:rsidR="00F638A5" w:rsidRDefault="00376141"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w:t>
      </w:r>
      <w:r w:rsidR="004967D4">
        <w:rPr>
          <w:rFonts w:ascii="Book Antiqua" w:eastAsia="Calibri" w:hAnsi="Book Antiqua" w:cs="Arial"/>
          <w:sz w:val="24"/>
          <w:szCs w:val="24"/>
        </w:rPr>
        <w:t xml:space="preserve">se </w:t>
      </w:r>
      <w:r w:rsidR="00B132D5">
        <w:rPr>
          <w:rFonts w:ascii="Book Antiqua" w:eastAsia="Calibri" w:hAnsi="Book Antiqua" w:cs="Arial"/>
          <w:sz w:val="24"/>
          <w:szCs w:val="24"/>
        </w:rPr>
        <w:t>detalla l</w:t>
      </w:r>
      <w:r w:rsidR="003D6239">
        <w:rPr>
          <w:rFonts w:ascii="Book Antiqua" w:eastAsia="Calibri" w:hAnsi="Book Antiqua" w:cs="Arial"/>
          <w:sz w:val="24"/>
          <w:szCs w:val="24"/>
        </w:rPr>
        <w:t>a</w:t>
      </w:r>
      <w:r w:rsidR="00F638A5" w:rsidRPr="00A06ADC">
        <w:rPr>
          <w:rFonts w:ascii="Book Antiqua" w:eastAsia="Calibri" w:hAnsi="Book Antiqua" w:cs="Arial"/>
          <w:sz w:val="24"/>
          <w:szCs w:val="24"/>
        </w:rPr>
        <w:t xml:space="preserve"> </w:t>
      </w:r>
      <w:r w:rsidR="003D6239">
        <w:rPr>
          <w:rFonts w:ascii="Book Antiqua" w:eastAsia="Calibri" w:hAnsi="Book Antiqua" w:cs="Arial"/>
          <w:sz w:val="24"/>
          <w:szCs w:val="24"/>
        </w:rPr>
        <w:t xml:space="preserve">matriz de los </w:t>
      </w:r>
      <w:r w:rsidR="00F638A5" w:rsidRPr="00A06ADC">
        <w:rPr>
          <w:rFonts w:ascii="Book Antiqua" w:eastAsia="Calibri" w:hAnsi="Book Antiqua" w:cs="Arial"/>
          <w:sz w:val="24"/>
          <w:szCs w:val="24"/>
        </w:rPr>
        <w:t xml:space="preserve">indicadores </w:t>
      </w:r>
      <w:r w:rsidR="003D6239">
        <w:rPr>
          <w:rFonts w:ascii="Book Antiqua" w:eastAsia="Calibri" w:hAnsi="Book Antiqua" w:cs="Arial"/>
          <w:sz w:val="24"/>
          <w:szCs w:val="24"/>
        </w:rPr>
        <w:t xml:space="preserve">de gestión </w:t>
      </w:r>
      <w:r w:rsidR="00F638A5" w:rsidRPr="00A06ADC">
        <w:rPr>
          <w:rFonts w:ascii="Book Antiqua" w:eastAsia="Calibri" w:hAnsi="Book Antiqua" w:cs="Arial"/>
          <w:sz w:val="24"/>
          <w:szCs w:val="24"/>
        </w:rPr>
        <w:t xml:space="preserve">en despachos especializados de Familia </w:t>
      </w:r>
      <w:r w:rsidR="00B132D5">
        <w:rPr>
          <w:rFonts w:ascii="Book Antiqua" w:eastAsia="Calibri" w:hAnsi="Book Antiqua" w:cs="Arial"/>
          <w:sz w:val="24"/>
          <w:szCs w:val="24"/>
        </w:rPr>
        <w:t xml:space="preserve">que </w:t>
      </w:r>
      <w:r w:rsidR="00F638A5" w:rsidRPr="00A06ADC">
        <w:rPr>
          <w:rFonts w:ascii="Book Antiqua" w:eastAsia="Calibri" w:hAnsi="Book Antiqua" w:cs="Arial"/>
          <w:sz w:val="24"/>
          <w:szCs w:val="24"/>
        </w:rPr>
        <w:t>contempla</w:t>
      </w:r>
      <w:r w:rsidR="003D6239">
        <w:rPr>
          <w:rFonts w:ascii="Book Antiqua" w:eastAsia="Calibri" w:hAnsi="Book Antiqua" w:cs="Arial"/>
          <w:sz w:val="24"/>
          <w:szCs w:val="24"/>
        </w:rPr>
        <w:t xml:space="preserve"> los siguientes</w:t>
      </w:r>
      <w:r w:rsidR="00F638A5" w:rsidRPr="00A06ADC">
        <w:rPr>
          <w:rFonts w:ascii="Book Antiqua" w:eastAsia="Calibri" w:hAnsi="Book Antiqua" w:cs="Arial"/>
          <w:sz w:val="24"/>
          <w:szCs w:val="24"/>
        </w:rPr>
        <w:t xml:space="preserve">:    </w:t>
      </w:r>
    </w:p>
    <w:p w14:paraId="64CFABD2" w14:textId="77777777" w:rsidR="00724CC8" w:rsidRDefault="00724CC8" w:rsidP="00F638A5">
      <w:pPr>
        <w:spacing w:line="276" w:lineRule="auto"/>
        <w:rPr>
          <w:rFonts w:ascii="Book Antiqua" w:eastAsia="Calibri" w:hAnsi="Book Antiqua" w:cs="Arial"/>
          <w:sz w:val="24"/>
          <w:szCs w:val="24"/>
        </w:rPr>
      </w:pPr>
    </w:p>
    <w:p w14:paraId="0D0A47E5" w14:textId="0BDD0EF3" w:rsidR="00B746A8" w:rsidRPr="00B746A8" w:rsidRDefault="00B746A8" w:rsidP="00B746A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746A8">
        <w:rPr>
          <w:rFonts w:ascii="Book Antiqua" w:eastAsia="Calibri" w:hAnsi="Book Antiqua" w:cs="Arial"/>
          <w:b/>
          <w:bCs/>
          <w:color w:val="1F497D"/>
          <w:szCs w:val="24"/>
          <w:lang w:val="es-ES" w:eastAsia="es-ES"/>
        </w:rPr>
        <w:t xml:space="preserve">Cuadro </w:t>
      </w:r>
      <w:r w:rsidRPr="00B746A8">
        <w:rPr>
          <w:rFonts w:ascii="Book Antiqua" w:eastAsia="Calibri" w:hAnsi="Book Antiqua" w:cs="Arial"/>
          <w:b/>
          <w:bCs/>
          <w:color w:val="1F497D"/>
          <w:szCs w:val="24"/>
          <w:lang w:val="es-ES" w:eastAsia="es-ES"/>
        </w:rPr>
        <w:fldChar w:fldCharType="begin"/>
      </w:r>
      <w:r w:rsidRPr="00B746A8">
        <w:rPr>
          <w:rFonts w:ascii="Book Antiqua" w:eastAsia="Calibri" w:hAnsi="Book Antiqua" w:cs="Arial"/>
          <w:b/>
          <w:bCs/>
          <w:color w:val="1F497D"/>
          <w:szCs w:val="24"/>
          <w:lang w:val="es-ES" w:eastAsia="es-ES"/>
        </w:rPr>
        <w:instrText xml:space="preserve"> SEQ Cuadro \* ARABIC </w:instrText>
      </w:r>
      <w:r w:rsidRPr="00B746A8">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18</w:t>
      </w:r>
      <w:r w:rsidRPr="00B746A8">
        <w:rPr>
          <w:rFonts w:ascii="Book Antiqua" w:eastAsia="Calibri" w:hAnsi="Book Antiqua" w:cs="Arial"/>
          <w:b/>
          <w:bCs/>
          <w:color w:val="1F497D"/>
          <w:szCs w:val="24"/>
          <w:lang w:val="es-ES" w:eastAsia="es-ES"/>
        </w:rPr>
        <w:fldChar w:fldCharType="end"/>
      </w:r>
    </w:p>
    <w:p w14:paraId="5E74D9C8" w14:textId="6140333B" w:rsidR="00B746A8" w:rsidRPr="00B746A8" w:rsidRDefault="00B746A8" w:rsidP="00B746A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746A8">
        <w:rPr>
          <w:rFonts w:ascii="Book Antiqua" w:eastAsia="Calibri" w:hAnsi="Book Antiqua" w:cs="Arial"/>
          <w:b/>
          <w:bCs/>
          <w:color w:val="1F497D"/>
          <w:szCs w:val="24"/>
          <w:lang w:val="es-ES" w:eastAsia="es-ES"/>
        </w:rPr>
        <w:t>Matriz de Indicadores de los Juzgados Especializados de Familia, 202</w:t>
      </w:r>
      <w:r>
        <w:rPr>
          <w:rFonts w:ascii="Book Antiqua" w:eastAsia="Calibri" w:hAnsi="Book Antiqua" w:cs="Arial"/>
          <w:b/>
          <w:bCs/>
          <w:color w:val="1F497D"/>
          <w:szCs w:val="24"/>
          <w:lang w:val="es-ES" w:eastAsia="es-ES"/>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8"/>
        <w:gridCol w:w="422"/>
        <w:gridCol w:w="1619"/>
        <w:gridCol w:w="5299"/>
      </w:tblGrid>
      <w:tr w:rsidR="00D07F61" w:rsidRPr="00D07F61" w14:paraId="250B46AE" w14:textId="77777777" w:rsidTr="00346AC9">
        <w:trPr>
          <w:cantSplit/>
          <w:trHeight w:val="386"/>
          <w:tblHeader/>
          <w:jc w:val="center"/>
        </w:trPr>
        <w:tc>
          <w:tcPr>
            <w:tcW w:w="843" w:type="pct"/>
            <w:shd w:val="clear" w:color="auto" w:fill="002060"/>
            <w:vAlign w:val="center"/>
          </w:tcPr>
          <w:p w14:paraId="3A6C184A" w14:textId="77777777" w:rsidR="00D07F61" w:rsidRPr="00D07F61" w:rsidRDefault="00D07F61" w:rsidP="00D07F61">
            <w:pPr>
              <w:spacing w:after="0" w:line="276" w:lineRule="auto"/>
              <w:jc w:val="center"/>
              <w:rPr>
                <w:rFonts w:ascii="Book Antiqua" w:eastAsia="Times New Roman" w:hAnsi="Book Antiqua" w:cs="Arial"/>
                <w:b/>
                <w:bCs/>
                <w:color w:val="FFFFFF"/>
                <w:lang w:eastAsia="es-CR"/>
              </w:rPr>
            </w:pPr>
            <w:r w:rsidRPr="00D07F61">
              <w:rPr>
                <w:rFonts w:ascii="Book Antiqua" w:eastAsia="Times New Roman" w:hAnsi="Book Antiqua" w:cs="Arial"/>
                <w:b/>
                <w:bCs/>
                <w:color w:val="FFFFFF"/>
                <w:lang w:eastAsia="es-CR"/>
              </w:rPr>
              <w:t>Categ.</w:t>
            </w:r>
          </w:p>
        </w:tc>
        <w:tc>
          <w:tcPr>
            <w:tcW w:w="239" w:type="pct"/>
            <w:shd w:val="clear" w:color="auto" w:fill="002060"/>
            <w:noWrap/>
            <w:vAlign w:val="center"/>
            <w:hideMark/>
          </w:tcPr>
          <w:p w14:paraId="5FECADF7" w14:textId="77777777" w:rsidR="00D07F61" w:rsidRPr="00D07F61" w:rsidRDefault="00D07F61" w:rsidP="00D07F61">
            <w:pPr>
              <w:spacing w:after="0" w:line="276" w:lineRule="auto"/>
              <w:jc w:val="center"/>
              <w:rPr>
                <w:rFonts w:ascii="Book Antiqua" w:eastAsia="Times New Roman" w:hAnsi="Book Antiqua" w:cs="Arial"/>
                <w:b/>
                <w:bCs/>
                <w:color w:val="FFFFFF"/>
                <w:lang w:eastAsia="es-CR"/>
              </w:rPr>
            </w:pPr>
            <w:r w:rsidRPr="00D07F61">
              <w:rPr>
                <w:rFonts w:ascii="Book Antiqua" w:eastAsia="Times New Roman" w:hAnsi="Book Antiqua" w:cs="Arial"/>
                <w:b/>
                <w:bCs/>
                <w:color w:val="FFFFFF"/>
                <w:lang w:eastAsia="es-CR"/>
              </w:rPr>
              <w:t>N°</w:t>
            </w:r>
          </w:p>
        </w:tc>
        <w:tc>
          <w:tcPr>
            <w:tcW w:w="917" w:type="pct"/>
            <w:shd w:val="clear" w:color="auto" w:fill="002060"/>
            <w:noWrap/>
            <w:vAlign w:val="center"/>
            <w:hideMark/>
          </w:tcPr>
          <w:p w14:paraId="15DAD54B" w14:textId="77777777" w:rsidR="00D07F61" w:rsidRPr="00D07F61" w:rsidRDefault="00D07F61" w:rsidP="009B71C9">
            <w:pPr>
              <w:spacing w:after="0" w:line="276" w:lineRule="auto"/>
              <w:jc w:val="center"/>
              <w:rPr>
                <w:rFonts w:ascii="Book Antiqua" w:eastAsia="Times New Roman" w:hAnsi="Book Antiqua" w:cs="Arial"/>
                <w:b/>
                <w:bCs/>
                <w:color w:val="FFFFFF"/>
                <w:lang w:eastAsia="es-CR"/>
              </w:rPr>
            </w:pPr>
            <w:r w:rsidRPr="00D07F61">
              <w:rPr>
                <w:rFonts w:ascii="Book Antiqua" w:eastAsia="Times New Roman" w:hAnsi="Book Antiqua" w:cs="Arial"/>
                <w:b/>
                <w:bCs/>
                <w:color w:val="FFFFFF"/>
                <w:lang w:eastAsia="es-CR"/>
              </w:rPr>
              <w:t>Indicadores</w:t>
            </w:r>
          </w:p>
        </w:tc>
        <w:tc>
          <w:tcPr>
            <w:tcW w:w="3001" w:type="pct"/>
            <w:shd w:val="clear" w:color="auto" w:fill="002060"/>
            <w:noWrap/>
            <w:vAlign w:val="center"/>
            <w:hideMark/>
          </w:tcPr>
          <w:p w14:paraId="07355BB1" w14:textId="77777777" w:rsidR="00D07F61" w:rsidRPr="00D07F61" w:rsidRDefault="00D07F61" w:rsidP="00D07F61">
            <w:pPr>
              <w:spacing w:after="0" w:line="276" w:lineRule="auto"/>
              <w:jc w:val="center"/>
              <w:rPr>
                <w:rFonts w:ascii="Book Antiqua" w:eastAsia="Times New Roman" w:hAnsi="Book Antiqua" w:cs="Arial"/>
                <w:b/>
                <w:bCs/>
                <w:color w:val="FFFFFF"/>
                <w:lang w:eastAsia="es-CR"/>
              </w:rPr>
            </w:pPr>
            <w:r w:rsidRPr="00D07F61">
              <w:rPr>
                <w:rFonts w:ascii="Book Antiqua" w:eastAsia="Times New Roman" w:hAnsi="Book Antiqua" w:cs="Arial"/>
                <w:b/>
                <w:bCs/>
                <w:color w:val="FFFFFF"/>
                <w:lang w:eastAsia="es-CR"/>
              </w:rPr>
              <w:t>Detalle</w:t>
            </w:r>
          </w:p>
        </w:tc>
      </w:tr>
      <w:tr w:rsidR="00D07F61" w:rsidRPr="00D07F61" w14:paraId="622CCF5A" w14:textId="77777777" w:rsidTr="00346AC9">
        <w:trPr>
          <w:cantSplit/>
          <w:trHeight w:val="1134"/>
          <w:jc w:val="center"/>
        </w:trPr>
        <w:tc>
          <w:tcPr>
            <w:tcW w:w="843" w:type="pct"/>
            <w:vMerge w:val="restart"/>
            <w:shd w:val="clear" w:color="auto" w:fill="DEE7FE"/>
            <w:textDirection w:val="btLr"/>
          </w:tcPr>
          <w:p w14:paraId="3CA34F96" w14:textId="77777777" w:rsidR="00D07F61" w:rsidRPr="00D07F61" w:rsidRDefault="00D07F61" w:rsidP="00D07F61">
            <w:pPr>
              <w:spacing w:after="0" w:line="276" w:lineRule="auto"/>
              <w:ind w:left="113" w:right="113"/>
              <w:jc w:val="center"/>
              <w:rPr>
                <w:rFonts w:ascii="Book Antiqua" w:eastAsia="Times New Roman" w:hAnsi="Book Antiqua" w:cs="Arial"/>
                <w:b/>
                <w:bCs/>
                <w:color w:val="44546A"/>
                <w:lang w:eastAsia="es-CR"/>
              </w:rPr>
            </w:pPr>
            <w:r w:rsidRPr="00D07F61">
              <w:rPr>
                <w:rFonts w:ascii="Book Antiqua" w:eastAsia="Times New Roman" w:hAnsi="Book Antiqua" w:cs="Arial"/>
                <w:b/>
                <w:bCs/>
                <w:lang w:eastAsia="es-CR"/>
              </w:rPr>
              <w:t>Rendimiento Estadístico</w:t>
            </w:r>
          </w:p>
        </w:tc>
        <w:tc>
          <w:tcPr>
            <w:tcW w:w="239" w:type="pct"/>
            <w:shd w:val="clear" w:color="auto" w:fill="FFFFFF"/>
            <w:vAlign w:val="center"/>
            <w:hideMark/>
          </w:tcPr>
          <w:p w14:paraId="6031072E"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w:t>
            </w:r>
          </w:p>
        </w:tc>
        <w:tc>
          <w:tcPr>
            <w:tcW w:w="917" w:type="pct"/>
            <w:shd w:val="clear" w:color="auto" w:fill="FFFFFF"/>
            <w:vAlign w:val="center"/>
            <w:hideMark/>
          </w:tcPr>
          <w:p w14:paraId="53ED59CF"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Entrada total</w:t>
            </w:r>
          </w:p>
        </w:tc>
        <w:tc>
          <w:tcPr>
            <w:tcW w:w="3001" w:type="pct"/>
            <w:shd w:val="clear" w:color="auto" w:fill="auto"/>
            <w:vAlign w:val="center"/>
            <w:hideMark/>
          </w:tcPr>
          <w:p w14:paraId="539B3BD4"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Entrada total está conformada por el resultado de la sumatoria de la cantidad de asuntos nuevos ingresados y los casos reentrados en el mes.</w:t>
            </w:r>
          </w:p>
          <w:p w14:paraId="055327DC"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define del promedio del histórico del despacho del informe estadístico mensual de SIGMA.</w:t>
            </w:r>
          </w:p>
        </w:tc>
      </w:tr>
      <w:tr w:rsidR="00D07F61" w:rsidRPr="00D07F61" w14:paraId="1B5903EF" w14:textId="77777777" w:rsidTr="00346AC9">
        <w:trPr>
          <w:cantSplit/>
          <w:trHeight w:val="20"/>
          <w:jc w:val="center"/>
        </w:trPr>
        <w:tc>
          <w:tcPr>
            <w:tcW w:w="843" w:type="pct"/>
            <w:vMerge/>
            <w:shd w:val="clear" w:color="auto" w:fill="DEE7FE"/>
          </w:tcPr>
          <w:p w14:paraId="6C1BA4E1"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7B914F3C"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p>
        </w:tc>
        <w:tc>
          <w:tcPr>
            <w:tcW w:w="917" w:type="pct"/>
            <w:shd w:val="clear" w:color="auto" w:fill="FFFFFF"/>
            <w:vAlign w:val="center"/>
            <w:hideMark/>
          </w:tcPr>
          <w:p w14:paraId="1099A89C"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Salida</w:t>
            </w:r>
          </w:p>
        </w:tc>
        <w:tc>
          <w:tcPr>
            <w:tcW w:w="3001" w:type="pct"/>
            <w:shd w:val="clear" w:color="auto" w:fill="auto"/>
            <w:vAlign w:val="center"/>
            <w:hideMark/>
          </w:tcPr>
          <w:p w14:paraId="71E62D3B" w14:textId="12A829D1"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Salida Total</w:t>
            </w:r>
            <w:r w:rsidRPr="00D07F61">
              <w:rPr>
                <w:rFonts w:ascii="Book Antiqua" w:eastAsia="Calibri" w:hAnsi="Book Antiqua" w:cs="Times New Roman"/>
              </w:rPr>
              <w:t xml:space="preserve"> </w:t>
            </w:r>
            <w:r w:rsidRPr="00D07F61">
              <w:rPr>
                <w:rFonts w:ascii="Book Antiqua" w:eastAsia="Times New Roman" w:hAnsi="Book Antiqua" w:cs="Arial"/>
                <w:lang w:eastAsia="es-CR"/>
              </w:rPr>
              <w:t xml:space="preserve">está conformada por el resultado de: </w:t>
            </w:r>
            <w:r w:rsidRPr="00D07F61">
              <w:rPr>
                <w:rFonts w:ascii="Book Antiqua" w:eastAsia="Times New Roman" w:hAnsi="Book Antiqua" w:cs="Arial"/>
                <w:i/>
                <w:iCs/>
                <w:lang w:eastAsia="es-CR"/>
              </w:rPr>
              <w:t xml:space="preserve">Suma </w:t>
            </w:r>
            <w:r w:rsidR="00E03912" w:rsidRPr="00D07F61">
              <w:rPr>
                <w:rFonts w:ascii="Book Antiqua" w:eastAsia="Times New Roman" w:hAnsi="Book Antiqua" w:cs="Arial"/>
                <w:i/>
                <w:iCs/>
                <w:lang w:eastAsia="es-CR"/>
              </w:rPr>
              <w:t>casos terminados</w:t>
            </w:r>
            <w:r w:rsidRPr="00D07F61">
              <w:rPr>
                <w:rFonts w:ascii="Book Antiqua" w:eastAsia="Times New Roman" w:hAnsi="Book Antiqua" w:cs="Arial"/>
                <w:i/>
                <w:iCs/>
                <w:lang w:eastAsia="es-CR"/>
              </w:rPr>
              <w:t xml:space="preserve"> + casos inactivos</w:t>
            </w:r>
          </w:p>
          <w:p w14:paraId="266211FE"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define del promedio del histórico del despacho del informe estadístico mensual de SIGMA.</w:t>
            </w:r>
          </w:p>
        </w:tc>
      </w:tr>
      <w:tr w:rsidR="009747F0" w:rsidRPr="00D07F61" w14:paraId="3C7BAAA0" w14:textId="77777777" w:rsidTr="00346AC9">
        <w:trPr>
          <w:cantSplit/>
          <w:trHeight w:val="20"/>
          <w:jc w:val="center"/>
        </w:trPr>
        <w:tc>
          <w:tcPr>
            <w:tcW w:w="843" w:type="pct"/>
            <w:vMerge/>
            <w:shd w:val="clear" w:color="auto" w:fill="DEE7FE"/>
          </w:tcPr>
          <w:p w14:paraId="3FD8EBE6" w14:textId="77777777" w:rsidR="009747F0" w:rsidRPr="00D07F61" w:rsidRDefault="009747F0"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7FDEAC58" w14:textId="1E899DB4" w:rsidR="009747F0" w:rsidRPr="00D07F61" w:rsidRDefault="009747F0" w:rsidP="00D07F61">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2.1</w:t>
            </w:r>
          </w:p>
        </w:tc>
        <w:tc>
          <w:tcPr>
            <w:tcW w:w="917" w:type="pct"/>
            <w:shd w:val="clear" w:color="auto" w:fill="FFFFFF"/>
            <w:vAlign w:val="center"/>
          </w:tcPr>
          <w:p w14:paraId="1C86AB59" w14:textId="720E08C0" w:rsidR="009747F0" w:rsidRPr="00D07F61" w:rsidRDefault="009747F0" w:rsidP="009B71C9">
            <w:pPr>
              <w:spacing w:after="0" w:line="276" w:lineRule="auto"/>
              <w:jc w:val="both"/>
              <w:rPr>
                <w:rFonts w:ascii="Book Antiqua" w:eastAsia="Times New Roman" w:hAnsi="Book Antiqua" w:cs="Arial"/>
                <w:b/>
                <w:bCs/>
                <w:color w:val="44546A"/>
                <w:lang w:eastAsia="es-CR"/>
              </w:rPr>
            </w:pPr>
            <w:r w:rsidRPr="009747F0">
              <w:rPr>
                <w:rFonts w:ascii="Book Antiqua" w:eastAsia="Times New Roman" w:hAnsi="Book Antiqua" w:cs="Arial"/>
                <w:b/>
                <w:bCs/>
                <w:color w:val="44546A"/>
                <w:lang w:eastAsia="es-CR"/>
              </w:rPr>
              <w:t>Cantidad de casos terminados por Juez o Jueza</w:t>
            </w:r>
          </w:p>
        </w:tc>
        <w:tc>
          <w:tcPr>
            <w:tcW w:w="3001" w:type="pct"/>
            <w:shd w:val="clear" w:color="auto" w:fill="auto"/>
            <w:vAlign w:val="center"/>
          </w:tcPr>
          <w:p w14:paraId="75684713" w14:textId="1FC3C85F" w:rsidR="009747F0" w:rsidRPr="00D07F61" w:rsidRDefault="006731FB"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nuevo</w:t>
            </w:r>
            <w:r>
              <w:rPr>
                <w:rFonts w:ascii="Book Antiqua" w:eastAsia="Times New Roman" w:hAnsi="Book Antiqua" w:cs="Arial"/>
                <w:lang w:eastAsia="es-CR"/>
              </w:rPr>
              <w:t xml:space="preserve">, </w:t>
            </w:r>
            <w:r w:rsidR="009747F0">
              <w:rPr>
                <w:rFonts w:ascii="Book Antiqua" w:eastAsia="Times New Roman" w:hAnsi="Book Antiqua" w:cs="Arial"/>
                <w:lang w:eastAsia="es-CR"/>
              </w:rPr>
              <w:t>contabiliza la cantidad de casos que se esp</w:t>
            </w:r>
            <w:r w:rsidR="00073719">
              <w:rPr>
                <w:rFonts w:ascii="Book Antiqua" w:eastAsia="Times New Roman" w:hAnsi="Book Antiqua" w:cs="Arial"/>
                <w:lang w:eastAsia="es-CR"/>
              </w:rPr>
              <w:t xml:space="preserve">era </w:t>
            </w:r>
            <w:r w:rsidR="009747F0">
              <w:rPr>
                <w:rFonts w:ascii="Book Antiqua" w:eastAsia="Times New Roman" w:hAnsi="Book Antiqua" w:cs="Arial"/>
                <w:lang w:eastAsia="es-CR"/>
              </w:rPr>
              <w:t>termin</w:t>
            </w:r>
            <w:r w:rsidR="00073719">
              <w:rPr>
                <w:rFonts w:ascii="Book Antiqua" w:eastAsia="Times New Roman" w:hAnsi="Book Antiqua" w:cs="Arial"/>
                <w:lang w:eastAsia="es-CR"/>
              </w:rPr>
              <w:t>en</w:t>
            </w:r>
            <w:r w:rsidR="009747F0">
              <w:rPr>
                <w:rFonts w:ascii="Book Antiqua" w:eastAsia="Times New Roman" w:hAnsi="Book Antiqua" w:cs="Arial"/>
                <w:lang w:eastAsia="es-CR"/>
              </w:rPr>
              <w:t xml:space="preserve"> las personas</w:t>
            </w:r>
            <w:r w:rsidR="00073719">
              <w:rPr>
                <w:rFonts w:ascii="Book Antiqua" w:eastAsia="Times New Roman" w:hAnsi="Book Antiqua" w:cs="Arial"/>
                <w:lang w:eastAsia="es-CR"/>
              </w:rPr>
              <w:t xml:space="preserve"> juzgadoras.                                El parámetro se define </w:t>
            </w:r>
            <w:r w:rsidR="009747F0" w:rsidRPr="009747F0">
              <w:rPr>
                <w:rFonts w:ascii="Book Antiqua" w:eastAsia="Times New Roman" w:hAnsi="Book Antiqua" w:cs="Arial"/>
                <w:lang w:eastAsia="es-CR"/>
              </w:rPr>
              <w:t xml:space="preserve">respecto </w:t>
            </w:r>
            <w:r w:rsidR="00B132D5" w:rsidRPr="009747F0">
              <w:rPr>
                <w:rFonts w:ascii="Book Antiqua" w:eastAsia="Times New Roman" w:hAnsi="Book Antiqua" w:cs="Arial"/>
                <w:lang w:eastAsia="es-CR"/>
              </w:rPr>
              <w:t>a los</w:t>
            </w:r>
            <w:r w:rsidR="009747F0" w:rsidRPr="009747F0">
              <w:rPr>
                <w:rFonts w:ascii="Book Antiqua" w:eastAsia="Times New Roman" w:hAnsi="Book Antiqua" w:cs="Arial"/>
                <w:lang w:eastAsia="es-CR"/>
              </w:rPr>
              <w:t xml:space="preserve"> 77 casos terminados que se esperan por persona juzgadora</w:t>
            </w:r>
            <w:r w:rsidR="002C1407">
              <w:rPr>
                <w:rFonts w:ascii="Book Antiqua" w:eastAsia="Times New Roman" w:hAnsi="Book Antiqua" w:cs="Arial"/>
                <w:lang w:eastAsia="es-CR"/>
              </w:rPr>
              <w:t>, el cual se basa en un dato histórico</w:t>
            </w:r>
          </w:p>
        </w:tc>
      </w:tr>
      <w:tr w:rsidR="00D07F61" w:rsidRPr="00D07F61" w14:paraId="439EB289" w14:textId="77777777" w:rsidTr="00346AC9">
        <w:trPr>
          <w:cantSplit/>
          <w:trHeight w:val="20"/>
          <w:jc w:val="center"/>
        </w:trPr>
        <w:tc>
          <w:tcPr>
            <w:tcW w:w="843" w:type="pct"/>
            <w:vMerge/>
            <w:shd w:val="clear" w:color="auto" w:fill="DEE7FE"/>
          </w:tcPr>
          <w:p w14:paraId="40F8A651"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1E1137A3"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p>
        </w:tc>
        <w:tc>
          <w:tcPr>
            <w:tcW w:w="917" w:type="pct"/>
            <w:shd w:val="clear" w:color="auto" w:fill="FFFFFF"/>
            <w:vAlign w:val="center"/>
            <w:hideMark/>
          </w:tcPr>
          <w:p w14:paraId="15902343"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Salida de casos por Conciliación</w:t>
            </w:r>
          </w:p>
        </w:tc>
        <w:tc>
          <w:tcPr>
            <w:tcW w:w="3001" w:type="pct"/>
            <w:shd w:val="clear" w:color="auto" w:fill="auto"/>
            <w:vAlign w:val="center"/>
            <w:hideMark/>
          </w:tcPr>
          <w:p w14:paraId="55A579E9"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que contabiliza la cantidad de terminados por conciliación.</w:t>
            </w:r>
          </w:p>
          <w:p w14:paraId="4842BECE"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define del promedio del histórico del despacho del informe estadístico mensual de SIGMA.</w:t>
            </w:r>
          </w:p>
        </w:tc>
      </w:tr>
      <w:tr w:rsidR="00D07F61" w:rsidRPr="00D07F61" w14:paraId="74FA6775" w14:textId="77777777" w:rsidTr="00346AC9">
        <w:trPr>
          <w:cantSplit/>
          <w:trHeight w:val="20"/>
          <w:jc w:val="center"/>
        </w:trPr>
        <w:tc>
          <w:tcPr>
            <w:tcW w:w="843" w:type="pct"/>
            <w:vMerge/>
            <w:shd w:val="clear" w:color="auto" w:fill="DEE7FE"/>
          </w:tcPr>
          <w:p w14:paraId="3A341979"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7BC1F96A"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4</w:t>
            </w:r>
          </w:p>
        </w:tc>
        <w:tc>
          <w:tcPr>
            <w:tcW w:w="917" w:type="pct"/>
            <w:shd w:val="clear" w:color="auto" w:fill="FFFFFF"/>
            <w:vAlign w:val="center"/>
            <w:hideMark/>
          </w:tcPr>
          <w:p w14:paraId="5B8A5C21"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Circulante</w:t>
            </w:r>
          </w:p>
        </w:tc>
        <w:tc>
          <w:tcPr>
            <w:tcW w:w="3001" w:type="pct"/>
            <w:shd w:val="clear" w:color="auto" w:fill="auto"/>
            <w:vAlign w:val="center"/>
            <w:hideMark/>
          </w:tcPr>
          <w:p w14:paraId="65FD4B4F"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Circulante: </w:t>
            </w:r>
            <w:r w:rsidRPr="00D07F61">
              <w:rPr>
                <w:rFonts w:ascii="Book Antiqua" w:eastAsia="Times New Roman" w:hAnsi="Book Antiqua" w:cs="Arial"/>
                <w:i/>
                <w:iCs/>
                <w:lang w:eastAsia="es-CR"/>
              </w:rPr>
              <w:t>(Circulante Inicial + Entradas + Reentrados – Terminados -Inactivos)</w:t>
            </w:r>
          </w:p>
          <w:p w14:paraId="413EF010"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se define del circulante del despacho al momento del abordaje al despacho. </w:t>
            </w:r>
          </w:p>
          <w:p w14:paraId="268C71E7"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indicador se subdivide en circulante en trámite y circulante en ejecución.</w:t>
            </w:r>
          </w:p>
        </w:tc>
      </w:tr>
      <w:tr w:rsidR="00D07F61" w:rsidRPr="00D07F61" w14:paraId="3EE0FA2B" w14:textId="77777777" w:rsidTr="00346AC9">
        <w:trPr>
          <w:cantSplit/>
          <w:trHeight w:val="20"/>
          <w:jc w:val="center"/>
        </w:trPr>
        <w:tc>
          <w:tcPr>
            <w:tcW w:w="843" w:type="pct"/>
            <w:vMerge/>
            <w:shd w:val="clear" w:color="auto" w:fill="DEE7FE"/>
          </w:tcPr>
          <w:p w14:paraId="455FEAB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0BBC4806"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5</w:t>
            </w:r>
          </w:p>
        </w:tc>
        <w:tc>
          <w:tcPr>
            <w:tcW w:w="917" w:type="pct"/>
            <w:shd w:val="clear" w:color="auto" w:fill="auto"/>
            <w:vAlign w:val="center"/>
            <w:hideMark/>
          </w:tcPr>
          <w:p w14:paraId="5123C3FA"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 xml:space="preserve">Relación salida Total / entrada total </w:t>
            </w:r>
          </w:p>
        </w:tc>
        <w:tc>
          <w:tcPr>
            <w:tcW w:w="3001" w:type="pct"/>
            <w:shd w:val="clear" w:color="auto" w:fill="auto"/>
            <w:vAlign w:val="center"/>
            <w:hideMark/>
          </w:tcPr>
          <w:p w14:paraId="642237B1"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Cálculo: </w:t>
            </w:r>
            <w:r w:rsidRPr="00D07F61">
              <w:rPr>
                <w:rFonts w:ascii="Book Antiqua" w:eastAsia="Times New Roman" w:hAnsi="Book Antiqua" w:cs="Arial"/>
                <w:i/>
                <w:iCs/>
                <w:lang w:eastAsia="es-CR"/>
              </w:rPr>
              <w:t>(Salidas/ Entradas) *100</w:t>
            </w:r>
          </w:p>
          <w:p w14:paraId="0FBF7465"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está definido en 90% a 100%</w:t>
            </w:r>
          </w:p>
        </w:tc>
      </w:tr>
      <w:tr w:rsidR="00D07F61" w:rsidRPr="00D07F61" w14:paraId="57656672" w14:textId="77777777" w:rsidTr="00346AC9">
        <w:trPr>
          <w:cantSplit/>
          <w:trHeight w:val="20"/>
          <w:jc w:val="center"/>
        </w:trPr>
        <w:tc>
          <w:tcPr>
            <w:tcW w:w="843" w:type="pct"/>
            <w:vMerge/>
            <w:shd w:val="clear" w:color="auto" w:fill="DEE7FE"/>
          </w:tcPr>
          <w:p w14:paraId="57EA154B"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4A3FB7A3"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6</w:t>
            </w:r>
          </w:p>
        </w:tc>
        <w:tc>
          <w:tcPr>
            <w:tcW w:w="917" w:type="pct"/>
            <w:shd w:val="clear" w:color="auto" w:fill="auto"/>
            <w:vAlign w:val="center"/>
            <w:hideMark/>
          </w:tcPr>
          <w:p w14:paraId="0974B672"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Entrada Incidentes</w:t>
            </w:r>
          </w:p>
        </w:tc>
        <w:tc>
          <w:tcPr>
            <w:tcW w:w="3001" w:type="pct"/>
            <w:shd w:val="clear" w:color="auto" w:fill="auto"/>
            <w:vAlign w:val="center"/>
            <w:hideMark/>
          </w:tcPr>
          <w:p w14:paraId="5D87D8CD"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para medir la entrada total de incidentes.</w:t>
            </w:r>
          </w:p>
          <w:p w14:paraId="3F9522D0"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del promedio del histórico del despacho del informe estadístico mensual de SIGMA.</w:t>
            </w:r>
          </w:p>
        </w:tc>
      </w:tr>
      <w:tr w:rsidR="00D07F61" w:rsidRPr="00D07F61" w14:paraId="44EB6BC1" w14:textId="77777777" w:rsidTr="00346AC9">
        <w:trPr>
          <w:cantSplit/>
          <w:trHeight w:val="20"/>
          <w:jc w:val="center"/>
        </w:trPr>
        <w:tc>
          <w:tcPr>
            <w:tcW w:w="843" w:type="pct"/>
            <w:vMerge/>
            <w:shd w:val="clear" w:color="auto" w:fill="DEE7FE"/>
          </w:tcPr>
          <w:p w14:paraId="6817F7EE"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7A8F617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7</w:t>
            </w:r>
          </w:p>
        </w:tc>
        <w:tc>
          <w:tcPr>
            <w:tcW w:w="917" w:type="pct"/>
            <w:shd w:val="clear" w:color="auto" w:fill="auto"/>
            <w:vAlign w:val="center"/>
            <w:hideMark/>
          </w:tcPr>
          <w:p w14:paraId="699B03AB"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Salida Incidentes</w:t>
            </w:r>
          </w:p>
        </w:tc>
        <w:tc>
          <w:tcPr>
            <w:tcW w:w="3001" w:type="pct"/>
            <w:shd w:val="clear" w:color="auto" w:fill="auto"/>
            <w:vAlign w:val="center"/>
            <w:hideMark/>
          </w:tcPr>
          <w:p w14:paraId="7AE8B79F"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para medir la salida total de incidentes.</w:t>
            </w:r>
          </w:p>
          <w:p w14:paraId="4CD93C4E"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del promedio del histórico del despacho del informe estadístico mensual de SIGMA.</w:t>
            </w:r>
          </w:p>
        </w:tc>
      </w:tr>
      <w:tr w:rsidR="00D07F61" w:rsidRPr="00D07F61" w14:paraId="358C2F20" w14:textId="77777777" w:rsidTr="00346AC9">
        <w:trPr>
          <w:cantSplit/>
          <w:trHeight w:val="20"/>
          <w:jc w:val="center"/>
        </w:trPr>
        <w:tc>
          <w:tcPr>
            <w:tcW w:w="843" w:type="pct"/>
            <w:vMerge/>
            <w:shd w:val="clear" w:color="auto" w:fill="DEE7FE"/>
          </w:tcPr>
          <w:p w14:paraId="1691A8C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6D048FB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8</w:t>
            </w:r>
          </w:p>
        </w:tc>
        <w:tc>
          <w:tcPr>
            <w:tcW w:w="917" w:type="pct"/>
            <w:shd w:val="clear" w:color="auto" w:fill="auto"/>
            <w:vAlign w:val="center"/>
            <w:hideMark/>
          </w:tcPr>
          <w:p w14:paraId="630A4CE0"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Circulante Incidentes</w:t>
            </w:r>
          </w:p>
        </w:tc>
        <w:tc>
          <w:tcPr>
            <w:tcW w:w="3001" w:type="pct"/>
            <w:shd w:val="clear" w:color="auto" w:fill="auto"/>
            <w:vAlign w:val="center"/>
            <w:hideMark/>
          </w:tcPr>
          <w:p w14:paraId="1D340EB6"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Indicador para circulante: </w:t>
            </w:r>
            <w:r w:rsidRPr="00D07F61">
              <w:rPr>
                <w:rFonts w:ascii="Book Antiqua" w:eastAsia="Times New Roman" w:hAnsi="Book Antiqua" w:cs="Arial"/>
                <w:i/>
                <w:iCs/>
                <w:lang w:eastAsia="es-CR"/>
              </w:rPr>
              <w:t>(Circulante Inicial + Entradas – Terminados)</w:t>
            </w:r>
          </w:p>
          <w:p w14:paraId="71250DB8"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se obtiene del circulante del despacho al momento del abordaje al despacho. </w:t>
            </w:r>
          </w:p>
        </w:tc>
      </w:tr>
      <w:tr w:rsidR="00D07F61" w:rsidRPr="00D07F61" w14:paraId="29A8BCC8" w14:textId="77777777" w:rsidTr="00346AC9">
        <w:trPr>
          <w:cantSplit/>
          <w:trHeight w:val="20"/>
          <w:jc w:val="center"/>
        </w:trPr>
        <w:tc>
          <w:tcPr>
            <w:tcW w:w="843" w:type="pct"/>
            <w:vMerge/>
            <w:shd w:val="clear" w:color="auto" w:fill="DEE7FE"/>
          </w:tcPr>
          <w:p w14:paraId="5DF8AC06"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27EC545F"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9</w:t>
            </w:r>
          </w:p>
        </w:tc>
        <w:tc>
          <w:tcPr>
            <w:tcW w:w="917" w:type="pct"/>
            <w:shd w:val="clear" w:color="auto" w:fill="auto"/>
            <w:vAlign w:val="center"/>
            <w:hideMark/>
          </w:tcPr>
          <w:p w14:paraId="306D9375"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Relación salida Total / entrada total Incidentes</w:t>
            </w:r>
          </w:p>
        </w:tc>
        <w:tc>
          <w:tcPr>
            <w:tcW w:w="3001" w:type="pct"/>
            <w:shd w:val="clear" w:color="auto" w:fill="auto"/>
            <w:vAlign w:val="center"/>
            <w:hideMark/>
          </w:tcPr>
          <w:p w14:paraId="76BECC43"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(Salidas/ Entradas) *100</w:t>
            </w:r>
          </w:p>
          <w:p w14:paraId="10AF219A"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está definido en 90% a 100%</w:t>
            </w:r>
          </w:p>
        </w:tc>
      </w:tr>
      <w:tr w:rsidR="00D07F61" w:rsidRPr="00D07F61" w14:paraId="6EBD6709" w14:textId="77777777" w:rsidTr="00346AC9">
        <w:trPr>
          <w:cantSplit/>
          <w:trHeight w:val="20"/>
          <w:jc w:val="center"/>
        </w:trPr>
        <w:tc>
          <w:tcPr>
            <w:tcW w:w="843" w:type="pct"/>
            <w:vMerge/>
            <w:shd w:val="clear" w:color="auto" w:fill="DEE7FE"/>
          </w:tcPr>
          <w:p w14:paraId="495F0219"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5CE050D2"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10</w:t>
            </w:r>
          </w:p>
        </w:tc>
        <w:tc>
          <w:tcPr>
            <w:tcW w:w="917" w:type="pct"/>
            <w:shd w:val="clear" w:color="auto" w:fill="FFFFFF"/>
            <w:vAlign w:val="center"/>
            <w:hideMark/>
          </w:tcPr>
          <w:p w14:paraId="24897D08"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Entrada Segunda Instancia</w:t>
            </w:r>
          </w:p>
        </w:tc>
        <w:tc>
          <w:tcPr>
            <w:tcW w:w="3001" w:type="pct"/>
            <w:shd w:val="clear" w:color="auto" w:fill="auto"/>
            <w:vAlign w:val="center"/>
            <w:hideMark/>
          </w:tcPr>
          <w:p w14:paraId="498E4F3B"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La entrada total de Segunda Instancia.</w:t>
            </w:r>
          </w:p>
          <w:p w14:paraId="73827487"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Estos datos se obtienen del informe estadístico mensual Segunda Instancia de SIGMA. </w:t>
            </w:r>
          </w:p>
        </w:tc>
      </w:tr>
      <w:tr w:rsidR="00D07F61" w:rsidRPr="00D07F61" w14:paraId="5C30FFF0" w14:textId="77777777" w:rsidTr="00346AC9">
        <w:trPr>
          <w:cantSplit/>
          <w:trHeight w:val="20"/>
          <w:jc w:val="center"/>
        </w:trPr>
        <w:tc>
          <w:tcPr>
            <w:tcW w:w="843" w:type="pct"/>
            <w:vMerge/>
            <w:shd w:val="clear" w:color="auto" w:fill="DEE7FE"/>
          </w:tcPr>
          <w:p w14:paraId="7326B82E"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2F74BCEA"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11</w:t>
            </w:r>
          </w:p>
        </w:tc>
        <w:tc>
          <w:tcPr>
            <w:tcW w:w="917" w:type="pct"/>
            <w:shd w:val="clear" w:color="auto" w:fill="FFFFFF"/>
            <w:vAlign w:val="center"/>
            <w:hideMark/>
          </w:tcPr>
          <w:p w14:paraId="2C802EC2"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Salida Segunda Instancia</w:t>
            </w:r>
          </w:p>
        </w:tc>
        <w:tc>
          <w:tcPr>
            <w:tcW w:w="3001" w:type="pct"/>
            <w:shd w:val="clear" w:color="auto" w:fill="auto"/>
            <w:vAlign w:val="center"/>
            <w:hideMark/>
          </w:tcPr>
          <w:p w14:paraId="4C8E8278"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La cantidad de terminado total de Segunda Instancia.</w:t>
            </w:r>
          </w:p>
          <w:p w14:paraId="12302610"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Estos datos se obtienen del informe estadístico mensual Segunda Instancia de SIGMA. </w:t>
            </w:r>
          </w:p>
        </w:tc>
      </w:tr>
      <w:tr w:rsidR="00D07F61" w:rsidRPr="00D07F61" w14:paraId="37A2B14A" w14:textId="77777777" w:rsidTr="00346AC9">
        <w:trPr>
          <w:cantSplit/>
          <w:trHeight w:val="20"/>
          <w:jc w:val="center"/>
        </w:trPr>
        <w:tc>
          <w:tcPr>
            <w:tcW w:w="843" w:type="pct"/>
            <w:vMerge/>
            <w:shd w:val="clear" w:color="auto" w:fill="DEE7FE"/>
          </w:tcPr>
          <w:p w14:paraId="5ED78901"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0DAFDE02"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12</w:t>
            </w:r>
          </w:p>
        </w:tc>
        <w:tc>
          <w:tcPr>
            <w:tcW w:w="917" w:type="pct"/>
            <w:shd w:val="clear" w:color="auto" w:fill="FFFFFF"/>
            <w:vAlign w:val="center"/>
            <w:hideMark/>
          </w:tcPr>
          <w:p w14:paraId="2EE4A2C2"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Circulante Segunda Instancia</w:t>
            </w:r>
          </w:p>
        </w:tc>
        <w:tc>
          <w:tcPr>
            <w:tcW w:w="3001" w:type="pct"/>
            <w:shd w:val="clear" w:color="auto" w:fill="auto"/>
            <w:vAlign w:val="center"/>
            <w:hideMark/>
          </w:tcPr>
          <w:p w14:paraId="1444B084" w14:textId="34EA9CC9"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La cantidad de circulante de segunda instancia: </w:t>
            </w:r>
            <w:r w:rsidRPr="00D07F61">
              <w:rPr>
                <w:rFonts w:ascii="Book Antiqua" w:eastAsia="Times New Roman" w:hAnsi="Book Antiqua" w:cs="Arial"/>
                <w:lang w:eastAsia="es-CR"/>
              </w:rPr>
              <w:br/>
            </w:r>
            <w:r w:rsidRPr="00D07F61">
              <w:rPr>
                <w:rFonts w:ascii="Book Antiqua" w:eastAsia="Times New Roman" w:hAnsi="Book Antiqua" w:cs="Arial"/>
                <w:i/>
                <w:iCs/>
                <w:lang w:eastAsia="es-CR"/>
              </w:rPr>
              <w:t xml:space="preserve">(Circulante Inicial + Entradas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Total Terminados).</w:t>
            </w:r>
          </w:p>
          <w:p w14:paraId="2A3468BC"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Estos datos se obtienen del informe estadístico mensual Segunda Instancia de SIGMA. </w:t>
            </w:r>
          </w:p>
        </w:tc>
      </w:tr>
      <w:tr w:rsidR="00D07F61" w:rsidRPr="00D07F61" w14:paraId="442F9E33" w14:textId="77777777" w:rsidTr="00346AC9">
        <w:trPr>
          <w:cantSplit/>
          <w:trHeight w:val="20"/>
          <w:jc w:val="center"/>
        </w:trPr>
        <w:tc>
          <w:tcPr>
            <w:tcW w:w="843" w:type="pct"/>
            <w:vMerge/>
            <w:shd w:val="clear" w:color="auto" w:fill="DEE7FE"/>
          </w:tcPr>
          <w:p w14:paraId="7778382D"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5A0FFD73"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13</w:t>
            </w:r>
          </w:p>
        </w:tc>
        <w:tc>
          <w:tcPr>
            <w:tcW w:w="917" w:type="pct"/>
            <w:shd w:val="clear" w:color="auto" w:fill="auto"/>
            <w:vAlign w:val="center"/>
            <w:hideMark/>
          </w:tcPr>
          <w:p w14:paraId="327AFC38"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Relación salida Total / entrada total Segunda Instancia</w:t>
            </w:r>
          </w:p>
        </w:tc>
        <w:tc>
          <w:tcPr>
            <w:tcW w:w="3001" w:type="pct"/>
            <w:shd w:val="clear" w:color="auto" w:fill="auto"/>
            <w:vAlign w:val="center"/>
            <w:hideMark/>
          </w:tcPr>
          <w:p w14:paraId="332AC936" w14:textId="77777777"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(Salidas/ Entradas) *100</w:t>
            </w:r>
          </w:p>
          <w:p w14:paraId="0B75E06E"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calcula con los datos de entradas y salidas de Segunda Instancia del informe mensual de estadística.</w:t>
            </w:r>
          </w:p>
        </w:tc>
      </w:tr>
      <w:tr w:rsidR="00D07F61" w:rsidRPr="00D07F61" w14:paraId="06262AC5" w14:textId="77777777" w:rsidTr="00346AC9">
        <w:trPr>
          <w:cantSplit/>
          <w:trHeight w:val="1134"/>
          <w:jc w:val="center"/>
        </w:trPr>
        <w:tc>
          <w:tcPr>
            <w:tcW w:w="843" w:type="pct"/>
            <w:vMerge w:val="restart"/>
            <w:shd w:val="clear" w:color="auto" w:fill="EAF1DD"/>
            <w:textDirection w:val="btLr"/>
          </w:tcPr>
          <w:p w14:paraId="71D4D3E1" w14:textId="77777777" w:rsidR="00D07F61" w:rsidRPr="00D07F61" w:rsidRDefault="00D07F61" w:rsidP="00D07F61">
            <w:pPr>
              <w:spacing w:after="0" w:line="276" w:lineRule="auto"/>
              <w:ind w:left="113" w:right="113"/>
              <w:jc w:val="center"/>
              <w:rPr>
                <w:rFonts w:ascii="Book Antiqua" w:eastAsia="Times New Roman" w:hAnsi="Book Antiqua" w:cs="Arial"/>
                <w:b/>
                <w:bCs/>
                <w:color w:val="44546A"/>
                <w:lang w:eastAsia="es-CR"/>
              </w:rPr>
            </w:pPr>
            <w:r w:rsidRPr="00D07F61">
              <w:rPr>
                <w:rFonts w:ascii="Book Antiqua" w:eastAsia="Times New Roman" w:hAnsi="Book Antiqua" w:cs="Arial"/>
                <w:b/>
                <w:bCs/>
                <w:lang w:eastAsia="es-CR"/>
              </w:rPr>
              <w:t>Plazos</w:t>
            </w:r>
          </w:p>
        </w:tc>
        <w:tc>
          <w:tcPr>
            <w:tcW w:w="239" w:type="pct"/>
            <w:shd w:val="clear" w:color="auto" w:fill="FFFFFF"/>
            <w:vAlign w:val="center"/>
            <w:hideMark/>
          </w:tcPr>
          <w:p w14:paraId="0CD1584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14</w:t>
            </w:r>
          </w:p>
        </w:tc>
        <w:tc>
          <w:tcPr>
            <w:tcW w:w="917" w:type="pct"/>
            <w:shd w:val="clear" w:color="auto" w:fill="FFFFFF"/>
            <w:vAlign w:val="center"/>
            <w:hideMark/>
          </w:tcPr>
          <w:p w14:paraId="563440E2"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espera de dictado de sentencia</w:t>
            </w:r>
          </w:p>
        </w:tc>
        <w:tc>
          <w:tcPr>
            <w:tcW w:w="3001" w:type="pct"/>
            <w:shd w:val="clear" w:color="auto" w:fill="auto"/>
            <w:vAlign w:val="center"/>
            <w:hideMark/>
          </w:tcPr>
          <w:p w14:paraId="2DA9F492" w14:textId="278D8E4F"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Este indicador cuenta con dos mediciones, se separa por materia Familia y Segunda Instancia de Pensiones Alimentaria. Se calcula: </w:t>
            </w:r>
            <w:r w:rsidRPr="00D07F61">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fecha del expediente más antiguo pendiente de fallar)</w:t>
            </w:r>
          </w:p>
          <w:p w14:paraId="6C18500A"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la fecha del expediente más antiguo pendiente de fallo registrada en el despacho, se obtiene del libro de pase a fallo y Módulo de pase a fallo del Escritorio Virtual.</w:t>
            </w:r>
          </w:p>
          <w:p w14:paraId="7BC38903" w14:textId="7EFB45D8"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establecido es el plazo mayor de ley, en este caso el otorgado al proceso ordinario de Familia que corresponde a un mes, 30 días hábiles.</w:t>
            </w:r>
          </w:p>
          <w:p w14:paraId="176C422F"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detalle de los plazos de la legislación actual es:</w:t>
            </w:r>
          </w:p>
          <w:p w14:paraId="2F33D5EC"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Ordinario: 1 mes</w:t>
            </w:r>
          </w:p>
          <w:p w14:paraId="72A29832"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Mutuo Consentimiento: 10 días</w:t>
            </w:r>
          </w:p>
          <w:p w14:paraId="62B5B1B8"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Abreviado: 15 días.</w:t>
            </w:r>
          </w:p>
          <w:p w14:paraId="6F6FCDE9"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Sumario 10 días</w:t>
            </w:r>
          </w:p>
          <w:p w14:paraId="2F3B5D54" w14:textId="77777777" w:rsidR="00D07F61" w:rsidRPr="00D07F61" w:rsidRDefault="00D07F61" w:rsidP="0090609F">
            <w:pPr>
              <w:numPr>
                <w:ilvl w:val="0"/>
                <w:numId w:val="17"/>
              </w:numPr>
              <w:spacing w:after="0" w:line="276" w:lineRule="auto"/>
              <w:ind w:left="0" w:firstLine="0"/>
              <w:jc w:val="both"/>
              <w:rPr>
                <w:rFonts w:ascii="Book Antiqua" w:eastAsia="Times New Roman" w:hAnsi="Book Antiqua" w:cs="Arial"/>
                <w:lang w:eastAsia="es-CR"/>
              </w:rPr>
            </w:pPr>
            <w:r w:rsidRPr="00D07F61">
              <w:rPr>
                <w:rFonts w:ascii="Book Antiqua" w:eastAsia="Times New Roman" w:hAnsi="Book Antiqua" w:cs="Arial"/>
                <w:lang w:eastAsia="es-CR"/>
              </w:rPr>
              <w:t>Especiales: 5 días.</w:t>
            </w:r>
          </w:p>
          <w:p w14:paraId="137838C2" w14:textId="3A130385"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Y en segunda instancia de 8 -</w:t>
            </w:r>
            <w:r w:rsidR="007A5DC5">
              <w:rPr>
                <w:rFonts w:ascii="Book Antiqua" w:eastAsia="Times New Roman" w:hAnsi="Book Antiqua" w:cs="Arial"/>
                <w:lang w:eastAsia="es-CR"/>
              </w:rPr>
              <w:t>10</w:t>
            </w:r>
            <w:r w:rsidRPr="00D07F61">
              <w:rPr>
                <w:rFonts w:ascii="Book Antiqua" w:eastAsia="Times New Roman" w:hAnsi="Book Antiqua" w:cs="Arial"/>
                <w:lang w:eastAsia="es-CR"/>
              </w:rPr>
              <w:t xml:space="preserve"> días. </w:t>
            </w:r>
          </w:p>
        </w:tc>
      </w:tr>
      <w:tr w:rsidR="00D07F61" w:rsidRPr="00D07F61" w14:paraId="0A0992E7" w14:textId="77777777" w:rsidTr="00346AC9">
        <w:trPr>
          <w:cantSplit/>
          <w:trHeight w:val="20"/>
          <w:jc w:val="center"/>
        </w:trPr>
        <w:tc>
          <w:tcPr>
            <w:tcW w:w="843" w:type="pct"/>
            <w:vMerge/>
            <w:shd w:val="clear" w:color="auto" w:fill="EAF1DD"/>
          </w:tcPr>
          <w:p w14:paraId="01437534"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13F3F0C2"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15</w:t>
            </w:r>
          </w:p>
        </w:tc>
        <w:tc>
          <w:tcPr>
            <w:tcW w:w="917" w:type="pct"/>
            <w:shd w:val="clear" w:color="auto" w:fill="FFFFFF"/>
            <w:vAlign w:val="center"/>
            <w:hideMark/>
          </w:tcPr>
          <w:p w14:paraId="1068040B"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espera para realización de señalamientos</w:t>
            </w:r>
          </w:p>
        </w:tc>
        <w:tc>
          <w:tcPr>
            <w:tcW w:w="3001" w:type="pct"/>
            <w:shd w:val="clear" w:color="auto" w:fill="auto"/>
            <w:vAlign w:val="center"/>
            <w:hideMark/>
          </w:tcPr>
          <w:p w14:paraId="016FD681" w14:textId="7C992484"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 xml:space="preserve">(Fecha del </w:t>
            </w:r>
            <w:r w:rsidR="007A5DC5" w:rsidRPr="00D07F61">
              <w:rPr>
                <w:rFonts w:ascii="Book Antiqua" w:eastAsia="Times New Roman" w:hAnsi="Book Antiqua" w:cs="Arial"/>
                <w:i/>
                <w:iCs/>
                <w:lang w:eastAsia="es-CR"/>
              </w:rPr>
              <w:t>último</w:t>
            </w:r>
            <w:r w:rsidRPr="00D07F61">
              <w:rPr>
                <w:rFonts w:ascii="Book Antiqua" w:eastAsia="Times New Roman" w:hAnsi="Book Antiqua" w:cs="Arial"/>
                <w:i/>
                <w:iCs/>
                <w:lang w:eastAsia="es-CR"/>
              </w:rPr>
              <w:t xml:space="preserve"> señalamiento de audiencia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fecha actual)</w:t>
            </w:r>
          </w:p>
          <w:p w14:paraId="3A84CD0C"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el último señalamiento a Audiencia.</w:t>
            </w:r>
          </w:p>
          <w:p w14:paraId="13BB0DB5" w14:textId="653CD4D2"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w:t>
            </w:r>
            <w:r w:rsidR="006731FB">
              <w:rPr>
                <w:rFonts w:ascii="Book Antiqua" w:eastAsia="Times New Roman" w:hAnsi="Book Antiqua" w:cs="Arial"/>
                <w:lang w:eastAsia="es-CR"/>
              </w:rPr>
              <w:t xml:space="preserve">se define </w:t>
            </w:r>
            <w:r w:rsidR="006731FB" w:rsidRPr="006731FB">
              <w:rPr>
                <w:rFonts w:ascii="Book Antiqua" w:eastAsia="Times New Roman" w:hAnsi="Book Antiqua" w:cs="Arial"/>
                <w:lang w:eastAsia="es-CR"/>
              </w:rPr>
              <w:t>con el promedio nacional de enero a agosto de 2021, entre 60 y 90 día</w:t>
            </w:r>
            <w:r w:rsidR="006731FB">
              <w:rPr>
                <w:rFonts w:ascii="Book Antiqua" w:eastAsia="Times New Roman" w:hAnsi="Book Antiqua" w:cs="Arial"/>
                <w:lang w:eastAsia="es-CR"/>
              </w:rPr>
              <w:t>s.</w:t>
            </w:r>
          </w:p>
        </w:tc>
      </w:tr>
      <w:tr w:rsidR="00D07F61" w:rsidRPr="00D07F61" w14:paraId="47F20167" w14:textId="77777777" w:rsidTr="00346AC9">
        <w:trPr>
          <w:cantSplit/>
          <w:trHeight w:val="20"/>
          <w:jc w:val="center"/>
        </w:trPr>
        <w:tc>
          <w:tcPr>
            <w:tcW w:w="843" w:type="pct"/>
            <w:vMerge/>
            <w:shd w:val="clear" w:color="auto" w:fill="EAF1DD"/>
          </w:tcPr>
          <w:p w14:paraId="2C555999"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hideMark/>
          </w:tcPr>
          <w:p w14:paraId="615B0677"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16</w:t>
            </w:r>
          </w:p>
        </w:tc>
        <w:tc>
          <w:tcPr>
            <w:tcW w:w="917" w:type="pct"/>
            <w:shd w:val="clear" w:color="auto" w:fill="FFFFFF"/>
            <w:vAlign w:val="center"/>
            <w:hideMark/>
          </w:tcPr>
          <w:p w14:paraId="7C13F2CC"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para resolver demandas nuevas</w:t>
            </w:r>
          </w:p>
        </w:tc>
        <w:tc>
          <w:tcPr>
            <w:tcW w:w="3001" w:type="pct"/>
            <w:shd w:val="clear" w:color="auto" w:fill="auto"/>
            <w:vAlign w:val="center"/>
            <w:hideMark/>
          </w:tcPr>
          <w:p w14:paraId="245667B5" w14:textId="1A1AE885"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fecha de la demanda más antigua pendiente de la primera resolución)</w:t>
            </w:r>
          </w:p>
          <w:p w14:paraId="21D55E4D"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p w14:paraId="118F77C2"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corresponde al implementado en los despachos rediseñados “&gt;14; &lt;=28”</w:t>
            </w:r>
          </w:p>
        </w:tc>
      </w:tr>
      <w:tr w:rsidR="00D07F61" w:rsidRPr="00D07F61" w14:paraId="73D92115" w14:textId="77777777" w:rsidTr="00346AC9">
        <w:trPr>
          <w:cantSplit/>
          <w:trHeight w:val="20"/>
          <w:jc w:val="center"/>
        </w:trPr>
        <w:tc>
          <w:tcPr>
            <w:tcW w:w="843" w:type="pct"/>
            <w:vMerge/>
            <w:shd w:val="clear" w:color="auto" w:fill="EAF1DD"/>
          </w:tcPr>
          <w:p w14:paraId="2A2CA18A"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p>
        </w:tc>
        <w:tc>
          <w:tcPr>
            <w:tcW w:w="239" w:type="pct"/>
            <w:vMerge w:val="restart"/>
            <w:shd w:val="clear" w:color="auto" w:fill="FFFFFF"/>
            <w:vAlign w:val="center"/>
            <w:hideMark/>
          </w:tcPr>
          <w:p w14:paraId="0D3DEBCD" w14:textId="77777777" w:rsidR="00D07F61" w:rsidRPr="00D07F61" w:rsidRDefault="00D07F61" w:rsidP="00D07F61">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17</w:t>
            </w:r>
          </w:p>
        </w:tc>
        <w:tc>
          <w:tcPr>
            <w:tcW w:w="917" w:type="pct"/>
            <w:vMerge w:val="restart"/>
            <w:shd w:val="clear" w:color="auto" w:fill="FFFFFF"/>
            <w:vAlign w:val="center"/>
            <w:hideMark/>
          </w:tcPr>
          <w:p w14:paraId="1B8BC196"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para resolver escritos</w:t>
            </w:r>
          </w:p>
        </w:tc>
        <w:tc>
          <w:tcPr>
            <w:tcW w:w="3001" w:type="pct"/>
            <w:shd w:val="clear" w:color="auto" w:fill="auto"/>
            <w:vAlign w:val="center"/>
            <w:hideMark/>
          </w:tcPr>
          <w:p w14:paraId="5B8E4E1D"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Se subdivide en dos mediciones: </w:t>
            </w:r>
          </w:p>
          <w:p w14:paraId="7D579855" w14:textId="77777777" w:rsidR="00D07F61" w:rsidRPr="00D07F61" w:rsidRDefault="00D07F61" w:rsidP="00D07F61">
            <w:pPr>
              <w:spacing w:after="0" w:line="276" w:lineRule="auto"/>
              <w:jc w:val="both"/>
              <w:rPr>
                <w:rFonts w:ascii="Book Antiqua" w:eastAsia="Times New Roman" w:hAnsi="Book Antiqua" w:cs="Arial"/>
                <w:lang w:eastAsia="es-CR"/>
              </w:rPr>
            </w:pPr>
          </w:p>
          <w:p w14:paraId="247BE101" w14:textId="77777777" w:rsidR="00D07F61" w:rsidRPr="00D07F61" w:rsidRDefault="00D07F61" w:rsidP="00D07F61">
            <w:pPr>
              <w:spacing w:after="0" w:line="276" w:lineRule="auto"/>
              <w:jc w:val="both"/>
              <w:rPr>
                <w:rFonts w:ascii="Book Antiqua" w:eastAsia="Times New Roman" w:hAnsi="Book Antiqua" w:cs="Arial"/>
                <w:b/>
                <w:bCs/>
                <w:lang w:eastAsia="es-CR"/>
              </w:rPr>
            </w:pPr>
            <w:r w:rsidRPr="00D07F61">
              <w:rPr>
                <w:rFonts w:ascii="Book Antiqua" w:eastAsia="Times New Roman" w:hAnsi="Book Antiqua" w:cs="Arial"/>
                <w:b/>
                <w:bCs/>
                <w:lang w:eastAsia="es-CR"/>
              </w:rPr>
              <w:t>Escritos donde el expediente se encuentra fuera del Despacho:</w:t>
            </w:r>
          </w:p>
          <w:p w14:paraId="3F739B09" w14:textId="77777777" w:rsidR="00D07F61" w:rsidRPr="00D07F61" w:rsidRDefault="00D07F61" w:rsidP="00D07F61">
            <w:pPr>
              <w:spacing w:after="0" w:line="276" w:lineRule="auto"/>
              <w:jc w:val="both"/>
              <w:rPr>
                <w:rFonts w:ascii="Book Antiqua" w:eastAsia="Times New Roman" w:hAnsi="Book Antiqua" w:cs="Arial"/>
                <w:b/>
                <w:bCs/>
                <w:lang w:eastAsia="es-CR"/>
              </w:rPr>
            </w:pPr>
          </w:p>
          <w:p w14:paraId="510F8089" w14:textId="10C458DF" w:rsidR="00D07F61" w:rsidRPr="007655D5" w:rsidRDefault="00D07F61" w:rsidP="007655D5">
            <w:pPr>
              <w:spacing w:after="0" w:line="276" w:lineRule="auto"/>
              <w:jc w:val="both"/>
              <w:rPr>
                <w:lang w:eastAsia="es-CR"/>
              </w:rPr>
            </w:pPr>
            <w:r w:rsidRPr="007655D5">
              <w:rPr>
                <w:lang w:eastAsia="es-CR"/>
              </w:rPr>
              <w:t xml:space="preserve">1) </w:t>
            </w:r>
            <w:r w:rsidR="00DA42E9" w:rsidRPr="007655D5">
              <w:rPr>
                <w:lang w:eastAsia="es-CR"/>
              </w:rPr>
              <w:t>S</w:t>
            </w:r>
            <w:r w:rsidRPr="007655D5">
              <w:rPr>
                <w:lang w:eastAsia="es-CR"/>
              </w:rPr>
              <w:t>e calcula: (Fecha actual - fecha del escrito más antiguo pendiente de resolver de expedientes que se encuentran fuera del despacho)</w:t>
            </w:r>
          </w:p>
          <w:p w14:paraId="5AC2E08F"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bandeja de Escritos del Escritorio Virtual</w:t>
            </w:r>
          </w:p>
          <w:p w14:paraId="012DB129" w14:textId="6351E100" w:rsidR="00D07F61" w:rsidRPr="00D07F61" w:rsidRDefault="00D07F61" w:rsidP="00D07F61">
            <w:pPr>
              <w:spacing w:after="0" w:line="276" w:lineRule="auto"/>
              <w:jc w:val="both"/>
              <w:rPr>
                <w:rFonts w:ascii="Book Antiqua" w:eastAsia="Times New Roman" w:hAnsi="Book Antiqua" w:cs="Arial"/>
                <w:b/>
                <w:bCs/>
                <w:lang w:eastAsia="es-CR"/>
              </w:rPr>
            </w:pPr>
            <w:r w:rsidRPr="00D07F61">
              <w:rPr>
                <w:rFonts w:ascii="Book Antiqua" w:eastAsia="Times New Roman" w:hAnsi="Book Antiqua" w:cs="Arial"/>
                <w:lang w:eastAsia="es-CR"/>
              </w:rPr>
              <w:t xml:space="preserve">Se deben revisar todos los Escritos que se encuentran Tramitándose, como los que se encuentran pendientes de distribuir, todas la Ubicaciones, </w:t>
            </w:r>
            <w:r w:rsidR="00DA42E9" w:rsidRPr="00D07F61">
              <w:rPr>
                <w:rFonts w:ascii="Book Antiqua" w:eastAsia="Times New Roman" w:hAnsi="Book Antiqua" w:cs="Arial"/>
                <w:lang w:eastAsia="es-CR"/>
              </w:rPr>
              <w:t>todas las personas técnicas</w:t>
            </w:r>
            <w:r w:rsidRPr="00D07F61">
              <w:rPr>
                <w:rFonts w:ascii="Book Antiqua" w:eastAsia="Times New Roman" w:hAnsi="Book Antiqua" w:cs="Arial"/>
                <w:lang w:eastAsia="es-CR"/>
              </w:rPr>
              <w:t xml:space="preserve">, Estado de Expediente: </w:t>
            </w:r>
            <w:r w:rsidRPr="00D07F61">
              <w:rPr>
                <w:rFonts w:ascii="Book Antiqua" w:eastAsia="Times New Roman" w:hAnsi="Book Antiqua" w:cs="Arial"/>
                <w:b/>
                <w:bCs/>
                <w:lang w:eastAsia="es-CR"/>
              </w:rPr>
              <w:t>En Alzada.</w:t>
            </w:r>
          </w:p>
          <w:p w14:paraId="50F211E3" w14:textId="77777777" w:rsidR="00D07F61" w:rsidRPr="00D07F61" w:rsidRDefault="00D07F61" w:rsidP="00D07F61">
            <w:pPr>
              <w:spacing w:after="0" w:line="276" w:lineRule="auto"/>
              <w:jc w:val="both"/>
              <w:rPr>
                <w:rFonts w:ascii="Book Antiqua" w:eastAsia="Times New Roman" w:hAnsi="Book Antiqua" w:cs="Arial"/>
                <w:b/>
                <w:bCs/>
                <w:lang w:eastAsia="es-CR"/>
              </w:rPr>
            </w:pPr>
          </w:p>
          <w:p w14:paraId="71A520CF"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que se propone es de 60 a 90 días, “&gt;60; &lt;=90” </w:t>
            </w:r>
          </w:p>
          <w:p w14:paraId="66E8875A" w14:textId="77777777" w:rsidR="00D07F61" w:rsidRPr="00D07F61" w:rsidRDefault="00D07F61" w:rsidP="00D07F61">
            <w:pPr>
              <w:spacing w:after="0" w:line="276" w:lineRule="auto"/>
              <w:jc w:val="both"/>
              <w:rPr>
                <w:rFonts w:ascii="Book Antiqua" w:eastAsia="Times New Roman" w:hAnsi="Book Antiqua" w:cs="Arial"/>
                <w:lang w:eastAsia="es-CR"/>
              </w:rPr>
            </w:pPr>
          </w:p>
          <w:p w14:paraId="019D861A" w14:textId="77777777" w:rsidR="00D07F61" w:rsidRPr="00D07F61" w:rsidRDefault="00D07F61" w:rsidP="00D07F61">
            <w:pPr>
              <w:spacing w:after="0" w:line="276" w:lineRule="auto"/>
              <w:jc w:val="both"/>
              <w:rPr>
                <w:rFonts w:ascii="Book Antiqua" w:eastAsia="Times New Roman" w:hAnsi="Book Antiqua" w:cs="Arial"/>
                <w:b/>
                <w:bCs/>
                <w:lang w:eastAsia="es-CR"/>
              </w:rPr>
            </w:pPr>
            <w:r w:rsidRPr="00D07F61">
              <w:rPr>
                <w:rFonts w:ascii="Book Antiqua" w:eastAsia="Times New Roman" w:hAnsi="Book Antiqua" w:cs="Arial"/>
                <w:b/>
                <w:bCs/>
                <w:lang w:eastAsia="es-CR"/>
              </w:rPr>
              <w:t>Escritos donde el expediente se encuentra en el Despacho:</w:t>
            </w:r>
          </w:p>
          <w:p w14:paraId="132E5755" w14:textId="77777777" w:rsidR="00D07F61" w:rsidRPr="00D07F61" w:rsidRDefault="00D07F61" w:rsidP="00D07F61">
            <w:pPr>
              <w:spacing w:after="0" w:line="276" w:lineRule="auto"/>
              <w:jc w:val="both"/>
              <w:rPr>
                <w:rFonts w:ascii="Book Antiqua" w:eastAsia="Times New Roman" w:hAnsi="Book Antiqua" w:cs="Arial"/>
                <w:lang w:eastAsia="es-CR"/>
              </w:rPr>
            </w:pPr>
          </w:p>
        </w:tc>
      </w:tr>
      <w:tr w:rsidR="00D07F61" w:rsidRPr="00D07F61" w14:paraId="00C062DD" w14:textId="77777777" w:rsidTr="00346AC9">
        <w:trPr>
          <w:cantSplit/>
          <w:trHeight w:val="20"/>
          <w:jc w:val="center"/>
        </w:trPr>
        <w:tc>
          <w:tcPr>
            <w:tcW w:w="843" w:type="pct"/>
            <w:vMerge/>
            <w:shd w:val="clear" w:color="auto" w:fill="EAF1DD"/>
          </w:tcPr>
          <w:p w14:paraId="6BD719BA" w14:textId="77777777" w:rsidR="00D07F61" w:rsidRPr="00D07F61" w:rsidRDefault="00D07F61" w:rsidP="00D07F61">
            <w:pPr>
              <w:spacing w:after="0" w:line="276" w:lineRule="auto"/>
              <w:rPr>
                <w:rFonts w:ascii="Book Antiqua" w:eastAsia="Times New Roman" w:hAnsi="Book Antiqua" w:cs="Arial"/>
                <w:b/>
                <w:bCs/>
                <w:color w:val="44546A"/>
                <w:lang w:eastAsia="es-CR"/>
              </w:rPr>
            </w:pPr>
          </w:p>
        </w:tc>
        <w:tc>
          <w:tcPr>
            <w:tcW w:w="239" w:type="pct"/>
            <w:vMerge/>
            <w:vAlign w:val="center"/>
            <w:hideMark/>
          </w:tcPr>
          <w:p w14:paraId="3602D6CD" w14:textId="77777777" w:rsidR="00D07F61" w:rsidRPr="00D07F61" w:rsidRDefault="00D07F61" w:rsidP="00D07F61">
            <w:pPr>
              <w:spacing w:after="0" w:line="276" w:lineRule="auto"/>
              <w:rPr>
                <w:rFonts w:ascii="Book Antiqua" w:eastAsia="Times New Roman" w:hAnsi="Book Antiqua" w:cs="Arial"/>
                <w:b/>
                <w:bCs/>
                <w:color w:val="44546A"/>
                <w:lang w:eastAsia="es-CR"/>
              </w:rPr>
            </w:pPr>
          </w:p>
        </w:tc>
        <w:tc>
          <w:tcPr>
            <w:tcW w:w="917" w:type="pct"/>
            <w:vMerge/>
            <w:vAlign w:val="center"/>
            <w:hideMark/>
          </w:tcPr>
          <w:p w14:paraId="25F75569"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p>
        </w:tc>
        <w:tc>
          <w:tcPr>
            <w:tcW w:w="3001" w:type="pct"/>
            <w:shd w:val="clear" w:color="auto" w:fill="auto"/>
            <w:vAlign w:val="center"/>
            <w:hideMark/>
          </w:tcPr>
          <w:p w14:paraId="1C9455F1" w14:textId="155706DE" w:rsidR="00D07F61" w:rsidRPr="00D07F61" w:rsidRDefault="00D07F61" w:rsidP="00D07F61">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2) Se calcula: </w:t>
            </w:r>
            <w:r w:rsidRPr="00D07F61">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D07F61">
              <w:rPr>
                <w:rFonts w:ascii="Book Antiqua" w:eastAsia="Times New Roman" w:hAnsi="Book Antiqua" w:cs="Arial"/>
                <w:i/>
                <w:iCs/>
                <w:lang w:eastAsia="es-CR"/>
              </w:rPr>
              <w:t xml:space="preserve"> fecha del escrito más antiguo pendiente de resolver de los que están en el despacho)</w:t>
            </w:r>
          </w:p>
          <w:p w14:paraId="01B1CC41"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bandeja de Escritos del Escritorio Virtual</w:t>
            </w:r>
          </w:p>
          <w:p w14:paraId="1CF59AF4" w14:textId="293019DE" w:rsidR="00D07F61" w:rsidRPr="00D07F61" w:rsidRDefault="00D07F61" w:rsidP="00D07F61">
            <w:pPr>
              <w:spacing w:after="0" w:line="276" w:lineRule="auto"/>
              <w:jc w:val="both"/>
              <w:rPr>
                <w:rFonts w:ascii="Book Antiqua" w:eastAsia="Times New Roman" w:hAnsi="Book Antiqua" w:cs="Arial"/>
                <w:b/>
                <w:bCs/>
                <w:lang w:eastAsia="es-CR"/>
              </w:rPr>
            </w:pPr>
            <w:r w:rsidRPr="00D07F61">
              <w:rPr>
                <w:rFonts w:ascii="Book Antiqua" w:eastAsia="Times New Roman" w:hAnsi="Book Antiqua" w:cs="Arial"/>
                <w:lang w:eastAsia="es-CR"/>
              </w:rPr>
              <w:t>Se deben revisar todos los Escritos que se encuentran Tramitándose, como los que se encuentran pendientes de distribuir. Todas la Ubicaciones</w:t>
            </w:r>
            <w:r w:rsidR="00DA42E9" w:rsidRPr="00D07F61">
              <w:rPr>
                <w:rFonts w:ascii="Book Antiqua" w:eastAsia="Times New Roman" w:hAnsi="Book Antiqua" w:cs="Arial"/>
                <w:lang w:eastAsia="es-CR"/>
              </w:rPr>
              <w:t xml:space="preserve"> todas las personas técnicas</w:t>
            </w:r>
            <w:r w:rsidRPr="00D07F61">
              <w:rPr>
                <w:rFonts w:ascii="Book Antiqua" w:eastAsia="Times New Roman" w:hAnsi="Book Antiqua" w:cs="Arial"/>
                <w:lang w:eastAsia="es-CR"/>
              </w:rPr>
              <w:t xml:space="preserve">, estado de expediente: </w:t>
            </w:r>
            <w:r w:rsidRPr="00D07F61">
              <w:rPr>
                <w:rFonts w:ascii="Book Antiqua" w:eastAsia="Times New Roman" w:hAnsi="Book Antiqua" w:cs="Arial"/>
                <w:b/>
                <w:bCs/>
                <w:lang w:eastAsia="es-CR"/>
              </w:rPr>
              <w:t>En Trámite, Inactivo, entre otros.</w:t>
            </w:r>
          </w:p>
          <w:p w14:paraId="1546451B" w14:textId="77777777" w:rsidR="00D07F61" w:rsidRPr="00D07F61" w:rsidRDefault="00D07F61" w:rsidP="00D07F61">
            <w:pPr>
              <w:spacing w:after="0" w:line="276" w:lineRule="auto"/>
              <w:jc w:val="both"/>
              <w:rPr>
                <w:rFonts w:ascii="Book Antiqua" w:eastAsia="Times New Roman" w:hAnsi="Book Antiqua" w:cs="Arial"/>
                <w:b/>
                <w:bCs/>
                <w:lang w:eastAsia="es-CR"/>
              </w:rPr>
            </w:pPr>
          </w:p>
          <w:p w14:paraId="43D5EBB5"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corresponde al implementado en los despachos rediseñados “&gt;14; &lt;=28”</w:t>
            </w:r>
          </w:p>
        </w:tc>
      </w:tr>
      <w:tr w:rsidR="00D07F61" w:rsidRPr="00D07F61" w14:paraId="1133732B" w14:textId="77777777" w:rsidTr="00346AC9">
        <w:trPr>
          <w:cantSplit/>
          <w:trHeight w:val="20"/>
          <w:jc w:val="center"/>
        </w:trPr>
        <w:tc>
          <w:tcPr>
            <w:tcW w:w="843" w:type="pct"/>
            <w:vMerge/>
            <w:shd w:val="clear" w:color="auto" w:fill="EAF1DD"/>
          </w:tcPr>
          <w:p w14:paraId="6F9D5F2C" w14:textId="77777777" w:rsidR="00D07F61" w:rsidRPr="00D07F61" w:rsidRDefault="00D07F61" w:rsidP="00D07F61">
            <w:pPr>
              <w:spacing w:after="0" w:line="276" w:lineRule="auto"/>
              <w:rPr>
                <w:rFonts w:ascii="Book Antiqua" w:eastAsia="Times New Roman" w:hAnsi="Book Antiqua" w:cs="Arial"/>
                <w:b/>
                <w:bCs/>
                <w:color w:val="44546A"/>
                <w:lang w:eastAsia="es-CR"/>
              </w:rPr>
            </w:pPr>
          </w:p>
        </w:tc>
        <w:tc>
          <w:tcPr>
            <w:tcW w:w="239" w:type="pct"/>
            <w:vAlign w:val="center"/>
          </w:tcPr>
          <w:p w14:paraId="0358FF3E" w14:textId="77777777" w:rsidR="00D07F61" w:rsidRPr="00D07F61" w:rsidRDefault="00D07F61" w:rsidP="00D07F61">
            <w:pPr>
              <w:spacing w:after="0" w:line="276" w:lineRule="auto"/>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18</w:t>
            </w:r>
          </w:p>
        </w:tc>
        <w:tc>
          <w:tcPr>
            <w:tcW w:w="917" w:type="pct"/>
            <w:vAlign w:val="center"/>
          </w:tcPr>
          <w:p w14:paraId="0844ADE4" w14:textId="77777777" w:rsidR="00D07F61" w:rsidRPr="00D07F61" w:rsidRDefault="00D07F61"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de espera para pruebas de ADN</w:t>
            </w:r>
          </w:p>
        </w:tc>
        <w:tc>
          <w:tcPr>
            <w:tcW w:w="3001" w:type="pct"/>
            <w:shd w:val="clear" w:color="auto" w:fill="auto"/>
            <w:vAlign w:val="center"/>
          </w:tcPr>
          <w:p w14:paraId="4DCFB86D"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calcula: (</w:t>
            </w:r>
            <w:r w:rsidRPr="00D07F61">
              <w:rPr>
                <w:rFonts w:ascii="Book Antiqua" w:eastAsia="Times New Roman" w:hAnsi="Book Antiqua" w:cs="Arial"/>
                <w:i/>
                <w:iCs/>
                <w:lang w:eastAsia="es-CR"/>
              </w:rPr>
              <w:t>Fecha actual – fecha de la prueba de ADN más antigua pendiente de recibir resultado</w:t>
            </w:r>
            <w:r w:rsidRPr="00D07F61">
              <w:rPr>
                <w:rFonts w:ascii="Book Antiqua" w:eastAsia="Times New Roman" w:hAnsi="Book Antiqua" w:cs="Arial"/>
                <w:lang w:eastAsia="es-CR"/>
              </w:rPr>
              <w:t>)</w:t>
            </w:r>
          </w:p>
          <w:p w14:paraId="34E31B12" w14:textId="77777777"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los controles de solicitudes de pruebas del despacho, búsqueda por fecha y se obtiene la última prueba pendiente.</w:t>
            </w:r>
          </w:p>
          <w:p w14:paraId="0792437B" w14:textId="11C3CE52" w:rsidR="00D07F61" w:rsidRPr="00D07F61" w:rsidRDefault="00D07F61" w:rsidP="00D07F61">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w:t>
            </w:r>
            <w:r w:rsidR="00BA5D2D">
              <w:rPr>
                <w:rFonts w:ascii="Book Antiqua" w:eastAsia="Times New Roman" w:hAnsi="Book Antiqua" w:cs="Arial"/>
                <w:lang w:eastAsia="es-CR"/>
              </w:rPr>
              <w:t xml:space="preserve">se define </w:t>
            </w:r>
            <w:r w:rsidR="00BA5D2D" w:rsidRPr="00BA5D2D">
              <w:rPr>
                <w:rFonts w:ascii="Book Antiqua" w:eastAsia="Times New Roman" w:hAnsi="Book Antiqua" w:cs="Arial"/>
                <w:lang w:eastAsia="es-CR"/>
              </w:rPr>
              <w:t>de acuerdo con el promedio de enero a agosto de 2021 de los Juzgados de Familia a nivel nacional.</w:t>
            </w:r>
          </w:p>
        </w:tc>
      </w:tr>
      <w:tr w:rsidR="00DA42E9" w:rsidRPr="00D07F61" w14:paraId="43BDFE70" w14:textId="77777777" w:rsidTr="00346AC9">
        <w:trPr>
          <w:cantSplit/>
          <w:trHeight w:val="20"/>
          <w:jc w:val="center"/>
        </w:trPr>
        <w:tc>
          <w:tcPr>
            <w:tcW w:w="843" w:type="pct"/>
            <w:vMerge/>
            <w:shd w:val="clear" w:color="auto" w:fill="EAF1DD"/>
          </w:tcPr>
          <w:p w14:paraId="33D6044A" w14:textId="77777777" w:rsidR="00DA42E9" w:rsidRPr="00D07F61" w:rsidRDefault="00DA42E9" w:rsidP="00DA42E9">
            <w:pPr>
              <w:spacing w:after="0" w:line="276" w:lineRule="auto"/>
              <w:rPr>
                <w:rFonts w:ascii="Book Antiqua" w:eastAsia="Times New Roman" w:hAnsi="Book Antiqua" w:cs="Arial"/>
                <w:b/>
                <w:bCs/>
                <w:color w:val="44546A"/>
                <w:lang w:eastAsia="es-CR"/>
              </w:rPr>
            </w:pPr>
          </w:p>
        </w:tc>
        <w:tc>
          <w:tcPr>
            <w:tcW w:w="239" w:type="pct"/>
            <w:vAlign w:val="center"/>
          </w:tcPr>
          <w:p w14:paraId="346F6001" w14:textId="27DD2FEA" w:rsidR="00DA42E9" w:rsidRPr="00D07F61" w:rsidRDefault="00DA42E9" w:rsidP="00DA42E9">
            <w:pPr>
              <w:spacing w:after="0" w:line="276" w:lineRule="auto"/>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19</w:t>
            </w:r>
          </w:p>
        </w:tc>
        <w:tc>
          <w:tcPr>
            <w:tcW w:w="917" w:type="pct"/>
            <w:vAlign w:val="center"/>
          </w:tcPr>
          <w:p w14:paraId="2FC2C707" w14:textId="1929BE23"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 xml:space="preserve">Plazo de espera de </w:t>
            </w:r>
            <w:r>
              <w:rPr>
                <w:rFonts w:ascii="Book Antiqua" w:eastAsia="Times New Roman" w:hAnsi="Book Antiqua" w:cs="Arial"/>
                <w:b/>
                <w:bCs/>
                <w:color w:val="44546A"/>
                <w:lang w:eastAsia="es-CR"/>
              </w:rPr>
              <w:t>peritaje</w:t>
            </w:r>
          </w:p>
        </w:tc>
        <w:tc>
          <w:tcPr>
            <w:tcW w:w="3001" w:type="pct"/>
            <w:shd w:val="clear" w:color="auto" w:fill="auto"/>
            <w:vAlign w:val="center"/>
          </w:tcPr>
          <w:p w14:paraId="413584F0" w14:textId="46AF303D" w:rsidR="00DA42E9" w:rsidRPr="00D07F61" w:rsidRDefault="00BA5D2D" w:rsidP="00DA42E9">
            <w:pPr>
              <w:spacing w:after="0" w:line="276" w:lineRule="auto"/>
              <w:jc w:val="both"/>
              <w:rPr>
                <w:rFonts w:ascii="Book Antiqua" w:eastAsia="Times New Roman" w:hAnsi="Book Antiqua" w:cs="Arial"/>
                <w:i/>
                <w:iCs/>
                <w:lang w:eastAsia="es-CR"/>
              </w:rPr>
            </w:pPr>
            <w:r>
              <w:rPr>
                <w:rFonts w:ascii="Book Antiqua" w:eastAsia="Times New Roman" w:hAnsi="Book Antiqua" w:cs="Arial"/>
                <w:lang w:eastAsia="es-CR"/>
              </w:rPr>
              <w:t>Indicador nuevo, s</w:t>
            </w:r>
            <w:r w:rsidR="00DA42E9" w:rsidRPr="00D07F61">
              <w:rPr>
                <w:rFonts w:ascii="Book Antiqua" w:eastAsia="Times New Roman" w:hAnsi="Book Antiqua" w:cs="Arial"/>
                <w:lang w:eastAsia="es-CR"/>
              </w:rPr>
              <w:t xml:space="preserve">e calcula: </w:t>
            </w:r>
            <w:r w:rsidR="00DA42E9" w:rsidRPr="00D07F61">
              <w:rPr>
                <w:rFonts w:ascii="Book Antiqua" w:eastAsia="Times New Roman" w:hAnsi="Book Antiqua" w:cs="Arial"/>
                <w:i/>
                <w:iCs/>
                <w:lang w:eastAsia="es-CR"/>
              </w:rPr>
              <w:t>(Fecha actual</w:t>
            </w:r>
            <w:r w:rsidR="004953B7">
              <w:rPr>
                <w:rFonts w:ascii="Book Antiqua" w:eastAsia="Times New Roman" w:hAnsi="Book Antiqua" w:cs="Arial"/>
                <w:i/>
                <w:iCs/>
                <w:lang w:eastAsia="es-CR"/>
              </w:rPr>
              <w:t xml:space="preserve"> </w:t>
            </w:r>
            <w:r w:rsidR="00E85731">
              <w:rPr>
                <w:rFonts w:ascii="Book Antiqua" w:eastAsia="Times New Roman" w:hAnsi="Book Antiqua" w:cs="Arial"/>
                <w:i/>
                <w:iCs/>
                <w:lang w:eastAsia="es-CR"/>
              </w:rPr>
              <w:t>–</w:t>
            </w:r>
            <w:r w:rsidR="004953B7">
              <w:rPr>
                <w:rFonts w:ascii="Book Antiqua" w:eastAsia="Times New Roman" w:hAnsi="Book Antiqua" w:cs="Arial"/>
                <w:i/>
                <w:iCs/>
                <w:lang w:eastAsia="es-CR"/>
              </w:rPr>
              <w:t xml:space="preserve"> </w:t>
            </w:r>
            <w:r w:rsidR="004953B7" w:rsidRPr="004953B7">
              <w:rPr>
                <w:rFonts w:ascii="Book Antiqua" w:eastAsia="Times New Roman" w:hAnsi="Book Antiqua" w:cs="Arial"/>
                <w:i/>
                <w:iCs/>
                <w:lang w:eastAsia="es-CR"/>
              </w:rPr>
              <w:t>fecha de pase a firma más antigua del expediente pendiente de firma</w:t>
            </w:r>
            <w:r w:rsidR="00DA42E9" w:rsidRPr="00D07F61">
              <w:rPr>
                <w:rFonts w:ascii="Book Antiqua" w:eastAsia="Times New Roman" w:hAnsi="Book Antiqua" w:cs="Arial"/>
                <w:i/>
                <w:iCs/>
                <w:lang w:eastAsia="es-CR"/>
              </w:rPr>
              <w:t>).</w:t>
            </w:r>
          </w:p>
          <w:p w14:paraId="3D39B1D8" w14:textId="77777777" w:rsidR="00DA42E9" w:rsidRPr="00D07F61" w:rsidRDefault="00DA42E9" w:rsidP="00DA42E9">
            <w:pPr>
              <w:spacing w:after="0" w:line="276" w:lineRule="auto"/>
              <w:jc w:val="both"/>
              <w:rPr>
                <w:rFonts w:ascii="Book Antiqua" w:eastAsia="Times New Roman" w:hAnsi="Book Antiqua" w:cs="Arial"/>
                <w:lang w:eastAsia="es-CR"/>
              </w:rPr>
            </w:pPr>
          </w:p>
          <w:p w14:paraId="5E5A2804" w14:textId="5DF5E63E" w:rsidR="00DA42E9" w:rsidRPr="00D07F61" w:rsidRDefault="00BA5D2D"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S</w:t>
            </w:r>
            <w:r w:rsidRPr="00BA5D2D">
              <w:rPr>
                <w:rFonts w:ascii="Book Antiqua" w:eastAsia="Times New Roman" w:hAnsi="Book Antiqua" w:cs="Arial"/>
                <w:lang w:eastAsia="es-CR"/>
              </w:rPr>
              <w:t>e establece el parámetro de acuerdo con el plazo de la tarea “Espera Peritaje Trabajo Social-Psicología” que es de 30 días.</w:t>
            </w:r>
          </w:p>
        </w:tc>
      </w:tr>
      <w:tr w:rsidR="00DA42E9" w:rsidRPr="00D07F61" w14:paraId="6F440249" w14:textId="77777777" w:rsidTr="00346AC9">
        <w:trPr>
          <w:cantSplit/>
          <w:trHeight w:val="20"/>
          <w:jc w:val="center"/>
        </w:trPr>
        <w:tc>
          <w:tcPr>
            <w:tcW w:w="843" w:type="pct"/>
            <w:vMerge/>
            <w:shd w:val="clear" w:color="auto" w:fill="EAF1DD"/>
          </w:tcPr>
          <w:p w14:paraId="7DD5F5E9" w14:textId="77777777" w:rsidR="00DA42E9" w:rsidRPr="00D07F61" w:rsidRDefault="00DA42E9" w:rsidP="00DA42E9">
            <w:pPr>
              <w:spacing w:after="0" w:line="276" w:lineRule="auto"/>
              <w:rPr>
                <w:rFonts w:ascii="Book Antiqua" w:eastAsia="Times New Roman" w:hAnsi="Book Antiqua" w:cs="Arial"/>
                <w:b/>
                <w:bCs/>
                <w:color w:val="44546A"/>
                <w:lang w:eastAsia="es-CR"/>
              </w:rPr>
            </w:pPr>
          </w:p>
        </w:tc>
        <w:tc>
          <w:tcPr>
            <w:tcW w:w="239" w:type="pct"/>
            <w:vAlign w:val="center"/>
          </w:tcPr>
          <w:p w14:paraId="1447DBD1" w14:textId="044D79AD" w:rsidR="00DA42E9" w:rsidRPr="00D07F61" w:rsidRDefault="00BA5D2D" w:rsidP="00DA42E9">
            <w:pPr>
              <w:spacing w:after="0" w:line="276" w:lineRule="auto"/>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20</w:t>
            </w:r>
          </w:p>
        </w:tc>
        <w:tc>
          <w:tcPr>
            <w:tcW w:w="917" w:type="pct"/>
            <w:vAlign w:val="center"/>
          </w:tcPr>
          <w:p w14:paraId="23C89142" w14:textId="37CB8209"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Plazo de espera de</w:t>
            </w:r>
            <w:r w:rsidR="00BA5D2D" w:rsidRPr="00BA5D2D">
              <w:rPr>
                <w:rFonts w:ascii="Book Antiqua" w:eastAsia="Times New Roman" w:hAnsi="Book Antiqua" w:cs="Arial"/>
                <w:b/>
                <w:bCs/>
                <w:color w:val="44546A"/>
                <w:lang w:eastAsia="es-CR"/>
              </w:rPr>
              <w:t xml:space="preserve"> resolución más antigua pendiente de firma  </w:t>
            </w:r>
          </w:p>
        </w:tc>
        <w:tc>
          <w:tcPr>
            <w:tcW w:w="3001" w:type="pct"/>
            <w:shd w:val="clear" w:color="auto" w:fill="auto"/>
            <w:vAlign w:val="center"/>
          </w:tcPr>
          <w:p w14:paraId="60794A85"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(Fecha actual- fecha de pase a firma más antigua del documento pendiente de firma).</w:t>
            </w:r>
          </w:p>
          <w:p w14:paraId="282CBD57" w14:textId="77777777" w:rsidR="00DA42E9" w:rsidRPr="00D07F61" w:rsidRDefault="00DA42E9" w:rsidP="00DA42E9">
            <w:pPr>
              <w:spacing w:after="0" w:line="276" w:lineRule="auto"/>
              <w:jc w:val="both"/>
              <w:rPr>
                <w:rFonts w:ascii="Book Antiqua" w:eastAsia="Times New Roman" w:hAnsi="Book Antiqua" w:cs="Arial"/>
                <w:lang w:eastAsia="es-CR"/>
              </w:rPr>
            </w:pPr>
          </w:p>
          <w:p w14:paraId="5CC7924A" w14:textId="29F3DFF7" w:rsidR="00DA42E9" w:rsidRPr="00D07F61" w:rsidRDefault="001D2B19" w:rsidP="00DA42E9">
            <w:pPr>
              <w:spacing w:after="0" w:line="276" w:lineRule="auto"/>
              <w:jc w:val="both"/>
              <w:rPr>
                <w:rFonts w:ascii="Book Antiqua" w:eastAsia="Times New Roman" w:hAnsi="Book Antiqua" w:cs="Arial"/>
                <w:lang w:eastAsia="es-CR"/>
              </w:rPr>
            </w:pPr>
            <w:r w:rsidRPr="001D2B19">
              <w:rPr>
                <w:rFonts w:ascii="Book Antiqua" w:eastAsia="Times New Roman" w:hAnsi="Book Antiqua" w:cs="Arial"/>
                <w:lang w:eastAsia="es-CR"/>
              </w:rPr>
              <w:t xml:space="preserve">El parámetro corresponde </w:t>
            </w:r>
            <w:r>
              <w:rPr>
                <w:rFonts w:ascii="Book Antiqua" w:eastAsia="Times New Roman" w:hAnsi="Book Antiqua" w:cs="Arial"/>
                <w:lang w:eastAsia="es-CR"/>
              </w:rPr>
              <w:t>de 3 a 7 días.</w:t>
            </w:r>
          </w:p>
        </w:tc>
      </w:tr>
      <w:tr w:rsidR="00DA42E9" w:rsidRPr="00D07F61" w14:paraId="64B9DC3B" w14:textId="77777777" w:rsidTr="00346AC9">
        <w:trPr>
          <w:cantSplit/>
          <w:trHeight w:val="4525"/>
          <w:jc w:val="center"/>
        </w:trPr>
        <w:tc>
          <w:tcPr>
            <w:tcW w:w="843" w:type="pct"/>
            <w:vMerge w:val="restart"/>
            <w:shd w:val="clear" w:color="auto" w:fill="FBD4B4"/>
            <w:textDirection w:val="btLr"/>
          </w:tcPr>
          <w:p w14:paraId="1F18AFD2" w14:textId="77777777" w:rsidR="00DA42E9" w:rsidRPr="00D07F61" w:rsidRDefault="00DA42E9" w:rsidP="00DA42E9">
            <w:pPr>
              <w:spacing w:after="0" w:line="276" w:lineRule="auto"/>
              <w:ind w:left="113" w:right="113"/>
              <w:jc w:val="center"/>
              <w:rPr>
                <w:rFonts w:ascii="Book Antiqua" w:eastAsia="Times New Roman" w:hAnsi="Book Antiqua" w:cs="Arial"/>
                <w:b/>
                <w:bCs/>
                <w:color w:val="44546A"/>
                <w:lang w:eastAsia="es-CR"/>
              </w:rPr>
            </w:pPr>
            <w:r w:rsidRPr="00D07F61">
              <w:rPr>
                <w:rFonts w:ascii="Book Antiqua" w:eastAsia="Times New Roman" w:hAnsi="Book Antiqua" w:cs="Arial"/>
                <w:b/>
                <w:bCs/>
                <w:lang w:eastAsia="es-CR"/>
              </w:rPr>
              <w:lastRenderedPageBreak/>
              <w:t>Operacional</w:t>
            </w:r>
          </w:p>
        </w:tc>
        <w:tc>
          <w:tcPr>
            <w:tcW w:w="239" w:type="pct"/>
            <w:shd w:val="clear" w:color="auto" w:fill="auto"/>
            <w:vAlign w:val="center"/>
            <w:hideMark/>
          </w:tcPr>
          <w:p w14:paraId="111DC42A"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p w14:paraId="3DFB2D90" w14:textId="786D34E8"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F85031">
              <w:rPr>
                <w:rFonts w:ascii="Book Antiqua" w:eastAsia="Times New Roman" w:hAnsi="Book Antiqua" w:cs="Arial"/>
                <w:b/>
                <w:bCs/>
                <w:color w:val="44546A"/>
                <w:lang w:eastAsia="es-CR"/>
              </w:rPr>
              <w:t>1</w:t>
            </w:r>
          </w:p>
        </w:tc>
        <w:tc>
          <w:tcPr>
            <w:tcW w:w="917" w:type="pct"/>
            <w:shd w:val="clear" w:color="auto" w:fill="FFFFFF"/>
            <w:vAlign w:val="center"/>
            <w:hideMark/>
          </w:tcPr>
          <w:p w14:paraId="680FD0E4"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escritos pendientes de resolver</w:t>
            </w:r>
          </w:p>
        </w:tc>
        <w:tc>
          <w:tcPr>
            <w:tcW w:w="3001" w:type="pct"/>
            <w:shd w:val="clear" w:color="auto" w:fill="auto"/>
            <w:vAlign w:val="center"/>
            <w:hideMark/>
          </w:tcPr>
          <w:p w14:paraId="091A7B49" w14:textId="29C6A21C"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Lo conforman el total de Escritos pendientes de resolver: </w:t>
            </w:r>
            <w:r w:rsidRPr="00D07F61">
              <w:rPr>
                <w:rFonts w:ascii="Book Antiqua" w:eastAsia="Times New Roman" w:hAnsi="Book Antiqua" w:cs="Arial"/>
                <w:i/>
                <w:iCs/>
                <w:lang w:eastAsia="es-CR"/>
              </w:rPr>
              <w:t>(consulta Tramitándose + consulta Pendiente de Distribuir + consulta Reservado)</w:t>
            </w:r>
          </w:p>
          <w:p w14:paraId="57F851B8"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bandeja de Escritos del Escritorio Virtual</w:t>
            </w:r>
          </w:p>
          <w:p w14:paraId="6C63F481" w14:textId="1809FE6A"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Se deben revisar todos los Escritos que se encuentran Tramitándose, como los que se encuentran pendientes de distribuir. Todas la Ubicaciones, todos los </w:t>
            </w:r>
            <w:r w:rsidR="008F4E52">
              <w:rPr>
                <w:rFonts w:ascii="Book Antiqua" w:eastAsia="Times New Roman" w:hAnsi="Book Antiqua" w:cs="Arial"/>
                <w:lang w:eastAsia="es-CR"/>
              </w:rPr>
              <w:t>Técnicos</w:t>
            </w:r>
            <w:r w:rsidRPr="00D07F61">
              <w:rPr>
                <w:rFonts w:ascii="Book Antiqua" w:eastAsia="Times New Roman" w:hAnsi="Book Antiqua" w:cs="Arial"/>
                <w:lang w:eastAsia="es-CR"/>
              </w:rPr>
              <w:t>.</w:t>
            </w:r>
          </w:p>
          <w:p w14:paraId="51A7F1F2"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w:t>
            </w:r>
          </w:p>
          <w:p w14:paraId="0D6131A2" w14:textId="400DEC5B" w:rsidR="00DA42E9" w:rsidRPr="00D07F61" w:rsidRDefault="00DA42E9" w:rsidP="00164FC7">
            <w:pPr>
              <w:spacing w:after="0" w:line="276" w:lineRule="auto"/>
              <w:jc w:val="both"/>
              <w:rPr>
                <w:rFonts w:ascii="Book Antiqua" w:eastAsia="Times New Roman" w:hAnsi="Book Antiqua" w:cs="Arial"/>
                <w:lang w:eastAsia="es-CR"/>
              </w:rPr>
            </w:pPr>
          </w:p>
        </w:tc>
      </w:tr>
      <w:tr w:rsidR="00DA42E9" w:rsidRPr="00D07F61" w14:paraId="162D2A8C" w14:textId="77777777" w:rsidTr="00346AC9">
        <w:trPr>
          <w:cantSplit/>
          <w:trHeight w:val="20"/>
          <w:jc w:val="center"/>
        </w:trPr>
        <w:tc>
          <w:tcPr>
            <w:tcW w:w="843" w:type="pct"/>
            <w:vMerge/>
            <w:shd w:val="clear" w:color="auto" w:fill="FBD4B4"/>
          </w:tcPr>
          <w:p w14:paraId="4942AF1B"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1E447953" w14:textId="3084C6F6"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A271B0">
              <w:rPr>
                <w:rFonts w:ascii="Book Antiqua" w:eastAsia="Times New Roman" w:hAnsi="Book Antiqua" w:cs="Arial"/>
                <w:b/>
                <w:bCs/>
                <w:color w:val="44546A"/>
                <w:lang w:eastAsia="es-CR"/>
              </w:rPr>
              <w:t>2</w:t>
            </w:r>
          </w:p>
        </w:tc>
        <w:tc>
          <w:tcPr>
            <w:tcW w:w="917" w:type="pct"/>
            <w:shd w:val="clear" w:color="auto" w:fill="auto"/>
            <w:vAlign w:val="center"/>
            <w:hideMark/>
          </w:tcPr>
          <w:p w14:paraId="43EF28D0"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demandas nuevas pendientes de tramitar</w:t>
            </w:r>
          </w:p>
        </w:tc>
        <w:tc>
          <w:tcPr>
            <w:tcW w:w="3001" w:type="pct"/>
            <w:shd w:val="clear" w:color="auto" w:fill="auto"/>
            <w:vAlign w:val="center"/>
            <w:hideMark/>
          </w:tcPr>
          <w:p w14:paraId="48FD8E3A" w14:textId="487EA29B"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se obtiene del Escritorio Virtual, se deben revisar todas las demandas que se encuentran pendientes de tramitar por cada una de las personas técnicas judiciales</w:t>
            </w:r>
            <w:r w:rsidR="00126146">
              <w:rPr>
                <w:rFonts w:ascii="Book Antiqua" w:eastAsia="Times New Roman" w:hAnsi="Book Antiqua" w:cs="Arial"/>
                <w:lang w:eastAsia="es-CR"/>
              </w:rPr>
              <w:t xml:space="preserve"> y </w:t>
            </w:r>
            <w:r w:rsidR="00126146" w:rsidRPr="00126146">
              <w:rPr>
                <w:rFonts w:ascii="Book Antiqua" w:eastAsia="Times New Roman" w:hAnsi="Book Antiqua" w:cs="Arial"/>
                <w:lang w:eastAsia="es-CR"/>
              </w:rPr>
              <w:t>lo pendiente de distribuir por la persona Coordinadora Judicial.</w:t>
            </w:r>
          </w:p>
          <w:p w14:paraId="424618AB"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 al revisar la cantidad de asuntos nuevos que ingresan por día y el plazo para resolver demandas nuevas.</w:t>
            </w:r>
          </w:p>
        </w:tc>
      </w:tr>
      <w:tr w:rsidR="001313EC" w:rsidRPr="00D07F61" w14:paraId="7BD97904" w14:textId="77777777" w:rsidTr="00346AC9">
        <w:trPr>
          <w:cantSplit/>
          <w:trHeight w:val="20"/>
          <w:jc w:val="center"/>
        </w:trPr>
        <w:tc>
          <w:tcPr>
            <w:tcW w:w="843" w:type="pct"/>
            <w:vMerge/>
            <w:shd w:val="clear" w:color="auto" w:fill="FBD4B4"/>
          </w:tcPr>
          <w:p w14:paraId="4B00E2A2" w14:textId="77777777" w:rsidR="001313EC" w:rsidRPr="00D07F61" w:rsidRDefault="001313EC"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tcPr>
          <w:p w14:paraId="7C0340AE" w14:textId="2AC9967B" w:rsidR="001313EC" w:rsidRPr="00D07F61" w:rsidRDefault="001313EC"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23</w:t>
            </w:r>
          </w:p>
        </w:tc>
        <w:tc>
          <w:tcPr>
            <w:tcW w:w="917" w:type="pct"/>
            <w:shd w:val="clear" w:color="auto" w:fill="auto"/>
            <w:vAlign w:val="center"/>
          </w:tcPr>
          <w:p w14:paraId="23D55FA1" w14:textId="0606BF09" w:rsidR="001313EC" w:rsidRPr="00D07F61" w:rsidRDefault="00215B30" w:rsidP="009B71C9">
            <w:pPr>
              <w:spacing w:after="0" w:line="276" w:lineRule="auto"/>
              <w:jc w:val="both"/>
              <w:rPr>
                <w:rFonts w:ascii="Book Antiqua" w:eastAsia="Times New Roman" w:hAnsi="Book Antiqua" w:cs="Arial"/>
                <w:b/>
                <w:bCs/>
                <w:color w:val="44546A"/>
                <w:lang w:eastAsia="es-CR"/>
              </w:rPr>
            </w:pPr>
            <w:r w:rsidRPr="00215B30">
              <w:rPr>
                <w:rFonts w:ascii="Book Antiqua" w:eastAsia="Times New Roman" w:hAnsi="Book Antiqua" w:cs="Arial"/>
                <w:b/>
                <w:bCs/>
                <w:color w:val="44546A"/>
                <w:lang w:eastAsia="es-CR"/>
              </w:rPr>
              <w:t>Cantidad de peritajes pendientes</w:t>
            </w:r>
          </w:p>
        </w:tc>
        <w:tc>
          <w:tcPr>
            <w:tcW w:w="3001" w:type="pct"/>
            <w:shd w:val="clear" w:color="auto" w:fill="auto"/>
            <w:vAlign w:val="center"/>
          </w:tcPr>
          <w:p w14:paraId="4BC26640" w14:textId="3ECA1185" w:rsidR="001313EC" w:rsidRPr="00D07F61" w:rsidRDefault="00CE2D57"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Indicador nuevo. </w:t>
            </w:r>
            <w:r w:rsidR="00215B30" w:rsidRPr="00215B30">
              <w:rPr>
                <w:rFonts w:ascii="Book Antiqua" w:eastAsia="Times New Roman" w:hAnsi="Book Antiqua" w:cs="Arial"/>
                <w:lang w:eastAsia="es-CR"/>
              </w:rPr>
              <w:t>Se obtiene del Escritorio Virtual, se deben revisar todas las solicitudes de peritaje que se encuentran pendientes de resultado</w:t>
            </w:r>
            <w:r w:rsidR="00215B30">
              <w:rPr>
                <w:rFonts w:ascii="Book Antiqua" w:eastAsia="Times New Roman" w:hAnsi="Book Antiqua" w:cs="Arial"/>
                <w:lang w:eastAsia="es-CR"/>
              </w:rPr>
              <w:t xml:space="preserve"> </w:t>
            </w:r>
            <w:r w:rsidR="007911F4">
              <w:rPr>
                <w:rFonts w:ascii="Book Antiqua" w:eastAsia="Times New Roman" w:hAnsi="Book Antiqua" w:cs="Arial"/>
                <w:lang w:eastAsia="es-CR"/>
              </w:rPr>
              <w:t>de la Oficina de Trabajo Social y Psicología.</w:t>
            </w:r>
          </w:p>
        </w:tc>
      </w:tr>
      <w:tr w:rsidR="00DA42E9" w:rsidRPr="00D07F61" w14:paraId="78005132" w14:textId="77777777" w:rsidTr="00346AC9">
        <w:trPr>
          <w:cantSplit/>
          <w:trHeight w:val="20"/>
          <w:jc w:val="center"/>
        </w:trPr>
        <w:tc>
          <w:tcPr>
            <w:tcW w:w="843" w:type="pct"/>
            <w:vMerge/>
            <w:shd w:val="clear" w:color="auto" w:fill="FBD4B4"/>
          </w:tcPr>
          <w:p w14:paraId="5DC5E8D7"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0C8271DA" w14:textId="074ECFDE"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1313EC">
              <w:rPr>
                <w:rFonts w:ascii="Book Antiqua" w:eastAsia="Times New Roman" w:hAnsi="Book Antiqua" w:cs="Arial"/>
                <w:b/>
                <w:bCs/>
                <w:color w:val="44546A"/>
                <w:lang w:eastAsia="es-CR"/>
              </w:rPr>
              <w:t>4</w:t>
            </w:r>
          </w:p>
        </w:tc>
        <w:tc>
          <w:tcPr>
            <w:tcW w:w="917" w:type="pct"/>
            <w:shd w:val="clear" w:color="auto" w:fill="auto"/>
            <w:vAlign w:val="center"/>
            <w:hideMark/>
          </w:tcPr>
          <w:p w14:paraId="03566156"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efectividad de realización audiencias</w:t>
            </w:r>
          </w:p>
        </w:tc>
        <w:tc>
          <w:tcPr>
            <w:tcW w:w="3001" w:type="pct"/>
            <w:shd w:val="clear" w:color="auto" w:fill="auto"/>
            <w:vAlign w:val="center"/>
            <w:hideMark/>
          </w:tcPr>
          <w:p w14:paraId="23E0C901"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(Audiencias realizadas / Audiencias programadas) *100</w:t>
            </w:r>
          </w:p>
          <w:p w14:paraId="018BFE03"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la cantidad de señalamiento a Audiencia programados.</w:t>
            </w:r>
          </w:p>
          <w:p w14:paraId="729C79FA"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DA42E9" w:rsidRPr="00D07F61" w14:paraId="10A021B5" w14:textId="77777777" w:rsidTr="00346AC9">
        <w:trPr>
          <w:cantSplit/>
          <w:trHeight w:val="20"/>
          <w:jc w:val="center"/>
        </w:trPr>
        <w:tc>
          <w:tcPr>
            <w:tcW w:w="843" w:type="pct"/>
            <w:vMerge/>
            <w:shd w:val="clear" w:color="auto" w:fill="FBD4B4"/>
          </w:tcPr>
          <w:p w14:paraId="3F37EDC4"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5FA942C1" w14:textId="365630DD"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B059E7">
              <w:rPr>
                <w:rFonts w:ascii="Book Antiqua" w:eastAsia="Times New Roman" w:hAnsi="Book Antiqua" w:cs="Arial"/>
                <w:b/>
                <w:bCs/>
                <w:color w:val="44546A"/>
                <w:lang w:eastAsia="es-CR"/>
              </w:rPr>
              <w:t>5</w:t>
            </w:r>
          </w:p>
        </w:tc>
        <w:tc>
          <w:tcPr>
            <w:tcW w:w="917" w:type="pct"/>
            <w:shd w:val="clear" w:color="auto" w:fill="auto"/>
            <w:vAlign w:val="center"/>
            <w:hideMark/>
          </w:tcPr>
          <w:p w14:paraId="7B72DC0C"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 xml:space="preserve">Porcentaje de efectividad de realización audiencias de conciliación </w:t>
            </w:r>
          </w:p>
        </w:tc>
        <w:tc>
          <w:tcPr>
            <w:tcW w:w="3001" w:type="pct"/>
            <w:shd w:val="clear" w:color="auto" w:fill="auto"/>
            <w:vAlign w:val="center"/>
            <w:hideMark/>
          </w:tcPr>
          <w:p w14:paraId="0070B4D2"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Indicador incluido por solicitud del Equipo de personas juzgadoras y Equipo Gestor, se calcula: </w:t>
            </w:r>
            <w:r w:rsidRPr="00D07F61">
              <w:rPr>
                <w:rFonts w:ascii="Book Antiqua" w:eastAsia="Times New Roman" w:hAnsi="Book Antiqua" w:cs="Arial"/>
                <w:i/>
                <w:iCs/>
                <w:lang w:eastAsia="es-CR"/>
              </w:rPr>
              <w:t>(Audiencias de conciliación realizadas / Audiencias de conciliación programadas) *100)</w:t>
            </w:r>
          </w:p>
          <w:p w14:paraId="7ED58486"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la cantidad de señalamiento a Audiencia conciliadas programados.</w:t>
            </w:r>
          </w:p>
          <w:p w14:paraId="6049F746"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DA42E9" w:rsidRPr="00D07F61" w14:paraId="32D21E3A" w14:textId="77777777" w:rsidTr="00346AC9">
        <w:trPr>
          <w:cantSplit/>
          <w:trHeight w:val="20"/>
          <w:jc w:val="center"/>
        </w:trPr>
        <w:tc>
          <w:tcPr>
            <w:tcW w:w="843" w:type="pct"/>
            <w:vMerge/>
            <w:shd w:val="clear" w:color="auto" w:fill="FBD4B4"/>
          </w:tcPr>
          <w:p w14:paraId="6A39D818"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48240B87" w14:textId="473765EB"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2438DD">
              <w:rPr>
                <w:rFonts w:ascii="Book Antiqua" w:eastAsia="Times New Roman" w:hAnsi="Book Antiqua" w:cs="Arial"/>
                <w:b/>
                <w:bCs/>
                <w:color w:val="44546A"/>
                <w:lang w:eastAsia="es-CR"/>
              </w:rPr>
              <w:t>6</w:t>
            </w:r>
          </w:p>
        </w:tc>
        <w:tc>
          <w:tcPr>
            <w:tcW w:w="917" w:type="pct"/>
            <w:shd w:val="clear" w:color="auto" w:fill="auto"/>
            <w:vAlign w:val="center"/>
            <w:hideMark/>
          </w:tcPr>
          <w:p w14:paraId="29DB08B8"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audiencias conciliadas de las audiencias realizadas</w:t>
            </w:r>
          </w:p>
        </w:tc>
        <w:tc>
          <w:tcPr>
            <w:tcW w:w="3001" w:type="pct"/>
            <w:shd w:val="clear" w:color="auto" w:fill="auto"/>
            <w:vAlign w:val="center"/>
            <w:hideMark/>
          </w:tcPr>
          <w:p w14:paraId="52EA4A0B"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Indicador incluido por solicitud del Equipo de personas juzgadoras y Equipo Gestor, se calcula: </w:t>
            </w:r>
            <w:r w:rsidRPr="00D07F61">
              <w:rPr>
                <w:rFonts w:ascii="Book Antiqua" w:eastAsia="Times New Roman" w:hAnsi="Book Antiqua" w:cs="Arial"/>
                <w:i/>
                <w:iCs/>
                <w:lang w:eastAsia="es-CR"/>
              </w:rPr>
              <w:t>(Audiencias conciliadas / Audiencias programadas) *100)</w:t>
            </w:r>
          </w:p>
          <w:p w14:paraId="0127619D"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la cantidad de señalamiento a Audiencia conciliados.</w:t>
            </w:r>
          </w:p>
          <w:p w14:paraId="5ED880CD"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DA42E9" w:rsidRPr="00D07F61" w14:paraId="7EF59C5F" w14:textId="77777777" w:rsidTr="00346AC9">
        <w:trPr>
          <w:cantSplit/>
          <w:trHeight w:val="20"/>
          <w:jc w:val="center"/>
        </w:trPr>
        <w:tc>
          <w:tcPr>
            <w:tcW w:w="843" w:type="pct"/>
            <w:vMerge/>
            <w:shd w:val="clear" w:color="auto" w:fill="FBD4B4"/>
          </w:tcPr>
          <w:p w14:paraId="41DE6FA3"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0D6D8E85" w14:textId="2DD4DC14"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19262A">
              <w:rPr>
                <w:rFonts w:ascii="Book Antiqua" w:eastAsia="Times New Roman" w:hAnsi="Book Antiqua" w:cs="Arial"/>
                <w:b/>
                <w:bCs/>
                <w:color w:val="44546A"/>
                <w:lang w:eastAsia="es-CR"/>
              </w:rPr>
              <w:t>7</w:t>
            </w:r>
          </w:p>
        </w:tc>
        <w:tc>
          <w:tcPr>
            <w:tcW w:w="917" w:type="pct"/>
            <w:shd w:val="clear" w:color="auto" w:fill="auto"/>
            <w:vAlign w:val="center"/>
            <w:hideMark/>
          </w:tcPr>
          <w:p w14:paraId="3F0130AD"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audiencias pendientes de realización</w:t>
            </w:r>
          </w:p>
        </w:tc>
        <w:tc>
          <w:tcPr>
            <w:tcW w:w="3001" w:type="pct"/>
            <w:shd w:val="clear" w:color="auto" w:fill="auto"/>
            <w:vAlign w:val="center"/>
            <w:hideMark/>
          </w:tcPr>
          <w:p w14:paraId="2BB524B5"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 la cantidad de audiencias pendientes de realización desglosado por cada persona juzgadora.</w:t>
            </w:r>
          </w:p>
          <w:p w14:paraId="5F4DEEA5"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 la Agenda Cronos, en Buscar Apuntes, búsqueda por criterio por rango de fecha y se obtiene la cantidad de señalamiento a Audiencia pendientes de realización.</w:t>
            </w:r>
          </w:p>
          <w:p w14:paraId="4BC9274D" w14:textId="1078B775"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w:t>
            </w:r>
            <w:r w:rsidR="00F54DFB" w:rsidRPr="00F54DFB">
              <w:rPr>
                <w:rFonts w:ascii="Book Antiqua" w:eastAsia="Times New Roman" w:hAnsi="Book Antiqua" w:cs="Arial"/>
                <w:lang w:eastAsia="es-CR"/>
              </w:rPr>
              <w:t xml:space="preserve"> define con el Plazo espera para realización de señalamientos y la </w:t>
            </w:r>
            <w:r w:rsidR="00476F13">
              <w:rPr>
                <w:rFonts w:ascii="Book Antiqua" w:eastAsia="Times New Roman" w:hAnsi="Book Antiqua" w:cs="Arial"/>
                <w:lang w:eastAsia="es-CR"/>
              </w:rPr>
              <w:t>C</w:t>
            </w:r>
            <w:r w:rsidR="00F54DFB" w:rsidRPr="00F54DFB">
              <w:rPr>
                <w:rFonts w:ascii="Book Antiqua" w:eastAsia="Times New Roman" w:hAnsi="Book Antiqua" w:cs="Arial"/>
                <w:lang w:eastAsia="es-CR"/>
              </w:rPr>
              <w:t>antidad de sentencias dictadas en principal</w:t>
            </w:r>
            <w:r w:rsidRPr="00D07F61">
              <w:rPr>
                <w:rFonts w:ascii="Book Antiqua" w:eastAsia="Times New Roman" w:hAnsi="Book Antiqua" w:cs="Arial"/>
                <w:lang w:eastAsia="es-CR"/>
              </w:rPr>
              <w:t>; con la finalidad de que ambos indicadores sean coherentes.</w:t>
            </w:r>
          </w:p>
        </w:tc>
      </w:tr>
      <w:tr w:rsidR="00DA42E9" w:rsidRPr="00D07F61" w14:paraId="0BEBE439" w14:textId="77777777" w:rsidTr="00346AC9">
        <w:trPr>
          <w:cantSplit/>
          <w:trHeight w:val="20"/>
          <w:jc w:val="center"/>
        </w:trPr>
        <w:tc>
          <w:tcPr>
            <w:tcW w:w="843" w:type="pct"/>
            <w:vMerge/>
            <w:shd w:val="clear" w:color="auto" w:fill="FBD4B4"/>
          </w:tcPr>
          <w:p w14:paraId="2F7CDBD4"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640A1C78" w14:textId="10EBC3C7"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B9540B">
              <w:rPr>
                <w:rFonts w:ascii="Book Antiqua" w:eastAsia="Times New Roman" w:hAnsi="Book Antiqua" w:cs="Arial"/>
                <w:b/>
                <w:bCs/>
                <w:color w:val="44546A"/>
                <w:lang w:eastAsia="es-CR"/>
              </w:rPr>
              <w:t>8</w:t>
            </w:r>
          </w:p>
        </w:tc>
        <w:tc>
          <w:tcPr>
            <w:tcW w:w="917" w:type="pct"/>
            <w:shd w:val="clear" w:color="auto" w:fill="auto"/>
            <w:vAlign w:val="center"/>
            <w:hideMark/>
          </w:tcPr>
          <w:p w14:paraId="72F31A3B"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expedientes pendientes de fallo</w:t>
            </w:r>
          </w:p>
        </w:tc>
        <w:tc>
          <w:tcPr>
            <w:tcW w:w="3001" w:type="pct"/>
            <w:shd w:val="clear" w:color="auto" w:fill="auto"/>
            <w:vAlign w:val="center"/>
            <w:hideMark/>
          </w:tcPr>
          <w:p w14:paraId="73424630"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Indicador subdividido por solicitud del Equipo de personas juzgadoras y Equipo Gestor</w:t>
            </w:r>
            <w:r w:rsidRPr="00D07F61" w:rsidDel="000F2CA0">
              <w:rPr>
                <w:rFonts w:ascii="Book Antiqua" w:eastAsia="Times New Roman" w:hAnsi="Book Antiqua" w:cs="Arial"/>
                <w:lang w:eastAsia="es-CR"/>
              </w:rPr>
              <w:t xml:space="preserve"> </w:t>
            </w:r>
            <w:r w:rsidRPr="00D07F61">
              <w:rPr>
                <w:rFonts w:ascii="Book Antiqua" w:eastAsia="Times New Roman" w:hAnsi="Book Antiqua" w:cs="Arial"/>
                <w:lang w:eastAsia="es-CR"/>
              </w:rPr>
              <w:t xml:space="preserve">división en materia Familia y Pensiones Alimentarias, para cada persona juzgadora. </w:t>
            </w:r>
          </w:p>
          <w:p w14:paraId="508B89E9"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obtiene del Módulo de pase a fallo del Escritorio Virtual o Libro de Pase a Fallo.</w:t>
            </w:r>
          </w:p>
          <w:p w14:paraId="14368DD5" w14:textId="329AD4D1"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w:t>
            </w:r>
            <w:r w:rsidR="006240BA" w:rsidRPr="006240BA">
              <w:rPr>
                <w:rFonts w:ascii="Book Antiqua" w:eastAsia="Times New Roman" w:hAnsi="Book Antiqua" w:cs="Arial"/>
                <w:lang w:eastAsia="es-CR"/>
              </w:rPr>
              <w:t xml:space="preserve"> </w:t>
            </w:r>
            <w:r w:rsidR="00FD546B">
              <w:rPr>
                <w:rFonts w:ascii="Book Antiqua" w:eastAsia="Times New Roman" w:hAnsi="Book Antiqua" w:cs="Arial"/>
                <w:lang w:eastAsia="es-CR"/>
              </w:rPr>
              <w:t xml:space="preserve">se define </w:t>
            </w:r>
            <w:r w:rsidR="006240BA" w:rsidRPr="006240BA">
              <w:rPr>
                <w:rFonts w:ascii="Book Antiqua" w:eastAsia="Times New Roman" w:hAnsi="Book Antiqua" w:cs="Arial"/>
                <w:lang w:eastAsia="es-CR"/>
              </w:rPr>
              <w:t xml:space="preserve">en concordancia con el indicador </w:t>
            </w:r>
            <w:r w:rsidR="00FD546B">
              <w:rPr>
                <w:rFonts w:ascii="Book Antiqua" w:eastAsia="Times New Roman" w:hAnsi="Book Antiqua" w:cs="Arial"/>
                <w:lang w:eastAsia="es-CR"/>
              </w:rPr>
              <w:t xml:space="preserve">del </w:t>
            </w:r>
            <w:r w:rsidR="006240BA" w:rsidRPr="006240BA">
              <w:rPr>
                <w:rFonts w:ascii="Book Antiqua" w:eastAsia="Times New Roman" w:hAnsi="Book Antiqua" w:cs="Arial"/>
                <w:lang w:eastAsia="es-CR"/>
              </w:rPr>
              <w:t xml:space="preserve">Plazo espera dictado sentencia, y la </w:t>
            </w:r>
            <w:r w:rsidR="00FD546B">
              <w:rPr>
                <w:rFonts w:ascii="Book Antiqua" w:eastAsia="Times New Roman" w:hAnsi="Book Antiqua" w:cs="Arial"/>
                <w:lang w:eastAsia="es-CR"/>
              </w:rPr>
              <w:t>C</w:t>
            </w:r>
            <w:r w:rsidR="006240BA" w:rsidRPr="006240BA">
              <w:rPr>
                <w:rFonts w:ascii="Book Antiqua" w:eastAsia="Times New Roman" w:hAnsi="Book Antiqua" w:cs="Arial"/>
                <w:lang w:eastAsia="es-CR"/>
              </w:rPr>
              <w:t>antidad de sentencias dictadas</w:t>
            </w:r>
            <w:r w:rsidRPr="00D07F61">
              <w:rPr>
                <w:rFonts w:ascii="Book Antiqua" w:eastAsia="Times New Roman" w:hAnsi="Book Antiqua" w:cs="Arial"/>
                <w:lang w:eastAsia="es-CR"/>
              </w:rPr>
              <w:t>.</w:t>
            </w:r>
          </w:p>
        </w:tc>
      </w:tr>
      <w:tr w:rsidR="00DA42E9" w:rsidRPr="00D07F61" w14:paraId="0AC47A5F" w14:textId="77777777" w:rsidTr="00346AC9">
        <w:trPr>
          <w:cantSplit/>
          <w:trHeight w:val="20"/>
          <w:jc w:val="center"/>
        </w:trPr>
        <w:tc>
          <w:tcPr>
            <w:tcW w:w="843" w:type="pct"/>
            <w:vMerge/>
            <w:shd w:val="clear" w:color="auto" w:fill="FBD4B4"/>
          </w:tcPr>
          <w:p w14:paraId="739F08E4"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hideMark/>
          </w:tcPr>
          <w:p w14:paraId="3724F6C9" w14:textId="3A6DB4C3"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2</w:t>
            </w:r>
            <w:r w:rsidR="00FD546B">
              <w:rPr>
                <w:rFonts w:ascii="Book Antiqua" w:eastAsia="Times New Roman" w:hAnsi="Book Antiqua" w:cs="Arial"/>
                <w:b/>
                <w:bCs/>
                <w:color w:val="44546A"/>
                <w:lang w:eastAsia="es-CR"/>
              </w:rPr>
              <w:t>9</w:t>
            </w:r>
          </w:p>
        </w:tc>
        <w:tc>
          <w:tcPr>
            <w:tcW w:w="917" w:type="pct"/>
            <w:shd w:val="clear" w:color="auto" w:fill="auto"/>
            <w:vAlign w:val="center"/>
            <w:hideMark/>
          </w:tcPr>
          <w:p w14:paraId="201C3C7C"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Expedientes pasados a firmar por Técnico o Técnica</w:t>
            </w:r>
          </w:p>
        </w:tc>
        <w:tc>
          <w:tcPr>
            <w:tcW w:w="3001" w:type="pct"/>
            <w:shd w:val="clear" w:color="auto" w:fill="auto"/>
            <w:vAlign w:val="center"/>
            <w:hideMark/>
          </w:tcPr>
          <w:p w14:paraId="7649351D"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 la cantidad de Expedientes pasados a firmar por cada persona juzgadora.</w:t>
            </w:r>
          </w:p>
          <w:p w14:paraId="71879218"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obtiene del Escritorio Virtual, cantidad de Expedientes pasados a firmar a la persona juzgadora por persona técnica judicial, Estadística, Firmado/Proveído.</w:t>
            </w:r>
          </w:p>
          <w:p w14:paraId="78FC8698"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obtiene de cada despacho tomando en cuenta la cuota de proveído definida para cada persona técnica judicial.</w:t>
            </w:r>
          </w:p>
        </w:tc>
      </w:tr>
      <w:tr w:rsidR="00DA42E9" w:rsidRPr="00D07F61" w14:paraId="36B5C88C" w14:textId="77777777" w:rsidTr="00346AC9">
        <w:trPr>
          <w:cantSplit/>
          <w:trHeight w:val="20"/>
          <w:jc w:val="center"/>
        </w:trPr>
        <w:tc>
          <w:tcPr>
            <w:tcW w:w="843" w:type="pct"/>
            <w:vMerge/>
            <w:shd w:val="clear" w:color="auto" w:fill="FBD4B4"/>
          </w:tcPr>
          <w:p w14:paraId="2E973972"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7A83A752" w14:textId="300AD703" w:rsidR="00DA42E9" w:rsidRPr="00D07F61" w:rsidRDefault="00A21ACD"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30</w:t>
            </w:r>
          </w:p>
        </w:tc>
        <w:tc>
          <w:tcPr>
            <w:tcW w:w="917" w:type="pct"/>
            <w:shd w:val="clear" w:color="auto" w:fill="FFFFFF"/>
            <w:vAlign w:val="center"/>
          </w:tcPr>
          <w:p w14:paraId="27B6FDFC"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rendimiento por persona técnica judicial</w:t>
            </w:r>
          </w:p>
        </w:tc>
        <w:tc>
          <w:tcPr>
            <w:tcW w:w="3001" w:type="pct"/>
            <w:shd w:val="clear" w:color="auto" w:fill="auto"/>
            <w:vAlign w:val="center"/>
          </w:tcPr>
          <w:p w14:paraId="323A7681"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(Cantidad de expedientes pasados a firmar / Cantidad de resoluciones a realizar según cuota de trabajo)</w:t>
            </w:r>
          </w:p>
          <w:p w14:paraId="07E0F10F"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toma en cuenta los días laborados por cada una de las personas técnicas judiciales en el mes, según la cuota de trabajo diaria.</w:t>
            </w:r>
          </w:p>
          <w:p w14:paraId="5B8C76C8"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está definido en 95% a 100%</w:t>
            </w:r>
          </w:p>
        </w:tc>
      </w:tr>
      <w:tr w:rsidR="00DA42E9" w:rsidRPr="00D07F61" w14:paraId="2ABB3BC0" w14:textId="77777777" w:rsidTr="00346AC9">
        <w:trPr>
          <w:cantSplit/>
          <w:trHeight w:val="20"/>
          <w:jc w:val="center"/>
        </w:trPr>
        <w:tc>
          <w:tcPr>
            <w:tcW w:w="843" w:type="pct"/>
            <w:vMerge/>
            <w:shd w:val="clear" w:color="auto" w:fill="FBD4B4"/>
          </w:tcPr>
          <w:p w14:paraId="76DB804B"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tcPr>
          <w:p w14:paraId="5DD5AA7D" w14:textId="451E5032" w:rsidR="00DA42E9" w:rsidRPr="00D07F61" w:rsidRDefault="00A81E16"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31</w:t>
            </w:r>
          </w:p>
        </w:tc>
        <w:tc>
          <w:tcPr>
            <w:tcW w:w="917" w:type="pct"/>
            <w:shd w:val="clear" w:color="auto" w:fill="auto"/>
            <w:vAlign w:val="center"/>
            <w:hideMark/>
          </w:tcPr>
          <w:p w14:paraId="68FA7751"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resoluciones firmadas por persona juzgadora</w:t>
            </w:r>
          </w:p>
        </w:tc>
        <w:tc>
          <w:tcPr>
            <w:tcW w:w="3001" w:type="pct"/>
            <w:shd w:val="clear" w:color="auto" w:fill="auto"/>
            <w:vAlign w:val="center"/>
            <w:hideMark/>
          </w:tcPr>
          <w:p w14:paraId="6BC04C91"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 la cantidad de resoluciones firmadas por cada persona juzgadora.</w:t>
            </w:r>
          </w:p>
          <w:p w14:paraId="4B465754"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649106B5" w14:textId="79E5615D"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se obtiene de cada despacho tomando en cuenta </w:t>
            </w:r>
            <w:r w:rsidR="00326D72" w:rsidRPr="00326D72">
              <w:rPr>
                <w:rFonts w:ascii="Book Antiqua" w:eastAsia="Times New Roman" w:hAnsi="Book Antiqua" w:cs="Arial"/>
                <w:lang w:eastAsia="es-CR"/>
              </w:rPr>
              <w:t xml:space="preserve">la estructura de cada despacho, ya que se espera que la producción de las personas técnicas </w:t>
            </w:r>
            <w:r w:rsidR="00226DC2" w:rsidRPr="00326D72">
              <w:rPr>
                <w:rFonts w:ascii="Book Antiqua" w:eastAsia="Times New Roman" w:hAnsi="Book Antiqua" w:cs="Arial"/>
                <w:lang w:eastAsia="es-CR"/>
              </w:rPr>
              <w:t>judiciales</w:t>
            </w:r>
            <w:r w:rsidR="00326D72" w:rsidRPr="00326D72">
              <w:rPr>
                <w:rFonts w:ascii="Book Antiqua" w:eastAsia="Times New Roman" w:hAnsi="Book Antiqua" w:cs="Arial"/>
                <w:lang w:eastAsia="es-CR"/>
              </w:rPr>
              <w:t xml:space="preserve"> es lo que firmen las personas juzgadoras, por lo que se debe homologar con el indicador </w:t>
            </w:r>
            <w:r w:rsidR="002025A7">
              <w:rPr>
                <w:rFonts w:ascii="Book Antiqua" w:eastAsia="Times New Roman" w:hAnsi="Book Antiqua" w:cs="Arial"/>
                <w:lang w:eastAsia="es-CR"/>
              </w:rPr>
              <w:t>de la</w:t>
            </w:r>
            <w:r w:rsidR="00326D72" w:rsidRPr="00326D72">
              <w:rPr>
                <w:rFonts w:ascii="Book Antiqua" w:eastAsia="Times New Roman" w:hAnsi="Book Antiqua" w:cs="Arial"/>
                <w:lang w:eastAsia="es-CR"/>
              </w:rPr>
              <w:t xml:space="preserve"> Cantidad de Expedientes pasados a firmar por Técnico o Técnica</w:t>
            </w:r>
            <w:r w:rsidR="005C6786">
              <w:rPr>
                <w:rFonts w:ascii="Book Antiqua" w:eastAsia="Times New Roman" w:hAnsi="Book Antiqua" w:cs="Arial"/>
                <w:lang w:eastAsia="es-CR"/>
              </w:rPr>
              <w:t>.</w:t>
            </w:r>
          </w:p>
        </w:tc>
      </w:tr>
      <w:tr w:rsidR="00DA42E9" w:rsidRPr="00D07F61" w14:paraId="30890822" w14:textId="77777777" w:rsidTr="00346AC9">
        <w:trPr>
          <w:cantSplit/>
          <w:trHeight w:val="20"/>
          <w:jc w:val="center"/>
        </w:trPr>
        <w:tc>
          <w:tcPr>
            <w:tcW w:w="843" w:type="pct"/>
            <w:vMerge/>
            <w:shd w:val="clear" w:color="auto" w:fill="FBD4B4"/>
          </w:tcPr>
          <w:p w14:paraId="6BF00119"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tcPr>
          <w:p w14:paraId="71671FCE" w14:textId="4DE50DFE"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5C6786">
              <w:rPr>
                <w:rFonts w:ascii="Book Antiqua" w:eastAsia="Times New Roman" w:hAnsi="Book Antiqua" w:cs="Arial"/>
                <w:b/>
                <w:bCs/>
                <w:color w:val="44546A"/>
                <w:lang w:eastAsia="es-CR"/>
              </w:rPr>
              <w:t>2</w:t>
            </w:r>
          </w:p>
        </w:tc>
        <w:tc>
          <w:tcPr>
            <w:tcW w:w="917" w:type="pct"/>
            <w:shd w:val="clear" w:color="auto" w:fill="auto"/>
            <w:vAlign w:val="center"/>
            <w:hideMark/>
          </w:tcPr>
          <w:p w14:paraId="1C3C0844" w14:textId="402A350B" w:rsidR="00DA42E9" w:rsidRPr="00D07F61" w:rsidRDefault="00E6476A" w:rsidP="009B71C9">
            <w:pPr>
              <w:spacing w:after="0" w:line="276" w:lineRule="auto"/>
              <w:jc w:val="both"/>
              <w:rPr>
                <w:rFonts w:ascii="Book Antiqua" w:eastAsia="Times New Roman" w:hAnsi="Book Antiqua" w:cs="Arial"/>
                <w:b/>
                <w:bCs/>
                <w:color w:val="44546A"/>
                <w:lang w:eastAsia="es-CR"/>
              </w:rPr>
            </w:pPr>
            <w:r w:rsidRPr="00E6476A">
              <w:rPr>
                <w:rFonts w:ascii="Book Antiqua" w:eastAsia="Times New Roman" w:hAnsi="Book Antiqua" w:cs="Arial"/>
                <w:b/>
                <w:bCs/>
                <w:color w:val="44546A"/>
                <w:lang w:eastAsia="es-CR"/>
              </w:rPr>
              <w:t>Cantidad de expedientes pasados a firmar para cada persona juzgadora</w:t>
            </w:r>
          </w:p>
        </w:tc>
        <w:tc>
          <w:tcPr>
            <w:tcW w:w="3001" w:type="pct"/>
            <w:shd w:val="clear" w:color="auto" w:fill="auto"/>
            <w:vAlign w:val="center"/>
            <w:hideMark/>
          </w:tcPr>
          <w:p w14:paraId="4615D7DE"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 la cantidad de expedientes pendientes de firmar por cada persona juzgadora.</w:t>
            </w:r>
          </w:p>
          <w:p w14:paraId="4F073E35"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63EA59EF" w14:textId="2748AF71"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El parámetro </w:t>
            </w:r>
            <w:r w:rsidR="00182741" w:rsidRPr="00182741">
              <w:rPr>
                <w:rFonts w:ascii="Book Antiqua" w:eastAsia="Times New Roman" w:hAnsi="Book Antiqua" w:cs="Arial"/>
                <w:lang w:eastAsia="es-CR"/>
              </w:rPr>
              <w:t xml:space="preserve">se define con la totalidad de expedientes que se espera pasen las personas técnicas judiciales a las personas juzgadoras, por lo que se debe homologar con el indicador </w:t>
            </w:r>
            <w:r w:rsidR="00182741">
              <w:rPr>
                <w:rFonts w:ascii="Book Antiqua" w:eastAsia="Times New Roman" w:hAnsi="Book Antiqua" w:cs="Arial"/>
                <w:lang w:eastAsia="es-CR"/>
              </w:rPr>
              <w:t xml:space="preserve">de la </w:t>
            </w:r>
            <w:r w:rsidR="00182741" w:rsidRPr="00182741">
              <w:rPr>
                <w:rFonts w:ascii="Book Antiqua" w:eastAsia="Times New Roman" w:hAnsi="Book Antiqua" w:cs="Arial"/>
                <w:lang w:eastAsia="es-CR"/>
              </w:rPr>
              <w:t>Cantidad de expedientes pasados a firmar por Técnico o Técnica</w:t>
            </w:r>
            <w:r w:rsidR="007B4726">
              <w:rPr>
                <w:rFonts w:ascii="Book Antiqua" w:eastAsia="Times New Roman" w:hAnsi="Book Antiqua" w:cs="Arial"/>
                <w:lang w:eastAsia="es-CR"/>
              </w:rPr>
              <w:t>.</w:t>
            </w:r>
          </w:p>
        </w:tc>
      </w:tr>
      <w:tr w:rsidR="00DA42E9" w:rsidRPr="00D07F61" w14:paraId="4CFDF0A9" w14:textId="77777777" w:rsidTr="00346AC9">
        <w:trPr>
          <w:cantSplit/>
          <w:trHeight w:val="20"/>
          <w:jc w:val="center"/>
        </w:trPr>
        <w:tc>
          <w:tcPr>
            <w:tcW w:w="843" w:type="pct"/>
            <w:vMerge/>
            <w:shd w:val="clear" w:color="auto" w:fill="FBD4B4"/>
          </w:tcPr>
          <w:p w14:paraId="1409BFD2"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551088FF" w14:textId="6DEA6591"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7B4726">
              <w:rPr>
                <w:rFonts w:ascii="Book Antiqua" w:eastAsia="Times New Roman" w:hAnsi="Book Antiqua" w:cs="Arial"/>
                <w:b/>
                <w:bCs/>
                <w:color w:val="44546A"/>
                <w:lang w:eastAsia="es-CR"/>
              </w:rPr>
              <w:t>3</w:t>
            </w:r>
          </w:p>
        </w:tc>
        <w:tc>
          <w:tcPr>
            <w:tcW w:w="917" w:type="pct"/>
            <w:shd w:val="clear" w:color="auto" w:fill="auto"/>
            <w:vAlign w:val="center"/>
          </w:tcPr>
          <w:p w14:paraId="766470D4"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efectividad en el firmado por persona juzgadora</w:t>
            </w:r>
          </w:p>
        </w:tc>
        <w:tc>
          <w:tcPr>
            <w:tcW w:w="3001" w:type="pct"/>
            <w:shd w:val="clear" w:color="auto" w:fill="auto"/>
            <w:vAlign w:val="center"/>
          </w:tcPr>
          <w:p w14:paraId="06497F30" w14:textId="6C32F0DA"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Cantidad de expedientes pasad</w:t>
            </w:r>
            <w:r w:rsidR="00632247">
              <w:rPr>
                <w:rFonts w:ascii="Book Antiqua" w:eastAsia="Times New Roman" w:hAnsi="Book Antiqua" w:cs="Arial"/>
                <w:i/>
                <w:iCs/>
                <w:lang w:eastAsia="es-CR"/>
              </w:rPr>
              <w:t>o</w:t>
            </w:r>
            <w:r w:rsidRPr="00D07F61">
              <w:rPr>
                <w:rFonts w:ascii="Book Antiqua" w:eastAsia="Times New Roman" w:hAnsi="Book Antiqua" w:cs="Arial"/>
                <w:i/>
                <w:iCs/>
                <w:lang w:eastAsia="es-CR"/>
              </w:rPr>
              <w:t>s a firma</w:t>
            </w:r>
            <w:r w:rsidR="00C52FEE">
              <w:rPr>
                <w:rFonts w:ascii="Book Antiqua" w:eastAsia="Times New Roman" w:hAnsi="Book Antiqua" w:cs="Arial"/>
                <w:i/>
                <w:iCs/>
                <w:lang w:eastAsia="es-CR"/>
              </w:rPr>
              <w:t>r</w:t>
            </w:r>
            <w:r w:rsidRPr="00D07F61">
              <w:rPr>
                <w:rFonts w:ascii="Book Antiqua" w:eastAsia="Times New Roman" w:hAnsi="Book Antiqua" w:cs="Arial"/>
                <w:i/>
                <w:iCs/>
                <w:lang w:eastAsia="es-CR"/>
              </w:rPr>
              <w:t xml:space="preserve"> para cada Jueza o Juez / Cantidad de expedientes firmad</w:t>
            </w:r>
            <w:r w:rsidR="00C52FEE">
              <w:rPr>
                <w:rFonts w:ascii="Book Antiqua" w:eastAsia="Times New Roman" w:hAnsi="Book Antiqua" w:cs="Arial"/>
                <w:i/>
                <w:iCs/>
                <w:lang w:eastAsia="es-CR"/>
              </w:rPr>
              <w:t>o</w:t>
            </w:r>
            <w:r w:rsidRPr="00D07F61">
              <w:rPr>
                <w:rFonts w:ascii="Book Antiqua" w:eastAsia="Times New Roman" w:hAnsi="Book Antiqua" w:cs="Arial"/>
                <w:i/>
                <w:iCs/>
                <w:lang w:eastAsia="es-CR"/>
              </w:rPr>
              <w:t>s * 100</w:t>
            </w:r>
          </w:p>
          <w:p w14:paraId="4CA105D1" w14:textId="77777777" w:rsidR="00DA42E9" w:rsidRPr="00D07F61" w:rsidRDefault="00DA42E9" w:rsidP="00DA42E9">
            <w:pPr>
              <w:spacing w:after="0" w:line="276" w:lineRule="auto"/>
              <w:jc w:val="both"/>
              <w:rPr>
                <w:rFonts w:ascii="Book Antiqua" w:eastAsia="Times New Roman" w:hAnsi="Book Antiqua" w:cs="Arial"/>
                <w:lang w:eastAsia="es-CR"/>
              </w:rPr>
            </w:pPr>
          </w:p>
          <w:p w14:paraId="5868F14D" w14:textId="49DA79D6"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el total de expedientes firmad</w:t>
            </w:r>
            <w:r w:rsidR="00C52FEE">
              <w:rPr>
                <w:rFonts w:ascii="Book Antiqua" w:eastAsia="Times New Roman" w:hAnsi="Book Antiqua" w:cs="Arial"/>
                <w:lang w:eastAsia="es-CR"/>
              </w:rPr>
              <w:t>os</w:t>
            </w:r>
            <w:r w:rsidRPr="00D07F61">
              <w:rPr>
                <w:rFonts w:ascii="Book Antiqua" w:eastAsia="Times New Roman" w:hAnsi="Book Antiqua" w:cs="Arial"/>
                <w:lang w:eastAsia="es-CR"/>
              </w:rPr>
              <w:t xml:space="preserve"> por las personas juzgadoras del despacho, se obtiene de la consulta en el Escritorio Virtual, a las Estadísticas </w:t>
            </w:r>
            <w:r w:rsidR="00E85731">
              <w:rPr>
                <w:rFonts w:ascii="Book Antiqua" w:eastAsia="Times New Roman" w:hAnsi="Book Antiqua" w:cs="Arial"/>
                <w:lang w:eastAsia="es-CR"/>
              </w:rPr>
              <w:t>–</w:t>
            </w:r>
            <w:r w:rsidRPr="00D07F61">
              <w:rPr>
                <w:rFonts w:ascii="Book Antiqua" w:eastAsia="Times New Roman" w:hAnsi="Book Antiqua" w:cs="Arial"/>
                <w:lang w:eastAsia="es-CR"/>
              </w:rPr>
              <w:t xml:space="preserve"> Firmado / Proveído. Consulta por detalle del documento y expedientes por cada una de las personas juzgadoras.</w:t>
            </w:r>
          </w:p>
        </w:tc>
      </w:tr>
      <w:tr w:rsidR="00DA42E9" w:rsidRPr="00D07F61" w14:paraId="183C2E84" w14:textId="77777777" w:rsidTr="00346AC9">
        <w:trPr>
          <w:cantSplit/>
          <w:trHeight w:val="20"/>
          <w:jc w:val="center"/>
        </w:trPr>
        <w:tc>
          <w:tcPr>
            <w:tcW w:w="843" w:type="pct"/>
            <w:vMerge/>
            <w:shd w:val="clear" w:color="auto" w:fill="FBD4B4"/>
          </w:tcPr>
          <w:p w14:paraId="45066D7E"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22A35C68" w14:textId="1DE79BBF"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C52FEE">
              <w:rPr>
                <w:rFonts w:ascii="Book Antiqua" w:eastAsia="Times New Roman" w:hAnsi="Book Antiqua" w:cs="Arial"/>
                <w:b/>
                <w:bCs/>
                <w:color w:val="44546A"/>
                <w:lang w:eastAsia="es-CR"/>
              </w:rPr>
              <w:t>4</w:t>
            </w:r>
          </w:p>
        </w:tc>
        <w:tc>
          <w:tcPr>
            <w:tcW w:w="917" w:type="pct"/>
            <w:shd w:val="clear" w:color="auto" w:fill="auto"/>
            <w:vAlign w:val="center"/>
          </w:tcPr>
          <w:p w14:paraId="701CCF41"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expedientes pendientes de firma por persona juzgadora</w:t>
            </w:r>
          </w:p>
        </w:tc>
        <w:tc>
          <w:tcPr>
            <w:tcW w:w="3001" w:type="pct"/>
            <w:shd w:val="clear" w:color="auto" w:fill="auto"/>
            <w:vAlign w:val="center"/>
          </w:tcPr>
          <w:p w14:paraId="1C47E9C6" w14:textId="77777777" w:rsidR="00DA42E9" w:rsidRPr="00D07F61" w:rsidRDefault="00DA42E9" w:rsidP="00DA42E9">
            <w:pPr>
              <w:spacing w:after="0" w:line="276" w:lineRule="auto"/>
              <w:jc w:val="both"/>
              <w:rPr>
                <w:rFonts w:ascii="Book Antiqua" w:eastAsia="Times New Roman" w:hAnsi="Book Antiqua" w:cs="Arial"/>
                <w:i/>
                <w:iCs/>
                <w:lang w:eastAsia="es-CR"/>
              </w:rPr>
            </w:pPr>
            <w:r w:rsidRPr="00D07F61">
              <w:rPr>
                <w:rFonts w:ascii="Book Antiqua" w:eastAsia="Times New Roman" w:hAnsi="Book Antiqua" w:cs="Arial"/>
                <w:lang w:eastAsia="es-CR"/>
              </w:rPr>
              <w:t xml:space="preserve">Se calcula: </w:t>
            </w:r>
            <w:r w:rsidRPr="00D07F61">
              <w:rPr>
                <w:rFonts w:ascii="Book Antiqua" w:eastAsia="Times New Roman" w:hAnsi="Book Antiqua" w:cs="Arial"/>
                <w:i/>
                <w:iCs/>
                <w:lang w:eastAsia="es-CR"/>
              </w:rPr>
              <w:t>Cantidad de expedientes pendientes de firma por persona juzgadora.</w:t>
            </w:r>
          </w:p>
          <w:p w14:paraId="0DE01FD5" w14:textId="77777777" w:rsidR="00DA42E9" w:rsidRPr="00D07F61" w:rsidRDefault="00DA42E9" w:rsidP="00DA42E9">
            <w:pPr>
              <w:spacing w:after="0" w:line="276" w:lineRule="auto"/>
              <w:jc w:val="both"/>
              <w:rPr>
                <w:rFonts w:ascii="Book Antiqua" w:eastAsia="Times New Roman" w:hAnsi="Book Antiqua" w:cs="Arial"/>
                <w:lang w:eastAsia="es-CR"/>
              </w:rPr>
            </w:pPr>
          </w:p>
          <w:p w14:paraId="6A31EC1E" w14:textId="5D5173D5"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es el total de expedientes pendientes de firma por las personas juzgadoras del despacho, se obtiene de la consulta en el Escritorio Virtual, a las estadísticas de firmado de expedientes pendiente de firma para cada una de las personas juzgadoras.</w:t>
            </w:r>
            <w:r w:rsidR="00111AE3">
              <w:t xml:space="preserve"> </w:t>
            </w:r>
            <w:r w:rsidR="0038591D">
              <w:br/>
            </w:r>
            <w:r w:rsidR="0084425A" w:rsidRPr="0084425A">
              <w:rPr>
                <w:rFonts w:ascii="Book Antiqua" w:eastAsia="Times New Roman" w:hAnsi="Book Antiqua" w:cs="Arial"/>
                <w:lang w:eastAsia="es-CR"/>
              </w:rPr>
              <w:t xml:space="preserve">Se define el parámetro </w:t>
            </w:r>
            <w:r w:rsidR="00111AE3" w:rsidRPr="00111AE3">
              <w:rPr>
                <w:rFonts w:ascii="Book Antiqua" w:eastAsia="Times New Roman" w:hAnsi="Book Antiqua" w:cs="Arial"/>
                <w:lang w:eastAsia="es-CR"/>
              </w:rPr>
              <w:t>con la totalidad de expedientes que se espera pasen las personas técnicas judiciales a firmar por el plazo de espera de resolución entre la cantidad de personas juzgadoras del Despacho</w:t>
            </w:r>
          </w:p>
        </w:tc>
      </w:tr>
      <w:tr w:rsidR="00DA42E9" w:rsidRPr="00D07F61" w14:paraId="61D49175" w14:textId="77777777" w:rsidTr="00346AC9">
        <w:trPr>
          <w:cantSplit/>
          <w:trHeight w:val="20"/>
          <w:jc w:val="center"/>
        </w:trPr>
        <w:tc>
          <w:tcPr>
            <w:tcW w:w="843" w:type="pct"/>
            <w:vMerge/>
            <w:shd w:val="clear" w:color="auto" w:fill="FBD4B4"/>
          </w:tcPr>
          <w:p w14:paraId="57D13BD8"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10F1A8A9" w14:textId="2C2A1C70"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84425A">
              <w:rPr>
                <w:rFonts w:ascii="Book Antiqua" w:eastAsia="Times New Roman" w:hAnsi="Book Antiqua" w:cs="Arial"/>
                <w:b/>
                <w:bCs/>
                <w:color w:val="44546A"/>
                <w:lang w:eastAsia="es-CR"/>
              </w:rPr>
              <w:t>5</w:t>
            </w:r>
          </w:p>
        </w:tc>
        <w:tc>
          <w:tcPr>
            <w:tcW w:w="917" w:type="pct"/>
            <w:shd w:val="clear" w:color="auto" w:fill="auto"/>
            <w:vAlign w:val="center"/>
            <w:hideMark/>
          </w:tcPr>
          <w:p w14:paraId="21E0110C" w14:textId="7AFB1DD2" w:rsidR="00DA42E9" w:rsidRPr="00D07F61" w:rsidRDefault="009451B0" w:rsidP="009B71C9">
            <w:pPr>
              <w:spacing w:after="0" w:line="276" w:lineRule="auto"/>
              <w:jc w:val="both"/>
              <w:rPr>
                <w:rFonts w:ascii="Book Antiqua" w:eastAsia="Times New Roman" w:hAnsi="Book Antiqua" w:cs="Arial"/>
                <w:b/>
                <w:bCs/>
                <w:color w:val="44546A"/>
                <w:lang w:eastAsia="es-CR"/>
              </w:rPr>
            </w:pPr>
            <w:r w:rsidRPr="009451B0">
              <w:rPr>
                <w:rFonts w:ascii="Book Antiqua" w:eastAsia="Times New Roman" w:hAnsi="Book Antiqua" w:cs="Arial"/>
                <w:b/>
                <w:bCs/>
                <w:color w:val="44546A"/>
                <w:lang w:eastAsia="es-CR"/>
              </w:rPr>
              <w:t>Cantidad de sentencias y autosentencias dictadas por persona juzgadora</w:t>
            </w:r>
          </w:p>
        </w:tc>
        <w:tc>
          <w:tcPr>
            <w:tcW w:w="3001" w:type="pct"/>
            <w:shd w:val="clear" w:color="auto" w:fill="auto"/>
            <w:vAlign w:val="center"/>
            <w:hideMark/>
          </w:tcPr>
          <w:p w14:paraId="2BFAAEEF" w14:textId="60D8457E"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Por acuerdo del Equipo Gestor, es la cantidad global de sentencias dictadas por cada persona juzgadora, según la división del tipo: </w:t>
            </w:r>
            <w:r w:rsidRPr="00D07F61">
              <w:rPr>
                <w:rFonts w:ascii="Book Antiqua" w:eastAsia="Times New Roman" w:hAnsi="Book Antiqua" w:cs="Arial"/>
                <w:i/>
                <w:iCs/>
                <w:lang w:eastAsia="es-CR"/>
              </w:rPr>
              <w:t>Sentencias Principal, Sentencia Dictada, Sentencia Homologatoria, Sentencias II Instancia, Sentencia Incidentes, Sentencia Mutuos y Resoluciones Otros motivos de términos</w:t>
            </w:r>
            <w:r w:rsidR="007B0709">
              <w:rPr>
                <w:rFonts w:ascii="Book Antiqua" w:eastAsia="Times New Roman" w:hAnsi="Book Antiqua" w:cs="Arial"/>
                <w:i/>
                <w:iCs/>
                <w:lang w:eastAsia="es-CR"/>
              </w:rPr>
              <w:t xml:space="preserve"> (</w:t>
            </w:r>
            <w:r w:rsidR="005644B0">
              <w:rPr>
                <w:rFonts w:ascii="Book Antiqua" w:eastAsia="Times New Roman" w:hAnsi="Book Antiqua" w:cs="Arial"/>
                <w:i/>
                <w:iCs/>
                <w:lang w:eastAsia="es-CR"/>
              </w:rPr>
              <w:t xml:space="preserve">se </w:t>
            </w:r>
            <w:r w:rsidR="004D0FE3">
              <w:rPr>
                <w:rFonts w:ascii="Book Antiqua" w:eastAsia="Times New Roman" w:hAnsi="Book Antiqua" w:cs="Arial"/>
                <w:i/>
                <w:iCs/>
                <w:lang w:eastAsia="es-CR"/>
              </w:rPr>
              <w:t xml:space="preserve">modifica la división </w:t>
            </w:r>
            <w:r w:rsidR="005F41C1">
              <w:rPr>
                <w:rFonts w:ascii="Book Antiqua" w:eastAsia="Times New Roman" w:hAnsi="Book Antiqua" w:cs="Arial"/>
                <w:i/>
                <w:iCs/>
                <w:lang w:eastAsia="es-CR"/>
              </w:rPr>
              <w:t xml:space="preserve">en “Otros motivos de término por </w:t>
            </w:r>
            <w:r w:rsidR="002715A2">
              <w:rPr>
                <w:rFonts w:ascii="Book Antiqua" w:eastAsia="Times New Roman" w:hAnsi="Book Antiqua" w:cs="Arial"/>
                <w:i/>
                <w:iCs/>
                <w:lang w:eastAsia="es-CR"/>
              </w:rPr>
              <w:t>Autosentencias)</w:t>
            </w:r>
            <w:r w:rsidRPr="00D07F61">
              <w:rPr>
                <w:rFonts w:ascii="Book Antiqua" w:eastAsia="Times New Roman" w:hAnsi="Book Antiqua" w:cs="Arial"/>
                <w:i/>
                <w:iCs/>
                <w:lang w:eastAsia="es-CR"/>
              </w:rPr>
              <w:t>.</w:t>
            </w:r>
          </w:p>
          <w:p w14:paraId="4B15DBCB"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obtiene del libro en el que se consigne las fechas de pase a fallo del expediente (Módulo de pase a fallo del Escritorio Virtual o Libro de Pase a Fallo).</w:t>
            </w:r>
          </w:p>
          <w:p w14:paraId="209DD3D7"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se define luego de la aprobación de la cuota de trabajo para el terminado por cada tipo.</w:t>
            </w:r>
          </w:p>
        </w:tc>
      </w:tr>
      <w:tr w:rsidR="00DA42E9" w:rsidRPr="00D07F61" w14:paraId="3B310CC8" w14:textId="77777777" w:rsidTr="00346AC9">
        <w:trPr>
          <w:cantSplit/>
          <w:trHeight w:val="20"/>
          <w:jc w:val="center"/>
        </w:trPr>
        <w:tc>
          <w:tcPr>
            <w:tcW w:w="843" w:type="pct"/>
            <w:vMerge/>
            <w:shd w:val="clear" w:color="auto" w:fill="FBD4B4"/>
          </w:tcPr>
          <w:p w14:paraId="32DD11BE"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FFFFFF"/>
            <w:vAlign w:val="center"/>
          </w:tcPr>
          <w:p w14:paraId="65FE7080" w14:textId="54959FE8"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F7292A">
              <w:rPr>
                <w:rFonts w:ascii="Book Antiqua" w:eastAsia="Times New Roman" w:hAnsi="Book Antiqua" w:cs="Arial"/>
                <w:b/>
                <w:bCs/>
                <w:color w:val="44546A"/>
                <w:lang w:eastAsia="es-CR"/>
              </w:rPr>
              <w:t>6</w:t>
            </w:r>
          </w:p>
        </w:tc>
        <w:tc>
          <w:tcPr>
            <w:tcW w:w="917" w:type="pct"/>
            <w:shd w:val="clear" w:color="auto" w:fill="FFFFFF"/>
            <w:vAlign w:val="center"/>
            <w:hideMark/>
          </w:tcPr>
          <w:p w14:paraId="6D2ECD77" w14:textId="77777777"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Cantidad de sentencias dictadas por apoyo de jueces del CACMFJ</w:t>
            </w:r>
          </w:p>
        </w:tc>
        <w:tc>
          <w:tcPr>
            <w:tcW w:w="3001" w:type="pct"/>
            <w:shd w:val="clear" w:color="auto" w:fill="auto"/>
            <w:vAlign w:val="center"/>
            <w:hideMark/>
          </w:tcPr>
          <w:p w14:paraId="378D4ECF"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Cantidad de sentencias registradas por el Centro de Apoyo, Coordinación y Mejoramiento de la Función Jurisdiccional.</w:t>
            </w:r>
          </w:p>
          <w:p w14:paraId="43152959"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Este dato se obtiene del libro en el que se consigne las fechas de pase a fallo del expediente (Módulo de pase a fallo del Escritorio Virtual o Libro de Pase a Fallo).</w:t>
            </w:r>
          </w:p>
          <w:p w14:paraId="13D2303C" w14:textId="77777777" w:rsidR="00DA42E9"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No se define parámetro para este indicador.</w:t>
            </w:r>
            <w:r w:rsidR="0041173F">
              <w:rPr>
                <w:rFonts w:ascii="Book Antiqua" w:eastAsia="Times New Roman" w:hAnsi="Book Antiqua" w:cs="Arial"/>
                <w:lang w:eastAsia="es-CR"/>
              </w:rPr>
              <w:t xml:space="preserve"> </w:t>
            </w:r>
          </w:p>
          <w:p w14:paraId="1DE0267B" w14:textId="74F83ED3" w:rsidR="003957EF" w:rsidRPr="00D07F61" w:rsidRDefault="003957EF"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Se inhabilita este indicador </w:t>
            </w:r>
            <w:r w:rsidR="005755EA" w:rsidRPr="005755EA">
              <w:rPr>
                <w:rFonts w:ascii="Book Antiqua" w:eastAsia="Times New Roman" w:hAnsi="Book Antiqua" w:cs="Arial"/>
                <w:lang w:eastAsia="es-CR"/>
              </w:rPr>
              <w:t>debido a que se incorporó un apartado nuevo para recopilar la información de este personal</w:t>
            </w:r>
            <w:r w:rsidR="00411EA2">
              <w:rPr>
                <w:rFonts w:ascii="Book Antiqua" w:eastAsia="Times New Roman" w:hAnsi="Book Antiqua" w:cs="Arial"/>
                <w:lang w:eastAsia="es-CR"/>
              </w:rPr>
              <w:t>.</w:t>
            </w:r>
          </w:p>
        </w:tc>
      </w:tr>
      <w:tr w:rsidR="00DA42E9" w:rsidRPr="00D07F61" w14:paraId="7C92F08A" w14:textId="77777777" w:rsidTr="003269A2">
        <w:trPr>
          <w:cantSplit/>
          <w:trHeight w:val="20"/>
          <w:jc w:val="center"/>
        </w:trPr>
        <w:tc>
          <w:tcPr>
            <w:tcW w:w="843" w:type="pct"/>
            <w:vMerge/>
            <w:tcBorders>
              <w:bottom w:val="nil"/>
            </w:tcBorders>
            <w:shd w:val="clear" w:color="auto" w:fill="FBD4B4"/>
          </w:tcPr>
          <w:p w14:paraId="63C43529" w14:textId="77777777" w:rsidR="00DA42E9" w:rsidRPr="00D07F61" w:rsidRDefault="00DA42E9" w:rsidP="00DA42E9">
            <w:pPr>
              <w:spacing w:after="0" w:line="276" w:lineRule="auto"/>
              <w:jc w:val="center"/>
              <w:rPr>
                <w:rFonts w:ascii="Book Antiqua" w:eastAsia="Times New Roman" w:hAnsi="Book Antiqua" w:cs="Arial"/>
                <w:b/>
                <w:bCs/>
                <w:color w:val="44546A"/>
                <w:lang w:eastAsia="es-CR"/>
              </w:rPr>
            </w:pPr>
          </w:p>
        </w:tc>
        <w:tc>
          <w:tcPr>
            <w:tcW w:w="239" w:type="pct"/>
            <w:shd w:val="clear" w:color="auto" w:fill="auto"/>
            <w:vAlign w:val="center"/>
          </w:tcPr>
          <w:p w14:paraId="7938644C" w14:textId="5FECFAF2" w:rsidR="00DA42E9" w:rsidRPr="00D07F61" w:rsidRDefault="00DA42E9" w:rsidP="00DA42E9">
            <w:pPr>
              <w:spacing w:after="0" w:line="276" w:lineRule="auto"/>
              <w:jc w:val="center"/>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3</w:t>
            </w:r>
            <w:r w:rsidR="00DF59FC">
              <w:rPr>
                <w:rFonts w:ascii="Book Antiqua" w:eastAsia="Times New Roman" w:hAnsi="Book Antiqua" w:cs="Arial"/>
                <w:b/>
                <w:bCs/>
                <w:color w:val="44546A"/>
                <w:lang w:eastAsia="es-CR"/>
              </w:rPr>
              <w:t>7</w:t>
            </w:r>
          </w:p>
        </w:tc>
        <w:tc>
          <w:tcPr>
            <w:tcW w:w="917" w:type="pct"/>
            <w:shd w:val="clear" w:color="auto" w:fill="auto"/>
            <w:vAlign w:val="center"/>
            <w:hideMark/>
          </w:tcPr>
          <w:p w14:paraId="036CA1DD" w14:textId="162DA72B" w:rsidR="00DA42E9" w:rsidRPr="00D07F61" w:rsidRDefault="00DA42E9" w:rsidP="009B71C9">
            <w:pPr>
              <w:spacing w:after="0" w:line="276" w:lineRule="auto"/>
              <w:jc w:val="both"/>
              <w:rPr>
                <w:rFonts w:ascii="Book Antiqua" w:eastAsia="Times New Roman" w:hAnsi="Book Antiqua" w:cs="Arial"/>
                <w:b/>
                <w:bCs/>
                <w:color w:val="44546A"/>
                <w:lang w:eastAsia="es-CR"/>
              </w:rPr>
            </w:pPr>
            <w:r w:rsidRPr="00D07F61">
              <w:rPr>
                <w:rFonts w:ascii="Book Antiqua" w:eastAsia="Times New Roman" w:hAnsi="Book Antiqua" w:cs="Arial"/>
                <w:b/>
                <w:bCs/>
                <w:color w:val="44546A"/>
                <w:lang w:eastAsia="es-CR"/>
              </w:rPr>
              <w:t>Porcentaje de rendimiento por persona juzgadora</w:t>
            </w:r>
            <w:r w:rsidR="0041599A">
              <w:rPr>
                <w:rFonts w:ascii="Book Antiqua" w:eastAsia="Times New Roman" w:hAnsi="Book Antiqua" w:cs="Arial"/>
                <w:b/>
                <w:bCs/>
                <w:color w:val="44546A"/>
                <w:lang w:eastAsia="es-CR"/>
              </w:rPr>
              <w:t xml:space="preserve"> </w:t>
            </w:r>
            <w:r w:rsidR="0041599A" w:rsidRPr="0041599A">
              <w:rPr>
                <w:rFonts w:ascii="Book Antiqua" w:eastAsia="Times New Roman" w:hAnsi="Book Antiqua" w:cs="Arial"/>
                <w:b/>
                <w:bCs/>
                <w:color w:val="44546A"/>
                <w:lang w:eastAsia="es-CR"/>
              </w:rPr>
              <w:t>en el cumplimiento de la cuota</w:t>
            </w:r>
          </w:p>
        </w:tc>
        <w:tc>
          <w:tcPr>
            <w:tcW w:w="3001" w:type="pct"/>
            <w:shd w:val="clear" w:color="auto" w:fill="auto"/>
            <w:vAlign w:val="center"/>
            <w:hideMark/>
          </w:tcPr>
          <w:p w14:paraId="798A3E46" w14:textId="426015C4"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 xml:space="preserve">Se calcula para cada persona juzgadora: </w:t>
            </w:r>
            <w:r w:rsidRPr="00D07F61">
              <w:rPr>
                <w:rFonts w:ascii="Book Antiqua" w:eastAsia="Times New Roman" w:hAnsi="Book Antiqua" w:cs="Arial"/>
                <w:i/>
                <w:iCs/>
                <w:lang w:eastAsia="es-CR"/>
              </w:rPr>
              <w:t xml:space="preserve">(Cantidad de Sentencias y </w:t>
            </w:r>
            <w:r w:rsidR="0041599A">
              <w:rPr>
                <w:rFonts w:ascii="Book Antiqua" w:eastAsia="Times New Roman" w:hAnsi="Book Antiqua" w:cs="Arial"/>
                <w:i/>
                <w:iCs/>
                <w:lang w:eastAsia="es-CR"/>
              </w:rPr>
              <w:t>Autosentencias</w:t>
            </w:r>
            <w:r w:rsidRPr="00D07F61">
              <w:rPr>
                <w:rFonts w:ascii="Book Antiqua" w:eastAsia="Times New Roman" w:hAnsi="Book Antiqua" w:cs="Arial"/>
                <w:i/>
                <w:iCs/>
                <w:lang w:eastAsia="es-CR"/>
              </w:rPr>
              <w:t xml:space="preserve"> / Cantidad de Sentencias y Resoluciones a realizar según cuota de trabajo)</w:t>
            </w:r>
            <w:r w:rsidRPr="00D07F61">
              <w:rPr>
                <w:rFonts w:ascii="Book Antiqua" w:eastAsia="Times New Roman" w:hAnsi="Book Antiqua" w:cs="Arial"/>
                <w:lang w:eastAsia="es-CR"/>
              </w:rPr>
              <w:t>.</w:t>
            </w:r>
          </w:p>
          <w:p w14:paraId="4783FCF7"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Se toma en cuenta los días laborados por cada una de las personas juzgadora en el mes, según la cuota de trabajo diaria de sentencias definida.</w:t>
            </w:r>
          </w:p>
          <w:p w14:paraId="2D8C5B2F" w14:textId="77777777" w:rsidR="00DA42E9" w:rsidRPr="00D07F61" w:rsidRDefault="00DA42E9" w:rsidP="00DA42E9">
            <w:pPr>
              <w:spacing w:after="0" w:line="276" w:lineRule="auto"/>
              <w:jc w:val="both"/>
              <w:rPr>
                <w:rFonts w:ascii="Book Antiqua" w:eastAsia="Times New Roman" w:hAnsi="Book Antiqua" w:cs="Arial"/>
                <w:lang w:eastAsia="es-CR"/>
              </w:rPr>
            </w:pPr>
            <w:r w:rsidRPr="00D07F61">
              <w:rPr>
                <w:rFonts w:ascii="Book Antiqua" w:eastAsia="Times New Roman" w:hAnsi="Book Antiqua" w:cs="Arial"/>
                <w:lang w:eastAsia="es-CR"/>
              </w:rPr>
              <w:t>El parámetro está definido en 95% a 100%</w:t>
            </w:r>
          </w:p>
        </w:tc>
      </w:tr>
      <w:tr w:rsidR="00411EA2" w:rsidRPr="00D07F61" w14:paraId="48CB840E" w14:textId="77777777" w:rsidTr="003269A2">
        <w:trPr>
          <w:cantSplit/>
          <w:trHeight w:val="1134"/>
          <w:jc w:val="center"/>
        </w:trPr>
        <w:tc>
          <w:tcPr>
            <w:tcW w:w="843" w:type="pct"/>
            <w:tcBorders>
              <w:top w:val="nil"/>
              <w:left w:val="single" w:sz="4" w:space="0" w:color="auto"/>
              <w:bottom w:val="nil"/>
              <w:right w:val="single" w:sz="4" w:space="0" w:color="auto"/>
            </w:tcBorders>
            <w:shd w:val="clear" w:color="auto" w:fill="FBD4B4"/>
            <w:textDirection w:val="btLr"/>
          </w:tcPr>
          <w:p w14:paraId="212A9F63" w14:textId="731DE486" w:rsidR="00411EA2" w:rsidRPr="00D07F61" w:rsidRDefault="00AD745E" w:rsidP="004978B6">
            <w:pPr>
              <w:spacing w:after="0" w:line="276" w:lineRule="auto"/>
              <w:ind w:left="113" w:right="113"/>
              <w:jc w:val="center"/>
              <w:rPr>
                <w:rFonts w:ascii="Book Antiqua" w:eastAsia="Times New Roman" w:hAnsi="Book Antiqua" w:cs="Arial"/>
                <w:b/>
                <w:bCs/>
                <w:color w:val="44546A"/>
                <w:lang w:eastAsia="es-CR"/>
              </w:rPr>
            </w:pPr>
            <w:r w:rsidRPr="001121E4">
              <w:rPr>
                <w:lang w:val="es-MX"/>
              </w:rPr>
              <w:t>Personal de Apoyo (Adm./CACMFJ</w:t>
            </w:r>
          </w:p>
        </w:tc>
        <w:tc>
          <w:tcPr>
            <w:tcW w:w="239" w:type="pct"/>
            <w:tcBorders>
              <w:left w:val="single" w:sz="4" w:space="0" w:color="auto"/>
            </w:tcBorders>
            <w:shd w:val="clear" w:color="auto" w:fill="auto"/>
            <w:vAlign w:val="center"/>
          </w:tcPr>
          <w:p w14:paraId="7B316504" w14:textId="0D94CF15" w:rsidR="00411EA2" w:rsidRPr="00D07F61" w:rsidRDefault="00411EA2"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38</w:t>
            </w:r>
          </w:p>
        </w:tc>
        <w:tc>
          <w:tcPr>
            <w:tcW w:w="917" w:type="pct"/>
            <w:shd w:val="clear" w:color="auto" w:fill="auto"/>
            <w:vAlign w:val="center"/>
          </w:tcPr>
          <w:p w14:paraId="30FD324E" w14:textId="68744AA7" w:rsidR="00411EA2" w:rsidRPr="00D07F61" w:rsidRDefault="00671CF5" w:rsidP="009B71C9">
            <w:pPr>
              <w:spacing w:after="0" w:line="276" w:lineRule="auto"/>
              <w:jc w:val="both"/>
              <w:rPr>
                <w:rFonts w:ascii="Book Antiqua" w:eastAsia="Times New Roman" w:hAnsi="Book Antiqua" w:cs="Arial"/>
                <w:b/>
                <w:bCs/>
                <w:color w:val="44546A"/>
                <w:lang w:eastAsia="es-CR"/>
              </w:rPr>
            </w:pPr>
            <w:r w:rsidRPr="00671CF5">
              <w:rPr>
                <w:rFonts w:ascii="Book Antiqua" w:eastAsia="Times New Roman" w:hAnsi="Book Antiqua" w:cs="Arial"/>
                <w:b/>
                <w:bCs/>
                <w:color w:val="44546A"/>
                <w:lang w:eastAsia="es-CR"/>
              </w:rPr>
              <w:t>Cantidad de resoluciones pasad</w:t>
            </w:r>
            <w:r w:rsidR="00393A9A">
              <w:rPr>
                <w:rFonts w:ascii="Book Antiqua" w:eastAsia="Times New Roman" w:hAnsi="Book Antiqua" w:cs="Arial"/>
                <w:b/>
                <w:bCs/>
                <w:color w:val="44546A"/>
                <w:lang w:eastAsia="es-CR"/>
              </w:rPr>
              <w:t>a</w:t>
            </w:r>
            <w:r w:rsidRPr="00671CF5">
              <w:rPr>
                <w:rFonts w:ascii="Book Antiqua" w:eastAsia="Times New Roman" w:hAnsi="Book Antiqua" w:cs="Arial"/>
                <w:b/>
                <w:bCs/>
                <w:color w:val="44546A"/>
                <w:lang w:eastAsia="es-CR"/>
              </w:rPr>
              <w:t>s a firmar por Técnico o Técnica de Apoyo</w:t>
            </w:r>
          </w:p>
        </w:tc>
        <w:tc>
          <w:tcPr>
            <w:tcW w:w="3001" w:type="pct"/>
            <w:shd w:val="clear" w:color="auto" w:fill="auto"/>
            <w:vAlign w:val="center"/>
          </w:tcPr>
          <w:p w14:paraId="7C7FAAE1" w14:textId="05EB874D" w:rsidR="00411EA2" w:rsidRPr="00D07F61" w:rsidRDefault="00CB7BDB"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Corresponde a la</w:t>
            </w:r>
            <w:r w:rsidRPr="0033314F">
              <w:rPr>
                <w:rFonts w:ascii="Book Antiqua" w:eastAsia="Times New Roman" w:hAnsi="Book Antiqua" w:cs="Arial"/>
                <w:lang w:eastAsia="es-CR"/>
              </w:rPr>
              <w:t xml:space="preserve"> cantidad </w:t>
            </w:r>
            <w:r w:rsidR="00760C18">
              <w:rPr>
                <w:rFonts w:ascii="Book Antiqua" w:eastAsia="Times New Roman" w:hAnsi="Book Antiqua" w:cs="Arial"/>
                <w:lang w:eastAsia="es-CR"/>
              </w:rPr>
              <w:t xml:space="preserve">de </w:t>
            </w:r>
            <w:r>
              <w:rPr>
                <w:rFonts w:ascii="Book Antiqua" w:eastAsia="Times New Roman" w:hAnsi="Book Antiqua" w:cs="Arial"/>
                <w:lang w:eastAsia="es-CR"/>
              </w:rPr>
              <w:t xml:space="preserve">resoluciones </w:t>
            </w:r>
            <w:r w:rsidR="00760C18" w:rsidRPr="0033314F">
              <w:rPr>
                <w:rFonts w:ascii="Book Antiqua" w:eastAsia="Times New Roman" w:hAnsi="Book Antiqua" w:cs="Arial"/>
                <w:lang w:eastAsia="es-CR"/>
              </w:rPr>
              <w:t>realizada</w:t>
            </w:r>
            <w:r w:rsidR="00760C18">
              <w:rPr>
                <w:rFonts w:ascii="Book Antiqua" w:eastAsia="Times New Roman" w:hAnsi="Book Antiqua" w:cs="Arial"/>
                <w:lang w:eastAsia="es-CR"/>
              </w:rPr>
              <w:t>s</w:t>
            </w:r>
            <w:r w:rsidR="00760C18" w:rsidRPr="0033314F">
              <w:rPr>
                <w:rFonts w:ascii="Book Antiqua" w:eastAsia="Times New Roman" w:hAnsi="Book Antiqua" w:cs="Arial"/>
                <w:lang w:eastAsia="es-CR"/>
              </w:rPr>
              <w:t xml:space="preserve"> </w:t>
            </w:r>
            <w:r w:rsidR="0033314F" w:rsidRPr="0033314F">
              <w:rPr>
                <w:rFonts w:ascii="Book Antiqua" w:eastAsia="Times New Roman" w:hAnsi="Book Antiqua" w:cs="Arial"/>
                <w:lang w:eastAsia="es-CR"/>
              </w:rPr>
              <w:t>en el mes</w:t>
            </w:r>
            <w:r w:rsidR="00AB392A">
              <w:rPr>
                <w:rFonts w:ascii="Book Antiqua" w:eastAsia="Times New Roman" w:hAnsi="Book Antiqua" w:cs="Arial"/>
                <w:lang w:eastAsia="es-CR"/>
              </w:rPr>
              <w:t xml:space="preserve"> </w:t>
            </w:r>
            <w:r w:rsidR="00E14861" w:rsidRPr="0033314F">
              <w:rPr>
                <w:rFonts w:ascii="Book Antiqua" w:eastAsia="Times New Roman" w:hAnsi="Book Antiqua" w:cs="Arial"/>
                <w:lang w:eastAsia="es-CR"/>
              </w:rPr>
              <w:t>de este personal</w:t>
            </w:r>
            <w:r w:rsidR="00E14861">
              <w:rPr>
                <w:rFonts w:ascii="Book Antiqua" w:eastAsia="Times New Roman" w:hAnsi="Book Antiqua" w:cs="Arial"/>
                <w:lang w:eastAsia="es-CR"/>
              </w:rPr>
              <w:t xml:space="preserve">, </w:t>
            </w:r>
            <w:r w:rsidR="0033314F" w:rsidRPr="0033314F">
              <w:rPr>
                <w:rFonts w:ascii="Book Antiqua" w:eastAsia="Times New Roman" w:hAnsi="Book Antiqua" w:cs="Arial"/>
                <w:lang w:eastAsia="es-CR"/>
              </w:rPr>
              <w:t>con base en la meta (cuota) establecida por el CACMFJ o la Administración Regional</w:t>
            </w:r>
            <w:r w:rsidR="00E14861">
              <w:rPr>
                <w:rFonts w:ascii="Book Antiqua" w:eastAsia="Times New Roman" w:hAnsi="Book Antiqua" w:cs="Arial"/>
                <w:lang w:eastAsia="es-CR"/>
              </w:rPr>
              <w:t>.</w:t>
            </w:r>
          </w:p>
        </w:tc>
      </w:tr>
      <w:tr w:rsidR="00AD745E" w:rsidRPr="00D07F61" w14:paraId="23E0FF18" w14:textId="77777777" w:rsidTr="003269A2">
        <w:trPr>
          <w:cantSplit/>
          <w:trHeight w:val="1134"/>
          <w:jc w:val="center"/>
        </w:trPr>
        <w:tc>
          <w:tcPr>
            <w:tcW w:w="843" w:type="pct"/>
            <w:tcBorders>
              <w:top w:val="nil"/>
              <w:left w:val="single" w:sz="4" w:space="0" w:color="auto"/>
              <w:bottom w:val="nil"/>
              <w:right w:val="single" w:sz="4" w:space="0" w:color="auto"/>
            </w:tcBorders>
            <w:shd w:val="clear" w:color="auto" w:fill="FBD4B4"/>
            <w:textDirection w:val="btLr"/>
          </w:tcPr>
          <w:p w14:paraId="3418EDB2" w14:textId="77777777" w:rsidR="00AD745E" w:rsidRPr="001121E4" w:rsidRDefault="00AD745E" w:rsidP="004978B6">
            <w:pPr>
              <w:spacing w:after="0" w:line="276" w:lineRule="auto"/>
              <w:ind w:left="113" w:right="113"/>
              <w:jc w:val="center"/>
              <w:rPr>
                <w:lang w:val="es-MX"/>
              </w:rPr>
            </w:pPr>
          </w:p>
        </w:tc>
        <w:tc>
          <w:tcPr>
            <w:tcW w:w="239" w:type="pct"/>
            <w:tcBorders>
              <w:left w:val="single" w:sz="4" w:space="0" w:color="auto"/>
            </w:tcBorders>
            <w:shd w:val="clear" w:color="auto" w:fill="auto"/>
            <w:vAlign w:val="center"/>
          </w:tcPr>
          <w:p w14:paraId="3B638714" w14:textId="687491D2" w:rsidR="00AD745E" w:rsidRDefault="00AD745E"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39</w:t>
            </w:r>
          </w:p>
        </w:tc>
        <w:tc>
          <w:tcPr>
            <w:tcW w:w="917" w:type="pct"/>
            <w:shd w:val="clear" w:color="auto" w:fill="auto"/>
            <w:vAlign w:val="center"/>
          </w:tcPr>
          <w:p w14:paraId="7441D3B1" w14:textId="71727674" w:rsidR="00AD745E" w:rsidRPr="00D07F61" w:rsidRDefault="00B56EA2" w:rsidP="009B71C9">
            <w:pPr>
              <w:spacing w:after="0" w:line="276" w:lineRule="auto"/>
              <w:jc w:val="both"/>
              <w:rPr>
                <w:rFonts w:ascii="Book Antiqua" w:eastAsia="Times New Roman" w:hAnsi="Book Antiqua" w:cs="Arial"/>
                <w:b/>
                <w:bCs/>
                <w:color w:val="44546A"/>
                <w:lang w:eastAsia="es-CR"/>
              </w:rPr>
            </w:pPr>
            <w:r w:rsidRPr="00B56EA2">
              <w:rPr>
                <w:rFonts w:ascii="Book Antiqua" w:eastAsia="Times New Roman" w:hAnsi="Book Antiqua" w:cs="Arial"/>
                <w:b/>
                <w:bCs/>
                <w:color w:val="44546A"/>
                <w:lang w:eastAsia="es-CR"/>
              </w:rPr>
              <w:t>Porcentaje de rendimiento por Técnico o Técnica de apoyo</w:t>
            </w:r>
          </w:p>
        </w:tc>
        <w:tc>
          <w:tcPr>
            <w:tcW w:w="3001" w:type="pct"/>
            <w:shd w:val="clear" w:color="auto" w:fill="auto"/>
            <w:vAlign w:val="center"/>
          </w:tcPr>
          <w:p w14:paraId="1C632DCE" w14:textId="19A38377" w:rsidR="00AD745E" w:rsidRPr="00D07F61" w:rsidRDefault="00AC2091"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Es </w:t>
            </w:r>
            <w:r w:rsidRPr="00AC2091">
              <w:rPr>
                <w:rFonts w:ascii="Book Antiqua" w:eastAsia="Times New Roman" w:hAnsi="Book Antiqua" w:cs="Arial"/>
                <w:lang w:eastAsia="es-CR"/>
              </w:rPr>
              <w:t>el porcentaje de cumplimiento con base en la meta (cuota) establecida por el CACMFJ o la Administración Regional</w:t>
            </w:r>
            <w:r w:rsidR="00423D3D">
              <w:rPr>
                <w:rFonts w:ascii="Book Antiqua" w:eastAsia="Times New Roman" w:hAnsi="Book Antiqua" w:cs="Arial"/>
                <w:lang w:eastAsia="es-CR"/>
              </w:rPr>
              <w:t>.</w:t>
            </w:r>
          </w:p>
        </w:tc>
      </w:tr>
      <w:tr w:rsidR="00AD745E" w:rsidRPr="00D07F61" w14:paraId="13DCA1AD" w14:textId="77777777" w:rsidTr="003269A2">
        <w:trPr>
          <w:cantSplit/>
          <w:trHeight w:val="1134"/>
          <w:jc w:val="center"/>
        </w:trPr>
        <w:tc>
          <w:tcPr>
            <w:tcW w:w="843" w:type="pct"/>
            <w:tcBorders>
              <w:top w:val="nil"/>
            </w:tcBorders>
            <w:shd w:val="clear" w:color="auto" w:fill="FBD4B4"/>
            <w:textDirection w:val="btLr"/>
          </w:tcPr>
          <w:p w14:paraId="142B7EAC" w14:textId="77777777" w:rsidR="00AD745E" w:rsidRPr="001121E4" w:rsidRDefault="00AD745E" w:rsidP="004978B6">
            <w:pPr>
              <w:spacing w:after="0" w:line="276" w:lineRule="auto"/>
              <w:ind w:left="113" w:right="113"/>
              <w:jc w:val="center"/>
              <w:rPr>
                <w:lang w:val="es-MX"/>
              </w:rPr>
            </w:pPr>
          </w:p>
        </w:tc>
        <w:tc>
          <w:tcPr>
            <w:tcW w:w="239" w:type="pct"/>
            <w:shd w:val="clear" w:color="auto" w:fill="auto"/>
            <w:vAlign w:val="center"/>
          </w:tcPr>
          <w:p w14:paraId="63A73C5D" w14:textId="4E32483D" w:rsidR="00AD745E" w:rsidRDefault="00AD745E"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40</w:t>
            </w:r>
          </w:p>
        </w:tc>
        <w:tc>
          <w:tcPr>
            <w:tcW w:w="917" w:type="pct"/>
            <w:shd w:val="clear" w:color="auto" w:fill="auto"/>
            <w:vAlign w:val="center"/>
          </w:tcPr>
          <w:p w14:paraId="21C39840" w14:textId="41EC037D" w:rsidR="00AD745E" w:rsidRPr="00D07F61" w:rsidRDefault="00B56EA2" w:rsidP="009B71C9">
            <w:pPr>
              <w:spacing w:after="0" w:line="276" w:lineRule="auto"/>
              <w:jc w:val="both"/>
              <w:rPr>
                <w:rFonts w:ascii="Book Antiqua" w:eastAsia="Times New Roman" w:hAnsi="Book Antiqua" w:cs="Arial"/>
                <w:b/>
                <w:bCs/>
                <w:color w:val="44546A"/>
                <w:lang w:eastAsia="es-CR"/>
              </w:rPr>
            </w:pPr>
            <w:r w:rsidRPr="00B56EA2">
              <w:rPr>
                <w:rFonts w:ascii="Book Antiqua" w:eastAsia="Times New Roman" w:hAnsi="Book Antiqua" w:cs="Arial"/>
                <w:b/>
                <w:bCs/>
                <w:color w:val="44546A"/>
                <w:lang w:eastAsia="es-CR"/>
              </w:rPr>
              <w:t>Cantidad de sentencias dictadas por persona juzgadora de apoyo</w:t>
            </w:r>
          </w:p>
        </w:tc>
        <w:tc>
          <w:tcPr>
            <w:tcW w:w="3001" w:type="pct"/>
            <w:shd w:val="clear" w:color="auto" w:fill="auto"/>
            <w:vAlign w:val="center"/>
          </w:tcPr>
          <w:p w14:paraId="67B48845" w14:textId="146F5D90" w:rsidR="00AD745E" w:rsidRPr="00D07F61" w:rsidRDefault="00546E44"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Corresponde a la</w:t>
            </w:r>
            <w:r w:rsidRPr="0033314F">
              <w:rPr>
                <w:rFonts w:ascii="Book Antiqua" w:eastAsia="Times New Roman" w:hAnsi="Book Antiqua" w:cs="Arial"/>
                <w:lang w:eastAsia="es-CR"/>
              </w:rPr>
              <w:t xml:space="preserve"> cantidad </w:t>
            </w:r>
            <w:r>
              <w:rPr>
                <w:rFonts w:ascii="Book Antiqua" w:eastAsia="Times New Roman" w:hAnsi="Book Antiqua" w:cs="Arial"/>
                <w:lang w:eastAsia="es-CR"/>
              </w:rPr>
              <w:t xml:space="preserve">de sentencias dictadas </w:t>
            </w:r>
            <w:r w:rsidRPr="0033314F">
              <w:rPr>
                <w:rFonts w:ascii="Book Antiqua" w:eastAsia="Times New Roman" w:hAnsi="Book Antiqua" w:cs="Arial"/>
                <w:lang w:eastAsia="es-CR"/>
              </w:rPr>
              <w:t>en el mes</w:t>
            </w:r>
            <w:r>
              <w:rPr>
                <w:rFonts w:ascii="Book Antiqua" w:eastAsia="Times New Roman" w:hAnsi="Book Antiqua" w:cs="Arial"/>
                <w:lang w:eastAsia="es-CR"/>
              </w:rPr>
              <w:t xml:space="preserve"> </w:t>
            </w:r>
            <w:r w:rsidRPr="0033314F">
              <w:rPr>
                <w:rFonts w:ascii="Book Antiqua" w:eastAsia="Times New Roman" w:hAnsi="Book Antiqua" w:cs="Arial"/>
                <w:lang w:eastAsia="es-CR"/>
              </w:rPr>
              <w:t>de este personal</w:t>
            </w:r>
            <w:r>
              <w:rPr>
                <w:rFonts w:ascii="Book Antiqua" w:eastAsia="Times New Roman" w:hAnsi="Book Antiqua" w:cs="Arial"/>
                <w:lang w:eastAsia="es-CR"/>
              </w:rPr>
              <w:t xml:space="preserve">, </w:t>
            </w:r>
            <w:r w:rsidRPr="0033314F">
              <w:rPr>
                <w:rFonts w:ascii="Book Antiqua" w:eastAsia="Times New Roman" w:hAnsi="Book Antiqua" w:cs="Arial"/>
                <w:lang w:eastAsia="es-CR"/>
              </w:rPr>
              <w:t>con base en la meta (cuota) establecida por el CACMFJ o la Administración Regional</w:t>
            </w:r>
            <w:r>
              <w:rPr>
                <w:rFonts w:ascii="Book Antiqua" w:eastAsia="Times New Roman" w:hAnsi="Book Antiqua" w:cs="Arial"/>
                <w:lang w:eastAsia="es-CR"/>
              </w:rPr>
              <w:t>.</w:t>
            </w:r>
          </w:p>
        </w:tc>
      </w:tr>
      <w:tr w:rsidR="00AD745E" w:rsidRPr="00D07F61" w14:paraId="5D67BBCC" w14:textId="77777777" w:rsidTr="00423D3D">
        <w:trPr>
          <w:cantSplit/>
          <w:trHeight w:val="1080"/>
          <w:jc w:val="center"/>
        </w:trPr>
        <w:tc>
          <w:tcPr>
            <w:tcW w:w="843" w:type="pct"/>
            <w:shd w:val="clear" w:color="auto" w:fill="FBD4B4"/>
            <w:textDirection w:val="btLr"/>
          </w:tcPr>
          <w:p w14:paraId="7865384F" w14:textId="77777777" w:rsidR="00AD745E" w:rsidRPr="001121E4" w:rsidRDefault="00AD745E" w:rsidP="004978B6">
            <w:pPr>
              <w:spacing w:after="0" w:line="276" w:lineRule="auto"/>
              <w:ind w:left="113" w:right="113"/>
              <w:jc w:val="center"/>
              <w:rPr>
                <w:lang w:val="es-MX"/>
              </w:rPr>
            </w:pPr>
          </w:p>
        </w:tc>
        <w:tc>
          <w:tcPr>
            <w:tcW w:w="239" w:type="pct"/>
            <w:shd w:val="clear" w:color="auto" w:fill="auto"/>
            <w:vAlign w:val="center"/>
          </w:tcPr>
          <w:p w14:paraId="5E2E1E91" w14:textId="601FC27E" w:rsidR="00AD745E" w:rsidRDefault="00AD745E" w:rsidP="00DA42E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41</w:t>
            </w:r>
          </w:p>
        </w:tc>
        <w:tc>
          <w:tcPr>
            <w:tcW w:w="917" w:type="pct"/>
            <w:shd w:val="clear" w:color="auto" w:fill="auto"/>
            <w:vAlign w:val="center"/>
          </w:tcPr>
          <w:p w14:paraId="2A5781DC" w14:textId="5EFCB05D" w:rsidR="00AD745E" w:rsidRPr="00D07F61" w:rsidRDefault="00346AC9" w:rsidP="009B71C9">
            <w:pPr>
              <w:spacing w:after="0" w:line="276" w:lineRule="auto"/>
              <w:jc w:val="both"/>
              <w:rPr>
                <w:rFonts w:ascii="Book Antiqua" w:eastAsia="Times New Roman" w:hAnsi="Book Antiqua" w:cs="Arial"/>
                <w:b/>
                <w:bCs/>
                <w:color w:val="44546A"/>
                <w:lang w:eastAsia="es-CR"/>
              </w:rPr>
            </w:pPr>
            <w:r w:rsidRPr="00346AC9">
              <w:rPr>
                <w:rFonts w:ascii="Book Antiqua" w:eastAsia="Times New Roman" w:hAnsi="Book Antiqua" w:cs="Arial"/>
                <w:b/>
                <w:bCs/>
                <w:color w:val="44546A"/>
                <w:lang w:eastAsia="es-CR"/>
              </w:rPr>
              <w:t>Porcentaje de rendimiento por persona juzgadora de apoyo</w:t>
            </w:r>
          </w:p>
        </w:tc>
        <w:tc>
          <w:tcPr>
            <w:tcW w:w="3001" w:type="pct"/>
            <w:shd w:val="clear" w:color="auto" w:fill="auto"/>
            <w:vAlign w:val="center"/>
          </w:tcPr>
          <w:p w14:paraId="7A1D9EF3" w14:textId="0C40C99C" w:rsidR="00AD745E" w:rsidRPr="00D07F61" w:rsidRDefault="00423D3D" w:rsidP="00DA42E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Es </w:t>
            </w:r>
            <w:r w:rsidRPr="00AC2091">
              <w:rPr>
                <w:rFonts w:ascii="Book Antiqua" w:eastAsia="Times New Roman" w:hAnsi="Book Antiqua" w:cs="Arial"/>
                <w:lang w:eastAsia="es-CR"/>
              </w:rPr>
              <w:t>el porcentaje de cumplimiento con base en la meta (cuota) establecida por el CACMFJ o la Administración Regional</w:t>
            </w:r>
            <w:r>
              <w:rPr>
                <w:rFonts w:ascii="Book Antiqua" w:eastAsia="Times New Roman" w:hAnsi="Book Antiqua" w:cs="Arial"/>
                <w:lang w:eastAsia="es-CR"/>
              </w:rPr>
              <w:t>.</w:t>
            </w:r>
          </w:p>
        </w:tc>
      </w:tr>
    </w:tbl>
    <w:p w14:paraId="73B6FDB6" w14:textId="2AF52D3D" w:rsidR="001F19D3" w:rsidRDefault="0018511D" w:rsidP="009C01E1">
      <w:pPr>
        <w:spacing w:line="276" w:lineRule="auto"/>
        <w:jc w:val="both"/>
        <w:rPr>
          <w:rFonts w:ascii="Book Antiqua" w:hAnsi="Book Antiqua"/>
          <w:i/>
          <w:iCs/>
          <w:sz w:val="20"/>
          <w:szCs w:val="20"/>
        </w:rPr>
      </w:pPr>
      <w:r w:rsidRPr="0018511D">
        <w:rPr>
          <w:rFonts w:ascii="Book Antiqua" w:hAnsi="Book Antiqua"/>
          <w:i/>
          <w:iCs/>
          <w:sz w:val="20"/>
          <w:szCs w:val="20"/>
        </w:rPr>
        <w:t>Fuente: Subproceso de Modernización Institucional</w:t>
      </w:r>
    </w:p>
    <w:p w14:paraId="003A42F9" w14:textId="77777777" w:rsidR="00545C67" w:rsidRDefault="00545C67" w:rsidP="009C01E1">
      <w:pPr>
        <w:spacing w:line="276" w:lineRule="auto"/>
        <w:jc w:val="both"/>
        <w:rPr>
          <w:rFonts w:ascii="Book Antiqua" w:hAnsi="Book Antiqua"/>
          <w:i/>
          <w:iCs/>
          <w:sz w:val="20"/>
          <w:szCs w:val="20"/>
        </w:rPr>
      </w:pPr>
    </w:p>
    <w:p w14:paraId="4ECD99E9" w14:textId="77777777" w:rsidR="00703F36" w:rsidRPr="00625442" w:rsidRDefault="00703F36" w:rsidP="00625442">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625442">
        <w:rPr>
          <w:rFonts w:ascii="Book Antiqua" w:eastAsiaTheme="majorEastAsia" w:hAnsi="Book Antiqua" w:cstheme="majorBidi"/>
          <w:b/>
          <w:color w:val="1F3864" w:themeColor="accent1" w:themeShade="80"/>
          <w:sz w:val="24"/>
          <w:lang w:val="es-ES"/>
        </w:rPr>
        <w:t>Carga de trabajo en materia de Familia-cuota</w:t>
      </w:r>
    </w:p>
    <w:p w14:paraId="6814BFC9" w14:textId="77777777" w:rsidR="00625442" w:rsidRDefault="00625442" w:rsidP="00063BE5">
      <w:pPr>
        <w:spacing w:after="0" w:line="276" w:lineRule="auto"/>
        <w:jc w:val="both"/>
        <w:rPr>
          <w:rFonts w:ascii="Book Antiqua" w:eastAsia="Calibri" w:hAnsi="Book Antiqua" w:cs="Arial"/>
          <w:sz w:val="24"/>
          <w:szCs w:val="24"/>
        </w:rPr>
      </w:pPr>
    </w:p>
    <w:p w14:paraId="4D5B5DF5" w14:textId="13CAD9DD" w:rsidR="00063BE5" w:rsidRPr="00063BE5" w:rsidRDefault="00063BE5" w:rsidP="00063BE5">
      <w:pPr>
        <w:spacing w:after="0" w:line="276" w:lineRule="auto"/>
        <w:jc w:val="both"/>
        <w:rPr>
          <w:rFonts w:ascii="Book Antiqua" w:eastAsia="Calibri" w:hAnsi="Book Antiqua" w:cs="Arial"/>
          <w:sz w:val="24"/>
          <w:szCs w:val="24"/>
        </w:rPr>
      </w:pPr>
      <w:r w:rsidRPr="00063BE5">
        <w:rPr>
          <w:rFonts w:ascii="Book Antiqua" w:eastAsia="Calibri" w:hAnsi="Book Antiqua" w:cs="Arial"/>
          <w:sz w:val="24"/>
          <w:szCs w:val="24"/>
        </w:rPr>
        <w:t>De conformidad con l</w:t>
      </w:r>
      <w:r w:rsidR="0098342C">
        <w:rPr>
          <w:rFonts w:ascii="Book Antiqua" w:eastAsia="Calibri" w:hAnsi="Book Antiqua" w:cs="Arial"/>
          <w:sz w:val="24"/>
          <w:szCs w:val="24"/>
        </w:rPr>
        <w:t>os</w:t>
      </w:r>
      <w:r w:rsidRPr="00063BE5">
        <w:rPr>
          <w:rFonts w:ascii="Book Antiqua" w:eastAsia="Calibri" w:hAnsi="Book Antiqua" w:cs="Arial"/>
          <w:sz w:val="24"/>
          <w:szCs w:val="24"/>
        </w:rPr>
        <w:t xml:space="preserve"> oficio</w:t>
      </w:r>
      <w:r w:rsidR="0098342C">
        <w:rPr>
          <w:rFonts w:ascii="Book Antiqua" w:eastAsia="Calibri" w:hAnsi="Book Antiqua" w:cs="Arial"/>
          <w:sz w:val="24"/>
          <w:szCs w:val="24"/>
        </w:rPr>
        <w:t>s</w:t>
      </w:r>
      <w:r w:rsidRPr="00063BE5">
        <w:rPr>
          <w:rFonts w:ascii="Book Antiqua" w:eastAsia="Calibri" w:hAnsi="Book Antiqua" w:cs="Arial"/>
          <w:sz w:val="24"/>
          <w:szCs w:val="24"/>
        </w:rPr>
        <w:t xml:space="preserve"> 656-PLA-RH-MI-2020</w:t>
      </w:r>
      <w:r w:rsidR="005A08AA">
        <w:rPr>
          <w:rFonts w:ascii="Book Antiqua" w:eastAsia="Calibri" w:hAnsi="Book Antiqua" w:cs="Arial"/>
          <w:sz w:val="24"/>
          <w:szCs w:val="24"/>
        </w:rPr>
        <w:t xml:space="preserve"> y 389-PLA-</w:t>
      </w:r>
      <w:r w:rsidR="007A2C6E">
        <w:rPr>
          <w:rFonts w:ascii="Book Antiqua" w:eastAsia="Calibri" w:hAnsi="Book Antiqua" w:cs="Arial"/>
          <w:sz w:val="24"/>
          <w:szCs w:val="24"/>
        </w:rPr>
        <w:t>R</w:t>
      </w:r>
      <w:r w:rsidR="00A958BE">
        <w:rPr>
          <w:rFonts w:ascii="Book Antiqua" w:eastAsia="Calibri" w:hAnsi="Book Antiqua" w:cs="Arial"/>
          <w:sz w:val="24"/>
          <w:szCs w:val="24"/>
        </w:rPr>
        <w:t>H</w:t>
      </w:r>
      <w:r w:rsidR="005A08AA">
        <w:rPr>
          <w:rFonts w:ascii="Book Antiqua" w:eastAsia="Calibri" w:hAnsi="Book Antiqua" w:cs="Arial"/>
          <w:sz w:val="24"/>
          <w:szCs w:val="24"/>
        </w:rPr>
        <w:t>-MI-2020</w:t>
      </w:r>
      <w:r w:rsidRPr="00063BE5">
        <w:rPr>
          <w:rFonts w:ascii="Book Antiqua" w:eastAsia="Calibri" w:hAnsi="Book Antiqua" w:cs="Arial"/>
          <w:sz w:val="24"/>
          <w:szCs w:val="24"/>
        </w:rPr>
        <w:t>, l</w:t>
      </w:r>
      <w:r w:rsidRPr="00063BE5">
        <w:rPr>
          <w:rFonts w:ascii="Book Antiqua" w:eastAsia="Calibri" w:hAnsi="Book Antiqua" w:cs="Arial"/>
          <w:sz w:val="24"/>
          <w:szCs w:val="24"/>
          <w:lang w:eastAsia="es-CR"/>
        </w:rPr>
        <w:t xml:space="preserve">a carga de trabajo de asuntos entrados (nuevos, reentrados, incidentes y segunda </w:t>
      </w:r>
      <w:r w:rsidRPr="00063BE5">
        <w:rPr>
          <w:rFonts w:ascii="Book Antiqua" w:eastAsia="Calibri" w:hAnsi="Book Antiqua" w:cs="Arial"/>
          <w:sz w:val="24"/>
          <w:szCs w:val="24"/>
          <w:lang w:eastAsia="es-CR"/>
        </w:rPr>
        <w:lastRenderedPageBreak/>
        <w:t xml:space="preserve">instancia) en los Juzgados Especializados en materia de Familia es de 74 casos al mes por persona juzgadora y de 47 por persona técnica judicial </w:t>
      </w:r>
      <w:r w:rsidRPr="001375EC">
        <w:rPr>
          <w:rFonts w:ascii="Book Antiqua" w:eastAsia="Calibri" w:hAnsi="Book Antiqua" w:cs="Arial"/>
          <w:sz w:val="24"/>
          <w:szCs w:val="24"/>
          <w:lang w:eastAsia="es-CR"/>
        </w:rPr>
        <w:t>de trámite,</w:t>
      </w:r>
      <w:r w:rsidRPr="00063BE5">
        <w:rPr>
          <w:rFonts w:ascii="Book Antiqua" w:eastAsia="Calibri" w:hAnsi="Book Antiqua" w:cs="Arial"/>
          <w:sz w:val="24"/>
          <w:szCs w:val="24"/>
          <w:lang w:eastAsia="es-CR"/>
        </w:rPr>
        <w:t xml:space="preserve"> esto según la información de la cantidad promedio mensual de asuntos entrados de 2015 a 2019, resultado que </w:t>
      </w:r>
      <w:r w:rsidRPr="004D6013">
        <w:rPr>
          <w:rFonts w:ascii="Book Antiqua" w:eastAsia="Calibri" w:hAnsi="Book Antiqua" w:cs="Arial"/>
          <w:bCs/>
          <w:sz w:val="24"/>
          <w:szCs w:val="24"/>
          <w:lang w:eastAsia="es-CR"/>
        </w:rPr>
        <w:t>se</w:t>
      </w:r>
      <w:r w:rsidRPr="00063BE5">
        <w:rPr>
          <w:rFonts w:ascii="Book Antiqua" w:eastAsia="Calibri" w:hAnsi="Book Antiqua" w:cs="Arial"/>
          <w:b/>
          <w:sz w:val="24"/>
          <w:szCs w:val="24"/>
          <w:lang w:eastAsia="es-CR"/>
        </w:rPr>
        <w:t xml:space="preserve"> </w:t>
      </w:r>
      <w:r w:rsidRPr="00063BE5">
        <w:rPr>
          <w:rFonts w:ascii="Book Antiqua" w:eastAsia="Calibri" w:hAnsi="Book Antiqua" w:cs="Arial"/>
          <w:bCs/>
          <w:sz w:val="24"/>
          <w:szCs w:val="24"/>
          <w:lang w:eastAsia="es-CR"/>
        </w:rPr>
        <w:t>utiliza</w:t>
      </w:r>
      <w:r w:rsidRPr="00063BE5">
        <w:rPr>
          <w:rFonts w:ascii="Book Antiqua" w:eastAsia="Calibri" w:hAnsi="Book Antiqua" w:cs="Arial"/>
          <w:sz w:val="24"/>
          <w:szCs w:val="24"/>
          <w:lang w:eastAsia="es-CR"/>
        </w:rPr>
        <w:t xml:space="preserve"> como cuota de trabajo para estos juzgados</w:t>
      </w:r>
      <w:r w:rsidR="002C1407">
        <w:rPr>
          <w:rFonts w:ascii="Book Antiqua" w:eastAsia="Calibri" w:hAnsi="Book Antiqua" w:cs="Arial"/>
          <w:sz w:val="24"/>
          <w:szCs w:val="24"/>
          <w:lang w:eastAsia="es-CR"/>
        </w:rPr>
        <w:t>, idealmente la tasa de terminados debe ser igual a la entrada para que no crezca el circulante</w:t>
      </w:r>
      <w:r w:rsidRPr="00063BE5">
        <w:rPr>
          <w:rFonts w:ascii="Book Antiqua" w:eastAsia="Calibri" w:hAnsi="Book Antiqua" w:cs="Arial"/>
          <w:sz w:val="24"/>
          <w:szCs w:val="24"/>
          <w:lang w:eastAsia="es-CR"/>
        </w:rPr>
        <w:t xml:space="preserve"> Esta información también se respalda con los parámetros </w:t>
      </w:r>
      <w:r w:rsidRPr="00063BE5">
        <w:rPr>
          <w:rFonts w:ascii="Book Antiqua" w:eastAsia="Calibri" w:hAnsi="Book Antiqua" w:cs="Arial"/>
          <w:sz w:val="24"/>
          <w:szCs w:val="24"/>
        </w:rPr>
        <w:t xml:space="preserve">de la matriz de indicadores de gestión basados en los resultados del Rediseño </w:t>
      </w:r>
      <w:r w:rsidR="005A08AA">
        <w:rPr>
          <w:rFonts w:ascii="Book Antiqua" w:eastAsia="Calibri" w:hAnsi="Book Antiqua" w:cs="Arial"/>
          <w:sz w:val="24"/>
          <w:szCs w:val="24"/>
        </w:rPr>
        <w:t xml:space="preserve">de </w:t>
      </w:r>
      <w:r w:rsidRPr="00063BE5">
        <w:rPr>
          <w:rFonts w:ascii="Book Antiqua" w:eastAsia="Calibri" w:hAnsi="Book Antiqua" w:cs="Arial"/>
          <w:sz w:val="24"/>
          <w:szCs w:val="24"/>
        </w:rPr>
        <w:t>Cartago y San Carlos y según los principales tipos de procesos terminados de la siguiente forma:</w:t>
      </w:r>
    </w:p>
    <w:p w14:paraId="45305220" w14:textId="77777777" w:rsidR="00063BE5" w:rsidRPr="00063BE5" w:rsidRDefault="00063BE5" w:rsidP="00063BE5">
      <w:pPr>
        <w:spacing w:after="0" w:line="276" w:lineRule="auto"/>
        <w:jc w:val="both"/>
        <w:rPr>
          <w:rFonts w:ascii="Book Antiqua" w:eastAsia="Calibri" w:hAnsi="Book Antiqua" w:cs="Arial"/>
          <w:sz w:val="24"/>
          <w:szCs w:val="24"/>
        </w:rPr>
      </w:pPr>
    </w:p>
    <w:p w14:paraId="099FBD58" w14:textId="502F7E5B" w:rsidR="008F717E" w:rsidRDefault="008F717E" w:rsidP="00063BE5">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490F5B66" w14:textId="77777777" w:rsidR="008F717E" w:rsidRPr="00063BE5" w:rsidRDefault="008F717E" w:rsidP="00063BE5">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3CF2F4BB" w14:textId="3A932D76" w:rsidR="00063BE5" w:rsidRPr="00063BE5" w:rsidRDefault="00063BE5" w:rsidP="00063BE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63BE5">
        <w:rPr>
          <w:rFonts w:ascii="Book Antiqua" w:eastAsia="Calibri" w:hAnsi="Book Antiqua" w:cs="Arial"/>
          <w:b/>
          <w:bCs/>
          <w:color w:val="1F497D"/>
          <w:szCs w:val="24"/>
          <w:lang w:val="es-ES" w:eastAsia="es-ES"/>
        </w:rPr>
        <w:t xml:space="preserve">Cuadro </w:t>
      </w:r>
      <w:r w:rsidRPr="00063BE5">
        <w:rPr>
          <w:rFonts w:ascii="Book Antiqua" w:eastAsia="Calibri" w:hAnsi="Book Antiqua" w:cs="Arial"/>
          <w:b/>
          <w:bCs/>
          <w:color w:val="1F497D"/>
          <w:szCs w:val="24"/>
          <w:lang w:val="es-ES" w:eastAsia="es-ES"/>
        </w:rPr>
        <w:fldChar w:fldCharType="begin"/>
      </w:r>
      <w:r w:rsidRPr="00063BE5">
        <w:rPr>
          <w:rFonts w:ascii="Book Antiqua" w:eastAsia="Calibri" w:hAnsi="Book Antiqua" w:cs="Arial"/>
          <w:b/>
          <w:bCs/>
          <w:color w:val="1F497D"/>
          <w:szCs w:val="24"/>
          <w:lang w:val="es-ES" w:eastAsia="es-ES"/>
        </w:rPr>
        <w:instrText xml:space="preserve"> SEQ Cuadro \* ARABIC </w:instrText>
      </w:r>
      <w:r w:rsidRPr="00063BE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19</w:t>
      </w:r>
      <w:r w:rsidRPr="00063BE5">
        <w:rPr>
          <w:rFonts w:ascii="Book Antiqua" w:eastAsia="Calibri" w:hAnsi="Book Antiqua" w:cs="Arial"/>
          <w:b/>
          <w:bCs/>
          <w:color w:val="1F497D"/>
          <w:szCs w:val="24"/>
          <w:lang w:val="es-ES" w:eastAsia="es-ES"/>
        </w:rPr>
        <w:fldChar w:fldCharType="end"/>
      </w:r>
    </w:p>
    <w:p w14:paraId="4FA377EF" w14:textId="46FEA20D" w:rsidR="00063BE5" w:rsidRPr="00063BE5" w:rsidRDefault="00063BE5" w:rsidP="00063BE5">
      <w:pPr>
        <w:spacing w:after="0" w:line="240" w:lineRule="auto"/>
        <w:jc w:val="center"/>
        <w:rPr>
          <w:rFonts w:ascii="Book Antiqua" w:eastAsia="Calibri" w:hAnsi="Book Antiqua" w:cs="Arial"/>
          <w:b/>
          <w:bCs/>
          <w:color w:val="1F497D"/>
          <w:szCs w:val="24"/>
          <w:lang w:val="es-ES" w:eastAsia="es-ES"/>
        </w:rPr>
      </w:pPr>
      <w:r w:rsidRPr="00063BE5">
        <w:rPr>
          <w:rFonts w:ascii="Book Antiqua" w:eastAsia="Calibri" w:hAnsi="Book Antiqua" w:cs="Arial"/>
          <w:b/>
          <w:bCs/>
          <w:color w:val="1F497D"/>
          <w:szCs w:val="24"/>
          <w:lang w:val="es-ES" w:eastAsia="es-ES"/>
        </w:rPr>
        <w:t>Distribución por tipo de terminado de la cuota de trabajo mensual por plaza de persona juzgadora de Familia, 201</w:t>
      </w:r>
      <w:r w:rsidR="00A30E67">
        <w:rPr>
          <w:rFonts w:ascii="Book Antiqua" w:eastAsia="Calibri" w:hAnsi="Book Antiqua" w:cs="Arial"/>
          <w:b/>
          <w:bCs/>
          <w:color w:val="1F497D"/>
          <w:szCs w:val="24"/>
          <w:lang w:val="es-ES" w:eastAsia="es-ES"/>
        </w:rPr>
        <w:t>9</w:t>
      </w:r>
    </w:p>
    <w:tbl>
      <w:tblPr>
        <w:tblW w:w="4988" w:type="pct"/>
        <w:tblLook w:val="04A0" w:firstRow="1" w:lastRow="0" w:firstColumn="1" w:lastColumn="0" w:noHBand="0" w:noVBand="1"/>
      </w:tblPr>
      <w:tblGrid>
        <w:gridCol w:w="1225"/>
        <w:gridCol w:w="1455"/>
        <w:gridCol w:w="1138"/>
        <w:gridCol w:w="1663"/>
        <w:gridCol w:w="1138"/>
        <w:gridCol w:w="1203"/>
        <w:gridCol w:w="985"/>
      </w:tblGrid>
      <w:tr w:rsidR="00FB0B9B" w:rsidRPr="00AA24B8" w14:paraId="060BD7CF" w14:textId="77777777" w:rsidTr="000717AA">
        <w:trPr>
          <w:trHeight w:val="69"/>
        </w:trPr>
        <w:tc>
          <w:tcPr>
            <w:tcW w:w="695"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ED6B6CF"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Divorcio o separación por mutuo</w:t>
            </w:r>
          </w:p>
        </w:tc>
        <w:tc>
          <w:tcPr>
            <w:tcW w:w="826" w:type="pct"/>
            <w:tcBorders>
              <w:top w:val="single" w:sz="4" w:space="0" w:color="auto"/>
              <w:left w:val="nil"/>
              <w:bottom w:val="single" w:sz="4" w:space="0" w:color="auto"/>
              <w:right w:val="single" w:sz="4" w:space="0" w:color="auto"/>
            </w:tcBorders>
            <w:shd w:val="clear" w:color="000000" w:fill="002060"/>
            <w:vAlign w:val="center"/>
            <w:hideMark/>
          </w:tcPr>
          <w:p w14:paraId="5E2FCD62"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Resoluciones por otros motivos de término</w:t>
            </w:r>
          </w:p>
        </w:tc>
        <w:tc>
          <w:tcPr>
            <w:tcW w:w="646" w:type="pct"/>
            <w:tcBorders>
              <w:top w:val="single" w:sz="4" w:space="0" w:color="auto"/>
              <w:left w:val="nil"/>
              <w:bottom w:val="single" w:sz="4" w:space="0" w:color="auto"/>
              <w:right w:val="single" w:sz="4" w:space="0" w:color="auto"/>
            </w:tcBorders>
            <w:shd w:val="clear" w:color="000000" w:fill="002060"/>
            <w:vAlign w:val="center"/>
            <w:hideMark/>
          </w:tcPr>
          <w:p w14:paraId="6AE70C8E"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Sentencia dictada</w:t>
            </w:r>
          </w:p>
        </w:tc>
        <w:tc>
          <w:tcPr>
            <w:tcW w:w="944" w:type="pct"/>
            <w:tcBorders>
              <w:top w:val="single" w:sz="4" w:space="0" w:color="auto"/>
              <w:left w:val="nil"/>
              <w:bottom w:val="single" w:sz="4" w:space="0" w:color="auto"/>
              <w:right w:val="single" w:sz="4" w:space="0" w:color="auto"/>
            </w:tcBorders>
            <w:shd w:val="clear" w:color="000000" w:fill="002060"/>
            <w:vAlign w:val="center"/>
            <w:hideMark/>
          </w:tcPr>
          <w:p w14:paraId="3CD98944"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Sentencias homologatorias</w:t>
            </w:r>
          </w:p>
        </w:tc>
        <w:tc>
          <w:tcPr>
            <w:tcW w:w="646" w:type="pct"/>
            <w:tcBorders>
              <w:top w:val="single" w:sz="4" w:space="0" w:color="auto"/>
              <w:left w:val="nil"/>
              <w:bottom w:val="single" w:sz="4" w:space="0" w:color="auto"/>
              <w:right w:val="single" w:sz="4" w:space="0" w:color="auto"/>
            </w:tcBorders>
            <w:shd w:val="clear" w:color="000000" w:fill="002060"/>
            <w:vAlign w:val="center"/>
            <w:hideMark/>
          </w:tcPr>
          <w:p w14:paraId="0073BBEA"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Sentencia de segunda instancia</w:t>
            </w:r>
          </w:p>
        </w:tc>
        <w:tc>
          <w:tcPr>
            <w:tcW w:w="683" w:type="pct"/>
            <w:tcBorders>
              <w:top w:val="single" w:sz="4" w:space="0" w:color="auto"/>
              <w:left w:val="nil"/>
              <w:bottom w:val="single" w:sz="4" w:space="0" w:color="auto"/>
              <w:right w:val="single" w:sz="4" w:space="0" w:color="auto"/>
            </w:tcBorders>
            <w:shd w:val="clear" w:color="000000" w:fill="002060"/>
            <w:vAlign w:val="center"/>
            <w:hideMark/>
          </w:tcPr>
          <w:p w14:paraId="72FCBB0C" w14:textId="77777777" w:rsidR="00AA24B8" w:rsidRPr="00AA24B8" w:rsidRDefault="00AA24B8" w:rsidP="00AA24B8">
            <w:pPr>
              <w:spacing w:after="0" w:line="240" w:lineRule="auto"/>
              <w:jc w:val="center"/>
              <w:rPr>
                <w:rFonts w:ascii="Book Antiqua" w:eastAsia="Times New Roman" w:hAnsi="Book Antiqua" w:cs="Times New Roman"/>
                <w:b/>
                <w:bCs/>
                <w:color w:val="FFFFFF"/>
                <w:sz w:val="16"/>
                <w:szCs w:val="16"/>
              </w:rPr>
            </w:pPr>
            <w:r w:rsidRPr="00AA24B8">
              <w:rPr>
                <w:rFonts w:ascii="Book Antiqua" w:eastAsia="Times New Roman" w:hAnsi="Book Antiqua" w:cs="Times New Roman"/>
                <w:b/>
                <w:bCs/>
                <w:color w:val="FFFFFF"/>
                <w:sz w:val="16"/>
                <w:szCs w:val="16"/>
              </w:rPr>
              <w:t>Sentencia en Incidentes</w:t>
            </w:r>
          </w:p>
        </w:tc>
        <w:tc>
          <w:tcPr>
            <w:tcW w:w="559" w:type="pct"/>
            <w:tcBorders>
              <w:top w:val="single" w:sz="4" w:space="0" w:color="auto"/>
              <w:left w:val="nil"/>
              <w:bottom w:val="single" w:sz="4" w:space="0" w:color="auto"/>
              <w:right w:val="single" w:sz="4" w:space="0" w:color="auto"/>
            </w:tcBorders>
            <w:shd w:val="clear" w:color="000000" w:fill="002060"/>
            <w:vAlign w:val="center"/>
            <w:hideMark/>
          </w:tcPr>
          <w:p w14:paraId="64A0C0A8" w14:textId="77777777" w:rsidR="00AA24B8" w:rsidRPr="00AA24B8" w:rsidRDefault="00AA24B8" w:rsidP="00AA24B8">
            <w:pPr>
              <w:spacing w:after="0" w:line="240" w:lineRule="auto"/>
              <w:jc w:val="center"/>
              <w:rPr>
                <w:rFonts w:ascii="Book Antiqua" w:eastAsia="Times New Roman" w:hAnsi="Book Antiqua" w:cs="Times New Roman"/>
                <w:b/>
                <w:bCs/>
                <w:color w:val="FFFFFF"/>
                <w:sz w:val="20"/>
                <w:szCs w:val="20"/>
              </w:rPr>
            </w:pPr>
            <w:r w:rsidRPr="00AA24B8">
              <w:rPr>
                <w:rFonts w:ascii="Book Antiqua" w:eastAsia="Times New Roman" w:hAnsi="Book Antiqua" w:cs="Times New Roman"/>
                <w:b/>
                <w:bCs/>
                <w:color w:val="FFFFFF"/>
                <w:sz w:val="20"/>
                <w:szCs w:val="20"/>
              </w:rPr>
              <w:t>Total</w:t>
            </w:r>
          </w:p>
        </w:tc>
      </w:tr>
      <w:tr w:rsidR="00FB0B9B" w:rsidRPr="00AA24B8" w14:paraId="55152D2F" w14:textId="77777777" w:rsidTr="000717AA">
        <w:trPr>
          <w:trHeight w:val="312"/>
        </w:trPr>
        <w:tc>
          <w:tcPr>
            <w:tcW w:w="695" w:type="pct"/>
            <w:tcBorders>
              <w:top w:val="nil"/>
              <w:left w:val="single" w:sz="4" w:space="0" w:color="auto"/>
              <w:bottom w:val="single" w:sz="4" w:space="0" w:color="auto"/>
              <w:right w:val="single" w:sz="4" w:space="0" w:color="auto"/>
            </w:tcBorders>
            <w:shd w:val="clear" w:color="auto" w:fill="auto"/>
            <w:noWrap/>
            <w:vAlign w:val="center"/>
            <w:hideMark/>
          </w:tcPr>
          <w:p w14:paraId="0F62CD76"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23</w:t>
            </w:r>
          </w:p>
        </w:tc>
        <w:tc>
          <w:tcPr>
            <w:tcW w:w="826" w:type="pct"/>
            <w:tcBorders>
              <w:top w:val="nil"/>
              <w:left w:val="nil"/>
              <w:bottom w:val="single" w:sz="4" w:space="0" w:color="auto"/>
              <w:right w:val="single" w:sz="4" w:space="0" w:color="auto"/>
            </w:tcBorders>
            <w:shd w:val="clear" w:color="auto" w:fill="auto"/>
            <w:noWrap/>
            <w:vAlign w:val="center"/>
            <w:hideMark/>
          </w:tcPr>
          <w:p w14:paraId="5C70D041"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19</w:t>
            </w:r>
          </w:p>
        </w:tc>
        <w:tc>
          <w:tcPr>
            <w:tcW w:w="646" w:type="pct"/>
            <w:tcBorders>
              <w:top w:val="nil"/>
              <w:left w:val="nil"/>
              <w:bottom w:val="single" w:sz="4" w:space="0" w:color="auto"/>
              <w:right w:val="single" w:sz="4" w:space="0" w:color="auto"/>
            </w:tcBorders>
            <w:shd w:val="clear" w:color="auto" w:fill="auto"/>
            <w:noWrap/>
            <w:vAlign w:val="center"/>
            <w:hideMark/>
          </w:tcPr>
          <w:p w14:paraId="6EF223C7"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16</w:t>
            </w:r>
          </w:p>
        </w:tc>
        <w:tc>
          <w:tcPr>
            <w:tcW w:w="944" w:type="pct"/>
            <w:tcBorders>
              <w:top w:val="nil"/>
              <w:left w:val="nil"/>
              <w:bottom w:val="single" w:sz="4" w:space="0" w:color="auto"/>
              <w:right w:val="single" w:sz="4" w:space="0" w:color="auto"/>
            </w:tcBorders>
            <w:shd w:val="clear" w:color="auto" w:fill="auto"/>
            <w:noWrap/>
            <w:vAlign w:val="center"/>
            <w:hideMark/>
          </w:tcPr>
          <w:p w14:paraId="5A538526"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5</w:t>
            </w:r>
          </w:p>
        </w:tc>
        <w:tc>
          <w:tcPr>
            <w:tcW w:w="646" w:type="pct"/>
            <w:tcBorders>
              <w:top w:val="nil"/>
              <w:left w:val="nil"/>
              <w:bottom w:val="single" w:sz="4" w:space="0" w:color="auto"/>
              <w:right w:val="single" w:sz="4" w:space="0" w:color="auto"/>
            </w:tcBorders>
            <w:shd w:val="clear" w:color="auto" w:fill="auto"/>
            <w:noWrap/>
            <w:vAlign w:val="center"/>
            <w:hideMark/>
          </w:tcPr>
          <w:p w14:paraId="5127E662"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13</w:t>
            </w:r>
          </w:p>
        </w:tc>
        <w:tc>
          <w:tcPr>
            <w:tcW w:w="683" w:type="pct"/>
            <w:tcBorders>
              <w:top w:val="nil"/>
              <w:left w:val="nil"/>
              <w:bottom w:val="single" w:sz="4" w:space="0" w:color="auto"/>
              <w:right w:val="single" w:sz="4" w:space="0" w:color="auto"/>
            </w:tcBorders>
            <w:shd w:val="clear" w:color="auto" w:fill="auto"/>
            <w:noWrap/>
            <w:vAlign w:val="center"/>
            <w:hideMark/>
          </w:tcPr>
          <w:p w14:paraId="02BE26CE"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1</w:t>
            </w:r>
          </w:p>
        </w:tc>
        <w:tc>
          <w:tcPr>
            <w:tcW w:w="559" w:type="pct"/>
            <w:tcBorders>
              <w:top w:val="nil"/>
              <w:left w:val="nil"/>
              <w:bottom w:val="single" w:sz="4" w:space="0" w:color="auto"/>
              <w:right w:val="single" w:sz="4" w:space="0" w:color="auto"/>
            </w:tcBorders>
            <w:shd w:val="clear" w:color="auto" w:fill="auto"/>
            <w:noWrap/>
            <w:vAlign w:val="center"/>
            <w:hideMark/>
          </w:tcPr>
          <w:p w14:paraId="53E36136" w14:textId="77777777" w:rsidR="00AA24B8" w:rsidRPr="00AA24B8" w:rsidRDefault="00AA24B8" w:rsidP="00AA24B8">
            <w:pPr>
              <w:spacing w:after="0" w:line="240" w:lineRule="auto"/>
              <w:jc w:val="center"/>
              <w:rPr>
                <w:rFonts w:ascii="Book Antiqua" w:eastAsia="Times New Roman" w:hAnsi="Book Antiqua" w:cs="Times New Roman"/>
                <w:sz w:val="20"/>
                <w:szCs w:val="20"/>
              </w:rPr>
            </w:pPr>
            <w:r w:rsidRPr="00AA24B8">
              <w:rPr>
                <w:rFonts w:ascii="Book Antiqua" w:eastAsia="Calibri" w:hAnsi="Book Antiqua" w:cs="Arial"/>
                <w:sz w:val="20"/>
                <w:szCs w:val="20"/>
              </w:rPr>
              <w:t>77</w:t>
            </w:r>
          </w:p>
        </w:tc>
      </w:tr>
    </w:tbl>
    <w:p w14:paraId="5D02EB38" w14:textId="0E547477" w:rsidR="000717AA" w:rsidRPr="000717AA" w:rsidRDefault="000717AA" w:rsidP="000717AA">
      <w:pPr>
        <w:spacing w:after="0" w:line="276" w:lineRule="auto"/>
        <w:jc w:val="both"/>
        <w:rPr>
          <w:rFonts w:ascii="Book Antiqua" w:eastAsia="Calibri" w:hAnsi="Book Antiqua" w:cs="Arial"/>
          <w:i/>
          <w:iCs/>
          <w:sz w:val="20"/>
          <w:szCs w:val="20"/>
        </w:rPr>
      </w:pPr>
      <w:r w:rsidRPr="000717AA">
        <w:rPr>
          <w:rFonts w:ascii="Book Antiqua" w:eastAsia="Calibri" w:hAnsi="Book Antiqua" w:cs="Arial"/>
          <w:i/>
          <w:iCs/>
          <w:sz w:val="20"/>
          <w:szCs w:val="20"/>
        </w:rPr>
        <w:t>Fuente: Informe 656-PLA-RH-MI-2020</w:t>
      </w:r>
      <w:r w:rsidR="005A08AA">
        <w:rPr>
          <w:rFonts w:ascii="Book Antiqua" w:eastAsia="Calibri" w:hAnsi="Book Antiqua" w:cs="Arial"/>
          <w:i/>
          <w:iCs/>
          <w:sz w:val="20"/>
          <w:szCs w:val="20"/>
        </w:rPr>
        <w:t xml:space="preserve"> y 389-PLA-R</w:t>
      </w:r>
      <w:r w:rsidR="00A958BE">
        <w:rPr>
          <w:rFonts w:ascii="Book Antiqua" w:eastAsia="Calibri" w:hAnsi="Book Antiqua" w:cs="Arial"/>
          <w:i/>
          <w:iCs/>
          <w:sz w:val="20"/>
          <w:szCs w:val="20"/>
        </w:rPr>
        <w:t>H</w:t>
      </w:r>
      <w:r w:rsidR="005A08AA">
        <w:rPr>
          <w:rFonts w:ascii="Book Antiqua" w:eastAsia="Calibri" w:hAnsi="Book Antiqua" w:cs="Arial"/>
          <w:i/>
          <w:iCs/>
          <w:sz w:val="20"/>
          <w:szCs w:val="20"/>
        </w:rPr>
        <w:t>-MI-2021</w:t>
      </w:r>
      <w:r w:rsidRPr="000717AA">
        <w:rPr>
          <w:rFonts w:ascii="Book Antiqua" w:eastAsia="Calibri" w:hAnsi="Book Antiqua" w:cs="Arial"/>
          <w:i/>
          <w:iCs/>
          <w:sz w:val="20"/>
          <w:szCs w:val="20"/>
        </w:rPr>
        <w:t>.</w:t>
      </w:r>
    </w:p>
    <w:p w14:paraId="5406B575" w14:textId="77777777" w:rsidR="000717AA" w:rsidRPr="000717AA" w:rsidRDefault="000717AA" w:rsidP="000717AA">
      <w:pPr>
        <w:tabs>
          <w:tab w:val="left" w:pos="8364"/>
        </w:tabs>
        <w:spacing w:after="0" w:line="276" w:lineRule="auto"/>
        <w:ind w:left="1701" w:right="1700"/>
        <w:jc w:val="both"/>
        <w:rPr>
          <w:rFonts w:ascii="Book Antiqua" w:eastAsia="Calibri" w:hAnsi="Book Antiqua" w:cs="Arial"/>
          <w:bCs/>
          <w:i/>
          <w:sz w:val="20"/>
          <w:szCs w:val="20"/>
        </w:rPr>
      </w:pPr>
    </w:p>
    <w:p w14:paraId="23B5530C" w14:textId="733BA393" w:rsidR="00D136AC" w:rsidRPr="001D0C10" w:rsidRDefault="00D136AC" w:rsidP="00D136AC">
      <w:pPr>
        <w:spacing w:line="276" w:lineRule="auto"/>
        <w:jc w:val="both"/>
        <w:rPr>
          <w:rFonts w:ascii="Book Antiqua" w:hAnsi="Book Antiqua"/>
          <w:sz w:val="24"/>
          <w:szCs w:val="24"/>
        </w:rPr>
      </w:pPr>
      <w:r w:rsidRPr="001D0C10">
        <w:rPr>
          <w:rFonts w:ascii="Book Antiqua" w:hAnsi="Book Antiqua"/>
          <w:sz w:val="24"/>
          <w:szCs w:val="24"/>
        </w:rPr>
        <w:t xml:space="preserve">Según la minuta 42-PLA-MI-MNTA-2021, en reunión de seguimiento del equipo interdisciplinario del proyecto de Implementación del Código de Familia, se requiere de una mejora en el sistema, de manera que se pueda cruzar la información entre la clase de asunto y el resultado de las resoluciones, a fin de lograr obtener directamente del SIGMA la cantidad de resoluciones de aprobación o improbación de divorcios por mutuo consentimiento </w:t>
      </w:r>
      <w:r w:rsidRPr="00576B9C">
        <w:rPr>
          <w:rFonts w:ascii="Book Antiqua" w:hAnsi="Book Antiqua"/>
          <w:sz w:val="24"/>
          <w:szCs w:val="24"/>
        </w:rPr>
        <w:t>y poder incluirlo</w:t>
      </w:r>
      <w:r w:rsidRPr="00576B9C">
        <w:rPr>
          <w:rFonts w:ascii="Book Antiqua" w:hAnsi="Book Antiqua"/>
          <w:i/>
          <w:iCs/>
          <w:sz w:val="20"/>
          <w:szCs w:val="20"/>
        </w:rPr>
        <w:t xml:space="preserve"> </w:t>
      </w:r>
      <w:r w:rsidRPr="001D0C10">
        <w:rPr>
          <w:rFonts w:ascii="Book Antiqua" w:hAnsi="Book Antiqua"/>
          <w:sz w:val="24"/>
          <w:szCs w:val="24"/>
        </w:rPr>
        <w:t xml:space="preserve">así en la matriz.  De manera temporal y hasta tanto </w:t>
      </w:r>
      <w:r w:rsidR="004266F2" w:rsidRPr="001D0C10">
        <w:rPr>
          <w:rFonts w:ascii="Book Antiqua" w:hAnsi="Book Antiqua"/>
          <w:sz w:val="24"/>
          <w:szCs w:val="24"/>
        </w:rPr>
        <w:t>esta lista</w:t>
      </w:r>
      <w:r w:rsidRPr="001D0C10">
        <w:rPr>
          <w:rFonts w:ascii="Book Antiqua" w:hAnsi="Book Antiqua"/>
          <w:sz w:val="24"/>
          <w:szCs w:val="24"/>
        </w:rPr>
        <w:t xml:space="preserve"> la mejora, se definió con el Juez Gestor que sean las personas técnicas judiciales quiénes hagan el pase a fallo de estos expedientes, de manera que se registre así en el libro de pase a fallo y puedan contabilizarse desde ahí. La comunicación de la medida temporal a las oficinas está a cargo del Juez Gestor. </w:t>
      </w:r>
    </w:p>
    <w:p w14:paraId="2AAE9E9E" w14:textId="03D46D39" w:rsidR="00243342" w:rsidRDefault="00D136AC" w:rsidP="00D136AC">
      <w:pPr>
        <w:spacing w:line="276" w:lineRule="auto"/>
        <w:jc w:val="both"/>
        <w:rPr>
          <w:rFonts w:ascii="Book Antiqua" w:hAnsi="Book Antiqua"/>
          <w:sz w:val="24"/>
          <w:szCs w:val="24"/>
        </w:rPr>
      </w:pPr>
      <w:r w:rsidRPr="001D0C10">
        <w:rPr>
          <w:rFonts w:ascii="Book Antiqua" w:hAnsi="Book Antiqua"/>
          <w:sz w:val="24"/>
          <w:szCs w:val="24"/>
        </w:rPr>
        <w:t xml:space="preserve"> También se solicitó al Juez Gestor y la Comisión de Familia, Niñez y Adolescencia una directriz o circular en donde por cada clase de asunto se identifique los posibles tipos de resolución y resultados que puedan utilizarse, a fin de estandarizar el uso de los formatos jurídicos conforme al diseño de la fórmula estadística</w:t>
      </w:r>
      <w:r w:rsidR="00545C67">
        <w:rPr>
          <w:rFonts w:ascii="Book Antiqua" w:hAnsi="Book Antiqua"/>
          <w:sz w:val="24"/>
          <w:szCs w:val="24"/>
        </w:rPr>
        <w:t xml:space="preserve">. </w:t>
      </w:r>
      <w:r w:rsidR="00545C67" w:rsidRPr="00545C67">
        <w:rPr>
          <w:rFonts w:ascii="Book Antiqua" w:hAnsi="Book Antiqua"/>
          <w:b/>
          <w:bCs/>
          <w:sz w:val="24"/>
          <w:szCs w:val="24"/>
          <w:u w:val="single"/>
        </w:rPr>
        <w:t>Esta circular ya existe y es la 260-20 actualizada mediante circular 244-21.</w:t>
      </w:r>
      <w:r w:rsidR="00545C67">
        <w:rPr>
          <w:rFonts w:ascii="Book Antiqua" w:hAnsi="Book Antiqua"/>
          <w:sz w:val="24"/>
          <w:szCs w:val="24"/>
        </w:rPr>
        <w:t xml:space="preserve"> </w:t>
      </w:r>
      <w:r w:rsidRPr="001D0C10">
        <w:rPr>
          <w:rFonts w:ascii="Book Antiqua" w:hAnsi="Book Antiqua"/>
          <w:sz w:val="24"/>
          <w:szCs w:val="24"/>
        </w:rPr>
        <w:t xml:space="preserve">    </w:t>
      </w:r>
    </w:p>
    <w:p w14:paraId="077CA447" w14:textId="7F34B1B6" w:rsidR="00B20487" w:rsidRDefault="00D136AC" w:rsidP="00D136AC">
      <w:pPr>
        <w:spacing w:line="276" w:lineRule="auto"/>
        <w:jc w:val="both"/>
        <w:rPr>
          <w:rFonts w:ascii="Book Antiqua" w:eastAsia="Calibri" w:hAnsi="Book Antiqua" w:cs="Arial"/>
          <w:sz w:val="24"/>
          <w:szCs w:val="24"/>
        </w:rPr>
      </w:pPr>
      <w:r w:rsidRPr="001D0C10">
        <w:rPr>
          <w:rFonts w:ascii="Book Antiqua" w:hAnsi="Book Antiqua"/>
          <w:sz w:val="24"/>
          <w:szCs w:val="24"/>
        </w:rPr>
        <w:lastRenderedPageBreak/>
        <w:t>De esta manera, se lograría filtran entre los distintos resultados aquellos que correspondan a procesos por “</w:t>
      </w:r>
      <w:r w:rsidRPr="00545C67">
        <w:rPr>
          <w:rFonts w:ascii="Book Antiqua" w:hAnsi="Book Antiqua"/>
          <w:i/>
          <w:iCs/>
          <w:sz w:val="24"/>
          <w:szCs w:val="24"/>
        </w:rPr>
        <w:t>sentencia en mutuos</w:t>
      </w:r>
      <w:r w:rsidRPr="001D0C10">
        <w:rPr>
          <w:rFonts w:ascii="Book Antiqua" w:hAnsi="Book Antiqua"/>
          <w:sz w:val="24"/>
          <w:szCs w:val="24"/>
        </w:rPr>
        <w:t>.”</w:t>
      </w:r>
      <w:r w:rsidR="00243342">
        <w:rPr>
          <w:rFonts w:ascii="Book Antiqua" w:hAnsi="Book Antiqua"/>
          <w:sz w:val="24"/>
          <w:szCs w:val="24"/>
        </w:rPr>
        <w:t xml:space="preserve"> </w:t>
      </w:r>
      <w:r w:rsidR="001A31B9">
        <w:rPr>
          <w:rFonts w:ascii="Book Antiqua" w:eastAsia="Calibri" w:hAnsi="Book Antiqua" w:cs="Arial"/>
          <w:sz w:val="24"/>
          <w:szCs w:val="24"/>
        </w:rPr>
        <w:t>Al respecto, e</w:t>
      </w:r>
      <w:r w:rsidR="000464DA">
        <w:rPr>
          <w:rFonts w:ascii="Book Antiqua" w:eastAsia="Calibri" w:hAnsi="Book Antiqua" w:cs="Arial"/>
          <w:sz w:val="24"/>
          <w:szCs w:val="24"/>
        </w:rPr>
        <w:t xml:space="preserve">n sesión del Consejo Superior </w:t>
      </w:r>
      <w:r w:rsidR="000464DA" w:rsidRPr="000464DA">
        <w:rPr>
          <w:rFonts w:ascii="Book Antiqua" w:eastAsia="Calibri" w:hAnsi="Book Antiqua" w:cs="Arial"/>
          <w:sz w:val="24"/>
          <w:szCs w:val="24"/>
        </w:rPr>
        <w:t>103-2020 celebrada el 27 de octubre de 2020, artículo XLV</w:t>
      </w:r>
      <w:r w:rsidR="001B1A62">
        <w:rPr>
          <w:rFonts w:ascii="Book Antiqua" w:eastAsia="Calibri" w:hAnsi="Book Antiqua" w:cs="Arial"/>
          <w:sz w:val="24"/>
          <w:szCs w:val="24"/>
        </w:rPr>
        <w:t>, a solicitud</w:t>
      </w:r>
      <w:r w:rsidR="000464DA" w:rsidRPr="000464DA">
        <w:rPr>
          <w:rFonts w:ascii="Book Antiqua" w:eastAsia="Calibri" w:hAnsi="Book Antiqua" w:cs="Arial"/>
          <w:sz w:val="24"/>
          <w:szCs w:val="24"/>
        </w:rPr>
        <w:t xml:space="preserve"> de la Comisión de Familia, Niñez y Adolescencia</w:t>
      </w:r>
      <w:r w:rsidR="008A7F71">
        <w:rPr>
          <w:rFonts w:ascii="Book Antiqua" w:eastAsia="Calibri" w:hAnsi="Book Antiqua" w:cs="Arial"/>
          <w:sz w:val="24"/>
          <w:szCs w:val="24"/>
        </w:rPr>
        <w:t>,</w:t>
      </w:r>
      <w:r w:rsidR="000464DA">
        <w:rPr>
          <w:rFonts w:ascii="Book Antiqua" w:eastAsia="Calibri" w:hAnsi="Book Antiqua" w:cs="Arial"/>
          <w:sz w:val="24"/>
          <w:szCs w:val="24"/>
        </w:rPr>
        <w:t xml:space="preserve"> </w:t>
      </w:r>
      <w:r w:rsidR="0099208D">
        <w:rPr>
          <w:rFonts w:ascii="Book Antiqua" w:eastAsia="Calibri" w:hAnsi="Book Antiqua" w:cs="Arial"/>
          <w:sz w:val="24"/>
          <w:szCs w:val="24"/>
        </w:rPr>
        <w:t>aprob</w:t>
      </w:r>
      <w:r w:rsidR="00B23D29" w:rsidRPr="00B23D29">
        <w:rPr>
          <w:rFonts w:ascii="Book Antiqua" w:eastAsia="Calibri" w:hAnsi="Book Antiqua" w:cs="Arial"/>
          <w:sz w:val="24"/>
          <w:szCs w:val="24"/>
        </w:rPr>
        <w:t>ó</w:t>
      </w:r>
      <w:r w:rsidR="008A7F71">
        <w:rPr>
          <w:rFonts w:ascii="Book Antiqua" w:eastAsia="Calibri" w:hAnsi="Book Antiqua" w:cs="Arial"/>
          <w:sz w:val="24"/>
          <w:szCs w:val="24"/>
        </w:rPr>
        <w:t xml:space="preserve"> la </w:t>
      </w:r>
      <w:r w:rsidR="00C337D0">
        <w:rPr>
          <w:rFonts w:ascii="Book Antiqua" w:eastAsia="Calibri" w:hAnsi="Book Antiqua" w:cs="Arial"/>
          <w:sz w:val="24"/>
          <w:szCs w:val="24"/>
        </w:rPr>
        <w:t>c</w:t>
      </w:r>
      <w:r w:rsidR="00836090">
        <w:rPr>
          <w:rFonts w:ascii="Book Antiqua" w:eastAsia="Calibri" w:hAnsi="Book Antiqua" w:cs="Arial"/>
          <w:sz w:val="24"/>
          <w:szCs w:val="24"/>
        </w:rPr>
        <w:t>ircular 260-2020</w:t>
      </w:r>
      <w:r w:rsidR="00C337D0">
        <w:rPr>
          <w:rFonts w:ascii="Book Antiqua" w:eastAsia="Calibri" w:hAnsi="Book Antiqua" w:cs="Arial"/>
          <w:sz w:val="24"/>
          <w:szCs w:val="24"/>
        </w:rPr>
        <w:t>,</w:t>
      </w:r>
      <w:r w:rsidR="00836090">
        <w:rPr>
          <w:rFonts w:ascii="Book Antiqua" w:eastAsia="Calibri" w:hAnsi="Book Antiqua" w:cs="Arial"/>
          <w:sz w:val="24"/>
          <w:szCs w:val="24"/>
        </w:rPr>
        <w:t xml:space="preserve"> </w:t>
      </w:r>
      <w:r w:rsidR="00C337D0">
        <w:rPr>
          <w:rFonts w:ascii="Book Antiqua" w:eastAsia="Calibri" w:hAnsi="Book Antiqua" w:cs="Arial"/>
          <w:sz w:val="24"/>
          <w:szCs w:val="24"/>
        </w:rPr>
        <w:t>“</w:t>
      </w:r>
      <w:r w:rsidR="005718B0" w:rsidRPr="005E6770">
        <w:rPr>
          <w:rFonts w:ascii="Book Antiqua" w:eastAsia="Calibri" w:hAnsi="Book Antiqua" w:cs="Arial"/>
          <w:i/>
          <w:iCs/>
          <w:sz w:val="24"/>
          <w:szCs w:val="24"/>
        </w:rPr>
        <w:t>Resoluciones dictadas en los juzgados que atienden materia familiar, que llevan número de resolución</w:t>
      </w:r>
      <w:r w:rsidR="00C20BE8">
        <w:rPr>
          <w:rFonts w:ascii="Book Antiqua" w:eastAsia="Calibri" w:hAnsi="Book Antiqua" w:cs="Arial"/>
          <w:sz w:val="24"/>
          <w:szCs w:val="24"/>
        </w:rPr>
        <w:t>”</w:t>
      </w:r>
      <w:r w:rsidR="00B23D29" w:rsidRPr="00B23D29">
        <w:rPr>
          <w:rFonts w:ascii="Book Antiqua" w:eastAsia="Calibri" w:hAnsi="Book Antiqua" w:cs="Arial"/>
          <w:sz w:val="24"/>
          <w:szCs w:val="24"/>
        </w:rPr>
        <w:t>:</w:t>
      </w:r>
    </w:p>
    <w:p w14:paraId="50E0FF1C" w14:textId="77777777" w:rsidR="00073E6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Sentencias dictadas en cualquier tipo de proceso familiar.</w:t>
      </w:r>
    </w:p>
    <w:p w14:paraId="583C3D61" w14:textId="05FE9D4E" w:rsidR="00073E6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Sentencias de homologación de acuerdos conciliatorios judiciales o extrajudiciales.</w:t>
      </w:r>
    </w:p>
    <w:p w14:paraId="4876E806" w14:textId="7C870CB4" w:rsidR="00073E6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Aprobación de convenios de divorcio por mutuo consentimiento.</w:t>
      </w:r>
    </w:p>
    <w:p w14:paraId="22F05091" w14:textId="77777777" w:rsidR="00043F1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Sentencias en procesos incidentales. Se recomienda que en las incidencias de nulidad las mismas sean tramitadas de manera interlocutoria dentro del proceso principal.</w:t>
      </w:r>
    </w:p>
    <w:p w14:paraId="66B32023" w14:textId="77777777" w:rsidR="00C35913" w:rsidRPr="00FC3225" w:rsidRDefault="002E29DD" w:rsidP="0090609F">
      <w:pPr>
        <w:pStyle w:val="xmsonormal"/>
        <w:numPr>
          <w:ilvl w:val="0"/>
          <w:numId w:val="18"/>
        </w:numPr>
        <w:ind w:right="851"/>
        <w:jc w:val="both"/>
        <w:rPr>
          <w:rFonts w:ascii="Book Antiqua" w:eastAsia="Calibri" w:hAnsi="Book Antiqua" w:cs="Arial"/>
          <w:i/>
          <w:iCs/>
          <w:lang w:eastAsia="en-US"/>
        </w:rPr>
      </w:pPr>
      <w:r w:rsidRPr="00FC3225">
        <w:rPr>
          <w:rFonts w:ascii="Book Antiqua" w:eastAsia="Calibri" w:hAnsi="Book Antiqua" w:cs="Arial"/>
          <w:i/>
          <w:iCs/>
          <w:lang w:eastAsia="en-US"/>
        </w:rPr>
        <w:t>Sentencias</w:t>
      </w:r>
      <w:r w:rsidR="00073E67" w:rsidRPr="00FC3225">
        <w:rPr>
          <w:rFonts w:ascii="Book Antiqua" w:eastAsia="Calibri" w:hAnsi="Book Antiqua" w:cs="Arial"/>
          <w:i/>
          <w:iCs/>
          <w:lang w:eastAsia="en-US"/>
        </w:rPr>
        <w:t xml:space="preserve"> en procesos de modificación de fallo.</w:t>
      </w:r>
    </w:p>
    <w:p w14:paraId="4A3FB931" w14:textId="34A9872A" w:rsidR="00073E67" w:rsidRPr="00FC3225" w:rsidRDefault="00043F17" w:rsidP="0090609F">
      <w:pPr>
        <w:pStyle w:val="xmsonormal"/>
        <w:numPr>
          <w:ilvl w:val="0"/>
          <w:numId w:val="18"/>
        </w:numPr>
        <w:ind w:right="851"/>
        <w:jc w:val="both"/>
        <w:rPr>
          <w:rFonts w:ascii="Book Antiqua" w:eastAsia="Calibri" w:hAnsi="Book Antiqua" w:cs="Arial"/>
          <w:i/>
          <w:iCs/>
          <w:lang w:eastAsia="en-US"/>
        </w:rPr>
      </w:pPr>
      <w:r w:rsidRPr="00FC3225">
        <w:rPr>
          <w:rFonts w:ascii="Book Antiqua" w:eastAsia="Calibri" w:hAnsi="Book Antiqua" w:cs="Arial"/>
          <w:i/>
          <w:iCs/>
          <w:lang w:eastAsia="en-US"/>
        </w:rPr>
        <w:t>R</w:t>
      </w:r>
      <w:r w:rsidR="00073E67" w:rsidRPr="00FC3225">
        <w:rPr>
          <w:rFonts w:ascii="Book Antiqua" w:eastAsia="Calibri" w:hAnsi="Book Antiqua" w:cs="Arial"/>
          <w:i/>
          <w:iCs/>
          <w:lang w:eastAsia="en-US"/>
        </w:rPr>
        <w:t>esoluciones donde se declaran o se acogen deserciones del proceso. </w:t>
      </w:r>
    </w:p>
    <w:p w14:paraId="09B05E8D" w14:textId="00E4BC4E" w:rsidR="00073E67" w:rsidRPr="00FC3225" w:rsidRDefault="00073E67" w:rsidP="0090609F">
      <w:pPr>
        <w:pStyle w:val="xmsonormal"/>
        <w:numPr>
          <w:ilvl w:val="0"/>
          <w:numId w:val="18"/>
        </w:numPr>
        <w:ind w:left="714" w:right="851" w:hanging="357"/>
        <w:jc w:val="both"/>
        <w:rPr>
          <w:rFonts w:ascii="Book Antiqua" w:eastAsia="Calibri" w:hAnsi="Book Antiqua" w:cs="Arial"/>
          <w:i/>
          <w:iCs/>
          <w:lang w:eastAsia="en-US"/>
        </w:rPr>
      </w:pPr>
      <w:r w:rsidRPr="00FC3225">
        <w:rPr>
          <w:rFonts w:ascii="Book Antiqua" w:eastAsia="Calibri" w:hAnsi="Book Antiqua" w:cs="Arial"/>
          <w:i/>
          <w:iCs/>
          <w:lang w:eastAsia="en-US"/>
        </w:rPr>
        <w:t>Resoluciones que acojan excepciones previas que pongan fin al proceso.</w:t>
      </w:r>
    </w:p>
    <w:p w14:paraId="6FC38B72" w14:textId="0AAF0F0D" w:rsidR="00073E67" w:rsidRPr="00FC3225" w:rsidRDefault="00073E67" w:rsidP="0090609F">
      <w:pPr>
        <w:pStyle w:val="xmsonormal"/>
        <w:numPr>
          <w:ilvl w:val="0"/>
          <w:numId w:val="18"/>
        </w:numPr>
        <w:ind w:right="851"/>
        <w:jc w:val="both"/>
        <w:rPr>
          <w:rFonts w:ascii="Book Antiqua" w:eastAsia="Calibri" w:hAnsi="Book Antiqua" w:cs="Arial"/>
          <w:i/>
          <w:iCs/>
          <w:lang w:eastAsia="en-US"/>
        </w:rPr>
      </w:pPr>
      <w:r w:rsidRPr="00FC3225">
        <w:rPr>
          <w:rFonts w:ascii="Book Antiqua" w:eastAsia="Calibri" w:hAnsi="Book Antiqua" w:cs="Arial"/>
          <w:i/>
          <w:iCs/>
          <w:lang w:eastAsia="en-US"/>
        </w:rPr>
        <w:t>Resoluciones que acojan excepciones de falta de competencia internacional.</w:t>
      </w:r>
    </w:p>
    <w:p w14:paraId="3D493ABD" w14:textId="0A99687C" w:rsidR="00073E67" w:rsidRPr="00FC3225" w:rsidRDefault="00073E67" w:rsidP="0090609F">
      <w:pPr>
        <w:pStyle w:val="xmsonormal"/>
        <w:numPr>
          <w:ilvl w:val="0"/>
          <w:numId w:val="18"/>
        </w:numPr>
        <w:ind w:right="851"/>
        <w:jc w:val="both"/>
        <w:rPr>
          <w:rFonts w:ascii="Book Antiqua" w:eastAsia="Calibri" w:hAnsi="Book Antiqua" w:cs="Arial"/>
          <w:i/>
          <w:iCs/>
          <w:lang w:eastAsia="en-US"/>
        </w:rPr>
      </w:pPr>
      <w:r w:rsidRPr="00FC3225">
        <w:rPr>
          <w:rFonts w:ascii="Book Antiqua" w:eastAsia="Calibri" w:hAnsi="Book Antiqua" w:cs="Arial"/>
          <w:i/>
          <w:iCs/>
          <w:lang w:eastAsia="en-US"/>
        </w:rPr>
        <w:t>Además, cualquier otra resolución que ponga fin al proceso.</w:t>
      </w:r>
    </w:p>
    <w:p w14:paraId="2416119D" w14:textId="4F9CA979" w:rsidR="00B334DD" w:rsidRDefault="00BA509F" w:rsidP="00537B3F">
      <w:pPr>
        <w:spacing w:line="276" w:lineRule="auto"/>
        <w:jc w:val="both"/>
        <w:rPr>
          <w:rFonts w:ascii="Book Antiqua" w:eastAsia="Calibri" w:hAnsi="Book Antiqua" w:cs="Arial"/>
          <w:sz w:val="24"/>
          <w:szCs w:val="24"/>
        </w:rPr>
      </w:pPr>
      <w:r w:rsidRPr="00537B3F">
        <w:rPr>
          <w:rFonts w:ascii="Book Antiqua" w:eastAsia="Calibri" w:hAnsi="Book Antiqua" w:cs="Arial"/>
          <w:sz w:val="24"/>
          <w:szCs w:val="24"/>
        </w:rPr>
        <w:t>Po</w:t>
      </w:r>
      <w:r w:rsidR="00FC6422" w:rsidRPr="00537B3F">
        <w:rPr>
          <w:rFonts w:ascii="Book Antiqua" w:eastAsia="Calibri" w:hAnsi="Book Antiqua" w:cs="Arial"/>
          <w:sz w:val="24"/>
          <w:szCs w:val="24"/>
        </w:rPr>
        <w:t>r</w:t>
      </w:r>
      <w:r w:rsidRPr="00537B3F">
        <w:rPr>
          <w:rFonts w:ascii="Book Antiqua" w:eastAsia="Calibri" w:hAnsi="Book Antiqua" w:cs="Arial"/>
          <w:sz w:val="24"/>
          <w:szCs w:val="24"/>
        </w:rPr>
        <w:t xml:space="preserve"> otra </w:t>
      </w:r>
      <w:r w:rsidR="00A5046B" w:rsidRPr="00537B3F">
        <w:rPr>
          <w:rFonts w:ascii="Book Antiqua" w:eastAsia="Calibri" w:hAnsi="Book Antiqua" w:cs="Arial"/>
          <w:sz w:val="24"/>
          <w:szCs w:val="24"/>
        </w:rPr>
        <w:t xml:space="preserve">parte, </w:t>
      </w:r>
      <w:r w:rsidR="00C47EB6">
        <w:rPr>
          <w:rFonts w:ascii="Book Antiqua" w:eastAsia="Calibri" w:hAnsi="Book Antiqua" w:cs="Arial"/>
          <w:sz w:val="24"/>
          <w:szCs w:val="24"/>
        </w:rPr>
        <w:t xml:space="preserve">de las sesiones de trabajo de </w:t>
      </w:r>
      <w:r w:rsidR="00214115" w:rsidRPr="00537B3F">
        <w:rPr>
          <w:rFonts w:ascii="Book Antiqua" w:eastAsia="Calibri" w:hAnsi="Book Antiqua" w:cs="Arial"/>
          <w:sz w:val="24"/>
          <w:szCs w:val="24"/>
        </w:rPr>
        <w:t>la Dirección de Planificación</w:t>
      </w:r>
      <w:r w:rsidR="00330E7E">
        <w:rPr>
          <w:rFonts w:ascii="Book Antiqua" w:eastAsia="Calibri" w:hAnsi="Book Antiqua" w:cs="Arial"/>
          <w:sz w:val="24"/>
          <w:szCs w:val="24"/>
        </w:rPr>
        <w:t xml:space="preserve"> con </w:t>
      </w:r>
      <w:r w:rsidR="00A17068" w:rsidRPr="00A17068">
        <w:rPr>
          <w:rFonts w:ascii="Book Antiqua" w:eastAsia="Calibri" w:hAnsi="Book Antiqua" w:cs="Arial"/>
          <w:sz w:val="24"/>
          <w:szCs w:val="24"/>
        </w:rPr>
        <w:t>el Centro de Apoyo, Coordinación y Mejoramiento de la Función Jurisdiccional y personas juzgadoras de la materia de Familia</w:t>
      </w:r>
      <w:r w:rsidR="00330E7E">
        <w:rPr>
          <w:rFonts w:ascii="Book Antiqua" w:eastAsia="Calibri" w:hAnsi="Book Antiqua" w:cs="Arial"/>
          <w:sz w:val="24"/>
          <w:szCs w:val="24"/>
        </w:rPr>
        <w:t>,</w:t>
      </w:r>
      <w:r w:rsidR="00A17068" w:rsidRPr="00A17068">
        <w:rPr>
          <w:rFonts w:ascii="Book Antiqua" w:eastAsia="Calibri" w:hAnsi="Book Antiqua" w:cs="Arial"/>
          <w:sz w:val="24"/>
          <w:szCs w:val="24"/>
        </w:rPr>
        <w:t xml:space="preserve"> </w:t>
      </w:r>
      <w:r w:rsidR="00330E7E">
        <w:rPr>
          <w:rFonts w:ascii="Book Antiqua" w:eastAsia="Calibri" w:hAnsi="Book Antiqua" w:cs="Arial"/>
          <w:sz w:val="24"/>
          <w:szCs w:val="24"/>
        </w:rPr>
        <w:t xml:space="preserve">se </w:t>
      </w:r>
      <w:r w:rsidR="00A17068" w:rsidRPr="00A17068">
        <w:rPr>
          <w:rFonts w:ascii="Book Antiqua" w:eastAsia="Calibri" w:hAnsi="Book Antiqua" w:cs="Arial"/>
          <w:sz w:val="24"/>
          <w:szCs w:val="24"/>
        </w:rPr>
        <w:t>propuso una adición y aclaración de la circular 260-20</w:t>
      </w:r>
      <w:r w:rsidR="00330E7E">
        <w:rPr>
          <w:rFonts w:ascii="Book Antiqua" w:eastAsia="Calibri" w:hAnsi="Book Antiqua" w:cs="Arial"/>
          <w:sz w:val="24"/>
          <w:szCs w:val="24"/>
        </w:rPr>
        <w:t>20</w:t>
      </w:r>
      <w:r w:rsidR="00A17068" w:rsidRPr="00A17068">
        <w:rPr>
          <w:rFonts w:ascii="Book Antiqua" w:eastAsia="Calibri" w:hAnsi="Book Antiqua" w:cs="Arial"/>
          <w:sz w:val="24"/>
          <w:szCs w:val="24"/>
        </w:rPr>
        <w:t xml:space="preserve"> y construir una propuesta de ampliación de esta (oficio 1090-PLA-MI-2021</w:t>
      </w:r>
      <w:r w:rsidR="00545C67">
        <w:rPr>
          <w:rFonts w:ascii="Book Antiqua" w:eastAsia="Calibri" w:hAnsi="Book Antiqua" w:cs="Arial"/>
          <w:sz w:val="24"/>
          <w:szCs w:val="24"/>
        </w:rPr>
        <w:t>-circular 244-21</w:t>
      </w:r>
      <w:r w:rsidR="00C302EE">
        <w:rPr>
          <w:rFonts w:ascii="Book Antiqua" w:eastAsia="Calibri" w:hAnsi="Book Antiqua" w:cs="Arial"/>
          <w:sz w:val="24"/>
          <w:szCs w:val="24"/>
        </w:rPr>
        <w:t>)</w:t>
      </w:r>
      <w:r w:rsidR="00B334DD">
        <w:rPr>
          <w:rFonts w:ascii="Book Antiqua" w:eastAsia="Calibri" w:hAnsi="Book Antiqua" w:cs="Arial"/>
          <w:sz w:val="24"/>
          <w:szCs w:val="24"/>
        </w:rPr>
        <w:t xml:space="preserve">; la propuesta fue aprobada </w:t>
      </w:r>
      <w:r w:rsidR="0073220A" w:rsidRPr="0073220A">
        <w:rPr>
          <w:rFonts w:ascii="Book Antiqua" w:eastAsia="Calibri" w:hAnsi="Book Antiqua" w:cs="Arial"/>
          <w:sz w:val="24"/>
          <w:szCs w:val="24"/>
        </w:rPr>
        <w:t>por el Consejo Superior en sesión 96-2021 celebrada el 09 de noviembre del 2021, artículo XLI donde dispuso:</w:t>
      </w:r>
    </w:p>
    <w:p w14:paraId="1DDBCF9E" w14:textId="77777777" w:rsidR="00830FE1" w:rsidRPr="00830FE1" w:rsidRDefault="00830FE1" w:rsidP="00830FE1">
      <w:pPr>
        <w:autoSpaceDE w:val="0"/>
        <w:autoSpaceDN w:val="0"/>
        <w:spacing w:after="0" w:line="276" w:lineRule="auto"/>
        <w:ind w:left="1057" w:right="371"/>
        <w:jc w:val="both"/>
        <w:rPr>
          <w:rFonts w:ascii="Book Antiqua" w:eastAsia="Times New Roman" w:hAnsi="Book Antiqua" w:cs="Calibri"/>
          <w:i/>
          <w:iCs/>
          <w:lang w:val="es-ES" w:eastAsia="es-ES"/>
        </w:rPr>
      </w:pPr>
      <w:r w:rsidRPr="00830FE1">
        <w:rPr>
          <w:rFonts w:ascii="Book Antiqua" w:eastAsia="Times New Roman" w:hAnsi="Book Antiqua" w:cs="Calibri"/>
          <w:i/>
          <w:iCs/>
          <w:lang w:val="es-ES" w:eastAsia="es-ES"/>
        </w:rPr>
        <w:t>“</w:t>
      </w:r>
      <w:r w:rsidRPr="00830FE1">
        <w:rPr>
          <w:rFonts w:ascii="Book Antiqua" w:eastAsia="Times New Roman" w:hAnsi="Book Antiqua" w:cs="Calibri"/>
          <w:b/>
          <w:bCs/>
          <w:i/>
          <w:iCs/>
          <w:lang w:val="es-ES" w:eastAsia="es-ES"/>
        </w:rPr>
        <w:t>Se acordó: 1.)</w:t>
      </w:r>
      <w:r w:rsidRPr="00830FE1">
        <w:rPr>
          <w:rFonts w:ascii="Book Antiqua" w:eastAsia="Times New Roman" w:hAnsi="Book Antiqua" w:cs="Calibri"/>
          <w:i/>
          <w:iCs/>
          <w:lang w:val="es-ES" w:eastAsia="es-ES"/>
        </w:rPr>
        <w:t xml:space="preserve"> Tener por recibido el acuerdo tomado por la Comisión de la Jurisdicción de Familia, Niñez y Adolescencia en sesión virtual N° 16-2021 celebrada el 19 de octubre de 2021, artículo II, remitido por la Magistrada Julia Varela Araya, en su condición de Coordinadora de la citada Comisión. </w:t>
      </w:r>
      <w:r w:rsidRPr="00830FE1">
        <w:rPr>
          <w:rFonts w:ascii="Book Antiqua" w:eastAsia="Times New Roman" w:hAnsi="Book Antiqua" w:cs="Calibri"/>
          <w:b/>
          <w:bCs/>
          <w:i/>
          <w:iCs/>
          <w:lang w:val="es-ES" w:eastAsia="es-ES"/>
        </w:rPr>
        <w:t>2.)</w:t>
      </w:r>
      <w:r w:rsidRPr="00830FE1">
        <w:rPr>
          <w:rFonts w:ascii="Book Antiqua" w:eastAsia="Times New Roman" w:hAnsi="Book Antiqua" w:cs="Calibri"/>
          <w:i/>
          <w:iCs/>
          <w:lang w:val="es-ES" w:eastAsia="es-ES"/>
        </w:rPr>
        <w:t xml:space="preserve"> Aprobar el proyecto de circular propuesto por la Dirección de Planificación para adición y aclaración de la circular 260-2020, en materia de Familia, como parte de las labores asociadas al proyecto 1374-CF-P01“Implementación del Código Procesal de Familia”.</w:t>
      </w:r>
    </w:p>
    <w:p w14:paraId="14B89800" w14:textId="77777777" w:rsidR="00830FE1" w:rsidRPr="00830FE1" w:rsidRDefault="00830FE1" w:rsidP="00830FE1">
      <w:pPr>
        <w:autoSpaceDE w:val="0"/>
        <w:autoSpaceDN w:val="0"/>
        <w:spacing w:after="0" w:line="276" w:lineRule="auto"/>
        <w:ind w:left="1057" w:right="371"/>
        <w:jc w:val="both"/>
        <w:rPr>
          <w:rFonts w:ascii="Book Antiqua" w:eastAsia="Times New Roman" w:hAnsi="Book Antiqua" w:cs="Calibri"/>
          <w:i/>
          <w:iCs/>
          <w:lang w:val="es-ES" w:eastAsia="es-ES"/>
        </w:rPr>
      </w:pPr>
    </w:p>
    <w:p w14:paraId="08ABE2F0" w14:textId="77777777" w:rsidR="00830FE1" w:rsidRPr="00830FE1" w:rsidRDefault="00830FE1" w:rsidP="00830FE1">
      <w:pPr>
        <w:autoSpaceDE w:val="0"/>
        <w:autoSpaceDN w:val="0"/>
        <w:spacing w:after="0" w:line="276" w:lineRule="auto"/>
        <w:ind w:left="1057" w:right="371"/>
        <w:jc w:val="both"/>
        <w:rPr>
          <w:rFonts w:ascii="Book Antiqua" w:eastAsia="Times New Roman" w:hAnsi="Book Antiqua" w:cs="Calibri"/>
          <w:i/>
          <w:iCs/>
          <w:lang w:val="es-ES" w:eastAsia="es-ES"/>
        </w:rPr>
      </w:pPr>
      <w:r w:rsidRPr="00830FE1">
        <w:rPr>
          <w:rFonts w:ascii="Book Antiqua" w:eastAsia="Times New Roman" w:hAnsi="Book Antiqua" w:cs="Calibri"/>
          <w:i/>
          <w:iCs/>
          <w:lang w:val="es-ES" w:eastAsia="es-ES"/>
        </w:rPr>
        <w:t>La Secretaría General de la Corte tomará nota para el trámite de publicación correspondiente. Se declara acuerdo firme.”</w:t>
      </w:r>
    </w:p>
    <w:p w14:paraId="4B791A1F" w14:textId="77777777" w:rsidR="001A31B9" w:rsidRDefault="001A31B9" w:rsidP="0030369F">
      <w:pPr>
        <w:spacing w:line="276" w:lineRule="auto"/>
        <w:jc w:val="both"/>
        <w:rPr>
          <w:rFonts w:ascii="Book Antiqua" w:eastAsia="Calibri" w:hAnsi="Book Antiqua" w:cs="Arial"/>
          <w:sz w:val="24"/>
          <w:szCs w:val="24"/>
        </w:rPr>
      </w:pPr>
    </w:p>
    <w:p w14:paraId="3D5F30F0" w14:textId="4073FD37" w:rsidR="00073E67" w:rsidRPr="00537B3F" w:rsidRDefault="001A31B9" w:rsidP="00144288">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 xml:space="preserve">Dado lo anterior, la Secretaría General de la Corte, </w:t>
      </w:r>
      <w:r w:rsidR="003F652E">
        <w:rPr>
          <w:rFonts w:ascii="Book Antiqua" w:eastAsia="Calibri" w:hAnsi="Book Antiqua" w:cs="Arial"/>
          <w:sz w:val="24"/>
          <w:szCs w:val="24"/>
        </w:rPr>
        <w:t xml:space="preserve">emitió la circular </w:t>
      </w:r>
      <w:r w:rsidR="00E7082D" w:rsidRPr="00537B3F">
        <w:rPr>
          <w:rFonts w:ascii="Book Antiqua" w:eastAsia="Calibri" w:hAnsi="Book Antiqua" w:cs="Arial"/>
          <w:sz w:val="24"/>
          <w:szCs w:val="24"/>
        </w:rPr>
        <w:t>244-2021</w:t>
      </w:r>
      <w:r w:rsidR="004C77BB">
        <w:rPr>
          <w:rFonts w:ascii="Book Antiqua" w:eastAsia="Calibri" w:hAnsi="Book Antiqua" w:cs="Arial"/>
          <w:sz w:val="24"/>
          <w:szCs w:val="24"/>
        </w:rPr>
        <w:t>,</w:t>
      </w:r>
      <w:r w:rsidR="00E7082D" w:rsidRPr="00537B3F">
        <w:rPr>
          <w:rFonts w:ascii="Book Antiqua" w:eastAsia="Calibri" w:hAnsi="Book Antiqua" w:cs="Arial"/>
          <w:sz w:val="24"/>
          <w:szCs w:val="24"/>
        </w:rPr>
        <w:t xml:space="preserve"> </w:t>
      </w:r>
      <w:r w:rsidR="00C337D0">
        <w:rPr>
          <w:rFonts w:ascii="Book Antiqua" w:eastAsia="Calibri" w:hAnsi="Book Antiqua" w:cs="Arial"/>
          <w:sz w:val="24"/>
          <w:szCs w:val="24"/>
        </w:rPr>
        <w:t>“</w:t>
      </w:r>
      <w:r w:rsidR="00E7082D" w:rsidRPr="005E6770">
        <w:rPr>
          <w:rFonts w:ascii="Book Antiqua" w:eastAsia="Calibri" w:hAnsi="Book Antiqua" w:cs="Arial"/>
          <w:i/>
          <w:iCs/>
          <w:sz w:val="24"/>
          <w:szCs w:val="24"/>
        </w:rPr>
        <w:t>Adición y aclaración de la circular N° 260-2020</w:t>
      </w:r>
      <w:r w:rsidR="004C77BB">
        <w:rPr>
          <w:rFonts w:ascii="Book Antiqua" w:eastAsia="Calibri" w:hAnsi="Book Antiqua" w:cs="Arial"/>
          <w:sz w:val="24"/>
          <w:szCs w:val="24"/>
        </w:rPr>
        <w:t>”</w:t>
      </w:r>
      <w:r w:rsidR="002706C2">
        <w:rPr>
          <w:rFonts w:ascii="Book Antiqua" w:eastAsia="Calibri" w:hAnsi="Book Antiqua" w:cs="Arial"/>
          <w:sz w:val="24"/>
          <w:szCs w:val="24"/>
        </w:rPr>
        <w:t xml:space="preserve"> </w:t>
      </w:r>
      <w:r w:rsidR="00144288" w:rsidRPr="00F60C0B">
        <w:rPr>
          <w:rFonts w:ascii="Book Antiqua" w:eastAsia="Calibri" w:hAnsi="Book Antiqua" w:cs="Arial"/>
          <w:bCs/>
          <w:sz w:val="24"/>
          <w:szCs w:val="24"/>
        </w:rPr>
        <w:t>(</w:t>
      </w:r>
      <w:r w:rsidR="00144288" w:rsidRPr="00F60C0B">
        <w:rPr>
          <w:rFonts w:ascii="Book Antiqua" w:eastAsia="Calibri" w:hAnsi="Book Antiqua" w:cs="Arial"/>
          <w:b/>
          <w:i/>
          <w:iCs/>
          <w:sz w:val="24"/>
          <w:szCs w:val="24"/>
        </w:rPr>
        <w:t>anexo 1</w:t>
      </w:r>
      <w:r w:rsidR="00A120C6">
        <w:rPr>
          <w:rFonts w:ascii="Book Antiqua" w:eastAsia="Calibri" w:hAnsi="Book Antiqua" w:cs="Arial"/>
          <w:b/>
          <w:i/>
          <w:iCs/>
          <w:sz w:val="24"/>
          <w:szCs w:val="24"/>
        </w:rPr>
        <w:t>5</w:t>
      </w:r>
      <w:r w:rsidR="00144288" w:rsidRPr="00F60C0B">
        <w:rPr>
          <w:rFonts w:ascii="Book Antiqua" w:eastAsia="Calibri" w:hAnsi="Book Antiqua" w:cs="Arial"/>
          <w:bCs/>
          <w:sz w:val="24"/>
          <w:szCs w:val="24"/>
        </w:rPr>
        <w:t>)</w:t>
      </w:r>
      <w:r w:rsidR="00144288">
        <w:rPr>
          <w:rFonts w:ascii="Book Antiqua" w:eastAsia="Calibri" w:hAnsi="Book Antiqua" w:cs="Arial"/>
          <w:bCs/>
          <w:sz w:val="24"/>
          <w:szCs w:val="24"/>
        </w:rPr>
        <w:t xml:space="preserve">, </w:t>
      </w:r>
      <w:r w:rsidR="002706C2">
        <w:rPr>
          <w:rFonts w:ascii="Book Antiqua" w:eastAsia="Calibri" w:hAnsi="Book Antiqua" w:cs="Arial"/>
          <w:sz w:val="24"/>
          <w:szCs w:val="24"/>
        </w:rPr>
        <w:t xml:space="preserve">en la que se </w:t>
      </w:r>
      <w:r w:rsidR="002706C2" w:rsidRPr="002706C2">
        <w:rPr>
          <w:rFonts w:ascii="Book Antiqua" w:eastAsia="Calibri" w:hAnsi="Book Antiqua" w:cs="Arial"/>
          <w:sz w:val="24"/>
          <w:szCs w:val="24"/>
        </w:rPr>
        <w:t xml:space="preserve">informa </w:t>
      </w:r>
      <w:r w:rsidR="00D23759" w:rsidRPr="002706C2">
        <w:rPr>
          <w:rFonts w:ascii="Book Antiqua" w:eastAsia="Calibri" w:hAnsi="Book Antiqua" w:cs="Arial"/>
          <w:sz w:val="24"/>
          <w:szCs w:val="24"/>
        </w:rPr>
        <w:t>cuáles</w:t>
      </w:r>
      <w:r w:rsidR="002706C2" w:rsidRPr="002706C2">
        <w:rPr>
          <w:rFonts w:ascii="Book Antiqua" w:eastAsia="Calibri" w:hAnsi="Book Antiqua" w:cs="Arial"/>
          <w:sz w:val="24"/>
          <w:szCs w:val="24"/>
        </w:rPr>
        <w:t xml:space="preserve"> son las únicas resoluciones que se consideran sentencia, por </w:t>
      </w:r>
      <w:r w:rsidR="00FC2636" w:rsidRPr="002706C2">
        <w:rPr>
          <w:rFonts w:ascii="Book Antiqua" w:eastAsia="Calibri" w:hAnsi="Book Antiqua" w:cs="Arial"/>
          <w:sz w:val="24"/>
          <w:szCs w:val="24"/>
        </w:rPr>
        <w:t>ende,</w:t>
      </w:r>
      <w:r w:rsidR="002706C2" w:rsidRPr="002706C2">
        <w:rPr>
          <w:rFonts w:ascii="Book Antiqua" w:eastAsia="Calibri" w:hAnsi="Book Antiqua" w:cs="Arial"/>
          <w:sz w:val="24"/>
          <w:szCs w:val="24"/>
        </w:rPr>
        <w:t xml:space="preserve"> llevan número de voto, registro de resolución y se anotan en el módulo de pase a fallo, siendo las siguiente</w:t>
      </w:r>
      <w:r w:rsidR="00137076">
        <w:rPr>
          <w:rFonts w:ascii="Book Antiqua" w:eastAsia="Calibri" w:hAnsi="Book Antiqua" w:cs="Arial"/>
          <w:sz w:val="24"/>
          <w:szCs w:val="24"/>
        </w:rPr>
        <w:t>s</w:t>
      </w:r>
      <w:r w:rsidR="00344167">
        <w:rPr>
          <w:rFonts w:ascii="Book Antiqua" w:eastAsia="Calibri" w:hAnsi="Book Antiqua" w:cs="Arial"/>
          <w:sz w:val="24"/>
          <w:szCs w:val="24"/>
        </w:rPr>
        <w:t>:</w:t>
      </w:r>
      <w:r w:rsidR="00121D12" w:rsidRPr="00537B3F">
        <w:rPr>
          <w:rFonts w:ascii="Book Antiqua" w:eastAsia="Calibri" w:hAnsi="Book Antiqua" w:cs="Arial"/>
          <w:sz w:val="24"/>
          <w:szCs w:val="24"/>
        </w:rPr>
        <w:t xml:space="preserve"> </w:t>
      </w:r>
      <w:r w:rsidR="00073E67" w:rsidRPr="00537B3F">
        <w:rPr>
          <w:rFonts w:ascii="Book Antiqua" w:eastAsia="Calibri" w:hAnsi="Book Antiqua" w:cs="Arial"/>
          <w:sz w:val="24"/>
          <w:szCs w:val="24"/>
        </w:rPr>
        <w:t> </w:t>
      </w:r>
    </w:p>
    <w:p w14:paraId="6346B089" w14:textId="77777777" w:rsidR="00597E97" w:rsidRDefault="00894BFC" w:rsidP="0090609F">
      <w:pPr>
        <w:pStyle w:val="xmsonormal"/>
        <w:numPr>
          <w:ilvl w:val="0"/>
          <w:numId w:val="19"/>
        </w:numPr>
        <w:tabs>
          <w:tab w:val="left" w:pos="993"/>
        </w:tabs>
        <w:ind w:right="851"/>
        <w:jc w:val="both"/>
        <w:rPr>
          <w:rFonts w:ascii="Book Antiqua" w:eastAsia="Calibri" w:hAnsi="Book Antiqua" w:cs="Arial"/>
          <w:lang w:eastAsia="en-US"/>
        </w:rPr>
      </w:pPr>
      <w:r w:rsidRPr="0060399C">
        <w:rPr>
          <w:rFonts w:ascii="Book Antiqua" w:eastAsia="Calibri" w:hAnsi="Book Antiqua" w:cs="Arial"/>
          <w:lang w:eastAsia="en-US"/>
        </w:rPr>
        <w:t>Sentencias dictadas en cualquier tipo de proceso familiar.</w:t>
      </w:r>
    </w:p>
    <w:p w14:paraId="017EF79A" w14:textId="3AA83D5B" w:rsidR="00894BFC" w:rsidRPr="0060399C" w:rsidRDefault="00894BFC" w:rsidP="0090609F">
      <w:pPr>
        <w:pStyle w:val="xmsonormal"/>
        <w:numPr>
          <w:ilvl w:val="0"/>
          <w:numId w:val="19"/>
        </w:numPr>
        <w:tabs>
          <w:tab w:val="left" w:pos="993"/>
        </w:tabs>
        <w:ind w:right="851"/>
        <w:jc w:val="both"/>
        <w:rPr>
          <w:rFonts w:ascii="Book Antiqua" w:eastAsia="Calibri" w:hAnsi="Book Antiqua" w:cs="Arial"/>
          <w:lang w:eastAsia="en-US"/>
        </w:rPr>
      </w:pPr>
      <w:r w:rsidRPr="0060399C">
        <w:rPr>
          <w:rFonts w:ascii="Book Antiqua" w:eastAsia="Calibri" w:hAnsi="Book Antiqua" w:cs="Arial"/>
          <w:lang w:eastAsia="en-US"/>
        </w:rPr>
        <w:t>Sentencias de homologación de acuerdos conciliatorios judiciales o extrajudiciales.</w:t>
      </w:r>
    </w:p>
    <w:p w14:paraId="7EED78C0" w14:textId="5ABE247F" w:rsidR="00894BFC" w:rsidRPr="00894BFC" w:rsidRDefault="00894BFC" w:rsidP="0090609F">
      <w:pPr>
        <w:pStyle w:val="xmsonormal"/>
        <w:numPr>
          <w:ilvl w:val="0"/>
          <w:numId w:val="19"/>
        </w:numPr>
        <w:ind w:right="851"/>
        <w:jc w:val="both"/>
        <w:rPr>
          <w:rFonts w:ascii="Book Antiqua" w:eastAsia="Calibri" w:hAnsi="Book Antiqua" w:cs="Arial"/>
        </w:rPr>
      </w:pPr>
      <w:r w:rsidRPr="00894BFC">
        <w:rPr>
          <w:rFonts w:ascii="Book Antiqua" w:eastAsia="Calibri" w:hAnsi="Book Antiqua" w:cs="Arial"/>
          <w:lang w:eastAsia="en-US"/>
        </w:rPr>
        <w:t>Aprobación de convenios de divorcio por mutuo consentimiento</w:t>
      </w:r>
      <w:r w:rsidRPr="00894BFC">
        <w:rPr>
          <w:rFonts w:ascii="Book Antiqua" w:eastAsia="Calibri" w:hAnsi="Book Antiqua" w:cs="Arial"/>
        </w:rPr>
        <w:t>.</w:t>
      </w:r>
    </w:p>
    <w:p w14:paraId="773E6B96" w14:textId="7BE07AA6" w:rsidR="00894BFC" w:rsidRPr="00590258"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590258">
        <w:rPr>
          <w:rFonts w:ascii="Book Antiqua" w:eastAsia="Calibri" w:hAnsi="Book Antiqua" w:cs="Arial"/>
          <w:sz w:val="24"/>
          <w:szCs w:val="24"/>
        </w:rPr>
        <w:t>Sentencias en procesos incidentales. Se recomienda que en las incidencias de nulidad las mismas sean tramitadas de manera interlocutoria dentro del proceso principal.</w:t>
      </w:r>
    </w:p>
    <w:p w14:paraId="30B25F64" w14:textId="1BDEA6AE" w:rsidR="00894BFC"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Sentencias en procesos de modificación de fallo.</w:t>
      </w:r>
    </w:p>
    <w:p w14:paraId="46024995" w14:textId="59A88B73" w:rsidR="00894BFC"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Resoluciones donde se declaran o se acogen deserciones del proceso</w:t>
      </w:r>
    </w:p>
    <w:p w14:paraId="60CDB331" w14:textId="74F64523" w:rsidR="00894BFC"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Resoluciones que acojan excepciones previas que pongan fin al proceso.</w:t>
      </w:r>
    </w:p>
    <w:p w14:paraId="61D4A0C1" w14:textId="77777777" w:rsidR="00FF0668"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Resoluciones que acojan excepciones de falta de competencia internacional.</w:t>
      </w:r>
    </w:p>
    <w:p w14:paraId="549784B6" w14:textId="7493B6B1" w:rsidR="000464DA" w:rsidRPr="00B20952" w:rsidRDefault="00894BFC" w:rsidP="0090609F">
      <w:pPr>
        <w:pStyle w:val="Prrafodelista"/>
        <w:numPr>
          <w:ilvl w:val="0"/>
          <w:numId w:val="19"/>
        </w:numPr>
        <w:spacing w:before="100" w:beforeAutospacing="1" w:after="100" w:afterAutospacing="1" w:line="240" w:lineRule="auto"/>
        <w:ind w:right="851"/>
        <w:jc w:val="both"/>
        <w:rPr>
          <w:rFonts w:ascii="Book Antiqua" w:eastAsia="Calibri" w:hAnsi="Book Antiqua" w:cs="Arial"/>
          <w:sz w:val="24"/>
          <w:szCs w:val="24"/>
        </w:rPr>
      </w:pPr>
      <w:r w:rsidRPr="00B20952">
        <w:rPr>
          <w:rFonts w:ascii="Book Antiqua" w:eastAsia="Calibri" w:hAnsi="Book Antiqua" w:cs="Arial"/>
          <w:sz w:val="24"/>
          <w:szCs w:val="24"/>
        </w:rPr>
        <w:t>Sentencias por procesos de revisión de salvaguardas.</w:t>
      </w:r>
    </w:p>
    <w:p w14:paraId="34FA393E" w14:textId="481E6897" w:rsidR="008C148C" w:rsidRDefault="00FC3225" w:rsidP="0030369F">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Posteriormente, </w:t>
      </w:r>
      <w:r w:rsidR="001A31B9">
        <w:rPr>
          <w:rFonts w:ascii="Book Antiqua" w:eastAsia="Calibri" w:hAnsi="Book Antiqua" w:cs="Arial"/>
          <w:sz w:val="24"/>
          <w:szCs w:val="24"/>
        </w:rPr>
        <w:t>e</w:t>
      </w:r>
      <w:r w:rsidR="00276841">
        <w:rPr>
          <w:rFonts w:ascii="Book Antiqua" w:eastAsia="Calibri" w:hAnsi="Book Antiqua" w:cs="Arial"/>
          <w:sz w:val="24"/>
          <w:szCs w:val="24"/>
        </w:rPr>
        <w:t>n e</w:t>
      </w:r>
      <w:r w:rsidR="001A31B9">
        <w:rPr>
          <w:rFonts w:ascii="Book Antiqua" w:eastAsia="Calibri" w:hAnsi="Book Antiqua" w:cs="Arial"/>
          <w:sz w:val="24"/>
          <w:szCs w:val="24"/>
        </w:rPr>
        <w:t>l</w:t>
      </w:r>
      <w:r w:rsidR="008C0984">
        <w:rPr>
          <w:rFonts w:ascii="Book Antiqua" w:eastAsia="Calibri" w:hAnsi="Book Antiqua" w:cs="Arial"/>
          <w:sz w:val="24"/>
          <w:szCs w:val="24"/>
        </w:rPr>
        <w:t xml:space="preserve"> informe </w:t>
      </w:r>
      <w:r w:rsidR="00EB526A">
        <w:rPr>
          <w:rFonts w:ascii="Book Antiqua" w:eastAsia="Calibri" w:hAnsi="Book Antiqua" w:cs="Arial"/>
          <w:sz w:val="24"/>
          <w:szCs w:val="24"/>
        </w:rPr>
        <w:t>1298-PLA-MI-2021</w:t>
      </w:r>
      <w:r w:rsidR="00A5020A">
        <w:rPr>
          <w:rFonts w:ascii="Book Antiqua" w:eastAsia="Calibri" w:hAnsi="Book Antiqua" w:cs="Arial"/>
          <w:sz w:val="24"/>
          <w:szCs w:val="24"/>
        </w:rPr>
        <w:t xml:space="preserve"> de la Dirección de Planificación</w:t>
      </w:r>
      <w:r w:rsidR="00545C67">
        <w:rPr>
          <w:rStyle w:val="Refdenotaalpie"/>
          <w:rFonts w:ascii="Book Antiqua" w:eastAsia="Calibri" w:hAnsi="Book Antiqua" w:cs="Arial"/>
          <w:sz w:val="24"/>
          <w:szCs w:val="24"/>
        </w:rPr>
        <w:footnoteReference w:id="11"/>
      </w:r>
      <w:r w:rsidR="00A5020A">
        <w:rPr>
          <w:rFonts w:ascii="Book Antiqua" w:eastAsia="Calibri" w:hAnsi="Book Antiqua" w:cs="Arial"/>
          <w:sz w:val="24"/>
          <w:szCs w:val="24"/>
        </w:rPr>
        <w:t xml:space="preserve">, relacionado con </w:t>
      </w:r>
      <w:r w:rsidR="00F41F2B" w:rsidRPr="00F41F2B">
        <w:rPr>
          <w:rFonts w:ascii="Book Antiqua" w:eastAsia="Calibri" w:hAnsi="Book Antiqua" w:cs="Arial"/>
          <w:sz w:val="24"/>
          <w:szCs w:val="24"/>
        </w:rPr>
        <w:t xml:space="preserve">la </w:t>
      </w:r>
      <w:r w:rsidR="007B3EAC">
        <w:rPr>
          <w:rFonts w:ascii="Book Antiqua" w:eastAsia="Calibri" w:hAnsi="Book Antiqua" w:cs="Arial"/>
          <w:sz w:val="24"/>
          <w:szCs w:val="24"/>
        </w:rPr>
        <w:t>“</w:t>
      </w:r>
      <w:r w:rsidR="007B3EAC" w:rsidRPr="001D0C10">
        <w:rPr>
          <w:rFonts w:ascii="Book Antiqua" w:eastAsia="Calibri" w:hAnsi="Book Antiqua" w:cs="Arial"/>
          <w:i/>
          <w:iCs/>
          <w:sz w:val="24"/>
          <w:szCs w:val="24"/>
        </w:rPr>
        <w:t>R</w:t>
      </w:r>
      <w:r w:rsidR="00F41F2B" w:rsidRPr="001D0C10">
        <w:rPr>
          <w:rFonts w:ascii="Book Antiqua" w:eastAsia="Calibri" w:hAnsi="Book Antiqua" w:cs="Arial"/>
          <w:i/>
          <w:iCs/>
          <w:sz w:val="24"/>
          <w:szCs w:val="24"/>
        </w:rPr>
        <w:t xml:space="preserve">evisión de la cuota de trabajo de las personas juzgadoras en materia de Familia, registro en la matriz de indicadores y propuesta de </w:t>
      </w:r>
      <w:r w:rsidR="007B3EAC" w:rsidRPr="001D0C10">
        <w:rPr>
          <w:rFonts w:ascii="Book Antiqua" w:eastAsia="Calibri" w:hAnsi="Book Antiqua" w:cs="Arial"/>
          <w:i/>
          <w:iCs/>
          <w:sz w:val="24"/>
          <w:szCs w:val="24"/>
        </w:rPr>
        <w:t>inclusión de dos</w:t>
      </w:r>
      <w:r w:rsidR="00F41F2B" w:rsidRPr="001D0C10">
        <w:rPr>
          <w:rFonts w:ascii="Book Antiqua" w:eastAsia="Calibri" w:hAnsi="Book Antiqua" w:cs="Arial"/>
          <w:i/>
          <w:iCs/>
          <w:sz w:val="24"/>
          <w:szCs w:val="24"/>
        </w:rPr>
        <w:t xml:space="preserve"> indicador</w:t>
      </w:r>
      <w:r w:rsidR="007B3EAC" w:rsidRPr="001D0C10">
        <w:rPr>
          <w:rFonts w:ascii="Book Antiqua" w:eastAsia="Calibri" w:hAnsi="Book Antiqua" w:cs="Arial"/>
          <w:i/>
          <w:iCs/>
          <w:sz w:val="24"/>
          <w:szCs w:val="24"/>
        </w:rPr>
        <w:t>es:</w:t>
      </w:r>
      <w:r w:rsidR="00F41F2B" w:rsidRPr="001D0C10">
        <w:rPr>
          <w:rFonts w:ascii="Book Antiqua" w:eastAsia="Calibri" w:hAnsi="Book Antiqua" w:cs="Arial"/>
          <w:i/>
          <w:iCs/>
          <w:sz w:val="24"/>
          <w:szCs w:val="24"/>
        </w:rPr>
        <w:t xml:space="preserve"> terminados y sentencias</w:t>
      </w:r>
      <w:r w:rsidR="00142F13" w:rsidRPr="001D0C10">
        <w:rPr>
          <w:rFonts w:ascii="Book Antiqua" w:eastAsia="Calibri" w:hAnsi="Book Antiqua" w:cs="Arial"/>
          <w:i/>
          <w:iCs/>
          <w:sz w:val="24"/>
          <w:szCs w:val="24"/>
        </w:rPr>
        <w:t>-au</w:t>
      </w:r>
      <w:r w:rsidR="00F41F2B" w:rsidRPr="001D0C10">
        <w:rPr>
          <w:rFonts w:ascii="Book Antiqua" w:eastAsia="Calibri" w:hAnsi="Book Antiqua" w:cs="Arial"/>
          <w:i/>
          <w:iCs/>
          <w:sz w:val="24"/>
          <w:szCs w:val="24"/>
        </w:rPr>
        <w:t>tosentencias</w:t>
      </w:r>
      <w:r w:rsidR="00142F13" w:rsidRPr="001D0C10">
        <w:rPr>
          <w:rFonts w:ascii="Book Antiqua" w:eastAsia="Calibri" w:hAnsi="Book Antiqua" w:cs="Arial"/>
          <w:i/>
          <w:iCs/>
          <w:sz w:val="24"/>
          <w:szCs w:val="24"/>
        </w:rPr>
        <w:t xml:space="preserve"> por Jueza o Juez</w:t>
      </w:r>
      <w:r w:rsidR="00142F13">
        <w:rPr>
          <w:rFonts w:ascii="Book Antiqua" w:eastAsia="Calibri" w:hAnsi="Book Antiqua" w:cs="Arial"/>
          <w:sz w:val="24"/>
          <w:szCs w:val="24"/>
        </w:rPr>
        <w:t>”</w:t>
      </w:r>
      <w:r w:rsidR="0030369F">
        <w:rPr>
          <w:rFonts w:ascii="Book Antiqua" w:eastAsia="Calibri" w:hAnsi="Book Antiqua" w:cs="Arial"/>
          <w:sz w:val="24"/>
          <w:szCs w:val="24"/>
        </w:rPr>
        <w:t xml:space="preserve">, </w:t>
      </w:r>
      <w:r w:rsidR="001C4EC0">
        <w:rPr>
          <w:rFonts w:ascii="Book Antiqua" w:eastAsia="Calibri" w:hAnsi="Book Antiqua" w:cs="Arial"/>
          <w:sz w:val="24"/>
          <w:szCs w:val="24"/>
        </w:rPr>
        <w:t xml:space="preserve">se </w:t>
      </w:r>
      <w:r w:rsidR="00276841">
        <w:rPr>
          <w:rFonts w:ascii="Book Antiqua" w:eastAsia="Calibri" w:hAnsi="Book Antiqua" w:cs="Arial"/>
          <w:sz w:val="24"/>
          <w:szCs w:val="24"/>
        </w:rPr>
        <w:t xml:space="preserve">establecen </w:t>
      </w:r>
      <w:r w:rsidR="001C4EC0" w:rsidRPr="001C4EC0">
        <w:rPr>
          <w:rFonts w:ascii="Book Antiqua" w:eastAsia="Calibri" w:hAnsi="Book Antiqua" w:cs="Arial"/>
          <w:sz w:val="24"/>
          <w:szCs w:val="24"/>
        </w:rPr>
        <w:t xml:space="preserve">dos indicadores de la cuota de trabajo </w:t>
      </w:r>
      <w:r w:rsidR="00D634AD">
        <w:rPr>
          <w:rFonts w:ascii="Book Antiqua" w:eastAsia="Calibri" w:hAnsi="Book Antiqua" w:cs="Arial"/>
          <w:sz w:val="24"/>
          <w:szCs w:val="24"/>
        </w:rPr>
        <w:t xml:space="preserve">para las personas juzgadoras, </w:t>
      </w:r>
      <w:r w:rsidR="001C4EC0" w:rsidRPr="001C4EC0">
        <w:rPr>
          <w:rFonts w:ascii="Book Antiqua" w:eastAsia="Calibri" w:hAnsi="Book Antiqua" w:cs="Arial"/>
          <w:sz w:val="24"/>
          <w:szCs w:val="24"/>
        </w:rPr>
        <w:t>uno de terminados por plaza</w:t>
      </w:r>
      <w:r w:rsidR="00D23759">
        <w:rPr>
          <w:rFonts w:ascii="Book Antiqua" w:eastAsia="Calibri" w:hAnsi="Book Antiqua" w:cs="Arial"/>
          <w:sz w:val="24"/>
          <w:szCs w:val="24"/>
        </w:rPr>
        <w:t xml:space="preserve"> donde se mantiene la misma cuota utilizada desde el 2020</w:t>
      </w:r>
      <w:r w:rsidR="001C4EC0" w:rsidRPr="001C4EC0">
        <w:rPr>
          <w:rFonts w:ascii="Book Antiqua" w:eastAsia="Calibri" w:hAnsi="Book Antiqua" w:cs="Arial"/>
          <w:sz w:val="24"/>
          <w:szCs w:val="24"/>
        </w:rPr>
        <w:t xml:space="preserve"> y otro de sentencias-autosentencias </w:t>
      </w:r>
      <w:r w:rsidR="008B343F">
        <w:rPr>
          <w:rFonts w:ascii="Book Antiqua" w:eastAsia="Calibri" w:hAnsi="Book Antiqua" w:cs="Arial"/>
          <w:sz w:val="24"/>
          <w:szCs w:val="24"/>
        </w:rPr>
        <w:t>que c</w:t>
      </w:r>
      <w:r w:rsidR="001C4EC0" w:rsidRPr="001C4EC0">
        <w:rPr>
          <w:rFonts w:ascii="Book Antiqua" w:eastAsia="Calibri" w:hAnsi="Book Antiqua" w:cs="Arial"/>
          <w:sz w:val="24"/>
          <w:szCs w:val="24"/>
        </w:rPr>
        <w:t>ontempl</w:t>
      </w:r>
      <w:r w:rsidR="008B343F">
        <w:rPr>
          <w:rFonts w:ascii="Book Antiqua" w:eastAsia="Calibri" w:hAnsi="Book Antiqua" w:cs="Arial"/>
          <w:sz w:val="24"/>
          <w:szCs w:val="24"/>
        </w:rPr>
        <w:t>a</w:t>
      </w:r>
      <w:r w:rsidR="001C4EC0" w:rsidRPr="001C4EC0">
        <w:rPr>
          <w:rFonts w:ascii="Book Antiqua" w:eastAsia="Calibri" w:hAnsi="Book Antiqua" w:cs="Arial"/>
          <w:sz w:val="24"/>
          <w:szCs w:val="24"/>
        </w:rPr>
        <w:t xml:space="preserve"> </w:t>
      </w:r>
      <w:r w:rsidR="001271E4" w:rsidRPr="001271E4">
        <w:rPr>
          <w:rFonts w:ascii="Book Antiqua" w:eastAsia="Calibri" w:hAnsi="Book Antiqua" w:cs="Arial"/>
          <w:sz w:val="24"/>
          <w:szCs w:val="24"/>
        </w:rPr>
        <w:t xml:space="preserve"> 60 terminados</w:t>
      </w:r>
      <w:r w:rsidR="00DD20A7">
        <w:rPr>
          <w:rFonts w:ascii="Book Antiqua" w:eastAsia="Calibri" w:hAnsi="Book Antiqua" w:cs="Arial"/>
          <w:sz w:val="24"/>
          <w:szCs w:val="24"/>
        </w:rPr>
        <w:t>; l</w:t>
      </w:r>
      <w:r w:rsidR="00DD20A7" w:rsidRPr="00DD20A7">
        <w:rPr>
          <w:rFonts w:ascii="Book Antiqua" w:eastAsia="Calibri" w:hAnsi="Book Antiqua" w:cs="Arial"/>
          <w:sz w:val="24"/>
          <w:szCs w:val="24"/>
        </w:rPr>
        <w:t xml:space="preserve">o que se considera sentencia </w:t>
      </w:r>
      <w:r w:rsidR="005B3625">
        <w:rPr>
          <w:rFonts w:ascii="Book Antiqua" w:eastAsia="Calibri" w:hAnsi="Book Antiqua" w:cs="Arial"/>
          <w:sz w:val="24"/>
          <w:szCs w:val="24"/>
        </w:rPr>
        <w:t>está establecido en</w:t>
      </w:r>
      <w:r w:rsidR="00142F13">
        <w:rPr>
          <w:rFonts w:ascii="Book Antiqua" w:eastAsia="Calibri" w:hAnsi="Book Antiqua" w:cs="Arial"/>
          <w:sz w:val="24"/>
          <w:szCs w:val="24"/>
        </w:rPr>
        <w:t xml:space="preserve"> </w:t>
      </w:r>
      <w:r w:rsidR="00DD20A7" w:rsidRPr="00DD20A7">
        <w:rPr>
          <w:rFonts w:ascii="Book Antiqua" w:eastAsia="Calibri" w:hAnsi="Book Antiqua" w:cs="Arial"/>
          <w:sz w:val="24"/>
          <w:szCs w:val="24"/>
        </w:rPr>
        <w:t>la</w:t>
      </w:r>
      <w:r w:rsidR="00DD20A7">
        <w:rPr>
          <w:rFonts w:ascii="Book Antiqua" w:eastAsia="Calibri" w:hAnsi="Book Antiqua" w:cs="Arial"/>
          <w:sz w:val="24"/>
          <w:szCs w:val="24"/>
        </w:rPr>
        <w:t>s</w:t>
      </w:r>
      <w:r w:rsidR="00DD20A7" w:rsidRPr="00DD20A7">
        <w:rPr>
          <w:rFonts w:ascii="Book Antiqua" w:eastAsia="Calibri" w:hAnsi="Book Antiqua" w:cs="Arial"/>
          <w:sz w:val="24"/>
          <w:szCs w:val="24"/>
        </w:rPr>
        <w:t xml:space="preserve"> circular</w:t>
      </w:r>
      <w:r w:rsidR="00DD20A7">
        <w:rPr>
          <w:rFonts w:ascii="Book Antiqua" w:eastAsia="Calibri" w:hAnsi="Book Antiqua" w:cs="Arial"/>
          <w:sz w:val="24"/>
          <w:szCs w:val="24"/>
        </w:rPr>
        <w:t>es</w:t>
      </w:r>
      <w:r w:rsidR="00DD20A7" w:rsidRPr="00DD20A7">
        <w:rPr>
          <w:rFonts w:ascii="Book Antiqua" w:eastAsia="Calibri" w:hAnsi="Book Antiqua" w:cs="Arial"/>
          <w:sz w:val="24"/>
          <w:szCs w:val="24"/>
        </w:rPr>
        <w:t xml:space="preserve"> 260-2020</w:t>
      </w:r>
      <w:r w:rsidR="00DD20A7">
        <w:rPr>
          <w:rFonts w:ascii="Book Antiqua" w:eastAsia="Calibri" w:hAnsi="Book Antiqua" w:cs="Arial"/>
          <w:sz w:val="24"/>
          <w:szCs w:val="24"/>
        </w:rPr>
        <w:t xml:space="preserve"> y 244-202</w:t>
      </w:r>
      <w:r w:rsidR="00E12541">
        <w:rPr>
          <w:rFonts w:ascii="Book Antiqua" w:eastAsia="Calibri" w:hAnsi="Book Antiqua" w:cs="Arial"/>
          <w:sz w:val="24"/>
          <w:szCs w:val="24"/>
        </w:rPr>
        <w:t>1</w:t>
      </w:r>
      <w:r w:rsidR="00142F13">
        <w:rPr>
          <w:rFonts w:ascii="Book Antiqua" w:eastAsia="Calibri" w:hAnsi="Book Antiqua" w:cs="Arial"/>
          <w:sz w:val="24"/>
          <w:szCs w:val="24"/>
        </w:rPr>
        <w:t xml:space="preserve"> de la Secretaría General de la Corte</w:t>
      </w:r>
      <w:r w:rsidR="00E12541">
        <w:rPr>
          <w:rFonts w:ascii="Book Antiqua" w:eastAsia="Calibri" w:hAnsi="Book Antiqua" w:cs="Arial"/>
          <w:sz w:val="24"/>
          <w:szCs w:val="24"/>
        </w:rPr>
        <w:t>.</w:t>
      </w:r>
    </w:p>
    <w:p w14:paraId="17A12669" w14:textId="754B4AC8" w:rsidR="00E12541" w:rsidRDefault="00E12541" w:rsidP="0030369F">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se detalla </w:t>
      </w:r>
      <w:r w:rsidR="00407D7F">
        <w:rPr>
          <w:rFonts w:ascii="Book Antiqua" w:eastAsia="Calibri" w:hAnsi="Book Antiqua" w:cs="Arial"/>
          <w:sz w:val="24"/>
          <w:szCs w:val="24"/>
        </w:rPr>
        <w:t xml:space="preserve">la composición de la cuota de 60 </w:t>
      </w:r>
      <w:r w:rsidR="00EA60DB">
        <w:rPr>
          <w:rFonts w:ascii="Book Antiqua" w:eastAsia="Calibri" w:hAnsi="Book Antiqua" w:cs="Arial"/>
          <w:sz w:val="24"/>
          <w:szCs w:val="24"/>
        </w:rPr>
        <w:t>terminados por sentencia-autosentencia:</w:t>
      </w:r>
    </w:p>
    <w:p w14:paraId="7A08C9E9" w14:textId="77777777" w:rsidR="00035DA0" w:rsidRPr="00035DA0" w:rsidRDefault="007175F0" w:rsidP="0090609F">
      <w:pPr>
        <w:pStyle w:val="Prrafodelista"/>
        <w:numPr>
          <w:ilvl w:val="0"/>
          <w:numId w:val="20"/>
        </w:numPr>
        <w:rPr>
          <w:rFonts w:ascii="Book Antiqua" w:eastAsia="Calibri" w:hAnsi="Book Antiqua" w:cs="Arial"/>
          <w:sz w:val="24"/>
          <w:szCs w:val="24"/>
        </w:rPr>
      </w:pPr>
      <w:r w:rsidRPr="00035DA0">
        <w:rPr>
          <w:rFonts w:ascii="Book Antiqua" w:eastAsia="Calibri" w:hAnsi="Book Antiqua" w:cs="Arial"/>
          <w:sz w:val="24"/>
          <w:szCs w:val="24"/>
        </w:rPr>
        <w:t xml:space="preserve">23 </w:t>
      </w:r>
      <w:r w:rsidR="00EB3413" w:rsidRPr="00035DA0">
        <w:rPr>
          <w:rFonts w:ascii="Book Antiqua" w:eastAsia="Calibri" w:hAnsi="Book Antiqua" w:cs="Arial"/>
          <w:sz w:val="24"/>
          <w:szCs w:val="24"/>
        </w:rPr>
        <w:t>asuntos terminados</w:t>
      </w:r>
      <w:r w:rsidR="00035DA0" w:rsidRPr="00035DA0">
        <w:rPr>
          <w:rFonts w:ascii="Book Antiqua" w:eastAsia="Calibri" w:hAnsi="Book Antiqua" w:cs="Arial"/>
          <w:sz w:val="24"/>
          <w:szCs w:val="24"/>
        </w:rPr>
        <w:t xml:space="preserve"> por divorcio o separación por mutuo consentimiento</w:t>
      </w:r>
    </w:p>
    <w:p w14:paraId="506FC345" w14:textId="2B456F23" w:rsidR="00EB3413" w:rsidRDefault="0010096E"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16 por</w:t>
      </w:r>
      <w:r w:rsidR="00035DA0">
        <w:rPr>
          <w:rFonts w:ascii="Book Antiqua" w:eastAsia="Calibri" w:hAnsi="Book Antiqua" w:cs="Arial"/>
          <w:sz w:val="24"/>
          <w:szCs w:val="24"/>
        </w:rPr>
        <w:t xml:space="preserve"> </w:t>
      </w:r>
      <w:r w:rsidR="00242181" w:rsidRPr="00242181">
        <w:rPr>
          <w:rFonts w:ascii="Book Antiqua" w:eastAsia="Calibri" w:hAnsi="Book Antiqua" w:cs="Arial"/>
          <w:sz w:val="24"/>
          <w:szCs w:val="24"/>
        </w:rPr>
        <w:t>sentencia dictada</w:t>
      </w:r>
    </w:p>
    <w:p w14:paraId="312B6FE8" w14:textId="21B9878C" w:rsidR="0010096E" w:rsidRDefault="007A7FF6"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5 sentencias</w:t>
      </w:r>
      <w:r w:rsidR="00242181">
        <w:rPr>
          <w:rFonts w:ascii="Book Antiqua" w:eastAsia="Calibri" w:hAnsi="Book Antiqua" w:cs="Arial"/>
          <w:sz w:val="24"/>
          <w:szCs w:val="24"/>
        </w:rPr>
        <w:t xml:space="preserve"> </w:t>
      </w:r>
      <w:r w:rsidR="007C77AA" w:rsidRPr="007C77AA">
        <w:rPr>
          <w:rFonts w:ascii="Book Antiqua" w:eastAsia="Calibri" w:hAnsi="Book Antiqua" w:cs="Arial"/>
          <w:sz w:val="24"/>
          <w:szCs w:val="24"/>
        </w:rPr>
        <w:t>homologatorias</w:t>
      </w:r>
    </w:p>
    <w:p w14:paraId="05C956F8" w14:textId="75E220E8" w:rsidR="007A7FF6" w:rsidRDefault="00970EB4"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13 sentencias</w:t>
      </w:r>
      <w:r w:rsidR="007C77AA">
        <w:rPr>
          <w:rFonts w:ascii="Book Antiqua" w:eastAsia="Calibri" w:hAnsi="Book Antiqua" w:cs="Arial"/>
          <w:sz w:val="24"/>
          <w:szCs w:val="24"/>
        </w:rPr>
        <w:t xml:space="preserve"> </w:t>
      </w:r>
      <w:r w:rsidR="002F24B6" w:rsidRPr="002F24B6">
        <w:rPr>
          <w:rFonts w:ascii="Book Antiqua" w:eastAsia="Calibri" w:hAnsi="Book Antiqua" w:cs="Arial"/>
          <w:sz w:val="24"/>
          <w:szCs w:val="24"/>
        </w:rPr>
        <w:t>de segunda instancia</w:t>
      </w:r>
    </w:p>
    <w:p w14:paraId="71DB4A4B" w14:textId="528CE009" w:rsidR="00970EB4" w:rsidRDefault="00137CE8"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1 sentencia</w:t>
      </w:r>
      <w:r w:rsidR="002F24B6">
        <w:rPr>
          <w:rFonts w:ascii="Book Antiqua" w:eastAsia="Calibri" w:hAnsi="Book Antiqua" w:cs="Arial"/>
          <w:sz w:val="24"/>
          <w:szCs w:val="24"/>
        </w:rPr>
        <w:t xml:space="preserve"> </w:t>
      </w:r>
      <w:r w:rsidR="00503A24" w:rsidRPr="00503A24">
        <w:rPr>
          <w:rFonts w:ascii="Book Antiqua" w:eastAsia="Calibri" w:hAnsi="Book Antiqua" w:cs="Arial"/>
          <w:sz w:val="24"/>
          <w:szCs w:val="24"/>
        </w:rPr>
        <w:t>en incidentes</w:t>
      </w:r>
    </w:p>
    <w:p w14:paraId="6906111D" w14:textId="199B7F5D" w:rsidR="00137CE8" w:rsidRDefault="002548CE" w:rsidP="0090609F">
      <w:pPr>
        <w:pStyle w:val="Prrafodelista"/>
        <w:numPr>
          <w:ilvl w:val="0"/>
          <w:numId w:val="20"/>
        </w:numPr>
        <w:spacing w:line="276" w:lineRule="auto"/>
        <w:jc w:val="both"/>
        <w:rPr>
          <w:rFonts w:ascii="Book Antiqua" w:eastAsia="Calibri" w:hAnsi="Book Antiqua" w:cs="Arial"/>
          <w:sz w:val="24"/>
          <w:szCs w:val="24"/>
        </w:rPr>
      </w:pPr>
      <w:r>
        <w:rPr>
          <w:rFonts w:ascii="Book Antiqua" w:eastAsia="Calibri" w:hAnsi="Book Antiqua" w:cs="Arial"/>
          <w:sz w:val="24"/>
          <w:szCs w:val="24"/>
        </w:rPr>
        <w:t>2 autosen</w:t>
      </w:r>
      <w:r w:rsidR="00B758E0">
        <w:rPr>
          <w:rFonts w:ascii="Book Antiqua" w:eastAsia="Calibri" w:hAnsi="Book Antiqua" w:cs="Arial"/>
          <w:sz w:val="24"/>
          <w:szCs w:val="24"/>
        </w:rPr>
        <w:t xml:space="preserve">tencias </w:t>
      </w:r>
      <w:r w:rsidR="00935344">
        <w:rPr>
          <w:rFonts w:ascii="Book Antiqua" w:eastAsia="Calibri" w:hAnsi="Book Antiqua" w:cs="Arial"/>
          <w:sz w:val="24"/>
          <w:szCs w:val="24"/>
        </w:rPr>
        <w:t>(</w:t>
      </w:r>
      <w:r w:rsidR="00A60936" w:rsidRPr="00A60936">
        <w:rPr>
          <w:rFonts w:ascii="Book Antiqua" w:eastAsia="Calibri" w:hAnsi="Book Antiqua" w:cs="Arial"/>
          <w:sz w:val="24"/>
          <w:szCs w:val="24"/>
        </w:rPr>
        <w:t>los terminados únicamente por deserción, excepción previa, incompetencia internacional cuando se acoge).</w:t>
      </w:r>
    </w:p>
    <w:p w14:paraId="78EE1D6C" w14:textId="55A3BB4F" w:rsidR="00276841" w:rsidRDefault="00276841" w:rsidP="00276841">
      <w:pPr>
        <w:spacing w:line="276" w:lineRule="auto"/>
        <w:jc w:val="both"/>
        <w:rPr>
          <w:rFonts w:ascii="Book Antiqua" w:hAnsi="Book Antiqua" w:cs="Calibri"/>
          <w:color w:val="000000"/>
          <w:sz w:val="24"/>
          <w:szCs w:val="24"/>
        </w:rPr>
      </w:pPr>
      <w:r>
        <w:rPr>
          <w:rFonts w:ascii="Book Antiqua" w:hAnsi="Book Antiqua" w:cs="Calibri"/>
          <w:color w:val="000000"/>
          <w:sz w:val="24"/>
          <w:szCs w:val="24"/>
        </w:rPr>
        <w:t xml:space="preserve">En resumen </w:t>
      </w:r>
      <w:r w:rsidRPr="00276841">
        <w:rPr>
          <w:rFonts w:ascii="Book Antiqua" w:hAnsi="Book Antiqua" w:cs="Calibri"/>
          <w:color w:val="000000"/>
          <w:sz w:val="24"/>
          <w:szCs w:val="24"/>
        </w:rPr>
        <w:t>e</w:t>
      </w:r>
      <w:r>
        <w:rPr>
          <w:rFonts w:ascii="Book Antiqua" w:hAnsi="Book Antiqua" w:cs="Calibri"/>
          <w:color w:val="000000"/>
          <w:sz w:val="24"/>
          <w:szCs w:val="24"/>
        </w:rPr>
        <w:t>l</w:t>
      </w:r>
      <w:r w:rsidRPr="00276841">
        <w:rPr>
          <w:rFonts w:ascii="Book Antiqua" w:hAnsi="Book Antiqua" w:cs="Calibri"/>
          <w:color w:val="000000"/>
          <w:sz w:val="24"/>
          <w:szCs w:val="24"/>
        </w:rPr>
        <w:t xml:space="preserve"> indicador de terminados por plaza de Jueza o Juez </w:t>
      </w:r>
      <w:r w:rsidR="00D23759">
        <w:rPr>
          <w:rFonts w:ascii="Book Antiqua" w:hAnsi="Book Antiqua" w:cs="Calibri"/>
          <w:color w:val="000000"/>
          <w:sz w:val="24"/>
          <w:szCs w:val="24"/>
        </w:rPr>
        <w:t xml:space="preserve">se mantiene en </w:t>
      </w:r>
      <w:r w:rsidRPr="00276841">
        <w:rPr>
          <w:rFonts w:ascii="Book Antiqua" w:hAnsi="Book Antiqua" w:cs="Calibri"/>
          <w:color w:val="000000"/>
          <w:sz w:val="24"/>
          <w:szCs w:val="24"/>
        </w:rPr>
        <w:t>77</w:t>
      </w:r>
      <w:r w:rsidR="00D23759">
        <w:rPr>
          <w:rFonts w:ascii="Book Antiqua" w:hAnsi="Book Antiqua" w:cs="Calibri"/>
          <w:color w:val="000000"/>
          <w:sz w:val="24"/>
          <w:szCs w:val="24"/>
        </w:rPr>
        <w:t xml:space="preserve"> por mes </w:t>
      </w:r>
      <w:r w:rsidR="003E74E4">
        <w:rPr>
          <w:rFonts w:ascii="Book Antiqua" w:hAnsi="Book Antiqua" w:cs="Calibri"/>
          <w:color w:val="000000"/>
          <w:sz w:val="24"/>
          <w:szCs w:val="24"/>
        </w:rPr>
        <w:t>y</w:t>
      </w:r>
      <w:r>
        <w:rPr>
          <w:rFonts w:ascii="Book Antiqua" w:hAnsi="Book Antiqua" w:cs="Calibri"/>
          <w:color w:val="000000"/>
          <w:sz w:val="24"/>
          <w:szCs w:val="24"/>
        </w:rPr>
        <w:t xml:space="preserve"> la cuota de terminados por sentencia-autosentencia</w:t>
      </w:r>
      <w:r w:rsidR="00D23759">
        <w:rPr>
          <w:rFonts w:ascii="Book Antiqua" w:hAnsi="Book Antiqua" w:cs="Calibri"/>
          <w:color w:val="000000"/>
          <w:sz w:val="24"/>
          <w:szCs w:val="24"/>
        </w:rPr>
        <w:t xml:space="preserve"> es de 60</w:t>
      </w:r>
      <w:r w:rsidR="005C0591">
        <w:rPr>
          <w:rFonts w:ascii="Book Antiqua" w:hAnsi="Book Antiqua" w:cs="Calibri"/>
          <w:color w:val="000000"/>
          <w:sz w:val="24"/>
          <w:szCs w:val="24"/>
        </w:rPr>
        <w:t xml:space="preserve"> por mes por plaza</w:t>
      </w:r>
      <w:r w:rsidR="00545C67">
        <w:rPr>
          <w:rFonts w:ascii="Book Antiqua" w:hAnsi="Book Antiqua" w:cs="Calibri"/>
          <w:color w:val="000000"/>
          <w:sz w:val="24"/>
          <w:szCs w:val="24"/>
        </w:rPr>
        <w:t xml:space="preserve"> </w:t>
      </w:r>
      <w:r w:rsidR="005C0591">
        <w:rPr>
          <w:rFonts w:ascii="Book Antiqua" w:hAnsi="Book Antiqua" w:cs="Calibri"/>
          <w:color w:val="000000"/>
          <w:sz w:val="24"/>
          <w:szCs w:val="24"/>
        </w:rPr>
        <w:t>en despachos especializados</w:t>
      </w:r>
      <w:r w:rsidR="00545C67">
        <w:rPr>
          <w:rFonts w:ascii="Book Antiqua" w:hAnsi="Book Antiqua" w:cs="Calibri"/>
          <w:color w:val="000000"/>
          <w:sz w:val="24"/>
          <w:szCs w:val="24"/>
        </w:rPr>
        <w:t xml:space="preserve"> únicamente para efectos de cálculo de rendimiento por persona</w:t>
      </w:r>
      <w:r w:rsidR="005C0591">
        <w:rPr>
          <w:rFonts w:ascii="Book Antiqua" w:hAnsi="Book Antiqua" w:cs="Calibri"/>
          <w:color w:val="000000"/>
          <w:sz w:val="24"/>
          <w:szCs w:val="24"/>
        </w:rPr>
        <w:t xml:space="preserve">. En despachos mixtos se ajusta la cuota según proporción de la entrada en materia de Familia. </w:t>
      </w:r>
    </w:p>
    <w:p w14:paraId="0C34F096" w14:textId="77777777" w:rsidR="00144288" w:rsidRDefault="00144288" w:rsidP="00276841">
      <w:pPr>
        <w:spacing w:line="276" w:lineRule="auto"/>
        <w:jc w:val="both"/>
        <w:rPr>
          <w:rFonts w:ascii="Book Antiqua" w:hAnsi="Book Antiqua" w:cs="Calibri"/>
          <w:color w:val="000000"/>
          <w:sz w:val="24"/>
          <w:szCs w:val="24"/>
        </w:rPr>
      </w:pPr>
    </w:p>
    <w:p w14:paraId="3CCC9029" w14:textId="7F2D3F8E" w:rsidR="00B20487" w:rsidRPr="00144288" w:rsidRDefault="00B20487" w:rsidP="00144288">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144288">
        <w:rPr>
          <w:rFonts w:ascii="Book Antiqua" w:eastAsiaTheme="majorEastAsia" w:hAnsi="Book Antiqua" w:cstheme="majorBidi"/>
          <w:b/>
          <w:color w:val="1F3864" w:themeColor="accent1" w:themeShade="80"/>
          <w:sz w:val="24"/>
          <w:lang w:val="es-ES"/>
        </w:rPr>
        <w:t xml:space="preserve">Impacto del Código Procesal de Familia a partir del </w:t>
      </w:r>
      <w:r w:rsidR="00545C67">
        <w:rPr>
          <w:rFonts w:ascii="Book Antiqua" w:eastAsiaTheme="majorEastAsia" w:hAnsi="Book Antiqua" w:cstheme="majorBidi"/>
          <w:b/>
          <w:color w:val="1F3864" w:themeColor="accent1" w:themeShade="80"/>
          <w:sz w:val="24"/>
          <w:lang w:val="es-ES"/>
        </w:rPr>
        <w:t>1</w:t>
      </w:r>
      <w:r w:rsidRPr="00144288">
        <w:rPr>
          <w:rFonts w:ascii="Book Antiqua" w:eastAsiaTheme="majorEastAsia" w:hAnsi="Book Antiqua" w:cstheme="majorBidi"/>
          <w:b/>
          <w:color w:val="1F3864" w:themeColor="accent1" w:themeShade="80"/>
          <w:sz w:val="24"/>
          <w:lang w:val="es-ES"/>
        </w:rPr>
        <w:t xml:space="preserve"> de octubre de 2022 en materia de Familia</w:t>
      </w:r>
      <w:r w:rsidR="00545C67">
        <w:rPr>
          <w:rFonts w:ascii="Book Antiqua" w:eastAsiaTheme="majorEastAsia" w:hAnsi="Book Antiqua" w:cstheme="majorBidi"/>
          <w:b/>
          <w:color w:val="1F3864" w:themeColor="accent1" w:themeShade="80"/>
          <w:sz w:val="24"/>
          <w:lang w:val="es-ES"/>
        </w:rPr>
        <w:t>-Primera Instancia</w:t>
      </w:r>
    </w:p>
    <w:p w14:paraId="3AA22ECE" w14:textId="77777777" w:rsidR="00144288" w:rsidRDefault="00144288" w:rsidP="006848CF">
      <w:pPr>
        <w:spacing w:after="0" w:line="276" w:lineRule="auto"/>
        <w:jc w:val="both"/>
        <w:rPr>
          <w:rFonts w:ascii="Book Antiqua" w:eastAsia="Calibri" w:hAnsi="Book Antiqua" w:cs="Arial"/>
          <w:sz w:val="24"/>
          <w:szCs w:val="24"/>
        </w:rPr>
      </w:pPr>
    </w:p>
    <w:p w14:paraId="73A59E87" w14:textId="10A8E692" w:rsidR="006848CF" w:rsidRPr="006848CF" w:rsidRDefault="006848CF" w:rsidP="006848CF">
      <w:pPr>
        <w:spacing w:after="0" w:line="276" w:lineRule="auto"/>
        <w:jc w:val="both"/>
        <w:rPr>
          <w:rFonts w:ascii="Book Antiqua" w:eastAsia="Calibri" w:hAnsi="Book Antiqua" w:cs="Arial"/>
          <w:sz w:val="24"/>
          <w:szCs w:val="24"/>
        </w:rPr>
      </w:pPr>
      <w:r w:rsidRPr="006848CF">
        <w:rPr>
          <w:rFonts w:ascii="Book Antiqua" w:eastAsia="Calibri" w:hAnsi="Book Antiqua" w:cs="Arial"/>
          <w:sz w:val="24"/>
          <w:szCs w:val="24"/>
        </w:rPr>
        <w:t>Entre los cambios previstos por el Código Procesal de Familia para los juzgados de Familia del país, se prevé una disminución en la entrada de primera instancia por la desjudicialización de procesos como: matrimonios civiles, los reconocimientos administrativos de la paternidad (hijo de mujer casada), los divorcios o separaciones judiciales por mutuo consentimiento (sin hijos o hijas menores de edad y no existiera referencia a bienes), y las adopciones de personas mayores de edad (a excepción de las personas con discapacidad cuya condición no les permita dar su consentimiento).</w:t>
      </w:r>
    </w:p>
    <w:p w14:paraId="33BF9FBF" w14:textId="77777777" w:rsidR="006848CF" w:rsidRPr="006848CF" w:rsidRDefault="006848CF" w:rsidP="006848CF">
      <w:pPr>
        <w:spacing w:after="0" w:line="276" w:lineRule="auto"/>
        <w:jc w:val="both"/>
        <w:rPr>
          <w:rFonts w:ascii="Book Antiqua" w:eastAsia="Calibri" w:hAnsi="Book Antiqua" w:cs="Arial"/>
          <w:sz w:val="24"/>
          <w:szCs w:val="24"/>
        </w:rPr>
      </w:pPr>
    </w:p>
    <w:p w14:paraId="59604238" w14:textId="28CACD44" w:rsidR="006848CF" w:rsidRPr="006848CF" w:rsidRDefault="006848CF" w:rsidP="006848CF">
      <w:pPr>
        <w:spacing w:after="0" w:line="276" w:lineRule="auto"/>
        <w:jc w:val="both"/>
        <w:rPr>
          <w:rFonts w:ascii="Book Antiqua" w:eastAsia="Calibri" w:hAnsi="Book Antiqua" w:cs="Arial"/>
          <w:sz w:val="24"/>
          <w:szCs w:val="24"/>
        </w:rPr>
      </w:pPr>
      <w:r w:rsidRPr="006848CF">
        <w:rPr>
          <w:rFonts w:ascii="Book Antiqua" w:eastAsia="Calibri" w:hAnsi="Book Antiqua" w:cs="Arial"/>
          <w:sz w:val="24"/>
          <w:szCs w:val="24"/>
        </w:rPr>
        <w:t>Además, se prevé que con la entrada del Código Procesal de Familia se reduzca la intervención en el trámite de los expedientes que actualmente tiene el personal técnico judicial, debido a que se da preferencia al sistema procesal de oralidad liderado por las personas juzgadoras, efecto que de momento no puede ser estimado para ser tomado en cuenta en este estudio.</w:t>
      </w:r>
    </w:p>
    <w:p w14:paraId="5CD94465" w14:textId="77777777" w:rsidR="006848CF" w:rsidRPr="006848CF" w:rsidRDefault="006848CF" w:rsidP="006848CF">
      <w:pPr>
        <w:spacing w:after="0" w:line="276" w:lineRule="auto"/>
        <w:jc w:val="both"/>
        <w:rPr>
          <w:rFonts w:ascii="Book Antiqua" w:eastAsia="Calibri" w:hAnsi="Book Antiqua" w:cs="Arial"/>
          <w:sz w:val="24"/>
          <w:szCs w:val="24"/>
        </w:rPr>
      </w:pPr>
    </w:p>
    <w:p w14:paraId="1621BFAB" w14:textId="77777777" w:rsidR="006848CF" w:rsidRPr="006848CF" w:rsidRDefault="006848CF" w:rsidP="006848CF">
      <w:pPr>
        <w:spacing w:after="0" w:line="276" w:lineRule="auto"/>
        <w:jc w:val="both"/>
        <w:rPr>
          <w:rFonts w:ascii="Book Antiqua" w:eastAsia="Calibri" w:hAnsi="Book Antiqua" w:cs="Arial"/>
          <w:sz w:val="24"/>
          <w:szCs w:val="24"/>
        </w:rPr>
      </w:pPr>
      <w:r w:rsidRPr="006848CF">
        <w:rPr>
          <w:rFonts w:ascii="Book Antiqua" w:eastAsia="Calibri" w:hAnsi="Book Antiqua" w:cs="Arial"/>
          <w:sz w:val="24"/>
          <w:szCs w:val="24"/>
        </w:rPr>
        <w:t>El impacto directo esperado sería sobre los despachos judiciales competentes en la materia de Familia que experimentarían una disminución en los asuntos entrados.</w:t>
      </w:r>
    </w:p>
    <w:p w14:paraId="6B16C9B4" w14:textId="732AD6ED" w:rsidR="00F74248" w:rsidRDefault="00F74248" w:rsidP="009C01E1">
      <w:pPr>
        <w:spacing w:line="276" w:lineRule="auto"/>
        <w:jc w:val="both"/>
        <w:rPr>
          <w:rFonts w:ascii="Book Antiqua" w:hAnsi="Book Antiqua"/>
          <w:i/>
          <w:iCs/>
          <w:sz w:val="20"/>
          <w:szCs w:val="20"/>
        </w:rPr>
      </w:pPr>
    </w:p>
    <w:p w14:paraId="106A1FFB" w14:textId="77777777"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 xml:space="preserve">En el caso de los divorcios o separaciones judiciales por mutuo consentimiento, el efecto aplicaría solamente para una proporción de esos tipos de proceso, </w:t>
      </w:r>
      <w:r w:rsidRPr="00A651EB">
        <w:rPr>
          <w:rFonts w:ascii="Book Antiqua" w:eastAsia="Calibri" w:hAnsi="Book Antiqua" w:cs="Arial"/>
          <w:sz w:val="24"/>
          <w:szCs w:val="24"/>
        </w:rPr>
        <w:lastRenderedPageBreak/>
        <w:t>específicamente para aquellos casos donde no existan hijos o hijas menores de edad y no existiera referencia a bienes, los cuales actualmente el Subproceso de Estadística de la Dirección de Planificación no dispone de datos específicos sobre su comportamiento, pero según estimaciones del Lic. Jiménez Mata corresponderían en alrededor de un 20% de la entrada total de esos asuntos.</w:t>
      </w:r>
    </w:p>
    <w:p w14:paraId="5259A32B" w14:textId="77777777"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 xml:space="preserve"> </w:t>
      </w:r>
    </w:p>
    <w:p w14:paraId="53D5914C" w14:textId="77777777"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 xml:space="preserve">En el caso de las adopciones registradas con los datos estadísticos actuales no se cuenta con la especificación del tipo de persona involucrada (mayor o menor de edad), lo que limita la posibilidad de utilizar datos específicos de ese segmento de población. </w:t>
      </w:r>
    </w:p>
    <w:p w14:paraId="4333E0EF" w14:textId="77777777" w:rsidR="00A651EB" w:rsidRPr="00A651EB" w:rsidRDefault="00A651EB" w:rsidP="00A651EB">
      <w:pPr>
        <w:spacing w:after="0" w:line="276" w:lineRule="auto"/>
        <w:jc w:val="both"/>
        <w:rPr>
          <w:rFonts w:ascii="Book Antiqua" w:eastAsia="Calibri" w:hAnsi="Book Antiqua" w:cs="Arial"/>
          <w:sz w:val="24"/>
          <w:szCs w:val="24"/>
        </w:rPr>
      </w:pPr>
    </w:p>
    <w:p w14:paraId="3848FFE0" w14:textId="05791869" w:rsidR="00A651EB" w:rsidRPr="00A651EB" w:rsidRDefault="00A20308" w:rsidP="00A651E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S</w:t>
      </w:r>
      <w:r w:rsidR="00A651EB" w:rsidRPr="00A651EB">
        <w:rPr>
          <w:rFonts w:ascii="Book Antiqua" w:eastAsia="Calibri" w:hAnsi="Book Antiqua" w:cs="Arial"/>
          <w:sz w:val="24"/>
          <w:szCs w:val="24"/>
        </w:rPr>
        <w:t xml:space="preserve">e </w:t>
      </w:r>
      <w:r w:rsidR="00C60997" w:rsidRPr="00A651EB">
        <w:rPr>
          <w:rFonts w:ascii="Book Antiqua" w:eastAsia="Calibri" w:hAnsi="Book Antiqua" w:cs="Arial"/>
          <w:sz w:val="24"/>
          <w:szCs w:val="24"/>
        </w:rPr>
        <w:t>prev</w:t>
      </w:r>
      <w:r w:rsidR="00C60997">
        <w:rPr>
          <w:rFonts w:ascii="Book Antiqua" w:eastAsia="Calibri" w:hAnsi="Book Antiqua" w:cs="Arial"/>
          <w:sz w:val="24"/>
          <w:szCs w:val="24"/>
        </w:rPr>
        <w:t>é</w:t>
      </w:r>
      <w:r w:rsidR="00A651EB" w:rsidRPr="00A651EB">
        <w:rPr>
          <w:rFonts w:ascii="Book Antiqua" w:eastAsia="Calibri" w:hAnsi="Book Antiqua" w:cs="Arial"/>
          <w:sz w:val="24"/>
          <w:szCs w:val="24"/>
        </w:rPr>
        <w:t xml:space="preserve"> </w:t>
      </w:r>
      <w:r w:rsidR="00C60997">
        <w:rPr>
          <w:rFonts w:ascii="Book Antiqua" w:eastAsia="Calibri" w:hAnsi="Book Antiqua" w:cs="Arial"/>
          <w:sz w:val="24"/>
          <w:szCs w:val="24"/>
        </w:rPr>
        <w:t>u</w:t>
      </w:r>
      <w:r w:rsidR="00A651EB" w:rsidRPr="00A651EB">
        <w:rPr>
          <w:rFonts w:ascii="Book Antiqua" w:eastAsia="Calibri" w:hAnsi="Book Antiqua" w:cs="Arial"/>
          <w:sz w:val="24"/>
          <w:szCs w:val="24"/>
        </w:rPr>
        <w:t>n aumento a partir del 28 de mayo de 2020 de los matrimonios civiles registrados por personas del mismo sexo, situación que de momento no se podría estimar ya que no se cuenta con la división de estos en las estadísticas.  Además, conforme a lo indicado por el Juez Gestor en Familia la cantidad de matrimonios en sede judicial es mínima y a partir de la entrada en vigencia de la Ley 9747 no se llevarían a cabo en instancia judicial.</w:t>
      </w:r>
    </w:p>
    <w:p w14:paraId="638D000D" w14:textId="77777777"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 xml:space="preserve"> </w:t>
      </w:r>
    </w:p>
    <w:p w14:paraId="672023B8" w14:textId="5E715CD3"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 xml:space="preserve">Según los datos registrados de años anteriores, este tipo de procesos representan el </w:t>
      </w:r>
      <w:r w:rsidR="00C54406" w:rsidRPr="00314220">
        <w:rPr>
          <w:rFonts w:ascii="Book Antiqua" w:eastAsia="Calibri" w:hAnsi="Book Antiqua" w:cs="Arial"/>
          <w:sz w:val="24"/>
          <w:szCs w:val="24"/>
        </w:rPr>
        <w:t>3</w:t>
      </w:r>
      <w:r w:rsidRPr="00A651EB">
        <w:rPr>
          <w:rFonts w:ascii="Book Antiqua" w:eastAsia="Calibri" w:hAnsi="Book Antiqua" w:cs="Arial"/>
          <w:sz w:val="24"/>
          <w:szCs w:val="24"/>
        </w:rPr>
        <w:t>,4</w:t>
      </w:r>
      <w:r w:rsidR="00884C52" w:rsidRPr="00314220">
        <w:rPr>
          <w:rFonts w:ascii="Book Antiqua" w:eastAsia="Calibri" w:hAnsi="Book Antiqua" w:cs="Arial"/>
          <w:sz w:val="24"/>
          <w:szCs w:val="24"/>
        </w:rPr>
        <w:t>8</w:t>
      </w:r>
      <w:r w:rsidRPr="00A651EB">
        <w:rPr>
          <w:rFonts w:ascii="Book Antiqua" w:eastAsia="Calibri" w:hAnsi="Book Antiqua" w:cs="Arial"/>
          <w:sz w:val="24"/>
          <w:szCs w:val="24"/>
        </w:rPr>
        <w:t>% en promedio de 201</w:t>
      </w:r>
      <w:r w:rsidR="00884C52">
        <w:rPr>
          <w:rFonts w:ascii="Book Antiqua" w:eastAsia="Calibri" w:hAnsi="Book Antiqua" w:cs="Arial"/>
          <w:sz w:val="24"/>
          <w:szCs w:val="24"/>
        </w:rPr>
        <w:t>7</w:t>
      </w:r>
      <w:r w:rsidRPr="00A651EB">
        <w:rPr>
          <w:rFonts w:ascii="Book Antiqua" w:eastAsia="Calibri" w:hAnsi="Book Antiqua" w:cs="Arial"/>
          <w:sz w:val="24"/>
          <w:szCs w:val="24"/>
        </w:rPr>
        <w:t xml:space="preserve"> a 20</w:t>
      </w:r>
      <w:r w:rsidR="00884C52">
        <w:rPr>
          <w:rFonts w:ascii="Book Antiqua" w:eastAsia="Calibri" w:hAnsi="Book Antiqua" w:cs="Arial"/>
          <w:sz w:val="24"/>
          <w:szCs w:val="24"/>
        </w:rPr>
        <w:t>2</w:t>
      </w:r>
      <w:r w:rsidRPr="00A651EB">
        <w:rPr>
          <w:rFonts w:ascii="Book Antiqua" w:eastAsia="Calibri" w:hAnsi="Book Antiqua" w:cs="Arial"/>
          <w:sz w:val="24"/>
          <w:szCs w:val="24"/>
        </w:rPr>
        <w:t>1, pero que con el CPF podrían ser celebrados ante las autoridades de jefatura de las oficinas centrales o regionales del Registro Civil o ante los notarios públicos, por lo que estos se estima que se reducirán con la entrada del Código Procesal de Familia, minimizándose el impacto de este cambio.  No obstante, el acontecimiento mencionado si pudiera dar paso a un incremento en la cantidad de divorcios contenciosos o por mutuo en donde haya hijos que se tramitan por la vía ordinaria, siendo que este tipo de procesos sigue siendo competencia exclusiva de los tribunales de justicia.</w:t>
      </w:r>
    </w:p>
    <w:p w14:paraId="5707445A" w14:textId="6876007C" w:rsidR="00A651EB" w:rsidRPr="00A651EB" w:rsidRDefault="00A651EB" w:rsidP="00A651EB">
      <w:pPr>
        <w:spacing w:after="0" w:line="276" w:lineRule="auto"/>
        <w:jc w:val="both"/>
        <w:rPr>
          <w:rFonts w:ascii="Book Antiqua" w:eastAsia="Calibri" w:hAnsi="Book Antiqua" w:cs="Arial"/>
          <w:sz w:val="24"/>
          <w:szCs w:val="24"/>
        </w:rPr>
      </w:pPr>
      <w:r w:rsidRPr="00A651EB">
        <w:rPr>
          <w:rFonts w:ascii="Book Antiqua" w:eastAsia="Calibri" w:hAnsi="Book Antiqua" w:cs="Arial"/>
          <w:sz w:val="24"/>
          <w:szCs w:val="24"/>
        </w:rPr>
        <w:t>De la revisión hecha a los datos estadísticos para los períodos 201</w:t>
      </w:r>
      <w:r w:rsidR="00595C2E">
        <w:rPr>
          <w:rFonts w:ascii="Book Antiqua" w:eastAsia="Calibri" w:hAnsi="Book Antiqua" w:cs="Arial"/>
          <w:sz w:val="24"/>
          <w:szCs w:val="24"/>
        </w:rPr>
        <w:t>7</w:t>
      </w:r>
      <w:r w:rsidRPr="00A651EB">
        <w:rPr>
          <w:rFonts w:ascii="Book Antiqua" w:eastAsia="Calibri" w:hAnsi="Book Antiqua" w:cs="Arial"/>
          <w:sz w:val="24"/>
          <w:szCs w:val="24"/>
        </w:rPr>
        <w:t>-20</w:t>
      </w:r>
      <w:r w:rsidR="00595C2E">
        <w:rPr>
          <w:rFonts w:ascii="Book Antiqua" w:eastAsia="Calibri" w:hAnsi="Book Antiqua" w:cs="Arial"/>
          <w:sz w:val="24"/>
          <w:szCs w:val="24"/>
        </w:rPr>
        <w:t>2</w:t>
      </w:r>
      <w:r w:rsidRPr="00A651EB">
        <w:rPr>
          <w:rFonts w:ascii="Book Antiqua" w:eastAsia="Calibri" w:hAnsi="Book Antiqua" w:cs="Arial"/>
          <w:sz w:val="24"/>
          <w:szCs w:val="24"/>
        </w:rPr>
        <w:t>1, se estima que los procesos que se desjudicializan alcanzan como mínimo el 12,5% en promedio, a la fecha, ya que como se indicó se desconoce parte del contenido que se incluiría con esta variación. El estimado</w:t>
      </w:r>
      <w:r w:rsidRPr="00A651EB" w:rsidDel="00DB5291">
        <w:rPr>
          <w:rFonts w:ascii="Book Antiqua" w:eastAsia="Calibri" w:hAnsi="Book Antiqua" w:cs="Arial"/>
          <w:sz w:val="24"/>
          <w:szCs w:val="24"/>
        </w:rPr>
        <w:t xml:space="preserve"> </w:t>
      </w:r>
      <w:r w:rsidRPr="00A651EB">
        <w:rPr>
          <w:rFonts w:ascii="Book Antiqua" w:eastAsia="Calibri" w:hAnsi="Book Antiqua" w:cs="Arial"/>
          <w:sz w:val="24"/>
          <w:szCs w:val="24"/>
        </w:rPr>
        <w:t xml:space="preserve">por desjudicialización se muestra en el cuadro siguiente, lo que significa una posible baja en igual proporción sobre la carga laboral de la materia Familia a nivel nacional una vez entrada en vigencia el CPF. En el </w:t>
      </w:r>
      <w:r w:rsidRPr="00F338F4">
        <w:rPr>
          <w:rFonts w:ascii="Book Antiqua" w:eastAsia="Calibri" w:hAnsi="Book Antiqua" w:cs="Arial"/>
          <w:b/>
          <w:i/>
          <w:sz w:val="24"/>
          <w:szCs w:val="24"/>
        </w:rPr>
        <w:t>anexo 1</w:t>
      </w:r>
      <w:r w:rsidR="00A120C6">
        <w:rPr>
          <w:rFonts w:ascii="Book Antiqua" w:eastAsia="Calibri" w:hAnsi="Book Antiqua" w:cs="Arial"/>
          <w:b/>
          <w:i/>
          <w:sz w:val="24"/>
          <w:szCs w:val="24"/>
        </w:rPr>
        <w:t>6</w:t>
      </w:r>
      <w:r w:rsidRPr="00A651EB">
        <w:rPr>
          <w:rFonts w:ascii="Book Antiqua" w:eastAsia="Calibri" w:hAnsi="Book Antiqua" w:cs="Arial"/>
          <w:sz w:val="24"/>
          <w:szCs w:val="24"/>
        </w:rPr>
        <w:t xml:space="preserve"> se presentan los cálculos realizados para ambos tipos de asuntos.</w:t>
      </w:r>
    </w:p>
    <w:p w14:paraId="4CD609DC" w14:textId="0BFFC6A9" w:rsidR="00A651EB" w:rsidRDefault="00A651EB" w:rsidP="00A651EB">
      <w:pPr>
        <w:spacing w:after="0" w:line="276" w:lineRule="auto"/>
        <w:jc w:val="both"/>
        <w:rPr>
          <w:rFonts w:ascii="Book Antiqua" w:eastAsia="Calibri" w:hAnsi="Book Antiqua" w:cs="Arial"/>
          <w:sz w:val="24"/>
          <w:szCs w:val="24"/>
        </w:rPr>
      </w:pPr>
    </w:p>
    <w:p w14:paraId="3C43E6FE" w14:textId="6D3238EF" w:rsidR="00912F27" w:rsidRDefault="00912F27" w:rsidP="00A651EB">
      <w:pPr>
        <w:spacing w:after="0" w:line="276" w:lineRule="auto"/>
        <w:jc w:val="both"/>
        <w:rPr>
          <w:rFonts w:ascii="Book Antiqua" w:eastAsia="Calibri" w:hAnsi="Book Antiqua" w:cs="Arial"/>
          <w:sz w:val="24"/>
          <w:szCs w:val="24"/>
        </w:rPr>
      </w:pPr>
    </w:p>
    <w:p w14:paraId="3ABF23B5" w14:textId="51C9AC65" w:rsidR="008F717E" w:rsidRDefault="008F717E" w:rsidP="00A651EB">
      <w:pPr>
        <w:spacing w:after="0" w:line="276" w:lineRule="auto"/>
        <w:jc w:val="both"/>
        <w:rPr>
          <w:rFonts w:ascii="Book Antiqua" w:eastAsia="Calibri" w:hAnsi="Book Antiqua" w:cs="Arial"/>
          <w:sz w:val="24"/>
          <w:szCs w:val="24"/>
        </w:rPr>
      </w:pPr>
    </w:p>
    <w:p w14:paraId="40E79022" w14:textId="0E914258" w:rsidR="008F717E" w:rsidRDefault="008F717E" w:rsidP="00A651EB">
      <w:pPr>
        <w:spacing w:after="0" w:line="276" w:lineRule="auto"/>
        <w:jc w:val="both"/>
        <w:rPr>
          <w:rFonts w:ascii="Book Antiqua" w:eastAsia="Calibri" w:hAnsi="Book Antiqua" w:cs="Arial"/>
          <w:sz w:val="24"/>
          <w:szCs w:val="24"/>
        </w:rPr>
      </w:pPr>
    </w:p>
    <w:p w14:paraId="75AAE336" w14:textId="77777777" w:rsidR="008F717E" w:rsidRPr="00A651EB" w:rsidRDefault="008F717E" w:rsidP="00A651EB">
      <w:pPr>
        <w:spacing w:after="0" w:line="276" w:lineRule="auto"/>
        <w:jc w:val="both"/>
        <w:rPr>
          <w:rFonts w:ascii="Book Antiqua" w:eastAsia="Calibri" w:hAnsi="Book Antiqua" w:cs="Arial"/>
          <w:sz w:val="24"/>
          <w:szCs w:val="24"/>
        </w:rPr>
      </w:pPr>
    </w:p>
    <w:p w14:paraId="6E5F57F2" w14:textId="3B43CFA6" w:rsidR="00D76FEF" w:rsidRPr="00D76FEF" w:rsidRDefault="00D76FEF" w:rsidP="0033442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76FEF">
        <w:rPr>
          <w:rFonts w:ascii="Book Antiqua" w:eastAsia="Calibri" w:hAnsi="Book Antiqua" w:cs="Arial"/>
          <w:b/>
          <w:bCs/>
          <w:color w:val="1F497D"/>
          <w:szCs w:val="24"/>
          <w:lang w:val="es-ES" w:eastAsia="es-ES"/>
        </w:rPr>
        <w:t xml:space="preserve">Cuadro </w:t>
      </w:r>
      <w:r w:rsidRPr="00D76FEF">
        <w:rPr>
          <w:rFonts w:ascii="Book Antiqua" w:eastAsia="Calibri" w:hAnsi="Book Antiqua" w:cs="Arial"/>
          <w:b/>
          <w:bCs/>
          <w:color w:val="1F497D"/>
          <w:szCs w:val="24"/>
          <w:lang w:val="es-ES" w:eastAsia="es-ES"/>
        </w:rPr>
        <w:fldChar w:fldCharType="begin"/>
      </w:r>
      <w:r w:rsidRPr="00D76FEF">
        <w:rPr>
          <w:rFonts w:ascii="Book Antiqua" w:eastAsia="Calibri" w:hAnsi="Book Antiqua" w:cs="Arial"/>
          <w:b/>
          <w:bCs/>
          <w:color w:val="1F497D"/>
          <w:szCs w:val="24"/>
          <w:lang w:val="es-ES" w:eastAsia="es-ES"/>
        </w:rPr>
        <w:instrText xml:space="preserve"> SEQ Cuadro \* ARABIC </w:instrText>
      </w:r>
      <w:r w:rsidRPr="00D76FEF">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20</w:t>
      </w:r>
      <w:r w:rsidRPr="00D76FEF">
        <w:rPr>
          <w:rFonts w:ascii="Book Antiqua" w:eastAsia="Calibri" w:hAnsi="Book Antiqua" w:cs="Arial"/>
          <w:b/>
          <w:bCs/>
          <w:color w:val="1F497D"/>
          <w:szCs w:val="24"/>
          <w:lang w:val="es-ES" w:eastAsia="es-ES"/>
        </w:rPr>
        <w:fldChar w:fldCharType="end"/>
      </w:r>
      <w:r w:rsidRPr="00D76FEF">
        <w:rPr>
          <w:rFonts w:ascii="Book Antiqua" w:eastAsia="Calibri" w:hAnsi="Book Antiqua" w:cs="Arial"/>
          <w:b/>
          <w:bCs/>
          <w:color w:val="1F497D"/>
          <w:szCs w:val="24"/>
          <w:lang w:val="es-ES" w:eastAsia="es-ES"/>
        </w:rPr>
        <w:t xml:space="preserve"> </w:t>
      </w:r>
    </w:p>
    <w:p w14:paraId="5ABDDCB8" w14:textId="060A7025" w:rsidR="00D76FEF" w:rsidRPr="00D76FEF" w:rsidRDefault="00D76FEF" w:rsidP="0033442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76FEF">
        <w:rPr>
          <w:rFonts w:ascii="Book Antiqua" w:eastAsia="Calibri" w:hAnsi="Book Antiqua" w:cs="Arial"/>
          <w:b/>
          <w:bCs/>
          <w:color w:val="1F497D"/>
          <w:szCs w:val="24"/>
          <w:lang w:val="es-ES" w:eastAsia="es-ES"/>
        </w:rPr>
        <w:t>Porcentaje estimado de procesos que se desjudicializan con</w:t>
      </w:r>
    </w:p>
    <w:p w14:paraId="4D8431BE" w14:textId="40C957C9" w:rsidR="00CF3C0D" w:rsidRPr="00D76FEF" w:rsidRDefault="00D76FEF" w:rsidP="00334424">
      <w:pPr>
        <w:spacing w:after="0" w:line="276" w:lineRule="auto"/>
        <w:jc w:val="center"/>
        <w:rPr>
          <w:rFonts w:ascii="Book Antiqua" w:eastAsia="Calibri" w:hAnsi="Book Antiqua" w:cs="Arial"/>
          <w:b/>
          <w:bCs/>
          <w:color w:val="1F497D"/>
          <w:szCs w:val="24"/>
          <w:lang w:val="es-ES" w:eastAsia="es-ES"/>
        </w:rPr>
      </w:pPr>
      <w:r w:rsidRPr="00D76FEF">
        <w:rPr>
          <w:rFonts w:ascii="Book Antiqua" w:eastAsia="Calibri" w:hAnsi="Book Antiqua" w:cs="Arial"/>
          <w:b/>
          <w:bCs/>
          <w:color w:val="1F497D"/>
          <w:szCs w:val="24"/>
          <w:lang w:val="es-ES" w:eastAsia="es-ES"/>
        </w:rPr>
        <w:t>la entrada en vigencia del Código Procesal de Familia</w:t>
      </w:r>
    </w:p>
    <w:tbl>
      <w:tblPr>
        <w:tblW w:w="5000" w:type="pct"/>
        <w:tblCellMar>
          <w:left w:w="70" w:type="dxa"/>
          <w:right w:w="70" w:type="dxa"/>
        </w:tblCellMar>
        <w:tblLook w:val="04A0" w:firstRow="1" w:lastRow="0" w:firstColumn="1" w:lastColumn="0" w:noHBand="0" w:noVBand="1"/>
      </w:tblPr>
      <w:tblGrid>
        <w:gridCol w:w="4728"/>
        <w:gridCol w:w="1146"/>
        <w:gridCol w:w="1820"/>
        <w:gridCol w:w="1134"/>
      </w:tblGrid>
      <w:tr w:rsidR="003038FB" w:rsidRPr="003038FB" w14:paraId="49EE3AD0" w14:textId="77777777" w:rsidTr="003038FB">
        <w:trPr>
          <w:trHeight w:val="720"/>
        </w:trPr>
        <w:tc>
          <w:tcPr>
            <w:tcW w:w="2678" w:type="pct"/>
            <w:tcBorders>
              <w:top w:val="single" w:sz="4" w:space="0" w:color="auto"/>
              <w:left w:val="single" w:sz="4" w:space="0" w:color="auto"/>
              <w:bottom w:val="single" w:sz="4" w:space="0" w:color="auto"/>
              <w:right w:val="nil"/>
            </w:tcBorders>
            <w:shd w:val="clear" w:color="000000" w:fill="002060"/>
            <w:vAlign w:val="center"/>
            <w:hideMark/>
          </w:tcPr>
          <w:p w14:paraId="52E23D16" w14:textId="77777777" w:rsidR="003038FB" w:rsidRPr="003038FB" w:rsidRDefault="003038FB" w:rsidP="003038FB">
            <w:pPr>
              <w:spacing w:after="0" w:line="240" w:lineRule="auto"/>
              <w:jc w:val="center"/>
              <w:rPr>
                <w:rFonts w:ascii="Book Antiqua" w:eastAsia="Times New Roman" w:hAnsi="Book Antiqua" w:cs="Calibri"/>
                <w:b/>
                <w:bCs/>
                <w:color w:val="FFFFFF"/>
                <w:lang w:eastAsia="es-CR"/>
              </w:rPr>
            </w:pPr>
            <w:r w:rsidRPr="003038FB">
              <w:rPr>
                <w:rFonts w:ascii="Book Antiqua" w:eastAsia="Times New Roman" w:hAnsi="Book Antiqua" w:cs="Calibri"/>
                <w:b/>
                <w:bCs/>
                <w:color w:val="FFFFFF"/>
                <w:lang w:eastAsia="es-CR"/>
              </w:rPr>
              <w:t>Despacho</w:t>
            </w:r>
          </w:p>
        </w:tc>
        <w:tc>
          <w:tcPr>
            <w:tcW w:w="64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4C4E53A0" w14:textId="77777777" w:rsidR="003038FB" w:rsidRPr="003038FB" w:rsidRDefault="003038FB" w:rsidP="003038FB">
            <w:pPr>
              <w:spacing w:after="0" w:line="240" w:lineRule="auto"/>
              <w:jc w:val="center"/>
              <w:rPr>
                <w:rFonts w:ascii="Book Antiqua" w:eastAsia="Times New Roman" w:hAnsi="Book Antiqua" w:cs="Calibri"/>
                <w:b/>
                <w:bCs/>
                <w:color w:val="FFFFFF"/>
                <w:sz w:val="18"/>
                <w:szCs w:val="18"/>
                <w:lang w:eastAsia="es-CR"/>
              </w:rPr>
            </w:pPr>
            <w:r w:rsidRPr="003038FB">
              <w:rPr>
                <w:rFonts w:ascii="Book Antiqua" w:eastAsia="Times New Roman" w:hAnsi="Book Antiqua" w:cs="Calibri"/>
                <w:b/>
                <w:bCs/>
                <w:color w:val="FFFFFF"/>
                <w:sz w:val="18"/>
                <w:szCs w:val="18"/>
                <w:lang w:eastAsia="es-CR"/>
              </w:rPr>
              <w:t>Promedio Entrado</w:t>
            </w:r>
          </w:p>
        </w:tc>
        <w:tc>
          <w:tcPr>
            <w:tcW w:w="1031" w:type="pct"/>
            <w:tcBorders>
              <w:top w:val="single" w:sz="4" w:space="0" w:color="auto"/>
              <w:left w:val="nil"/>
              <w:bottom w:val="single" w:sz="4" w:space="0" w:color="auto"/>
              <w:right w:val="single" w:sz="4" w:space="0" w:color="auto"/>
            </w:tcBorders>
            <w:shd w:val="clear" w:color="000000" w:fill="002060"/>
            <w:vAlign w:val="center"/>
            <w:hideMark/>
          </w:tcPr>
          <w:p w14:paraId="73EB0AC5" w14:textId="77777777" w:rsidR="003038FB" w:rsidRPr="003038FB" w:rsidRDefault="003038FB" w:rsidP="003038FB">
            <w:pPr>
              <w:spacing w:after="0" w:line="240" w:lineRule="auto"/>
              <w:jc w:val="center"/>
              <w:rPr>
                <w:rFonts w:ascii="Book Antiqua" w:eastAsia="Times New Roman" w:hAnsi="Book Antiqua" w:cs="Calibri"/>
                <w:b/>
                <w:bCs/>
                <w:color w:val="FFFFFF"/>
                <w:sz w:val="18"/>
                <w:szCs w:val="18"/>
                <w:lang w:eastAsia="es-CR"/>
              </w:rPr>
            </w:pPr>
            <w:r w:rsidRPr="003038FB">
              <w:rPr>
                <w:rFonts w:ascii="Book Antiqua" w:eastAsia="Times New Roman" w:hAnsi="Book Antiqua" w:cs="Calibri"/>
                <w:b/>
                <w:bCs/>
                <w:color w:val="FFFFFF"/>
                <w:sz w:val="18"/>
                <w:szCs w:val="18"/>
                <w:lang w:eastAsia="es-CR"/>
              </w:rPr>
              <w:t>Promedio Desjudicialización</w:t>
            </w:r>
          </w:p>
        </w:tc>
        <w:tc>
          <w:tcPr>
            <w:tcW w:w="642" w:type="pct"/>
            <w:tcBorders>
              <w:top w:val="single" w:sz="4" w:space="0" w:color="auto"/>
              <w:left w:val="nil"/>
              <w:bottom w:val="single" w:sz="4" w:space="0" w:color="auto"/>
              <w:right w:val="single" w:sz="4" w:space="0" w:color="auto"/>
            </w:tcBorders>
            <w:shd w:val="clear" w:color="000000" w:fill="002060"/>
            <w:vAlign w:val="center"/>
            <w:hideMark/>
          </w:tcPr>
          <w:p w14:paraId="1B092C1E" w14:textId="77777777" w:rsidR="003038FB" w:rsidRPr="003038FB" w:rsidRDefault="003038FB" w:rsidP="003038FB">
            <w:pPr>
              <w:spacing w:after="0" w:line="240" w:lineRule="auto"/>
              <w:jc w:val="center"/>
              <w:rPr>
                <w:rFonts w:ascii="Book Antiqua" w:eastAsia="Times New Roman" w:hAnsi="Book Antiqua" w:cs="Calibri"/>
                <w:b/>
                <w:bCs/>
                <w:color w:val="FFFFFF"/>
                <w:sz w:val="18"/>
                <w:szCs w:val="18"/>
                <w:lang w:eastAsia="es-CR"/>
              </w:rPr>
            </w:pPr>
            <w:r w:rsidRPr="003038FB">
              <w:rPr>
                <w:rFonts w:ascii="Book Antiqua" w:eastAsia="Times New Roman" w:hAnsi="Book Antiqua" w:cs="Calibri"/>
                <w:b/>
                <w:bCs/>
                <w:color w:val="FFFFFF"/>
                <w:sz w:val="18"/>
                <w:szCs w:val="18"/>
                <w:lang w:eastAsia="es-CR"/>
              </w:rPr>
              <w:t>% de</w:t>
            </w:r>
            <w:r w:rsidRPr="003038FB">
              <w:rPr>
                <w:rFonts w:ascii="Book Antiqua" w:eastAsia="Times New Roman" w:hAnsi="Book Antiqua" w:cs="Calibri"/>
                <w:b/>
                <w:bCs/>
                <w:color w:val="FFFFFF"/>
                <w:sz w:val="18"/>
                <w:szCs w:val="18"/>
                <w:lang w:eastAsia="es-CR"/>
              </w:rPr>
              <w:br/>
              <w:t>represen-</w:t>
            </w:r>
            <w:r w:rsidRPr="003038FB">
              <w:rPr>
                <w:rFonts w:ascii="Book Antiqua" w:eastAsia="Times New Roman" w:hAnsi="Book Antiqua" w:cs="Calibri"/>
                <w:b/>
                <w:bCs/>
                <w:color w:val="FFFFFF"/>
                <w:sz w:val="18"/>
                <w:szCs w:val="18"/>
                <w:lang w:eastAsia="es-CR"/>
              </w:rPr>
              <w:br/>
              <w:t>tación</w:t>
            </w:r>
          </w:p>
        </w:tc>
      </w:tr>
      <w:tr w:rsidR="003038FB" w:rsidRPr="003038FB" w14:paraId="107AC65A"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53531514"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Cartago</w:t>
            </w:r>
          </w:p>
        </w:tc>
        <w:tc>
          <w:tcPr>
            <w:tcW w:w="649" w:type="pct"/>
            <w:tcBorders>
              <w:top w:val="nil"/>
              <w:left w:val="nil"/>
              <w:bottom w:val="single" w:sz="4" w:space="0" w:color="auto"/>
              <w:right w:val="single" w:sz="4" w:space="0" w:color="auto"/>
            </w:tcBorders>
            <w:shd w:val="clear" w:color="auto" w:fill="auto"/>
            <w:noWrap/>
            <w:vAlign w:val="bottom"/>
            <w:hideMark/>
          </w:tcPr>
          <w:p w14:paraId="355C801A"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3324</w:t>
            </w:r>
          </w:p>
        </w:tc>
        <w:tc>
          <w:tcPr>
            <w:tcW w:w="1031" w:type="pct"/>
            <w:tcBorders>
              <w:top w:val="nil"/>
              <w:left w:val="nil"/>
              <w:bottom w:val="single" w:sz="4" w:space="0" w:color="auto"/>
              <w:right w:val="single" w:sz="4" w:space="0" w:color="auto"/>
            </w:tcBorders>
            <w:shd w:val="clear" w:color="auto" w:fill="auto"/>
            <w:noWrap/>
            <w:vAlign w:val="bottom"/>
            <w:hideMark/>
          </w:tcPr>
          <w:p w14:paraId="38AB2523"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481</w:t>
            </w:r>
          </w:p>
        </w:tc>
        <w:tc>
          <w:tcPr>
            <w:tcW w:w="642" w:type="pct"/>
            <w:tcBorders>
              <w:top w:val="nil"/>
              <w:left w:val="nil"/>
              <w:bottom w:val="single" w:sz="4" w:space="0" w:color="auto"/>
              <w:right w:val="single" w:sz="4" w:space="0" w:color="auto"/>
            </w:tcBorders>
            <w:shd w:val="clear" w:color="auto" w:fill="auto"/>
            <w:noWrap/>
            <w:vAlign w:val="bottom"/>
            <w:hideMark/>
          </w:tcPr>
          <w:p w14:paraId="18BC7254"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14,5%</w:t>
            </w:r>
          </w:p>
        </w:tc>
      </w:tr>
      <w:tr w:rsidR="003038FB" w:rsidRPr="003038FB" w14:paraId="59A5273B"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51182942"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Heredia</w:t>
            </w:r>
          </w:p>
        </w:tc>
        <w:tc>
          <w:tcPr>
            <w:tcW w:w="649" w:type="pct"/>
            <w:tcBorders>
              <w:top w:val="nil"/>
              <w:left w:val="nil"/>
              <w:bottom w:val="single" w:sz="4" w:space="0" w:color="auto"/>
              <w:right w:val="single" w:sz="4" w:space="0" w:color="auto"/>
            </w:tcBorders>
            <w:shd w:val="clear" w:color="auto" w:fill="auto"/>
            <w:noWrap/>
            <w:vAlign w:val="bottom"/>
            <w:hideMark/>
          </w:tcPr>
          <w:p w14:paraId="26F3BC85"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2744</w:t>
            </w:r>
          </w:p>
        </w:tc>
        <w:tc>
          <w:tcPr>
            <w:tcW w:w="1031" w:type="pct"/>
            <w:tcBorders>
              <w:top w:val="nil"/>
              <w:left w:val="nil"/>
              <w:bottom w:val="single" w:sz="4" w:space="0" w:color="auto"/>
              <w:right w:val="single" w:sz="4" w:space="0" w:color="auto"/>
            </w:tcBorders>
            <w:shd w:val="clear" w:color="auto" w:fill="auto"/>
            <w:noWrap/>
            <w:vAlign w:val="bottom"/>
            <w:hideMark/>
          </w:tcPr>
          <w:p w14:paraId="6F93F13C"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312</w:t>
            </w:r>
          </w:p>
        </w:tc>
        <w:tc>
          <w:tcPr>
            <w:tcW w:w="642" w:type="pct"/>
            <w:tcBorders>
              <w:top w:val="nil"/>
              <w:left w:val="nil"/>
              <w:bottom w:val="single" w:sz="4" w:space="0" w:color="auto"/>
              <w:right w:val="single" w:sz="4" w:space="0" w:color="auto"/>
            </w:tcBorders>
            <w:shd w:val="clear" w:color="auto" w:fill="auto"/>
            <w:noWrap/>
            <w:vAlign w:val="bottom"/>
            <w:hideMark/>
          </w:tcPr>
          <w:p w14:paraId="199A9079"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11,4%</w:t>
            </w:r>
          </w:p>
        </w:tc>
      </w:tr>
      <w:tr w:rsidR="003038FB" w:rsidRPr="003038FB" w14:paraId="0CC56699"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2FDEE1E5"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 Circ. Jud. Alajuela</w:t>
            </w:r>
          </w:p>
        </w:tc>
        <w:tc>
          <w:tcPr>
            <w:tcW w:w="649" w:type="pct"/>
            <w:tcBorders>
              <w:top w:val="nil"/>
              <w:left w:val="nil"/>
              <w:bottom w:val="single" w:sz="4" w:space="0" w:color="auto"/>
              <w:right w:val="single" w:sz="4" w:space="0" w:color="auto"/>
            </w:tcBorders>
            <w:shd w:val="clear" w:color="auto" w:fill="auto"/>
            <w:noWrap/>
            <w:vAlign w:val="bottom"/>
            <w:hideMark/>
          </w:tcPr>
          <w:p w14:paraId="148CD168"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2316</w:t>
            </w:r>
          </w:p>
        </w:tc>
        <w:tc>
          <w:tcPr>
            <w:tcW w:w="1031" w:type="pct"/>
            <w:tcBorders>
              <w:top w:val="nil"/>
              <w:left w:val="nil"/>
              <w:bottom w:val="single" w:sz="4" w:space="0" w:color="auto"/>
              <w:right w:val="single" w:sz="4" w:space="0" w:color="auto"/>
            </w:tcBorders>
            <w:shd w:val="clear" w:color="auto" w:fill="auto"/>
            <w:noWrap/>
            <w:vAlign w:val="bottom"/>
            <w:hideMark/>
          </w:tcPr>
          <w:p w14:paraId="794A33A2"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272</w:t>
            </w:r>
          </w:p>
        </w:tc>
        <w:tc>
          <w:tcPr>
            <w:tcW w:w="642" w:type="pct"/>
            <w:tcBorders>
              <w:top w:val="nil"/>
              <w:left w:val="nil"/>
              <w:bottom w:val="single" w:sz="4" w:space="0" w:color="auto"/>
              <w:right w:val="single" w:sz="4" w:space="0" w:color="auto"/>
            </w:tcBorders>
            <w:shd w:val="clear" w:color="auto" w:fill="auto"/>
            <w:noWrap/>
            <w:vAlign w:val="bottom"/>
            <w:hideMark/>
          </w:tcPr>
          <w:p w14:paraId="2EABB82D"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11,7%</w:t>
            </w:r>
          </w:p>
        </w:tc>
      </w:tr>
      <w:tr w:rsidR="003038FB" w:rsidRPr="003038FB" w14:paraId="6C069D6A"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0BFDC3AB"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 Circ. Jud. Zona Atlántica</w:t>
            </w:r>
          </w:p>
        </w:tc>
        <w:tc>
          <w:tcPr>
            <w:tcW w:w="649" w:type="pct"/>
            <w:tcBorders>
              <w:top w:val="nil"/>
              <w:left w:val="nil"/>
              <w:bottom w:val="single" w:sz="4" w:space="0" w:color="auto"/>
              <w:right w:val="single" w:sz="4" w:space="0" w:color="auto"/>
            </w:tcBorders>
            <w:shd w:val="clear" w:color="auto" w:fill="auto"/>
            <w:noWrap/>
            <w:vAlign w:val="bottom"/>
            <w:hideMark/>
          </w:tcPr>
          <w:p w14:paraId="2148208F"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853</w:t>
            </w:r>
          </w:p>
        </w:tc>
        <w:tc>
          <w:tcPr>
            <w:tcW w:w="1031" w:type="pct"/>
            <w:tcBorders>
              <w:top w:val="nil"/>
              <w:left w:val="nil"/>
              <w:bottom w:val="single" w:sz="4" w:space="0" w:color="auto"/>
              <w:right w:val="single" w:sz="4" w:space="0" w:color="auto"/>
            </w:tcBorders>
            <w:shd w:val="clear" w:color="auto" w:fill="auto"/>
            <w:noWrap/>
            <w:vAlign w:val="bottom"/>
            <w:hideMark/>
          </w:tcPr>
          <w:p w14:paraId="6715D295"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124</w:t>
            </w:r>
          </w:p>
        </w:tc>
        <w:tc>
          <w:tcPr>
            <w:tcW w:w="642" w:type="pct"/>
            <w:tcBorders>
              <w:top w:val="nil"/>
              <w:left w:val="nil"/>
              <w:bottom w:val="single" w:sz="4" w:space="0" w:color="auto"/>
              <w:right w:val="single" w:sz="4" w:space="0" w:color="auto"/>
            </w:tcBorders>
            <w:shd w:val="clear" w:color="auto" w:fill="auto"/>
            <w:noWrap/>
            <w:vAlign w:val="bottom"/>
            <w:hideMark/>
          </w:tcPr>
          <w:p w14:paraId="4B3C86A7"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14,5%</w:t>
            </w:r>
          </w:p>
        </w:tc>
      </w:tr>
      <w:tr w:rsidR="003038FB" w:rsidRPr="003038FB" w14:paraId="593BADF1"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54D1E929"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 Circ. Jud. Zona Sur</w:t>
            </w:r>
          </w:p>
        </w:tc>
        <w:tc>
          <w:tcPr>
            <w:tcW w:w="649" w:type="pct"/>
            <w:tcBorders>
              <w:top w:val="nil"/>
              <w:left w:val="nil"/>
              <w:bottom w:val="single" w:sz="4" w:space="0" w:color="auto"/>
              <w:right w:val="single" w:sz="4" w:space="0" w:color="auto"/>
            </w:tcBorders>
            <w:shd w:val="clear" w:color="auto" w:fill="auto"/>
            <w:noWrap/>
            <w:vAlign w:val="bottom"/>
            <w:hideMark/>
          </w:tcPr>
          <w:p w14:paraId="13EABB44"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957</w:t>
            </w:r>
          </w:p>
        </w:tc>
        <w:tc>
          <w:tcPr>
            <w:tcW w:w="1031" w:type="pct"/>
            <w:tcBorders>
              <w:top w:val="nil"/>
              <w:left w:val="nil"/>
              <w:bottom w:val="single" w:sz="4" w:space="0" w:color="auto"/>
              <w:right w:val="single" w:sz="4" w:space="0" w:color="auto"/>
            </w:tcBorders>
            <w:shd w:val="clear" w:color="auto" w:fill="auto"/>
            <w:noWrap/>
            <w:vAlign w:val="bottom"/>
            <w:hideMark/>
          </w:tcPr>
          <w:p w14:paraId="2F1ECC5D"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158</w:t>
            </w:r>
          </w:p>
        </w:tc>
        <w:tc>
          <w:tcPr>
            <w:tcW w:w="642" w:type="pct"/>
            <w:tcBorders>
              <w:top w:val="nil"/>
              <w:left w:val="nil"/>
              <w:bottom w:val="single" w:sz="4" w:space="0" w:color="auto"/>
              <w:right w:val="single" w:sz="4" w:space="0" w:color="auto"/>
            </w:tcBorders>
            <w:shd w:val="clear" w:color="auto" w:fill="auto"/>
            <w:noWrap/>
            <w:vAlign w:val="bottom"/>
            <w:hideMark/>
          </w:tcPr>
          <w:p w14:paraId="4B92C927"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16,5%</w:t>
            </w:r>
          </w:p>
        </w:tc>
      </w:tr>
      <w:tr w:rsidR="003038FB" w:rsidRPr="003038FB" w14:paraId="01131A0D"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618CC90C"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II Circ. Jud. Alajuela</w:t>
            </w:r>
          </w:p>
        </w:tc>
        <w:tc>
          <w:tcPr>
            <w:tcW w:w="649" w:type="pct"/>
            <w:tcBorders>
              <w:top w:val="nil"/>
              <w:left w:val="nil"/>
              <w:bottom w:val="single" w:sz="4" w:space="0" w:color="auto"/>
              <w:right w:val="single" w:sz="4" w:space="0" w:color="auto"/>
            </w:tcBorders>
            <w:shd w:val="clear" w:color="auto" w:fill="auto"/>
            <w:noWrap/>
            <w:vAlign w:val="bottom"/>
            <w:hideMark/>
          </w:tcPr>
          <w:p w14:paraId="7109AAAC"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1256</w:t>
            </w:r>
          </w:p>
        </w:tc>
        <w:tc>
          <w:tcPr>
            <w:tcW w:w="1031" w:type="pct"/>
            <w:tcBorders>
              <w:top w:val="nil"/>
              <w:left w:val="nil"/>
              <w:bottom w:val="single" w:sz="4" w:space="0" w:color="auto"/>
              <w:right w:val="single" w:sz="4" w:space="0" w:color="auto"/>
            </w:tcBorders>
            <w:shd w:val="clear" w:color="auto" w:fill="auto"/>
            <w:noWrap/>
            <w:vAlign w:val="bottom"/>
            <w:hideMark/>
          </w:tcPr>
          <w:p w14:paraId="1AE5761B"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131</w:t>
            </w:r>
          </w:p>
        </w:tc>
        <w:tc>
          <w:tcPr>
            <w:tcW w:w="642" w:type="pct"/>
            <w:tcBorders>
              <w:top w:val="nil"/>
              <w:left w:val="nil"/>
              <w:bottom w:val="single" w:sz="4" w:space="0" w:color="auto"/>
              <w:right w:val="single" w:sz="4" w:space="0" w:color="auto"/>
            </w:tcBorders>
            <w:shd w:val="clear" w:color="auto" w:fill="auto"/>
            <w:noWrap/>
            <w:vAlign w:val="bottom"/>
            <w:hideMark/>
          </w:tcPr>
          <w:p w14:paraId="6FF0B9C1"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10,4%</w:t>
            </w:r>
          </w:p>
        </w:tc>
      </w:tr>
      <w:tr w:rsidR="003038FB" w:rsidRPr="003038FB" w14:paraId="2534A6D2"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54DB1ECB"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II Circ. Jud. San José</w:t>
            </w:r>
          </w:p>
        </w:tc>
        <w:tc>
          <w:tcPr>
            <w:tcW w:w="649" w:type="pct"/>
            <w:tcBorders>
              <w:top w:val="nil"/>
              <w:left w:val="nil"/>
              <w:bottom w:val="single" w:sz="4" w:space="0" w:color="auto"/>
              <w:right w:val="single" w:sz="4" w:space="0" w:color="auto"/>
            </w:tcBorders>
            <w:shd w:val="clear" w:color="auto" w:fill="auto"/>
            <w:noWrap/>
            <w:vAlign w:val="bottom"/>
            <w:hideMark/>
          </w:tcPr>
          <w:p w14:paraId="753922D1"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2594</w:t>
            </w:r>
          </w:p>
        </w:tc>
        <w:tc>
          <w:tcPr>
            <w:tcW w:w="1031" w:type="pct"/>
            <w:tcBorders>
              <w:top w:val="nil"/>
              <w:left w:val="nil"/>
              <w:bottom w:val="single" w:sz="4" w:space="0" w:color="auto"/>
              <w:right w:val="single" w:sz="4" w:space="0" w:color="auto"/>
            </w:tcBorders>
            <w:shd w:val="clear" w:color="auto" w:fill="auto"/>
            <w:noWrap/>
            <w:vAlign w:val="bottom"/>
            <w:hideMark/>
          </w:tcPr>
          <w:p w14:paraId="2BF9A5C3"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270</w:t>
            </w:r>
          </w:p>
        </w:tc>
        <w:tc>
          <w:tcPr>
            <w:tcW w:w="642" w:type="pct"/>
            <w:tcBorders>
              <w:top w:val="nil"/>
              <w:left w:val="nil"/>
              <w:bottom w:val="single" w:sz="4" w:space="0" w:color="auto"/>
              <w:right w:val="single" w:sz="4" w:space="0" w:color="auto"/>
            </w:tcBorders>
            <w:shd w:val="clear" w:color="auto" w:fill="auto"/>
            <w:noWrap/>
            <w:vAlign w:val="bottom"/>
            <w:hideMark/>
          </w:tcPr>
          <w:p w14:paraId="2358EACE"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10,4%</w:t>
            </w:r>
          </w:p>
        </w:tc>
      </w:tr>
      <w:tr w:rsidR="003038FB" w:rsidRPr="003038FB" w14:paraId="650170D4"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6FF092CA"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II Circ. Jud. Zona Atlántica</w:t>
            </w:r>
          </w:p>
        </w:tc>
        <w:tc>
          <w:tcPr>
            <w:tcW w:w="649" w:type="pct"/>
            <w:tcBorders>
              <w:top w:val="nil"/>
              <w:left w:val="nil"/>
              <w:bottom w:val="single" w:sz="4" w:space="0" w:color="auto"/>
              <w:right w:val="single" w:sz="4" w:space="0" w:color="auto"/>
            </w:tcBorders>
            <w:shd w:val="clear" w:color="auto" w:fill="auto"/>
            <w:noWrap/>
            <w:vAlign w:val="bottom"/>
            <w:hideMark/>
          </w:tcPr>
          <w:p w14:paraId="7B3C3AAD"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1482</w:t>
            </w:r>
          </w:p>
        </w:tc>
        <w:tc>
          <w:tcPr>
            <w:tcW w:w="1031" w:type="pct"/>
            <w:tcBorders>
              <w:top w:val="nil"/>
              <w:left w:val="nil"/>
              <w:bottom w:val="single" w:sz="4" w:space="0" w:color="auto"/>
              <w:right w:val="single" w:sz="4" w:space="0" w:color="auto"/>
            </w:tcBorders>
            <w:shd w:val="clear" w:color="auto" w:fill="auto"/>
            <w:noWrap/>
            <w:vAlign w:val="bottom"/>
            <w:hideMark/>
          </w:tcPr>
          <w:p w14:paraId="50A4033F"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170</w:t>
            </w:r>
          </w:p>
        </w:tc>
        <w:tc>
          <w:tcPr>
            <w:tcW w:w="642" w:type="pct"/>
            <w:tcBorders>
              <w:top w:val="nil"/>
              <w:left w:val="nil"/>
              <w:bottom w:val="single" w:sz="4" w:space="0" w:color="auto"/>
              <w:right w:val="single" w:sz="4" w:space="0" w:color="auto"/>
            </w:tcBorders>
            <w:shd w:val="clear" w:color="auto" w:fill="auto"/>
            <w:noWrap/>
            <w:vAlign w:val="bottom"/>
            <w:hideMark/>
          </w:tcPr>
          <w:p w14:paraId="3F1D603A"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11,5%</w:t>
            </w:r>
          </w:p>
        </w:tc>
      </w:tr>
      <w:tr w:rsidR="003038FB" w:rsidRPr="003038FB" w14:paraId="188DCCAF"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0352541B"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 xml:space="preserve">Juzgado Familia III Circ. Jud. San José </w:t>
            </w:r>
          </w:p>
        </w:tc>
        <w:tc>
          <w:tcPr>
            <w:tcW w:w="649" w:type="pct"/>
            <w:tcBorders>
              <w:top w:val="nil"/>
              <w:left w:val="nil"/>
              <w:bottom w:val="single" w:sz="4" w:space="0" w:color="auto"/>
              <w:right w:val="single" w:sz="4" w:space="0" w:color="auto"/>
            </w:tcBorders>
            <w:shd w:val="clear" w:color="auto" w:fill="auto"/>
            <w:noWrap/>
            <w:vAlign w:val="bottom"/>
            <w:hideMark/>
          </w:tcPr>
          <w:p w14:paraId="0871302E"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1909</w:t>
            </w:r>
          </w:p>
        </w:tc>
        <w:tc>
          <w:tcPr>
            <w:tcW w:w="1031" w:type="pct"/>
            <w:tcBorders>
              <w:top w:val="nil"/>
              <w:left w:val="nil"/>
              <w:bottom w:val="single" w:sz="4" w:space="0" w:color="auto"/>
              <w:right w:val="single" w:sz="4" w:space="0" w:color="auto"/>
            </w:tcBorders>
            <w:shd w:val="clear" w:color="auto" w:fill="auto"/>
            <w:noWrap/>
            <w:vAlign w:val="bottom"/>
            <w:hideMark/>
          </w:tcPr>
          <w:p w14:paraId="79521A2B"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282</w:t>
            </w:r>
          </w:p>
        </w:tc>
        <w:tc>
          <w:tcPr>
            <w:tcW w:w="642" w:type="pct"/>
            <w:tcBorders>
              <w:top w:val="nil"/>
              <w:left w:val="nil"/>
              <w:bottom w:val="single" w:sz="4" w:space="0" w:color="auto"/>
              <w:right w:val="single" w:sz="4" w:space="0" w:color="auto"/>
            </w:tcBorders>
            <w:shd w:val="clear" w:color="auto" w:fill="auto"/>
            <w:noWrap/>
            <w:vAlign w:val="bottom"/>
            <w:hideMark/>
          </w:tcPr>
          <w:p w14:paraId="5DC2E310"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14,8%</w:t>
            </w:r>
          </w:p>
        </w:tc>
      </w:tr>
      <w:tr w:rsidR="003038FB" w:rsidRPr="003038FB" w14:paraId="5CA947D8"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12F21052"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Familia Puntarenas</w:t>
            </w:r>
          </w:p>
        </w:tc>
        <w:tc>
          <w:tcPr>
            <w:tcW w:w="649" w:type="pct"/>
            <w:tcBorders>
              <w:top w:val="nil"/>
              <w:left w:val="nil"/>
              <w:bottom w:val="single" w:sz="4" w:space="0" w:color="auto"/>
              <w:right w:val="single" w:sz="4" w:space="0" w:color="auto"/>
            </w:tcBorders>
            <w:shd w:val="clear" w:color="auto" w:fill="auto"/>
            <w:noWrap/>
            <w:vAlign w:val="bottom"/>
            <w:hideMark/>
          </w:tcPr>
          <w:p w14:paraId="6B68DCD9"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1368</w:t>
            </w:r>
          </w:p>
        </w:tc>
        <w:tc>
          <w:tcPr>
            <w:tcW w:w="1031" w:type="pct"/>
            <w:tcBorders>
              <w:top w:val="nil"/>
              <w:left w:val="nil"/>
              <w:bottom w:val="single" w:sz="4" w:space="0" w:color="auto"/>
              <w:right w:val="single" w:sz="4" w:space="0" w:color="auto"/>
            </w:tcBorders>
            <w:shd w:val="clear" w:color="auto" w:fill="auto"/>
            <w:noWrap/>
            <w:vAlign w:val="bottom"/>
            <w:hideMark/>
          </w:tcPr>
          <w:p w14:paraId="30ED607A"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167</w:t>
            </w:r>
          </w:p>
        </w:tc>
        <w:tc>
          <w:tcPr>
            <w:tcW w:w="642" w:type="pct"/>
            <w:tcBorders>
              <w:top w:val="nil"/>
              <w:left w:val="nil"/>
              <w:bottom w:val="single" w:sz="4" w:space="0" w:color="auto"/>
              <w:right w:val="single" w:sz="4" w:space="0" w:color="auto"/>
            </w:tcBorders>
            <w:shd w:val="clear" w:color="auto" w:fill="auto"/>
            <w:noWrap/>
            <w:vAlign w:val="bottom"/>
            <w:hideMark/>
          </w:tcPr>
          <w:p w14:paraId="1D9AF4AD"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12,2%</w:t>
            </w:r>
          </w:p>
        </w:tc>
      </w:tr>
      <w:tr w:rsidR="003038FB" w:rsidRPr="003038FB" w14:paraId="426D7273"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65360FBE"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Primero Familia San José</w:t>
            </w:r>
          </w:p>
        </w:tc>
        <w:tc>
          <w:tcPr>
            <w:tcW w:w="649" w:type="pct"/>
            <w:tcBorders>
              <w:top w:val="nil"/>
              <w:left w:val="nil"/>
              <w:bottom w:val="single" w:sz="4" w:space="0" w:color="auto"/>
              <w:right w:val="single" w:sz="4" w:space="0" w:color="auto"/>
            </w:tcBorders>
            <w:shd w:val="clear" w:color="auto" w:fill="auto"/>
            <w:noWrap/>
            <w:vAlign w:val="bottom"/>
            <w:hideMark/>
          </w:tcPr>
          <w:p w14:paraId="6606E9E7"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1267</w:t>
            </w:r>
          </w:p>
        </w:tc>
        <w:tc>
          <w:tcPr>
            <w:tcW w:w="1031" w:type="pct"/>
            <w:tcBorders>
              <w:top w:val="nil"/>
              <w:left w:val="nil"/>
              <w:bottom w:val="single" w:sz="4" w:space="0" w:color="auto"/>
              <w:right w:val="single" w:sz="4" w:space="0" w:color="auto"/>
            </w:tcBorders>
            <w:shd w:val="clear" w:color="auto" w:fill="auto"/>
            <w:noWrap/>
            <w:vAlign w:val="bottom"/>
            <w:hideMark/>
          </w:tcPr>
          <w:p w14:paraId="324822C1"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151</w:t>
            </w:r>
          </w:p>
        </w:tc>
        <w:tc>
          <w:tcPr>
            <w:tcW w:w="642" w:type="pct"/>
            <w:tcBorders>
              <w:top w:val="nil"/>
              <w:left w:val="nil"/>
              <w:bottom w:val="single" w:sz="4" w:space="0" w:color="auto"/>
              <w:right w:val="single" w:sz="4" w:space="0" w:color="auto"/>
            </w:tcBorders>
            <w:shd w:val="clear" w:color="auto" w:fill="auto"/>
            <w:noWrap/>
            <w:vAlign w:val="bottom"/>
            <w:hideMark/>
          </w:tcPr>
          <w:p w14:paraId="146A05CE"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11,9%</w:t>
            </w:r>
          </w:p>
        </w:tc>
      </w:tr>
      <w:tr w:rsidR="003038FB" w:rsidRPr="003038FB" w14:paraId="10E9BAEF" w14:textId="77777777" w:rsidTr="003038FB">
        <w:trPr>
          <w:trHeight w:val="290"/>
        </w:trPr>
        <w:tc>
          <w:tcPr>
            <w:tcW w:w="2678" w:type="pct"/>
            <w:tcBorders>
              <w:top w:val="nil"/>
              <w:left w:val="single" w:sz="4" w:space="0" w:color="auto"/>
              <w:bottom w:val="single" w:sz="4" w:space="0" w:color="auto"/>
              <w:right w:val="single" w:sz="4" w:space="0" w:color="auto"/>
            </w:tcBorders>
            <w:shd w:val="clear" w:color="auto" w:fill="auto"/>
            <w:noWrap/>
            <w:vAlign w:val="bottom"/>
            <w:hideMark/>
          </w:tcPr>
          <w:p w14:paraId="7BCC6B9B" w14:textId="77777777" w:rsidR="003038FB" w:rsidRPr="003038FB" w:rsidRDefault="003038FB" w:rsidP="003038FB">
            <w:pPr>
              <w:spacing w:after="0" w:line="240" w:lineRule="auto"/>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Juzgado Segundo Familia San José</w:t>
            </w:r>
          </w:p>
        </w:tc>
        <w:tc>
          <w:tcPr>
            <w:tcW w:w="649" w:type="pct"/>
            <w:tcBorders>
              <w:top w:val="nil"/>
              <w:left w:val="nil"/>
              <w:bottom w:val="single" w:sz="4" w:space="0" w:color="auto"/>
              <w:right w:val="single" w:sz="4" w:space="0" w:color="auto"/>
            </w:tcBorders>
            <w:shd w:val="clear" w:color="auto" w:fill="auto"/>
            <w:noWrap/>
            <w:vAlign w:val="bottom"/>
            <w:hideMark/>
          </w:tcPr>
          <w:p w14:paraId="6C492499"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1218</w:t>
            </w:r>
          </w:p>
        </w:tc>
        <w:tc>
          <w:tcPr>
            <w:tcW w:w="1031" w:type="pct"/>
            <w:tcBorders>
              <w:top w:val="nil"/>
              <w:left w:val="nil"/>
              <w:bottom w:val="single" w:sz="4" w:space="0" w:color="auto"/>
              <w:right w:val="single" w:sz="4" w:space="0" w:color="auto"/>
            </w:tcBorders>
            <w:shd w:val="clear" w:color="auto" w:fill="auto"/>
            <w:noWrap/>
            <w:vAlign w:val="bottom"/>
            <w:hideMark/>
          </w:tcPr>
          <w:p w14:paraId="4D0DF532"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144</w:t>
            </w:r>
          </w:p>
        </w:tc>
        <w:tc>
          <w:tcPr>
            <w:tcW w:w="642" w:type="pct"/>
            <w:tcBorders>
              <w:top w:val="nil"/>
              <w:left w:val="nil"/>
              <w:bottom w:val="single" w:sz="4" w:space="0" w:color="auto"/>
              <w:right w:val="single" w:sz="4" w:space="0" w:color="auto"/>
            </w:tcBorders>
            <w:shd w:val="clear" w:color="auto" w:fill="auto"/>
            <w:noWrap/>
            <w:vAlign w:val="bottom"/>
            <w:hideMark/>
          </w:tcPr>
          <w:p w14:paraId="2B84637F" w14:textId="77777777" w:rsidR="003038FB" w:rsidRPr="003038FB" w:rsidRDefault="003038FB" w:rsidP="009B71C9">
            <w:pPr>
              <w:spacing w:after="0" w:line="240" w:lineRule="auto"/>
              <w:jc w:val="center"/>
              <w:rPr>
                <w:rFonts w:ascii="Book Antiqua" w:eastAsia="Times New Roman" w:hAnsi="Book Antiqua" w:cs="Calibri"/>
                <w:color w:val="000000"/>
                <w:lang w:eastAsia="es-CR"/>
              </w:rPr>
            </w:pPr>
            <w:r w:rsidRPr="003038FB">
              <w:rPr>
                <w:rFonts w:ascii="Book Antiqua" w:eastAsia="Times New Roman" w:hAnsi="Book Antiqua" w:cs="Calibri"/>
                <w:color w:val="000000"/>
                <w:lang w:eastAsia="es-CR"/>
              </w:rPr>
              <w:t>11,8%</w:t>
            </w:r>
          </w:p>
        </w:tc>
      </w:tr>
      <w:tr w:rsidR="003038FB" w:rsidRPr="003038FB" w14:paraId="4CEE9EF7" w14:textId="77777777" w:rsidTr="003038FB">
        <w:trPr>
          <w:trHeight w:val="290"/>
        </w:trPr>
        <w:tc>
          <w:tcPr>
            <w:tcW w:w="2678" w:type="pct"/>
            <w:tcBorders>
              <w:top w:val="nil"/>
              <w:left w:val="single" w:sz="4" w:space="0" w:color="auto"/>
              <w:bottom w:val="single" w:sz="4" w:space="0" w:color="auto"/>
              <w:right w:val="single" w:sz="4" w:space="0" w:color="auto"/>
            </w:tcBorders>
            <w:shd w:val="clear" w:color="000000" w:fill="BFBFBF"/>
            <w:noWrap/>
            <w:vAlign w:val="bottom"/>
            <w:hideMark/>
          </w:tcPr>
          <w:p w14:paraId="71B51459" w14:textId="77777777" w:rsidR="003038FB" w:rsidRPr="003038FB" w:rsidRDefault="003038FB" w:rsidP="003038FB">
            <w:pPr>
              <w:spacing w:after="0" w:line="240" w:lineRule="auto"/>
              <w:jc w:val="right"/>
              <w:rPr>
                <w:rFonts w:ascii="Book Antiqua" w:eastAsia="Times New Roman" w:hAnsi="Book Antiqua" w:cs="Calibri"/>
                <w:b/>
                <w:bCs/>
                <w:color w:val="000000"/>
                <w:lang w:eastAsia="es-CR"/>
              </w:rPr>
            </w:pPr>
            <w:r w:rsidRPr="003038FB">
              <w:rPr>
                <w:rFonts w:ascii="Book Antiqua" w:eastAsia="Times New Roman" w:hAnsi="Book Antiqua" w:cs="Calibri"/>
                <w:b/>
                <w:bCs/>
                <w:color w:val="000000"/>
                <w:lang w:eastAsia="es-CR"/>
              </w:rPr>
              <w:t>Total general</w:t>
            </w:r>
          </w:p>
        </w:tc>
        <w:tc>
          <w:tcPr>
            <w:tcW w:w="649" w:type="pct"/>
            <w:tcBorders>
              <w:top w:val="nil"/>
              <w:left w:val="nil"/>
              <w:bottom w:val="single" w:sz="4" w:space="0" w:color="auto"/>
              <w:right w:val="single" w:sz="4" w:space="0" w:color="auto"/>
            </w:tcBorders>
            <w:shd w:val="clear" w:color="000000" w:fill="BFBFBF"/>
            <w:noWrap/>
            <w:vAlign w:val="bottom"/>
            <w:hideMark/>
          </w:tcPr>
          <w:p w14:paraId="4ADA9D02" w14:textId="77777777" w:rsidR="003038FB" w:rsidRPr="003038FB" w:rsidRDefault="003038FB" w:rsidP="009B71C9">
            <w:pPr>
              <w:spacing w:after="0" w:line="240" w:lineRule="auto"/>
              <w:jc w:val="center"/>
              <w:rPr>
                <w:rFonts w:ascii="Book Antiqua" w:eastAsia="Times New Roman" w:hAnsi="Book Antiqua" w:cs="Calibri"/>
                <w:b/>
                <w:bCs/>
                <w:color w:val="000000"/>
                <w:lang w:eastAsia="es-CR"/>
              </w:rPr>
            </w:pPr>
            <w:r w:rsidRPr="003038FB">
              <w:rPr>
                <w:rFonts w:ascii="Book Antiqua" w:eastAsia="Times New Roman" w:hAnsi="Book Antiqua" w:cs="Calibri"/>
                <w:b/>
                <w:bCs/>
                <w:color w:val="000000"/>
                <w:lang w:eastAsia="es-CR"/>
              </w:rPr>
              <w:t>21288</w:t>
            </w:r>
          </w:p>
        </w:tc>
        <w:tc>
          <w:tcPr>
            <w:tcW w:w="1031" w:type="pct"/>
            <w:tcBorders>
              <w:top w:val="nil"/>
              <w:left w:val="nil"/>
              <w:bottom w:val="single" w:sz="4" w:space="0" w:color="auto"/>
              <w:right w:val="single" w:sz="4" w:space="0" w:color="auto"/>
            </w:tcBorders>
            <w:shd w:val="clear" w:color="000000" w:fill="BFBFBF"/>
            <w:noWrap/>
            <w:vAlign w:val="bottom"/>
            <w:hideMark/>
          </w:tcPr>
          <w:p w14:paraId="3FC6272D" w14:textId="77777777" w:rsidR="003038FB" w:rsidRPr="003038FB" w:rsidRDefault="003038FB" w:rsidP="009B71C9">
            <w:pPr>
              <w:spacing w:after="0" w:line="240" w:lineRule="auto"/>
              <w:jc w:val="center"/>
              <w:rPr>
                <w:rFonts w:ascii="Book Antiqua" w:eastAsia="Times New Roman" w:hAnsi="Book Antiqua" w:cs="Calibri"/>
                <w:b/>
                <w:bCs/>
                <w:color w:val="000000"/>
                <w:lang w:eastAsia="es-CR"/>
              </w:rPr>
            </w:pPr>
            <w:r w:rsidRPr="003038FB">
              <w:rPr>
                <w:rFonts w:ascii="Book Antiqua" w:eastAsia="Times New Roman" w:hAnsi="Book Antiqua" w:cs="Calibri"/>
                <w:b/>
                <w:bCs/>
                <w:color w:val="000000"/>
                <w:lang w:eastAsia="es-CR"/>
              </w:rPr>
              <w:t>2662</w:t>
            </w:r>
          </w:p>
        </w:tc>
        <w:tc>
          <w:tcPr>
            <w:tcW w:w="642" w:type="pct"/>
            <w:tcBorders>
              <w:top w:val="nil"/>
              <w:left w:val="nil"/>
              <w:bottom w:val="single" w:sz="4" w:space="0" w:color="auto"/>
              <w:right w:val="single" w:sz="4" w:space="0" w:color="auto"/>
            </w:tcBorders>
            <w:shd w:val="clear" w:color="000000" w:fill="BFBFBF"/>
            <w:noWrap/>
            <w:vAlign w:val="bottom"/>
            <w:hideMark/>
          </w:tcPr>
          <w:p w14:paraId="2FD9ADD5" w14:textId="77777777" w:rsidR="003038FB" w:rsidRPr="003038FB" w:rsidRDefault="003038FB" w:rsidP="009B71C9">
            <w:pPr>
              <w:spacing w:after="0" w:line="240" w:lineRule="auto"/>
              <w:jc w:val="center"/>
              <w:rPr>
                <w:rFonts w:ascii="Book Antiqua" w:eastAsia="Times New Roman" w:hAnsi="Book Antiqua" w:cs="Calibri"/>
                <w:b/>
                <w:bCs/>
                <w:color w:val="000000"/>
                <w:lang w:eastAsia="es-CR"/>
              </w:rPr>
            </w:pPr>
            <w:r w:rsidRPr="003038FB">
              <w:rPr>
                <w:rFonts w:ascii="Book Antiqua" w:eastAsia="Times New Roman" w:hAnsi="Book Antiqua" w:cs="Calibri"/>
                <w:b/>
                <w:bCs/>
                <w:color w:val="000000"/>
                <w:lang w:eastAsia="es-CR"/>
              </w:rPr>
              <w:t>12,5%</w:t>
            </w:r>
          </w:p>
        </w:tc>
      </w:tr>
    </w:tbl>
    <w:p w14:paraId="4CCD8824" w14:textId="35AED457" w:rsidR="00176A6D" w:rsidRDefault="00A66284" w:rsidP="009C01E1">
      <w:pPr>
        <w:spacing w:line="276" w:lineRule="auto"/>
        <w:jc w:val="both"/>
        <w:rPr>
          <w:rFonts w:ascii="Book Antiqua" w:hAnsi="Book Antiqua"/>
          <w:i/>
          <w:iCs/>
          <w:sz w:val="20"/>
          <w:szCs w:val="20"/>
        </w:rPr>
      </w:pPr>
      <w:r w:rsidRPr="00A66284">
        <w:rPr>
          <w:rFonts w:ascii="Book Antiqua" w:hAnsi="Book Antiqua"/>
          <w:i/>
          <w:iCs/>
          <w:sz w:val="20"/>
          <w:szCs w:val="20"/>
        </w:rPr>
        <w:t xml:space="preserve">Fuente: Modernización Institucional de la Dirección de Planificación con base en datos de Cuadros Estadísticos del </w:t>
      </w:r>
      <w:r w:rsidR="00793DFA" w:rsidRPr="00A66284">
        <w:rPr>
          <w:rFonts w:ascii="Book Antiqua" w:hAnsi="Book Antiqua"/>
          <w:i/>
          <w:iCs/>
          <w:sz w:val="20"/>
          <w:szCs w:val="20"/>
        </w:rPr>
        <w:t>Subproceso</w:t>
      </w:r>
      <w:r w:rsidRPr="00A66284">
        <w:rPr>
          <w:rFonts w:ascii="Book Antiqua" w:hAnsi="Book Antiqua"/>
          <w:i/>
          <w:iCs/>
          <w:sz w:val="20"/>
          <w:szCs w:val="20"/>
        </w:rPr>
        <w:t xml:space="preserve"> de Estadística de la Dirección de Planificación de 201</w:t>
      </w:r>
      <w:r w:rsidR="00793DFA">
        <w:rPr>
          <w:rFonts w:ascii="Book Antiqua" w:hAnsi="Book Antiqua"/>
          <w:i/>
          <w:iCs/>
          <w:sz w:val="20"/>
          <w:szCs w:val="20"/>
        </w:rPr>
        <w:t>7</w:t>
      </w:r>
      <w:r w:rsidRPr="00A66284">
        <w:rPr>
          <w:rFonts w:ascii="Book Antiqua" w:hAnsi="Book Antiqua"/>
          <w:i/>
          <w:iCs/>
          <w:sz w:val="20"/>
          <w:szCs w:val="20"/>
        </w:rPr>
        <w:t xml:space="preserve"> a 20</w:t>
      </w:r>
      <w:r w:rsidR="00793DFA">
        <w:rPr>
          <w:rFonts w:ascii="Book Antiqua" w:hAnsi="Book Antiqua"/>
          <w:i/>
          <w:iCs/>
          <w:sz w:val="20"/>
          <w:szCs w:val="20"/>
        </w:rPr>
        <w:t>2</w:t>
      </w:r>
      <w:r w:rsidRPr="00A66284">
        <w:rPr>
          <w:rFonts w:ascii="Book Antiqua" w:hAnsi="Book Antiqua"/>
          <w:i/>
          <w:iCs/>
          <w:sz w:val="20"/>
          <w:szCs w:val="20"/>
        </w:rPr>
        <w:t>1.</w:t>
      </w:r>
    </w:p>
    <w:p w14:paraId="2C278586" w14:textId="77777777" w:rsidR="00C71ECD" w:rsidRPr="00C71ECD" w:rsidRDefault="00C71ECD" w:rsidP="00C71ECD">
      <w:pPr>
        <w:spacing w:after="0" w:line="276" w:lineRule="auto"/>
        <w:jc w:val="both"/>
        <w:rPr>
          <w:rFonts w:ascii="Book Antiqua" w:eastAsia="Calibri" w:hAnsi="Book Antiqua" w:cs="Arial"/>
          <w:color w:val="000000"/>
          <w:sz w:val="24"/>
          <w:szCs w:val="24"/>
          <w:lang w:eastAsia="es-CR"/>
        </w:rPr>
      </w:pPr>
      <w:r w:rsidRPr="00C71ECD">
        <w:rPr>
          <w:rFonts w:ascii="Book Antiqua" w:eastAsia="Calibri" w:hAnsi="Book Antiqua" w:cs="Arial"/>
          <w:color w:val="000000"/>
          <w:sz w:val="24"/>
          <w:szCs w:val="24"/>
          <w:lang w:eastAsia="es-CR"/>
        </w:rPr>
        <w:t>Cabe mencionar que dentro de los despachos analizados y que conocían la materia Familia durante los estudios realizados para la Reforma al Código de Trabajo y Reforma Procesal Civil se incluyó:</w:t>
      </w:r>
    </w:p>
    <w:p w14:paraId="28E07624" w14:textId="510C488E" w:rsidR="00176A6D" w:rsidRDefault="00176A6D" w:rsidP="009C01E1">
      <w:pPr>
        <w:spacing w:line="276" w:lineRule="auto"/>
        <w:jc w:val="both"/>
        <w:rPr>
          <w:rFonts w:ascii="Book Antiqua" w:hAnsi="Book Antiqua"/>
          <w:i/>
          <w:iCs/>
          <w:sz w:val="20"/>
          <w:szCs w:val="20"/>
        </w:rPr>
      </w:pPr>
    </w:p>
    <w:p w14:paraId="5F484C92" w14:textId="5EC89CEB" w:rsidR="00406E72" w:rsidRDefault="0082155E"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sidRPr="00D83B6B">
        <w:rPr>
          <w:rFonts w:ascii="Book Antiqua" w:eastAsia="Calibri" w:hAnsi="Book Antiqua" w:cs="Arial"/>
          <w:color w:val="000000"/>
          <w:sz w:val="24"/>
          <w:szCs w:val="24"/>
          <w:lang w:eastAsia="es-CR"/>
        </w:rPr>
        <w:t>Juzgado</w:t>
      </w:r>
      <w:r w:rsidR="00D83B6B" w:rsidRPr="00D83B6B">
        <w:rPr>
          <w:rFonts w:ascii="Book Antiqua" w:eastAsia="Calibri" w:hAnsi="Book Antiqua" w:cs="Arial"/>
          <w:color w:val="000000"/>
          <w:sz w:val="24"/>
          <w:szCs w:val="24"/>
          <w:lang w:eastAsia="es-CR"/>
        </w:rPr>
        <w:t xml:space="preserve"> Civil, Trabajo y Familia del Segundo Circuito Judicial de Alajuela, sede Upala, lo cual consta en el informe 437-PLA-2017, aprobado por el Consejo Superior en la sesión 19-17 del 02 de marzo de 2017, artículo LV.</w:t>
      </w:r>
    </w:p>
    <w:p w14:paraId="5138CB5F" w14:textId="6B30282B" w:rsidR="00D83B6B" w:rsidRDefault="00FB104C"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916287" w:rsidRPr="00916287">
        <w:rPr>
          <w:rFonts w:ascii="Book Antiqua" w:eastAsia="Calibri" w:hAnsi="Book Antiqua" w:cs="Arial"/>
          <w:color w:val="000000"/>
          <w:sz w:val="24"/>
          <w:szCs w:val="24"/>
          <w:lang w:eastAsia="es-CR"/>
        </w:rPr>
        <w:t>Civil, Trabajo, Familia, Agrario, Penal Juvenil y Violencia Doméstica de Buenos Aires, lo cual consta en el informe 1203-PLA-2017, aprobado por el Consejo Superior, en la sesión 87-17 celebrada el 26 de setiembre del 2017, artículo LXXXI</w:t>
      </w:r>
      <w:r w:rsidR="00916287">
        <w:rPr>
          <w:rFonts w:ascii="Book Antiqua" w:eastAsia="Calibri" w:hAnsi="Book Antiqua" w:cs="Arial"/>
          <w:color w:val="000000"/>
          <w:sz w:val="24"/>
          <w:szCs w:val="24"/>
          <w:lang w:eastAsia="es-CR"/>
        </w:rPr>
        <w:t>.</w:t>
      </w:r>
    </w:p>
    <w:p w14:paraId="3181F0D5" w14:textId="4EC0F046" w:rsidR="00916287" w:rsidRDefault="00916287"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lastRenderedPageBreak/>
        <w:t xml:space="preserve">Juzgado </w:t>
      </w:r>
      <w:r w:rsidR="00540C7F" w:rsidRPr="00540C7F">
        <w:rPr>
          <w:rFonts w:ascii="Book Antiqua" w:eastAsia="Calibri" w:hAnsi="Book Antiqua" w:cs="Arial"/>
          <w:color w:val="000000"/>
          <w:sz w:val="24"/>
          <w:szCs w:val="24"/>
          <w:lang w:eastAsia="es-CR"/>
        </w:rPr>
        <w:t>Civil, Trabajo y Familia de Osa, lo cual consta en el informe 835-PLA-2017, aprobado por el Consejo Superior, en la sesión 35-17 celebrada el 18 de abril del 2017, artículo LIII.</w:t>
      </w:r>
    </w:p>
    <w:p w14:paraId="5ACE9B59" w14:textId="13837A99" w:rsidR="00540C7F" w:rsidRDefault="001F2E3C"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E02C23" w:rsidRPr="00E02C23">
        <w:rPr>
          <w:rFonts w:ascii="Book Antiqua" w:eastAsia="Calibri" w:hAnsi="Book Antiqua" w:cs="Arial"/>
          <w:color w:val="000000"/>
          <w:sz w:val="24"/>
          <w:szCs w:val="24"/>
          <w:lang w:eastAsia="es-CR"/>
        </w:rPr>
        <w:t>Civil, Trabajo y Familia de Aguirre y Parrita, lo cual consta en el informe 65-PLA-2017, aprobado por el Consejo Superior, en la sesión 5-17 del 24 de enero del 2027, Art XLIII. Actualmente corresponde a los Juzgados Civil y Trabajo, y Juzgado Familia, Violencia Doméstica y Penal Juvenil de Quepos, debido a la separación efectuada el 8 de octubre del 2018 a raíz de la entrada en vigencia del Nuevo Código Procesal Civil</w:t>
      </w:r>
      <w:r w:rsidR="00E02C23">
        <w:rPr>
          <w:rFonts w:ascii="Book Antiqua" w:eastAsia="Calibri" w:hAnsi="Book Antiqua" w:cs="Arial"/>
          <w:color w:val="000000"/>
          <w:sz w:val="24"/>
          <w:szCs w:val="24"/>
          <w:lang w:eastAsia="es-CR"/>
        </w:rPr>
        <w:t>.</w:t>
      </w:r>
    </w:p>
    <w:p w14:paraId="3602F469" w14:textId="0C4A264C" w:rsidR="00E02C23" w:rsidRDefault="00472EFA"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9D0938" w:rsidRPr="009D0938">
        <w:rPr>
          <w:rFonts w:ascii="Book Antiqua" w:eastAsia="Calibri" w:hAnsi="Book Antiqua" w:cs="Arial"/>
          <w:color w:val="000000"/>
          <w:sz w:val="24"/>
          <w:szCs w:val="24"/>
          <w:lang w:eastAsia="es-CR"/>
        </w:rPr>
        <w:t>Civil, Trabajo y Familia de Hatillo, San Sebastián y Alajuelita; lo cual consta en el informe 1616-PLA-2017, aprobado por el Consejo Superior, en la sesión 114-17 celebrada el 21 de diciembre del 2017, artículo XCIX.  Actualmente corresponde al Juzgado de Trabajo y Familia de Hatillo, San Sebastián y Alajuelita, debido a la separación efectuada el 8 de octubre del 2018 a raíz de la entrada en vigencia del Nuevo Código Procesal Civil</w:t>
      </w:r>
      <w:r w:rsidR="009D0938">
        <w:rPr>
          <w:rFonts w:ascii="Book Antiqua" w:eastAsia="Calibri" w:hAnsi="Book Antiqua" w:cs="Arial"/>
          <w:color w:val="000000"/>
          <w:sz w:val="24"/>
          <w:szCs w:val="24"/>
          <w:lang w:eastAsia="es-CR"/>
        </w:rPr>
        <w:t>.</w:t>
      </w:r>
    </w:p>
    <w:p w14:paraId="13ABF007" w14:textId="66F5C125" w:rsidR="009D0938" w:rsidRDefault="009D0938"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00994CDD" w:rsidRPr="00994CDD">
        <w:rPr>
          <w:rFonts w:ascii="Book Antiqua" w:eastAsia="Calibri" w:hAnsi="Book Antiqua" w:cs="Arial"/>
          <w:color w:val="000000"/>
          <w:sz w:val="24"/>
          <w:szCs w:val="24"/>
          <w:lang w:eastAsia="es-CR"/>
        </w:rPr>
        <w:t>Civil, Trabajo, Familia, Penal Juvenil y Violencia Doméstica de Sarapiquí, lo cual consta en el informe 1093-PLA-2017, aprobado en la sesión 69-17 del 26 de julio de 2017, artículo LXI</w:t>
      </w:r>
      <w:r w:rsidR="00994CDD">
        <w:rPr>
          <w:rFonts w:ascii="Book Antiqua" w:eastAsia="Calibri" w:hAnsi="Book Antiqua" w:cs="Arial"/>
          <w:color w:val="000000"/>
          <w:sz w:val="24"/>
          <w:szCs w:val="24"/>
          <w:lang w:eastAsia="es-CR"/>
        </w:rPr>
        <w:t>.</w:t>
      </w:r>
    </w:p>
    <w:p w14:paraId="7CFF9B4E" w14:textId="1116E613" w:rsidR="00F91AAB" w:rsidRDefault="00F91AAB" w:rsidP="0090609F">
      <w:pPr>
        <w:pStyle w:val="Prrafodelista"/>
        <w:numPr>
          <w:ilvl w:val="0"/>
          <w:numId w:val="21"/>
        </w:numPr>
        <w:spacing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Juzgado </w:t>
      </w:r>
      <w:r w:rsidRPr="00F91AAB">
        <w:rPr>
          <w:rFonts w:ascii="Book Antiqua" w:eastAsia="Calibri" w:hAnsi="Book Antiqua" w:cs="Arial"/>
          <w:color w:val="000000"/>
          <w:sz w:val="24"/>
          <w:szCs w:val="24"/>
          <w:lang w:eastAsia="es-CR"/>
        </w:rPr>
        <w:t>Civil, Trabajo y Familia Puriscal, lo cual consta en el informe 1471-PLA-2017, aprobado por el Consejo Superior, en la sesión 94-17 celebrada el 12 de octubre del 2017, artículo LIV</w:t>
      </w:r>
      <w:r>
        <w:rPr>
          <w:rFonts w:ascii="Book Antiqua" w:eastAsia="Calibri" w:hAnsi="Book Antiqua" w:cs="Arial"/>
          <w:color w:val="000000"/>
          <w:sz w:val="24"/>
          <w:szCs w:val="24"/>
          <w:lang w:eastAsia="es-CR"/>
        </w:rPr>
        <w:t>.</w:t>
      </w:r>
    </w:p>
    <w:p w14:paraId="36852E9C" w14:textId="77777777" w:rsidR="00207003" w:rsidRDefault="00207003" w:rsidP="00207003">
      <w:pPr>
        <w:pStyle w:val="Prrafodelista"/>
        <w:spacing w:line="276" w:lineRule="auto"/>
        <w:jc w:val="both"/>
        <w:rPr>
          <w:rFonts w:ascii="Book Antiqua" w:eastAsia="Calibri" w:hAnsi="Book Antiqua" w:cs="Arial"/>
          <w:color w:val="000000"/>
          <w:sz w:val="24"/>
          <w:szCs w:val="24"/>
          <w:lang w:eastAsia="es-CR"/>
        </w:rPr>
      </w:pPr>
    </w:p>
    <w:p w14:paraId="445272BF" w14:textId="5DE2386E" w:rsidR="00F91AAB" w:rsidRPr="004A3198" w:rsidRDefault="006F62E7"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Análisis de cargas de trabajo actual y proyectada</w:t>
      </w:r>
    </w:p>
    <w:p w14:paraId="5CD7F470" w14:textId="77777777" w:rsidR="004A3198" w:rsidRDefault="004A3198" w:rsidP="00207003">
      <w:pPr>
        <w:spacing w:after="0" w:line="276" w:lineRule="auto"/>
        <w:jc w:val="both"/>
        <w:rPr>
          <w:rFonts w:ascii="Book Antiqua" w:eastAsia="Calibri" w:hAnsi="Book Antiqua" w:cs="Arial"/>
          <w:sz w:val="24"/>
          <w:szCs w:val="24"/>
        </w:rPr>
      </w:pPr>
    </w:p>
    <w:p w14:paraId="3B6BAD41" w14:textId="47171D9D" w:rsidR="00207003" w:rsidRPr="00207003" w:rsidRDefault="00207003" w:rsidP="00207003">
      <w:pPr>
        <w:spacing w:after="0" w:line="276" w:lineRule="auto"/>
        <w:jc w:val="both"/>
        <w:rPr>
          <w:rFonts w:ascii="Book Antiqua" w:eastAsia="Calibri" w:hAnsi="Book Antiqua" w:cs="Arial"/>
          <w:sz w:val="24"/>
          <w:szCs w:val="24"/>
        </w:rPr>
      </w:pPr>
      <w:r w:rsidRPr="00207003">
        <w:rPr>
          <w:rFonts w:ascii="Book Antiqua" w:eastAsia="Calibri" w:hAnsi="Book Antiqua" w:cs="Arial"/>
          <w:sz w:val="24"/>
          <w:szCs w:val="24"/>
        </w:rPr>
        <w:t>Se analizan los efectos estimados del CPF (Código Procesal de Familia) para los juzgados de familia del país, producto de la desjudicialización de casos sobre la entrada; para ello se agruparon los despachos en bloques según su competencia material.</w:t>
      </w:r>
    </w:p>
    <w:p w14:paraId="2CE26224" w14:textId="77777777" w:rsidR="00207003" w:rsidRPr="00207003" w:rsidRDefault="00207003" w:rsidP="00207003">
      <w:pPr>
        <w:spacing w:after="0" w:line="276" w:lineRule="auto"/>
        <w:jc w:val="both"/>
        <w:rPr>
          <w:rFonts w:ascii="Book Antiqua" w:eastAsia="Calibri" w:hAnsi="Book Antiqua" w:cs="Arial"/>
          <w:sz w:val="24"/>
          <w:szCs w:val="24"/>
        </w:rPr>
      </w:pPr>
    </w:p>
    <w:p w14:paraId="7AB7670F" w14:textId="2FBD260D" w:rsidR="009D59D7" w:rsidRDefault="00207003" w:rsidP="001D0C10">
      <w:pPr>
        <w:spacing w:line="276" w:lineRule="auto"/>
        <w:jc w:val="both"/>
        <w:rPr>
          <w:rFonts w:ascii="Book Antiqua" w:eastAsia="Calibri" w:hAnsi="Book Antiqua" w:cs="Arial"/>
          <w:sz w:val="24"/>
          <w:szCs w:val="24"/>
        </w:rPr>
      </w:pPr>
      <w:r w:rsidRPr="00207003">
        <w:rPr>
          <w:rFonts w:ascii="Book Antiqua" w:eastAsia="Calibri" w:hAnsi="Book Antiqua" w:cs="Arial"/>
          <w:sz w:val="24"/>
          <w:szCs w:val="24"/>
        </w:rPr>
        <w:t xml:space="preserve">Se encuentra pendiente el análisis del efecto (baja en la entrada) que podría significar para estos despachos, la creación </w:t>
      </w:r>
      <w:r w:rsidRPr="00153FAE">
        <w:rPr>
          <w:rFonts w:ascii="Book Antiqua" w:eastAsia="Calibri" w:hAnsi="Book Antiqua" w:cs="Arial"/>
          <w:sz w:val="24"/>
          <w:szCs w:val="24"/>
        </w:rPr>
        <w:t>de Juzgados de Familia por Ministerio de Ley de conformidad con el artículo 119 bis de la Ley 9747</w:t>
      </w:r>
      <w:r w:rsidR="005C0591">
        <w:rPr>
          <w:rFonts w:ascii="Book Antiqua" w:eastAsia="Calibri" w:hAnsi="Book Antiqua" w:cs="Arial"/>
          <w:sz w:val="24"/>
          <w:szCs w:val="24"/>
        </w:rPr>
        <w:t xml:space="preserve"> y los cambios en la entrada de segunda instancia a partir de la eliminación de la figura de </w:t>
      </w:r>
      <w:r w:rsidR="005C0591" w:rsidRPr="001D0C10">
        <w:rPr>
          <w:rFonts w:ascii="Book Antiqua" w:eastAsia="Calibri" w:hAnsi="Book Antiqua" w:cs="Arial"/>
          <w:i/>
          <w:iCs/>
          <w:sz w:val="24"/>
          <w:szCs w:val="24"/>
        </w:rPr>
        <w:t>“pensión provisional y definitiva”</w:t>
      </w:r>
      <w:r w:rsidR="005C0591">
        <w:rPr>
          <w:rFonts w:ascii="Book Antiqua" w:eastAsia="Calibri" w:hAnsi="Book Antiqua" w:cs="Arial"/>
          <w:sz w:val="24"/>
          <w:szCs w:val="24"/>
        </w:rPr>
        <w:t>.</w:t>
      </w:r>
      <w:r w:rsidR="009D59D7">
        <w:rPr>
          <w:rFonts w:ascii="Book Antiqua" w:eastAsia="Calibri" w:hAnsi="Book Antiqua" w:cs="Arial"/>
          <w:sz w:val="24"/>
          <w:szCs w:val="24"/>
        </w:rPr>
        <w:t xml:space="preserve"> Ambos análisis se </w:t>
      </w:r>
      <w:r w:rsidR="0037397E">
        <w:rPr>
          <w:rFonts w:ascii="Book Antiqua" w:eastAsia="Calibri" w:hAnsi="Book Antiqua" w:cs="Arial"/>
          <w:sz w:val="24"/>
          <w:szCs w:val="24"/>
        </w:rPr>
        <w:t>realizarán</w:t>
      </w:r>
      <w:r w:rsidR="009D59D7">
        <w:rPr>
          <w:rFonts w:ascii="Book Antiqua" w:eastAsia="Calibri" w:hAnsi="Book Antiqua" w:cs="Arial"/>
          <w:sz w:val="24"/>
          <w:szCs w:val="24"/>
        </w:rPr>
        <w:t xml:space="preserve"> de enero a setiembre 2022 por parte de la </w:t>
      </w:r>
      <w:r w:rsidR="009D59D7" w:rsidRPr="009D59D7">
        <w:rPr>
          <w:rFonts w:ascii="Book Antiqua" w:eastAsia="Calibri" w:hAnsi="Book Antiqua" w:cs="Arial"/>
          <w:sz w:val="24"/>
          <w:szCs w:val="24"/>
        </w:rPr>
        <w:lastRenderedPageBreak/>
        <w:t xml:space="preserve">Dirección de Planificación, </w:t>
      </w:r>
      <w:r w:rsidR="009D59D7" w:rsidRPr="001D0C10">
        <w:rPr>
          <w:rFonts w:ascii="Book Antiqua" w:eastAsia="Calibri" w:hAnsi="Book Antiqua" w:cs="Arial"/>
          <w:sz w:val="24"/>
          <w:szCs w:val="24"/>
        </w:rPr>
        <w:t>considerando como insumo la información obtenida en el inventario en Familia 2020. Así como el impacto por la disminución en la entrada sea por dejar de conocer apelaciones de pensión provisional a partir del 1 de octubre de 2022, así como por la pérdida de competencia en caso de crearse el Juzgado de Familia con competencia limitada en el conocimiento de asuntos de Pensiones Alimentarias en segunda instancia.</w:t>
      </w:r>
      <w:r w:rsidR="009D59D7" w:rsidRPr="009D59D7">
        <w:rPr>
          <w:rFonts w:ascii="Book Antiqua" w:eastAsia="Calibri" w:hAnsi="Book Antiqua" w:cs="Arial"/>
          <w:sz w:val="24"/>
          <w:szCs w:val="24"/>
        </w:rPr>
        <w:t xml:space="preserve"> </w:t>
      </w:r>
    </w:p>
    <w:p w14:paraId="08DA69F1" w14:textId="77777777" w:rsidR="009D59D7" w:rsidRDefault="009D59D7" w:rsidP="00207003">
      <w:pPr>
        <w:spacing w:line="276" w:lineRule="auto"/>
        <w:jc w:val="both"/>
        <w:rPr>
          <w:rFonts w:ascii="Book Antiqua" w:eastAsia="Calibri" w:hAnsi="Book Antiqua" w:cs="Arial"/>
          <w:sz w:val="24"/>
          <w:szCs w:val="24"/>
        </w:rPr>
      </w:pPr>
    </w:p>
    <w:p w14:paraId="7F775EB3" w14:textId="532433A0" w:rsidR="00122B18" w:rsidRPr="004A3198" w:rsidRDefault="00122B18"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 xml:space="preserve">Juzgados de Familia (especializados) </w:t>
      </w:r>
    </w:p>
    <w:p w14:paraId="2EDD6ADA" w14:textId="77777777" w:rsidR="00432A11" w:rsidRPr="004A3198" w:rsidRDefault="00432A11" w:rsidP="004A3198">
      <w:pPr>
        <w:spacing w:after="0" w:line="276" w:lineRule="auto"/>
        <w:jc w:val="both"/>
        <w:rPr>
          <w:rFonts w:ascii="Book Antiqua" w:eastAsia="Calibri" w:hAnsi="Book Antiqua" w:cs="Arial"/>
          <w:b/>
          <w:bCs/>
          <w:sz w:val="24"/>
          <w:szCs w:val="24"/>
        </w:rPr>
      </w:pPr>
    </w:p>
    <w:p w14:paraId="6F68F718" w14:textId="53B7FEDF" w:rsidR="006D7F88" w:rsidRDefault="006D7F88" w:rsidP="006D7F88">
      <w:pPr>
        <w:spacing w:after="0" w:line="276" w:lineRule="auto"/>
        <w:jc w:val="both"/>
        <w:rPr>
          <w:rFonts w:ascii="Book Antiqua" w:eastAsia="Calibri" w:hAnsi="Book Antiqua" w:cs="Arial"/>
          <w:sz w:val="24"/>
          <w:szCs w:val="24"/>
        </w:rPr>
      </w:pPr>
      <w:r w:rsidRPr="006D7F88">
        <w:rPr>
          <w:rFonts w:ascii="Book Antiqua" w:eastAsia="Calibri" w:hAnsi="Book Antiqua" w:cs="Arial"/>
          <w:sz w:val="24"/>
          <w:szCs w:val="24"/>
        </w:rPr>
        <w:t>En este bloque de despachos se ubicaron 12 juzgados de Familia: de Cartago, de Heredia, I Circuito Judicial de Alajuela, I Circuito Judicial Zona Atlántica, I Circuito Judicial Zona Sur, II Circuito Judicial de Alajuela, II Circuito Judicial San José, II Circuito Judicial Zona Atlántica, III Circuito Judicial de San José, de Puntarenas, Primero de Familia de San José, y Segundo de Familia de San José, además del Juzgado de Familia, de Niñez y Adolescencia, que por sus características se analiza individualmente.</w:t>
      </w:r>
    </w:p>
    <w:p w14:paraId="54B9980A" w14:textId="77777777" w:rsidR="006D7F88" w:rsidRPr="006D7F88" w:rsidRDefault="006D7F88" w:rsidP="006D7F88">
      <w:pPr>
        <w:spacing w:after="0" w:line="276" w:lineRule="auto"/>
        <w:jc w:val="both"/>
        <w:rPr>
          <w:rFonts w:ascii="Book Antiqua" w:eastAsia="Calibri" w:hAnsi="Book Antiqua" w:cs="Arial"/>
          <w:sz w:val="24"/>
          <w:szCs w:val="24"/>
        </w:rPr>
      </w:pPr>
    </w:p>
    <w:p w14:paraId="28DC57E5" w14:textId="6BB5163E" w:rsidR="006D7F88" w:rsidRPr="006D7F88" w:rsidRDefault="006D7F88" w:rsidP="006D7F88">
      <w:pPr>
        <w:spacing w:after="0" w:line="276" w:lineRule="auto"/>
        <w:jc w:val="both"/>
        <w:rPr>
          <w:rFonts w:ascii="Book Antiqua" w:eastAsia="Calibri" w:hAnsi="Book Antiqua" w:cs="Arial"/>
          <w:sz w:val="24"/>
          <w:szCs w:val="24"/>
        </w:rPr>
      </w:pPr>
      <w:r w:rsidRPr="006D7F88">
        <w:rPr>
          <w:rFonts w:ascii="Book Antiqua" w:eastAsia="Calibri" w:hAnsi="Book Antiqua" w:cs="Arial"/>
          <w:sz w:val="24"/>
          <w:szCs w:val="24"/>
        </w:rPr>
        <w:t>La información de la cantidad de casos entrados de 201</w:t>
      </w:r>
      <w:r w:rsidR="000735EA">
        <w:rPr>
          <w:rFonts w:ascii="Book Antiqua" w:eastAsia="Calibri" w:hAnsi="Book Antiqua" w:cs="Arial"/>
          <w:sz w:val="24"/>
          <w:szCs w:val="24"/>
        </w:rPr>
        <w:t>7</w:t>
      </w:r>
      <w:r w:rsidRPr="006D7F88">
        <w:rPr>
          <w:rFonts w:ascii="Book Antiqua" w:eastAsia="Calibri" w:hAnsi="Book Antiqua" w:cs="Arial"/>
          <w:sz w:val="24"/>
          <w:szCs w:val="24"/>
        </w:rPr>
        <w:t xml:space="preserve"> a 20</w:t>
      </w:r>
      <w:r w:rsidR="000735EA">
        <w:rPr>
          <w:rFonts w:ascii="Book Antiqua" w:eastAsia="Calibri" w:hAnsi="Book Antiqua" w:cs="Arial"/>
          <w:sz w:val="24"/>
          <w:szCs w:val="24"/>
        </w:rPr>
        <w:t>2</w:t>
      </w:r>
      <w:r w:rsidRPr="006D7F88">
        <w:rPr>
          <w:rFonts w:ascii="Book Antiqua" w:eastAsia="Calibri" w:hAnsi="Book Antiqua" w:cs="Arial"/>
          <w:sz w:val="24"/>
          <w:szCs w:val="24"/>
        </w:rPr>
        <w:t>1 incluye: Principales, Reentrados, Incidentes y Segunda Instancia, y se completa con la cantidad de juezas o jueces y de técnicas o técnicos judiciales por cada despacho, a fin de calcular los valores promedio mensual de asuntos entrados (actual y esperado).</w:t>
      </w:r>
    </w:p>
    <w:p w14:paraId="2824AF8E" w14:textId="77777777" w:rsidR="006D7F88" w:rsidRPr="006D7F88" w:rsidRDefault="006D7F88" w:rsidP="006D7F88">
      <w:pPr>
        <w:spacing w:after="0" w:line="276" w:lineRule="auto"/>
        <w:jc w:val="both"/>
        <w:rPr>
          <w:rFonts w:ascii="Book Antiqua" w:eastAsia="Calibri" w:hAnsi="Book Antiqua" w:cs="Arial"/>
          <w:sz w:val="24"/>
          <w:szCs w:val="24"/>
        </w:rPr>
      </w:pPr>
    </w:p>
    <w:p w14:paraId="226F9961" w14:textId="77777777" w:rsidR="006D7F88" w:rsidRPr="006D7F88" w:rsidRDefault="006D7F88" w:rsidP="006D7F88">
      <w:pPr>
        <w:spacing w:after="0" w:line="276" w:lineRule="auto"/>
        <w:jc w:val="both"/>
        <w:rPr>
          <w:rFonts w:ascii="Book Antiqua" w:eastAsia="Calibri" w:hAnsi="Book Antiqua" w:cs="Arial"/>
          <w:sz w:val="24"/>
          <w:szCs w:val="24"/>
        </w:rPr>
      </w:pPr>
      <w:r w:rsidRPr="006D7F88">
        <w:rPr>
          <w:rFonts w:ascii="Book Antiqua" w:eastAsia="Calibri" w:hAnsi="Book Antiqua" w:cs="Arial"/>
          <w:sz w:val="24"/>
          <w:szCs w:val="24"/>
        </w:rPr>
        <w:t xml:space="preserve">En el caso de los Juzgados de Familia de Cartago y Segundo Circuito Judicial de Alajuela (San Carlos), fueron rediseñados con cada Circuito y mantienen desde esa fecha un seguimiento continuo como parte del Modelo de Sostenibilidad de los Despachos Rediseñados. </w:t>
      </w:r>
    </w:p>
    <w:p w14:paraId="2E5BD9F5" w14:textId="77777777" w:rsidR="006D7F88" w:rsidRPr="006D7F88" w:rsidRDefault="006D7F88" w:rsidP="006D7F88">
      <w:pPr>
        <w:spacing w:after="0" w:line="276" w:lineRule="auto"/>
        <w:jc w:val="both"/>
        <w:rPr>
          <w:rFonts w:ascii="Book Antiqua" w:eastAsia="Calibri" w:hAnsi="Book Antiqua" w:cs="Arial"/>
          <w:sz w:val="24"/>
          <w:szCs w:val="24"/>
        </w:rPr>
      </w:pPr>
    </w:p>
    <w:p w14:paraId="516785D0" w14:textId="77777777" w:rsidR="004E78FB" w:rsidRPr="004E78FB" w:rsidRDefault="006D7F88" w:rsidP="004E78FB">
      <w:pPr>
        <w:spacing w:line="276" w:lineRule="auto"/>
        <w:jc w:val="both"/>
        <w:rPr>
          <w:rFonts w:ascii="Book Antiqua" w:eastAsia="Calibri" w:hAnsi="Book Antiqua" w:cs="Arial"/>
          <w:color w:val="000000"/>
          <w:sz w:val="24"/>
        </w:rPr>
      </w:pPr>
      <w:r w:rsidRPr="006D7F88">
        <w:rPr>
          <w:rFonts w:ascii="Book Antiqua" w:eastAsia="Calibri" w:hAnsi="Book Antiqua" w:cs="Arial"/>
          <w:color w:val="000000"/>
          <w:sz w:val="24"/>
        </w:rPr>
        <w:t>El Juzgado de Familia de Cartago fue rediseñado al momento de la realización del Proyecto del Circuito Electrónico de Cartago. El trabajo realizado se plasmó en el informe 1259-PLA-2016; aprobado por el Consejo Superior, en la sesión</w:t>
      </w:r>
      <w:r w:rsidR="004E78FB">
        <w:rPr>
          <w:rFonts w:ascii="Book Antiqua" w:eastAsia="Calibri" w:hAnsi="Book Antiqua" w:cs="Arial"/>
          <w:color w:val="000000"/>
          <w:sz w:val="24"/>
        </w:rPr>
        <w:t xml:space="preserve"> </w:t>
      </w:r>
      <w:r w:rsidR="004E78FB" w:rsidRPr="004E78FB">
        <w:rPr>
          <w:rFonts w:ascii="Book Antiqua" w:eastAsia="Calibri" w:hAnsi="Book Antiqua" w:cs="Arial"/>
          <w:color w:val="000000"/>
          <w:sz w:val="24"/>
        </w:rPr>
        <w:t xml:space="preserve">80-16 del 24 de agosto del 2016, artículo XXXIV. Hoy en día, mensualmente este despacho genera indicadores de gestión. </w:t>
      </w:r>
    </w:p>
    <w:p w14:paraId="5B0E8F7D" w14:textId="3AD4F392" w:rsidR="008D7CC3" w:rsidRDefault="004E78FB" w:rsidP="004E78FB">
      <w:pPr>
        <w:spacing w:line="276" w:lineRule="auto"/>
        <w:jc w:val="both"/>
        <w:rPr>
          <w:rFonts w:ascii="Book Antiqua" w:eastAsia="Calibri" w:hAnsi="Book Antiqua" w:cs="Arial"/>
          <w:color w:val="000000"/>
          <w:sz w:val="24"/>
        </w:rPr>
      </w:pPr>
      <w:r w:rsidRPr="004E78FB">
        <w:rPr>
          <w:rFonts w:ascii="Book Antiqua" w:eastAsia="Calibri" w:hAnsi="Book Antiqua" w:cs="Arial"/>
          <w:color w:val="000000"/>
          <w:sz w:val="24"/>
        </w:rPr>
        <w:lastRenderedPageBreak/>
        <w:t xml:space="preserve">El Juzgado de Familia del II Circuito Judicial de Alajuela, San Carlos, </w:t>
      </w:r>
      <w:r w:rsidR="00432A11">
        <w:rPr>
          <w:rFonts w:ascii="Book Antiqua" w:eastAsia="Calibri" w:hAnsi="Book Antiqua" w:cs="Arial"/>
          <w:color w:val="000000"/>
          <w:sz w:val="24"/>
        </w:rPr>
        <w:t xml:space="preserve">el </w:t>
      </w:r>
      <w:r w:rsidRPr="004E78FB">
        <w:rPr>
          <w:rFonts w:ascii="Book Antiqua" w:eastAsia="Calibri" w:hAnsi="Book Antiqua" w:cs="Arial"/>
          <w:color w:val="000000"/>
          <w:sz w:val="24"/>
        </w:rPr>
        <w:t>informe emitido fue el 1554-PLA-2014, aprobado por Corte Plena, en la sesión 56-14 del 01 de diciembre del 2014, artículo XXXII.</w:t>
      </w:r>
    </w:p>
    <w:p w14:paraId="00CD93F0" w14:textId="3381ED98" w:rsidR="00105F4A" w:rsidRPr="00105F4A" w:rsidRDefault="00105F4A" w:rsidP="00105F4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05F4A">
        <w:rPr>
          <w:rFonts w:ascii="Book Antiqua" w:eastAsia="Calibri" w:hAnsi="Book Antiqua" w:cs="Arial"/>
          <w:b/>
          <w:bCs/>
          <w:color w:val="1F497D"/>
          <w:szCs w:val="24"/>
          <w:lang w:val="es-ES" w:eastAsia="es-ES"/>
        </w:rPr>
        <w:t xml:space="preserve">Cuadro </w:t>
      </w:r>
      <w:r w:rsidRPr="00105F4A">
        <w:rPr>
          <w:rFonts w:ascii="Book Antiqua" w:eastAsia="Calibri" w:hAnsi="Book Antiqua" w:cs="Arial"/>
          <w:b/>
          <w:bCs/>
          <w:color w:val="1F497D"/>
          <w:szCs w:val="24"/>
          <w:lang w:val="es-ES" w:eastAsia="es-ES"/>
        </w:rPr>
        <w:fldChar w:fldCharType="begin"/>
      </w:r>
      <w:r w:rsidRPr="00105F4A">
        <w:rPr>
          <w:rFonts w:ascii="Book Antiqua" w:eastAsia="Calibri" w:hAnsi="Book Antiqua" w:cs="Arial"/>
          <w:b/>
          <w:bCs/>
          <w:color w:val="1F497D"/>
          <w:szCs w:val="24"/>
          <w:lang w:val="es-ES" w:eastAsia="es-ES"/>
        </w:rPr>
        <w:instrText xml:space="preserve"> SEQ Cuadro \* ARABIC </w:instrText>
      </w:r>
      <w:r w:rsidRPr="00105F4A">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21</w:t>
      </w:r>
      <w:r w:rsidRPr="00105F4A">
        <w:rPr>
          <w:rFonts w:ascii="Book Antiqua" w:eastAsia="Calibri" w:hAnsi="Book Antiqua" w:cs="Arial"/>
          <w:b/>
          <w:bCs/>
          <w:color w:val="1F497D"/>
          <w:szCs w:val="24"/>
          <w:lang w:val="es-ES" w:eastAsia="es-ES"/>
        </w:rPr>
        <w:fldChar w:fldCharType="end"/>
      </w:r>
      <w:r w:rsidRPr="00105F4A">
        <w:rPr>
          <w:rFonts w:ascii="Book Antiqua" w:eastAsia="Calibri" w:hAnsi="Book Antiqua" w:cs="Arial"/>
          <w:b/>
          <w:bCs/>
          <w:color w:val="1F497D"/>
          <w:szCs w:val="24"/>
          <w:lang w:val="es-ES" w:eastAsia="es-ES"/>
        </w:rPr>
        <w:t xml:space="preserve"> </w:t>
      </w:r>
    </w:p>
    <w:p w14:paraId="69B102D3" w14:textId="77777777" w:rsidR="00105F4A" w:rsidRPr="00105F4A" w:rsidRDefault="00105F4A" w:rsidP="00105F4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05F4A">
        <w:rPr>
          <w:rFonts w:ascii="Book Antiqua" w:eastAsia="Calibri" w:hAnsi="Book Antiqua" w:cs="Arial"/>
          <w:b/>
          <w:bCs/>
          <w:color w:val="1F497D"/>
          <w:szCs w:val="24"/>
          <w:lang w:val="es-ES" w:eastAsia="es-ES"/>
        </w:rPr>
        <w:t xml:space="preserve">Carga de trabajo anual para los Juzgados especializados </w:t>
      </w:r>
    </w:p>
    <w:p w14:paraId="46C6520A" w14:textId="2FADE244" w:rsidR="00105F4A" w:rsidRDefault="00105F4A" w:rsidP="00105F4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05F4A">
        <w:rPr>
          <w:rFonts w:ascii="Book Antiqua" w:eastAsia="Calibri" w:hAnsi="Book Antiqua" w:cs="Arial"/>
          <w:b/>
          <w:bCs/>
          <w:color w:val="1F497D"/>
          <w:szCs w:val="24"/>
          <w:lang w:val="es-ES" w:eastAsia="es-ES"/>
        </w:rPr>
        <w:t>que atienden la materia de Familia a nivel nacional</w:t>
      </w:r>
    </w:p>
    <w:tbl>
      <w:tblPr>
        <w:tblW w:w="5107" w:type="pct"/>
        <w:tblCellMar>
          <w:left w:w="70" w:type="dxa"/>
          <w:right w:w="70" w:type="dxa"/>
        </w:tblCellMar>
        <w:tblLook w:val="04A0" w:firstRow="1" w:lastRow="0" w:firstColumn="1" w:lastColumn="0" w:noHBand="0" w:noVBand="1"/>
      </w:tblPr>
      <w:tblGrid>
        <w:gridCol w:w="4528"/>
        <w:gridCol w:w="941"/>
        <w:gridCol w:w="1030"/>
        <w:gridCol w:w="591"/>
        <w:gridCol w:w="413"/>
        <w:gridCol w:w="378"/>
        <w:gridCol w:w="590"/>
        <w:gridCol w:w="791"/>
      </w:tblGrid>
      <w:tr w:rsidR="004F692D" w:rsidRPr="00883E60" w14:paraId="080EC131" w14:textId="77777777" w:rsidTr="001D0C10">
        <w:trPr>
          <w:trHeight w:val="300"/>
        </w:trPr>
        <w:tc>
          <w:tcPr>
            <w:tcW w:w="2381"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456F815"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Despacho</w:t>
            </w:r>
          </w:p>
        </w:tc>
        <w:tc>
          <w:tcPr>
            <w:tcW w:w="60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777E6D6"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 mensual Entrada 2017-2021</w:t>
            </w:r>
          </w:p>
        </w:tc>
        <w:tc>
          <w:tcPr>
            <w:tcW w:w="54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DDF9C32"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Circulante al 31 diciembre-2021</w:t>
            </w:r>
          </w:p>
        </w:tc>
        <w:tc>
          <w:tcPr>
            <w:tcW w:w="535" w:type="pct"/>
            <w:gridSpan w:val="2"/>
            <w:tcBorders>
              <w:top w:val="single" w:sz="8" w:space="0" w:color="auto"/>
              <w:left w:val="nil"/>
              <w:bottom w:val="single" w:sz="8" w:space="0" w:color="auto"/>
              <w:right w:val="single" w:sz="8" w:space="0" w:color="000000"/>
            </w:tcBorders>
            <w:shd w:val="clear" w:color="000000" w:fill="002060"/>
            <w:vAlign w:val="center"/>
            <w:hideMark/>
          </w:tcPr>
          <w:p w14:paraId="06781F0E"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Recurso Humano</w:t>
            </w:r>
          </w:p>
        </w:tc>
        <w:tc>
          <w:tcPr>
            <w:tcW w:w="935" w:type="pct"/>
            <w:gridSpan w:val="3"/>
            <w:tcBorders>
              <w:top w:val="single" w:sz="8" w:space="0" w:color="auto"/>
              <w:left w:val="nil"/>
              <w:bottom w:val="single" w:sz="8" w:space="0" w:color="auto"/>
              <w:right w:val="single" w:sz="8" w:space="0" w:color="000000"/>
            </w:tcBorders>
            <w:shd w:val="clear" w:color="000000" w:fill="002060"/>
            <w:vAlign w:val="center"/>
            <w:hideMark/>
          </w:tcPr>
          <w:p w14:paraId="494C1D59"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Carga de trabajo </w:t>
            </w:r>
          </w:p>
        </w:tc>
      </w:tr>
      <w:tr w:rsidR="004F692D" w:rsidRPr="00883E60" w14:paraId="4EAA6577" w14:textId="77777777" w:rsidTr="001D0C10">
        <w:trPr>
          <w:trHeight w:val="1170"/>
        </w:trPr>
        <w:tc>
          <w:tcPr>
            <w:tcW w:w="2381" w:type="pct"/>
            <w:vMerge/>
            <w:tcBorders>
              <w:top w:val="single" w:sz="8" w:space="0" w:color="auto"/>
              <w:left w:val="single" w:sz="8" w:space="0" w:color="auto"/>
              <w:bottom w:val="single" w:sz="8" w:space="0" w:color="000000"/>
              <w:right w:val="single" w:sz="8" w:space="0" w:color="auto"/>
            </w:tcBorders>
            <w:vAlign w:val="center"/>
            <w:hideMark/>
          </w:tcPr>
          <w:p w14:paraId="391630D2" w14:textId="77777777" w:rsidR="00883E60" w:rsidRPr="00883E60" w:rsidRDefault="00883E60" w:rsidP="00883E60">
            <w:pPr>
              <w:spacing w:after="0" w:line="240" w:lineRule="auto"/>
              <w:rPr>
                <w:rFonts w:ascii="Book Antiqua" w:eastAsia="Times New Roman" w:hAnsi="Book Antiqua" w:cs="Calibri"/>
                <w:b/>
                <w:bCs/>
                <w:color w:val="FFFFFF"/>
                <w:lang w:eastAsia="es-CR"/>
              </w:rPr>
            </w:pPr>
          </w:p>
        </w:tc>
        <w:tc>
          <w:tcPr>
            <w:tcW w:w="603" w:type="pct"/>
            <w:vMerge/>
            <w:tcBorders>
              <w:top w:val="single" w:sz="8" w:space="0" w:color="auto"/>
              <w:left w:val="single" w:sz="8" w:space="0" w:color="auto"/>
              <w:bottom w:val="single" w:sz="8" w:space="0" w:color="000000"/>
              <w:right w:val="single" w:sz="8" w:space="0" w:color="auto"/>
            </w:tcBorders>
            <w:vAlign w:val="center"/>
            <w:hideMark/>
          </w:tcPr>
          <w:p w14:paraId="235BAEB9" w14:textId="77777777" w:rsidR="00883E60" w:rsidRPr="001D0C10" w:rsidRDefault="00883E60" w:rsidP="00883E60">
            <w:pPr>
              <w:spacing w:after="0" w:line="240" w:lineRule="auto"/>
              <w:rPr>
                <w:rFonts w:ascii="Book Antiqua" w:eastAsia="Times New Roman" w:hAnsi="Book Antiqua" w:cs="Calibri"/>
                <w:b/>
                <w:bCs/>
                <w:color w:val="FFFFFF"/>
                <w:sz w:val="18"/>
                <w:szCs w:val="18"/>
                <w:lang w:eastAsia="es-CR"/>
              </w:rPr>
            </w:pPr>
          </w:p>
        </w:tc>
        <w:tc>
          <w:tcPr>
            <w:tcW w:w="545" w:type="pct"/>
            <w:vMerge/>
            <w:tcBorders>
              <w:top w:val="single" w:sz="8" w:space="0" w:color="auto"/>
              <w:left w:val="single" w:sz="8" w:space="0" w:color="auto"/>
              <w:bottom w:val="single" w:sz="8" w:space="0" w:color="000000"/>
              <w:right w:val="single" w:sz="8" w:space="0" w:color="auto"/>
            </w:tcBorders>
            <w:vAlign w:val="center"/>
            <w:hideMark/>
          </w:tcPr>
          <w:p w14:paraId="0F4ABF29" w14:textId="77777777" w:rsidR="00883E60" w:rsidRPr="001D0C10" w:rsidRDefault="00883E60" w:rsidP="00883E60">
            <w:pPr>
              <w:spacing w:after="0" w:line="240" w:lineRule="auto"/>
              <w:rPr>
                <w:rFonts w:ascii="Book Antiqua" w:eastAsia="Times New Roman" w:hAnsi="Book Antiqua" w:cs="Calibri"/>
                <w:b/>
                <w:bCs/>
                <w:color w:val="FFFFFF"/>
                <w:sz w:val="18"/>
                <w:szCs w:val="18"/>
                <w:lang w:eastAsia="es-CR"/>
              </w:rPr>
            </w:pPr>
          </w:p>
        </w:tc>
        <w:tc>
          <w:tcPr>
            <w:tcW w:w="314" w:type="pct"/>
            <w:tcBorders>
              <w:top w:val="nil"/>
              <w:left w:val="nil"/>
              <w:bottom w:val="single" w:sz="8" w:space="0" w:color="auto"/>
              <w:right w:val="single" w:sz="8" w:space="0" w:color="auto"/>
            </w:tcBorders>
            <w:shd w:val="clear" w:color="000000" w:fill="002060"/>
            <w:vAlign w:val="center"/>
            <w:hideMark/>
          </w:tcPr>
          <w:p w14:paraId="4194341A"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424" w:type="pct"/>
            <w:gridSpan w:val="2"/>
            <w:tcBorders>
              <w:top w:val="single" w:sz="8" w:space="0" w:color="auto"/>
              <w:left w:val="nil"/>
              <w:bottom w:val="single" w:sz="8" w:space="0" w:color="auto"/>
              <w:right w:val="single" w:sz="8" w:space="0" w:color="000000"/>
            </w:tcBorders>
            <w:shd w:val="clear" w:color="000000" w:fill="002060"/>
            <w:vAlign w:val="center"/>
            <w:hideMark/>
          </w:tcPr>
          <w:p w14:paraId="6D9FA9BA" w14:textId="2FBF7E26"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Técnica o Técnico de </w:t>
            </w:r>
            <w:r w:rsidR="004F692D" w:rsidRPr="001D0C10">
              <w:rPr>
                <w:rFonts w:ascii="Book Antiqua" w:eastAsia="Times New Roman" w:hAnsi="Book Antiqua" w:cs="Calibri"/>
                <w:b/>
                <w:bCs/>
                <w:color w:val="FFFFFF"/>
                <w:sz w:val="18"/>
                <w:szCs w:val="18"/>
                <w:lang w:eastAsia="es-CR"/>
              </w:rPr>
              <w:t>T</w:t>
            </w:r>
            <w:r w:rsidRPr="001D0C10">
              <w:rPr>
                <w:rFonts w:ascii="Book Antiqua" w:eastAsia="Times New Roman" w:hAnsi="Book Antiqua" w:cs="Calibri"/>
                <w:b/>
                <w:bCs/>
                <w:color w:val="FFFFFF"/>
                <w:sz w:val="18"/>
                <w:szCs w:val="18"/>
                <w:lang w:eastAsia="es-CR"/>
              </w:rPr>
              <w:t>rámite</w:t>
            </w:r>
          </w:p>
        </w:tc>
        <w:tc>
          <w:tcPr>
            <w:tcW w:w="314" w:type="pct"/>
            <w:tcBorders>
              <w:top w:val="nil"/>
              <w:left w:val="nil"/>
              <w:bottom w:val="single" w:sz="8" w:space="0" w:color="auto"/>
              <w:right w:val="single" w:sz="8" w:space="0" w:color="auto"/>
            </w:tcBorders>
            <w:shd w:val="clear" w:color="000000" w:fill="002060"/>
            <w:vAlign w:val="center"/>
            <w:hideMark/>
          </w:tcPr>
          <w:p w14:paraId="213F2E12" w14:textId="77777777"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 al Mes</w:t>
            </w:r>
          </w:p>
        </w:tc>
        <w:tc>
          <w:tcPr>
            <w:tcW w:w="419" w:type="pct"/>
            <w:tcBorders>
              <w:top w:val="nil"/>
              <w:left w:val="nil"/>
              <w:bottom w:val="single" w:sz="8" w:space="0" w:color="auto"/>
              <w:right w:val="single" w:sz="8" w:space="0" w:color="auto"/>
            </w:tcBorders>
            <w:shd w:val="clear" w:color="000000" w:fill="002060"/>
            <w:vAlign w:val="center"/>
            <w:hideMark/>
          </w:tcPr>
          <w:p w14:paraId="0FD738CA" w14:textId="376A4982" w:rsidR="00883E60" w:rsidRPr="001D0C10" w:rsidRDefault="00883E60" w:rsidP="00883E6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Técnica o Técnico de </w:t>
            </w:r>
            <w:r w:rsidR="004F692D" w:rsidRPr="001D0C10">
              <w:rPr>
                <w:rFonts w:ascii="Book Antiqua" w:eastAsia="Times New Roman" w:hAnsi="Book Antiqua" w:cs="Calibri"/>
                <w:b/>
                <w:bCs/>
                <w:color w:val="FFFFFF"/>
                <w:sz w:val="18"/>
                <w:szCs w:val="18"/>
                <w:lang w:eastAsia="es-CR"/>
              </w:rPr>
              <w:t>T</w:t>
            </w:r>
            <w:r w:rsidRPr="001D0C10">
              <w:rPr>
                <w:rFonts w:ascii="Book Antiqua" w:eastAsia="Times New Roman" w:hAnsi="Book Antiqua" w:cs="Calibri"/>
                <w:b/>
                <w:bCs/>
                <w:color w:val="FFFFFF"/>
                <w:sz w:val="18"/>
                <w:szCs w:val="18"/>
                <w:lang w:eastAsia="es-CR"/>
              </w:rPr>
              <w:t>rámite al mes</w:t>
            </w:r>
          </w:p>
        </w:tc>
      </w:tr>
      <w:tr w:rsidR="00883E60" w:rsidRPr="00883E60" w14:paraId="119540C3"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7A035607"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Cartago</w:t>
            </w:r>
          </w:p>
        </w:tc>
        <w:tc>
          <w:tcPr>
            <w:tcW w:w="603" w:type="pct"/>
            <w:tcBorders>
              <w:top w:val="nil"/>
              <w:left w:val="nil"/>
              <w:bottom w:val="single" w:sz="8" w:space="0" w:color="auto"/>
              <w:right w:val="single" w:sz="8" w:space="0" w:color="auto"/>
            </w:tcBorders>
            <w:shd w:val="clear" w:color="auto" w:fill="auto"/>
            <w:noWrap/>
            <w:vAlign w:val="center"/>
            <w:hideMark/>
          </w:tcPr>
          <w:p w14:paraId="6D08358A"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375</w:t>
            </w:r>
          </w:p>
        </w:tc>
        <w:tc>
          <w:tcPr>
            <w:tcW w:w="545" w:type="pct"/>
            <w:tcBorders>
              <w:top w:val="nil"/>
              <w:left w:val="nil"/>
              <w:bottom w:val="single" w:sz="8" w:space="0" w:color="auto"/>
              <w:right w:val="single" w:sz="8" w:space="0" w:color="auto"/>
            </w:tcBorders>
            <w:shd w:val="clear" w:color="auto" w:fill="auto"/>
            <w:vAlign w:val="center"/>
            <w:hideMark/>
          </w:tcPr>
          <w:p w14:paraId="6EFAD7A8"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1544</w:t>
            </w:r>
          </w:p>
        </w:tc>
        <w:tc>
          <w:tcPr>
            <w:tcW w:w="314" w:type="pct"/>
            <w:tcBorders>
              <w:top w:val="nil"/>
              <w:left w:val="nil"/>
              <w:bottom w:val="single" w:sz="8" w:space="0" w:color="auto"/>
              <w:right w:val="single" w:sz="8" w:space="0" w:color="auto"/>
            </w:tcBorders>
            <w:shd w:val="clear" w:color="auto" w:fill="auto"/>
            <w:noWrap/>
            <w:vAlign w:val="center"/>
            <w:hideMark/>
          </w:tcPr>
          <w:p w14:paraId="283030D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5BCF1FE4"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w:t>
            </w:r>
          </w:p>
        </w:tc>
        <w:tc>
          <w:tcPr>
            <w:tcW w:w="314" w:type="pct"/>
            <w:tcBorders>
              <w:top w:val="nil"/>
              <w:left w:val="nil"/>
              <w:bottom w:val="single" w:sz="8" w:space="0" w:color="auto"/>
              <w:right w:val="single" w:sz="8" w:space="0" w:color="auto"/>
            </w:tcBorders>
            <w:shd w:val="clear" w:color="auto" w:fill="auto"/>
            <w:noWrap/>
            <w:vAlign w:val="center"/>
            <w:hideMark/>
          </w:tcPr>
          <w:p w14:paraId="340761F8"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125</w:t>
            </w:r>
          </w:p>
        </w:tc>
        <w:tc>
          <w:tcPr>
            <w:tcW w:w="419" w:type="pct"/>
            <w:tcBorders>
              <w:top w:val="nil"/>
              <w:left w:val="nil"/>
              <w:bottom w:val="single" w:sz="8" w:space="0" w:color="auto"/>
              <w:right w:val="single" w:sz="8" w:space="0" w:color="auto"/>
            </w:tcBorders>
            <w:shd w:val="clear" w:color="auto" w:fill="auto"/>
            <w:noWrap/>
            <w:vAlign w:val="center"/>
            <w:hideMark/>
          </w:tcPr>
          <w:p w14:paraId="1A462F6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75</w:t>
            </w:r>
          </w:p>
        </w:tc>
      </w:tr>
      <w:tr w:rsidR="00883E60" w:rsidRPr="00883E60" w14:paraId="2D36ECF7"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25E2311D"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Heredia</w:t>
            </w:r>
          </w:p>
        </w:tc>
        <w:tc>
          <w:tcPr>
            <w:tcW w:w="603" w:type="pct"/>
            <w:tcBorders>
              <w:top w:val="nil"/>
              <w:left w:val="nil"/>
              <w:bottom w:val="single" w:sz="8" w:space="0" w:color="auto"/>
              <w:right w:val="single" w:sz="8" w:space="0" w:color="auto"/>
            </w:tcBorders>
            <w:shd w:val="clear" w:color="auto" w:fill="auto"/>
            <w:noWrap/>
            <w:vAlign w:val="center"/>
            <w:hideMark/>
          </w:tcPr>
          <w:p w14:paraId="7182E8D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325</w:t>
            </w:r>
          </w:p>
        </w:tc>
        <w:tc>
          <w:tcPr>
            <w:tcW w:w="545" w:type="pct"/>
            <w:tcBorders>
              <w:top w:val="nil"/>
              <w:left w:val="nil"/>
              <w:bottom w:val="single" w:sz="8" w:space="0" w:color="auto"/>
              <w:right w:val="single" w:sz="8" w:space="0" w:color="auto"/>
            </w:tcBorders>
            <w:shd w:val="clear" w:color="auto" w:fill="auto"/>
            <w:vAlign w:val="center"/>
            <w:hideMark/>
          </w:tcPr>
          <w:p w14:paraId="462A9E79"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2250</w:t>
            </w:r>
          </w:p>
        </w:tc>
        <w:tc>
          <w:tcPr>
            <w:tcW w:w="314" w:type="pct"/>
            <w:tcBorders>
              <w:top w:val="nil"/>
              <w:left w:val="nil"/>
              <w:bottom w:val="single" w:sz="8" w:space="0" w:color="auto"/>
              <w:right w:val="single" w:sz="8" w:space="0" w:color="auto"/>
            </w:tcBorders>
            <w:shd w:val="clear" w:color="auto" w:fill="auto"/>
            <w:noWrap/>
            <w:vAlign w:val="center"/>
            <w:hideMark/>
          </w:tcPr>
          <w:p w14:paraId="6C0E6E3B"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00A7CB5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7</w:t>
            </w:r>
          </w:p>
        </w:tc>
        <w:tc>
          <w:tcPr>
            <w:tcW w:w="314" w:type="pct"/>
            <w:tcBorders>
              <w:top w:val="nil"/>
              <w:left w:val="nil"/>
              <w:bottom w:val="single" w:sz="8" w:space="0" w:color="auto"/>
              <w:right w:val="single" w:sz="8" w:space="0" w:color="auto"/>
            </w:tcBorders>
            <w:shd w:val="clear" w:color="auto" w:fill="auto"/>
            <w:noWrap/>
            <w:vAlign w:val="center"/>
            <w:hideMark/>
          </w:tcPr>
          <w:p w14:paraId="402F9BE5"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81</w:t>
            </w:r>
          </w:p>
        </w:tc>
        <w:tc>
          <w:tcPr>
            <w:tcW w:w="419" w:type="pct"/>
            <w:tcBorders>
              <w:top w:val="nil"/>
              <w:left w:val="nil"/>
              <w:bottom w:val="single" w:sz="8" w:space="0" w:color="auto"/>
              <w:right w:val="single" w:sz="8" w:space="0" w:color="auto"/>
            </w:tcBorders>
            <w:shd w:val="clear" w:color="auto" w:fill="auto"/>
            <w:noWrap/>
            <w:vAlign w:val="center"/>
            <w:hideMark/>
          </w:tcPr>
          <w:p w14:paraId="7D7C863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46</w:t>
            </w:r>
          </w:p>
        </w:tc>
      </w:tr>
      <w:tr w:rsidR="00883E60" w:rsidRPr="00883E60" w14:paraId="6D5D80AD"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2F2D7DB3" w14:textId="4E1A7CBC"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 xml:space="preserve">Juzgado Familia I Circ. Jud. </w:t>
            </w:r>
            <w:r w:rsidR="00E85731" w:rsidRPr="00883E60">
              <w:rPr>
                <w:rFonts w:ascii="Book Antiqua" w:eastAsia="Times New Roman" w:hAnsi="Book Antiqua" w:cs="Calibri"/>
                <w:b/>
                <w:bCs/>
                <w:color w:val="000000"/>
                <w:lang w:eastAsia="es-CR"/>
              </w:rPr>
              <w:t>D</w:t>
            </w:r>
            <w:r w:rsidRPr="00883E60">
              <w:rPr>
                <w:rFonts w:ascii="Book Antiqua" w:eastAsia="Times New Roman" w:hAnsi="Book Antiqua" w:cs="Calibri"/>
                <w:b/>
                <w:bCs/>
                <w:color w:val="000000"/>
                <w:lang w:eastAsia="es-CR"/>
              </w:rPr>
              <w:t>e Alajuela</w:t>
            </w:r>
          </w:p>
        </w:tc>
        <w:tc>
          <w:tcPr>
            <w:tcW w:w="603" w:type="pct"/>
            <w:tcBorders>
              <w:top w:val="nil"/>
              <w:left w:val="nil"/>
              <w:bottom w:val="single" w:sz="8" w:space="0" w:color="auto"/>
              <w:right w:val="single" w:sz="8" w:space="0" w:color="auto"/>
            </w:tcBorders>
            <w:shd w:val="clear" w:color="auto" w:fill="auto"/>
            <w:noWrap/>
            <w:vAlign w:val="center"/>
            <w:hideMark/>
          </w:tcPr>
          <w:p w14:paraId="7F3BF7D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239</w:t>
            </w:r>
          </w:p>
        </w:tc>
        <w:tc>
          <w:tcPr>
            <w:tcW w:w="545" w:type="pct"/>
            <w:tcBorders>
              <w:top w:val="nil"/>
              <w:left w:val="nil"/>
              <w:bottom w:val="single" w:sz="8" w:space="0" w:color="auto"/>
              <w:right w:val="single" w:sz="8" w:space="0" w:color="auto"/>
            </w:tcBorders>
            <w:shd w:val="clear" w:color="auto" w:fill="auto"/>
            <w:vAlign w:val="center"/>
            <w:hideMark/>
          </w:tcPr>
          <w:p w14:paraId="3A9F0B2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2227</w:t>
            </w:r>
          </w:p>
        </w:tc>
        <w:tc>
          <w:tcPr>
            <w:tcW w:w="314" w:type="pct"/>
            <w:tcBorders>
              <w:top w:val="nil"/>
              <w:left w:val="nil"/>
              <w:bottom w:val="single" w:sz="8" w:space="0" w:color="auto"/>
              <w:right w:val="single" w:sz="8" w:space="0" w:color="auto"/>
            </w:tcBorders>
            <w:shd w:val="clear" w:color="auto" w:fill="auto"/>
            <w:noWrap/>
            <w:vAlign w:val="center"/>
            <w:hideMark/>
          </w:tcPr>
          <w:p w14:paraId="027CC01A"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06E2578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w:t>
            </w:r>
          </w:p>
        </w:tc>
        <w:tc>
          <w:tcPr>
            <w:tcW w:w="314" w:type="pct"/>
            <w:tcBorders>
              <w:top w:val="nil"/>
              <w:left w:val="nil"/>
              <w:bottom w:val="single" w:sz="8" w:space="0" w:color="auto"/>
              <w:right w:val="single" w:sz="8" w:space="0" w:color="auto"/>
            </w:tcBorders>
            <w:shd w:val="clear" w:color="auto" w:fill="auto"/>
            <w:noWrap/>
            <w:vAlign w:val="center"/>
            <w:hideMark/>
          </w:tcPr>
          <w:p w14:paraId="344389D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80</w:t>
            </w:r>
          </w:p>
        </w:tc>
        <w:tc>
          <w:tcPr>
            <w:tcW w:w="419" w:type="pct"/>
            <w:tcBorders>
              <w:top w:val="nil"/>
              <w:left w:val="nil"/>
              <w:bottom w:val="single" w:sz="8" w:space="0" w:color="auto"/>
              <w:right w:val="single" w:sz="8" w:space="0" w:color="auto"/>
            </w:tcBorders>
            <w:shd w:val="clear" w:color="auto" w:fill="auto"/>
            <w:noWrap/>
            <w:vAlign w:val="center"/>
            <w:hideMark/>
          </w:tcPr>
          <w:p w14:paraId="1E0CD53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48</w:t>
            </w:r>
          </w:p>
        </w:tc>
      </w:tr>
      <w:tr w:rsidR="00883E60" w:rsidRPr="00883E60" w14:paraId="099361A1"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371E6A8A"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I Circ. Jud. Zona Atlántica</w:t>
            </w:r>
          </w:p>
        </w:tc>
        <w:tc>
          <w:tcPr>
            <w:tcW w:w="603" w:type="pct"/>
            <w:tcBorders>
              <w:top w:val="nil"/>
              <w:left w:val="nil"/>
              <w:bottom w:val="single" w:sz="8" w:space="0" w:color="auto"/>
              <w:right w:val="single" w:sz="8" w:space="0" w:color="auto"/>
            </w:tcBorders>
            <w:shd w:val="clear" w:color="auto" w:fill="auto"/>
            <w:noWrap/>
            <w:vAlign w:val="center"/>
            <w:hideMark/>
          </w:tcPr>
          <w:p w14:paraId="24EA11C4"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129</w:t>
            </w:r>
          </w:p>
        </w:tc>
        <w:tc>
          <w:tcPr>
            <w:tcW w:w="545" w:type="pct"/>
            <w:tcBorders>
              <w:top w:val="nil"/>
              <w:left w:val="nil"/>
              <w:bottom w:val="single" w:sz="8" w:space="0" w:color="auto"/>
              <w:right w:val="single" w:sz="8" w:space="0" w:color="auto"/>
            </w:tcBorders>
            <w:shd w:val="clear" w:color="auto" w:fill="auto"/>
            <w:vAlign w:val="center"/>
            <w:hideMark/>
          </w:tcPr>
          <w:p w14:paraId="42B859A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491</w:t>
            </w:r>
          </w:p>
        </w:tc>
        <w:tc>
          <w:tcPr>
            <w:tcW w:w="314" w:type="pct"/>
            <w:tcBorders>
              <w:top w:val="nil"/>
              <w:left w:val="nil"/>
              <w:bottom w:val="single" w:sz="8" w:space="0" w:color="auto"/>
              <w:right w:val="single" w:sz="8" w:space="0" w:color="auto"/>
            </w:tcBorders>
            <w:shd w:val="clear" w:color="auto" w:fill="auto"/>
            <w:noWrap/>
            <w:vAlign w:val="center"/>
            <w:hideMark/>
          </w:tcPr>
          <w:p w14:paraId="35553B02"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21C58A8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314" w:type="pct"/>
            <w:tcBorders>
              <w:top w:val="nil"/>
              <w:left w:val="nil"/>
              <w:bottom w:val="single" w:sz="8" w:space="0" w:color="auto"/>
              <w:right w:val="single" w:sz="8" w:space="0" w:color="auto"/>
            </w:tcBorders>
            <w:shd w:val="clear" w:color="auto" w:fill="auto"/>
            <w:noWrap/>
            <w:vAlign w:val="center"/>
            <w:hideMark/>
          </w:tcPr>
          <w:p w14:paraId="3261205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65</w:t>
            </w:r>
          </w:p>
        </w:tc>
        <w:tc>
          <w:tcPr>
            <w:tcW w:w="419" w:type="pct"/>
            <w:tcBorders>
              <w:top w:val="nil"/>
              <w:left w:val="nil"/>
              <w:bottom w:val="single" w:sz="8" w:space="0" w:color="auto"/>
              <w:right w:val="single" w:sz="8" w:space="0" w:color="auto"/>
            </w:tcBorders>
            <w:shd w:val="clear" w:color="auto" w:fill="auto"/>
            <w:noWrap/>
            <w:vAlign w:val="center"/>
            <w:hideMark/>
          </w:tcPr>
          <w:p w14:paraId="53233ACB"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32</w:t>
            </w:r>
          </w:p>
        </w:tc>
      </w:tr>
      <w:tr w:rsidR="00883E60" w:rsidRPr="00883E60" w14:paraId="5A0E5F77"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761515D5"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 xml:space="preserve">Juzgado Familia I Circ. Jud. Zona Sur </w:t>
            </w:r>
          </w:p>
        </w:tc>
        <w:tc>
          <w:tcPr>
            <w:tcW w:w="603" w:type="pct"/>
            <w:tcBorders>
              <w:top w:val="nil"/>
              <w:left w:val="nil"/>
              <w:bottom w:val="single" w:sz="8" w:space="0" w:color="auto"/>
              <w:right w:val="single" w:sz="8" w:space="0" w:color="auto"/>
            </w:tcBorders>
            <w:shd w:val="clear" w:color="auto" w:fill="auto"/>
            <w:noWrap/>
            <w:vAlign w:val="center"/>
            <w:hideMark/>
          </w:tcPr>
          <w:p w14:paraId="21F37D0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114</w:t>
            </w:r>
          </w:p>
        </w:tc>
        <w:tc>
          <w:tcPr>
            <w:tcW w:w="545" w:type="pct"/>
            <w:tcBorders>
              <w:top w:val="nil"/>
              <w:left w:val="nil"/>
              <w:bottom w:val="single" w:sz="8" w:space="0" w:color="auto"/>
              <w:right w:val="single" w:sz="8" w:space="0" w:color="auto"/>
            </w:tcBorders>
            <w:shd w:val="clear" w:color="auto" w:fill="auto"/>
            <w:vAlign w:val="center"/>
            <w:hideMark/>
          </w:tcPr>
          <w:p w14:paraId="150F1CC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342</w:t>
            </w:r>
          </w:p>
        </w:tc>
        <w:tc>
          <w:tcPr>
            <w:tcW w:w="314" w:type="pct"/>
            <w:tcBorders>
              <w:top w:val="nil"/>
              <w:left w:val="nil"/>
              <w:bottom w:val="single" w:sz="8" w:space="0" w:color="auto"/>
              <w:right w:val="single" w:sz="8" w:space="0" w:color="auto"/>
            </w:tcBorders>
            <w:shd w:val="clear" w:color="auto" w:fill="auto"/>
            <w:noWrap/>
            <w:vAlign w:val="center"/>
            <w:hideMark/>
          </w:tcPr>
          <w:p w14:paraId="7FCFC579"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60D7A239"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314" w:type="pct"/>
            <w:tcBorders>
              <w:top w:val="nil"/>
              <w:left w:val="nil"/>
              <w:bottom w:val="single" w:sz="8" w:space="0" w:color="auto"/>
              <w:right w:val="single" w:sz="8" w:space="0" w:color="auto"/>
            </w:tcBorders>
            <w:shd w:val="clear" w:color="auto" w:fill="auto"/>
            <w:noWrap/>
            <w:vAlign w:val="center"/>
            <w:hideMark/>
          </w:tcPr>
          <w:p w14:paraId="4B775AD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57</w:t>
            </w:r>
          </w:p>
        </w:tc>
        <w:tc>
          <w:tcPr>
            <w:tcW w:w="419" w:type="pct"/>
            <w:tcBorders>
              <w:top w:val="nil"/>
              <w:left w:val="nil"/>
              <w:bottom w:val="single" w:sz="8" w:space="0" w:color="auto"/>
              <w:right w:val="single" w:sz="8" w:space="0" w:color="auto"/>
            </w:tcBorders>
            <w:shd w:val="clear" w:color="auto" w:fill="auto"/>
            <w:noWrap/>
            <w:vAlign w:val="center"/>
            <w:hideMark/>
          </w:tcPr>
          <w:p w14:paraId="3CE5E1A6"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57</w:t>
            </w:r>
          </w:p>
        </w:tc>
      </w:tr>
      <w:tr w:rsidR="00883E60" w:rsidRPr="00883E60" w14:paraId="6242857C"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747140FA" w14:textId="73294669"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 xml:space="preserve">Juzgado Familia II Circ. Jud. </w:t>
            </w:r>
            <w:r w:rsidR="00E85731" w:rsidRPr="00883E60">
              <w:rPr>
                <w:rFonts w:ascii="Book Antiqua" w:eastAsia="Times New Roman" w:hAnsi="Book Antiqua" w:cs="Calibri"/>
                <w:b/>
                <w:bCs/>
                <w:color w:val="000000"/>
                <w:lang w:eastAsia="es-CR"/>
              </w:rPr>
              <w:t>D</w:t>
            </w:r>
            <w:r w:rsidRPr="00883E60">
              <w:rPr>
                <w:rFonts w:ascii="Book Antiqua" w:eastAsia="Times New Roman" w:hAnsi="Book Antiqua" w:cs="Calibri"/>
                <w:b/>
                <w:bCs/>
                <w:color w:val="000000"/>
                <w:lang w:eastAsia="es-CR"/>
              </w:rPr>
              <w:t>e Alajuela</w:t>
            </w:r>
          </w:p>
        </w:tc>
        <w:tc>
          <w:tcPr>
            <w:tcW w:w="603" w:type="pct"/>
            <w:tcBorders>
              <w:top w:val="nil"/>
              <w:left w:val="nil"/>
              <w:bottom w:val="single" w:sz="8" w:space="0" w:color="auto"/>
              <w:right w:val="single" w:sz="8" w:space="0" w:color="auto"/>
            </w:tcBorders>
            <w:shd w:val="clear" w:color="auto" w:fill="auto"/>
            <w:noWrap/>
            <w:vAlign w:val="center"/>
            <w:hideMark/>
          </w:tcPr>
          <w:p w14:paraId="37D6B47A"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147</w:t>
            </w:r>
          </w:p>
        </w:tc>
        <w:tc>
          <w:tcPr>
            <w:tcW w:w="545" w:type="pct"/>
            <w:tcBorders>
              <w:top w:val="nil"/>
              <w:left w:val="nil"/>
              <w:bottom w:val="single" w:sz="8" w:space="0" w:color="auto"/>
              <w:right w:val="single" w:sz="8" w:space="0" w:color="auto"/>
            </w:tcBorders>
            <w:shd w:val="clear" w:color="auto" w:fill="auto"/>
            <w:vAlign w:val="center"/>
            <w:hideMark/>
          </w:tcPr>
          <w:p w14:paraId="42D67753"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584</w:t>
            </w:r>
          </w:p>
        </w:tc>
        <w:tc>
          <w:tcPr>
            <w:tcW w:w="314" w:type="pct"/>
            <w:tcBorders>
              <w:top w:val="nil"/>
              <w:left w:val="nil"/>
              <w:bottom w:val="single" w:sz="8" w:space="0" w:color="auto"/>
              <w:right w:val="single" w:sz="8" w:space="0" w:color="auto"/>
            </w:tcBorders>
            <w:shd w:val="clear" w:color="auto" w:fill="auto"/>
            <w:noWrap/>
            <w:vAlign w:val="center"/>
            <w:hideMark/>
          </w:tcPr>
          <w:p w14:paraId="38AC7E2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4C7141B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314" w:type="pct"/>
            <w:tcBorders>
              <w:top w:val="nil"/>
              <w:left w:val="nil"/>
              <w:bottom w:val="single" w:sz="8" w:space="0" w:color="auto"/>
              <w:right w:val="single" w:sz="8" w:space="0" w:color="auto"/>
            </w:tcBorders>
            <w:shd w:val="clear" w:color="auto" w:fill="auto"/>
            <w:noWrap/>
            <w:vAlign w:val="center"/>
            <w:hideMark/>
          </w:tcPr>
          <w:p w14:paraId="2FF2DA4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73</w:t>
            </w:r>
          </w:p>
        </w:tc>
        <w:tc>
          <w:tcPr>
            <w:tcW w:w="419" w:type="pct"/>
            <w:tcBorders>
              <w:top w:val="nil"/>
              <w:left w:val="nil"/>
              <w:bottom w:val="single" w:sz="8" w:space="0" w:color="auto"/>
              <w:right w:val="single" w:sz="8" w:space="0" w:color="auto"/>
            </w:tcBorders>
            <w:shd w:val="clear" w:color="auto" w:fill="auto"/>
            <w:noWrap/>
            <w:vAlign w:val="center"/>
            <w:hideMark/>
          </w:tcPr>
          <w:p w14:paraId="12ABC21D"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49</w:t>
            </w:r>
          </w:p>
        </w:tc>
      </w:tr>
      <w:tr w:rsidR="00883E60" w:rsidRPr="00883E60" w14:paraId="12BAB5C5"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2D07D3AB"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II Circ. Jud. San José</w:t>
            </w:r>
          </w:p>
        </w:tc>
        <w:tc>
          <w:tcPr>
            <w:tcW w:w="603" w:type="pct"/>
            <w:tcBorders>
              <w:top w:val="nil"/>
              <w:left w:val="nil"/>
              <w:bottom w:val="single" w:sz="8" w:space="0" w:color="auto"/>
              <w:right w:val="single" w:sz="8" w:space="0" w:color="auto"/>
            </w:tcBorders>
            <w:shd w:val="clear" w:color="auto" w:fill="auto"/>
            <w:noWrap/>
            <w:vAlign w:val="center"/>
            <w:hideMark/>
          </w:tcPr>
          <w:p w14:paraId="205016FF"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323</w:t>
            </w:r>
          </w:p>
        </w:tc>
        <w:tc>
          <w:tcPr>
            <w:tcW w:w="545" w:type="pct"/>
            <w:tcBorders>
              <w:top w:val="nil"/>
              <w:left w:val="nil"/>
              <w:bottom w:val="single" w:sz="8" w:space="0" w:color="auto"/>
              <w:right w:val="single" w:sz="8" w:space="0" w:color="auto"/>
            </w:tcBorders>
            <w:shd w:val="clear" w:color="auto" w:fill="auto"/>
            <w:vAlign w:val="center"/>
            <w:hideMark/>
          </w:tcPr>
          <w:p w14:paraId="3B8F003D"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1381</w:t>
            </w:r>
          </w:p>
        </w:tc>
        <w:tc>
          <w:tcPr>
            <w:tcW w:w="314" w:type="pct"/>
            <w:tcBorders>
              <w:top w:val="nil"/>
              <w:left w:val="nil"/>
              <w:bottom w:val="single" w:sz="8" w:space="0" w:color="auto"/>
              <w:right w:val="single" w:sz="8" w:space="0" w:color="auto"/>
            </w:tcBorders>
            <w:shd w:val="clear" w:color="auto" w:fill="auto"/>
            <w:noWrap/>
            <w:vAlign w:val="center"/>
            <w:hideMark/>
          </w:tcPr>
          <w:p w14:paraId="7809089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0D9A657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w:t>
            </w:r>
          </w:p>
        </w:tc>
        <w:tc>
          <w:tcPr>
            <w:tcW w:w="314" w:type="pct"/>
            <w:tcBorders>
              <w:top w:val="nil"/>
              <w:left w:val="nil"/>
              <w:bottom w:val="single" w:sz="8" w:space="0" w:color="auto"/>
              <w:right w:val="single" w:sz="8" w:space="0" w:color="auto"/>
            </w:tcBorders>
            <w:shd w:val="clear" w:color="auto" w:fill="auto"/>
            <w:noWrap/>
            <w:vAlign w:val="center"/>
            <w:hideMark/>
          </w:tcPr>
          <w:p w14:paraId="77324D8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81</w:t>
            </w:r>
          </w:p>
        </w:tc>
        <w:tc>
          <w:tcPr>
            <w:tcW w:w="419" w:type="pct"/>
            <w:tcBorders>
              <w:top w:val="nil"/>
              <w:left w:val="nil"/>
              <w:bottom w:val="single" w:sz="8" w:space="0" w:color="auto"/>
              <w:right w:val="single" w:sz="8" w:space="0" w:color="auto"/>
            </w:tcBorders>
            <w:shd w:val="clear" w:color="auto" w:fill="auto"/>
            <w:noWrap/>
            <w:vAlign w:val="center"/>
            <w:hideMark/>
          </w:tcPr>
          <w:p w14:paraId="5FD53E0F"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40</w:t>
            </w:r>
          </w:p>
        </w:tc>
      </w:tr>
      <w:tr w:rsidR="00883E60" w:rsidRPr="00883E60" w14:paraId="0F66AD51"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1FDC04C2"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II Circ. Jud. Zona Atlántica</w:t>
            </w:r>
          </w:p>
        </w:tc>
        <w:tc>
          <w:tcPr>
            <w:tcW w:w="603" w:type="pct"/>
            <w:tcBorders>
              <w:top w:val="nil"/>
              <w:left w:val="nil"/>
              <w:bottom w:val="single" w:sz="8" w:space="0" w:color="auto"/>
              <w:right w:val="single" w:sz="8" w:space="0" w:color="auto"/>
            </w:tcBorders>
            <w:shd w:val="clear" w:color="auto" w:fill="auto"/>
            <w:noWrap/>
            <w:vAlign w:val="center"/>
            <w:hideMark/>
          </w:tcPr>
          <w:p w14:paraId="56AF572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168</w:t>
            </w:r>
          </w:p>
        </w:tc>
        <w:tc>
          <w:tcPr>
            <w:tcW w:w="545" w:type="pct"/>
            <w:tcBorders>
              <w:top w:val="nil"/>
              <w:left w:val="nil"/>
              <w:bottom w:val="single" w:sz="8" w:space="0" w:color="auto"/>
              <w:right w:val="single" w:sz="8" w:space="0" w:color="auto"/>
            </w:tcBorders>
            <w:shd w:val="clear" w:color="auto" w:fill="auto"/>
            <w:vAlign w:val="center"/>
            <w:hideMark/>
          </w:tcPr>
          <w:p w14:paraId="1FB024E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1290</w:t>
            </w:r>
          </w:p>
        </w:tc>
        <w:tc>
          <w:tcPr>
            <w:tcW w:w="314" w:type="pct"/>
            <w:tcBorders>
              <w:top w:val="nil"/>
              <w:left w:val="nil"/>
              <w:bottom w:val="single" w:sz="8" w:space="0" w:color="auto"/>
              <w:right w:val="single" w:sz="8" w:space="0" w:color="auto"/>
            </w:tcBorders>
            <w:shd w:val="clear" w:color="auto" w:fill="auto"/>
            <w:noWrap/>
            <w:vAlign w:val="center"/>
            <w:hideMark/>
          </w:tcPr>
          <w:p w14:paraId="438382D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273E2C72"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314" w:type="pct"/>
            <w:tcBorders>
              <w:top w:val="nil"/>
              <w:left w:val="nil"/>
              <w:bottom w:val="single" w:sz="8" w:space="0" w:color="auto"/>
              <w:right w:val="single" w:sz="8" w:space="0" w:color="auto"/>
            </w:tcBorders>
            <w:shd w:val="clear" w:color="auto" w:fill="auto"/>
            <w:noWrap/>
            <w:vAlign w:val="center"/>
            <w:hideMark/>
          </w:tcPr>
          <w:p w14:paraId="173BE4D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84</w:t>
            </w:r>
          </w:p>
        </w:tc>
        <w:tc>
          <w:tcPr>
            <w:tcW w:w="419" w:type="pct"/>
            <w:tcBorders>
              <w:top w:val="nil"/>
              <w:left w:val="nil"/>
              <w:bottom w:val="single" w:sz="8" w:space="0" w:color="auto"/>
              <w:right w:val="single" w:sz="8" w:space="0" w:color="auto"/>
            </w:tcBorders>
            <w:shd w:val="clear" w:color="auto" w:fill="auto"/>
            <w:noWrap/>
            <w:vAlign w:val="center"/>
            <w:hideMark/>
          </w:tcPr>
          <w:p w14:paraId="6FC5B968"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56</w:t>
            </w:r>
          </w:p>
        </w:tc>
      </w:tr>
      <w:tr w:rsidR="00883E60" w:rsidRPr="00883E60" w14:paraId="1AB9C7B5"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7113AA81"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 xml:space="preserve">Juzgado Familia III Circ. Jud. De San José </w:t>
            </w:r>
          </w:p>
        </w:tc>
        <w:tc>
          <w:tcPr>
            <w:tcW w:w="603" w:type="pct"/>
            <w:tcBorders>
              <w:top w:val="nil"/>
              <w:left w:val="nil"/>
              <w:bottom w:val="single" w:sz="8" w:space="0" w:color="auto"/>
              <w:right w:val="single" w:sz="8" w:space="0" w:color="auto"/>
            </w:tcBorders>
            <w:shd w:val="clear" w:color="auto" w:fill="auto"/>
            <w:noWrap/>
            <w:vAlign w:val="center"/>
            <w:hideMark/>
          </w:tcPr>
          <w:p w14:paraId="1A810BE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226</w:t>
            </w:r>
          </w:p>
        </w:tc>
        <w:tc>
          <w:tcPr>
            <w:tcW w:w="545" w:type="pct"/>
            <w:tcBorders>
              <w:top w:val="nil"/>
              <w:left w:val="nil"/>
              <w:bottom w:val="single" w:sz="8" w:space="0" w:color="auto"/>
              <w:right w:val="single" w:sz="8" w:space="0" w:color="auto"/>
            </w:tcBorders>
            <w:shd w:val="clear" w:color="auto" w:fill="auto"/>
            <w:vAlign w:val="center"/>
            <w:hideMark/>
          </w:tcPr>
          <w:p w14:paraId="63B26C44"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1041</w:t>
            </w:r>
          </w:p>
        </w:tc>
        <w:tc>
          <w:tcPr>
            <w:tcW w:w="314" w:type="pct"/>
            <w:tcBorders>
              <w:top w:val="nil"/>
              <w:left w:val="nil"/>
              <w:bottom w:val="single" w:sz="8" w:space="0" w:color="auto"/>
              <w:right w:val="single" w:sz="8" w:space="0" w:color="auto"/>
            </w:tcBorders>
            <w:shd w:val="clear" w:color="auto" w:fill="auto"/>
            <w:noWrap/>
            <w:vAlign w:val="center"/>
            <w:hideMark/>
          </w:tcPr>
          <w:p w14:paraId="4EF05441"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74DD1C8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314" w:type="pct"/>
            <w:tcBorders>
              <w:top w:val="nil"/>
              <w:left w:val="nil"/>
              <w:bottom w:val="single" w:sz="8" w:space="0" w:color="auto"/>
              <w:right w:val="single" w:sz="8" w:space="0" w:color="auto"/>
            </w:tcBorders>
            <w:shd w:val="clear" w:color="auto" w:fill="auto"/>
            <w:noWrap/>
            <w:vAlign w:val="center"/>
            <w:hideMark/>
          </w:tcPr>
          <w:p w14:paraId="619B410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75</w:t>
            </w:r>
          </w:p>
        </w:tc>
        <w:tc>
          <w:tcPr>
            <w:tcW w:w="419" w:type="pct"/>
            <w:tcBorders>
              <w:top w:val="nil"/>
              <w:left w:val="nil"/>
              <w:bottom w:val="single" w:sz="8" w:space="0" w:color="auto"/>
              <w:right w:val="single" w:sz="8" w:space="0" w:color="auto"/>
            </w:tcBorders>
            <w:shd w:val="clear" w:color="auto" w:fill="auto"/>
            <w:noWrap/>
            <w:vAlign w:val="center"/>
            <w:hideMark/>
          </w:tcPr>
          <w:p w14:paraId="1C19896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57</w:t>
            </w:r>
          </w:p>
        </w:tc>
      </w:tr>
      <w:tr w:rsidR="00883E60" w:rsidRPr="00883E60" w14:paraId="17C8C0C0"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642F2B91"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Familia Puntarenas</w:t>
            </w:r>
          </w:p>
        </w:tc>
        <w:tc>
          <w:tcPr>
            <w:tcW w:w="603" w:type="pct"/>
            <w:tcBorders>
              <w:top w:val="nil"/>
              <w:left w:val="nil"/>
              <w:bottom w:val="single" w:sz="8" w:space="0" w:color="auto"/>
              <w:right w:val="single" w:sz="8" w:space="0" w:color="auto"/>
            </w:tcBorders>
            <w:shd w:val="clear" w:color="auto" w:fill="auto"/>
            <w:noWrap/>
            <w:vAlign w:val="center"/>
            <w:hideMark/>
          </w:tcPr>
          <w:p w14:paraId="00A7381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167</w:t>
            </w:r>
          </w:p>
        </w:tc>
        <w:tc>
          <w:tcPr>
            <w:tcW w:w="545" w:type="pct"/>
            <w:tcBorders>
              <w:top w:val="nil"/>
              <w:left w:val="nil"/>
              <w:bottom w:val="single" w:sz="8" w:space="0" w:color="auto"/>
              <w:right w:val="single" w:sz="8" w:space="0" w:color="auto"/>
            </w:tcBorders>
            <w:shd w:val="clear" w:color="auto" w:fill="auto"/>
            <w:vAlign w:val="center"/>
            <w:hideMark/>
          </w:tcPr>
          <w:p w14:paraId="2A1F78BD"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695</w:t>
            </w:r>
          </w:p>
        </w:tc>
        <w:tc>
          <w:tcPr>
            <w:tcW w:w="314" w:type="pct"/>
            <w:tcBorders>
              <w:top w:val="nil"/>
              <w:left w:val="nil"/>
              <w:bottom w:val="single" w:sz="8" w:space="0" w:color="auto"/>
              <w:right w:val="single" w:sz="8" w:space="0" w:color="auto"/>
            </w:tcBorders>
            <w:shd w:val="clear" w:color="auto" w:fill="auto"/>
            <w:noWrap/>
            <w:vAlign w:val="center"/>
            <w:hideMark/>
          </w:tcPr>
          <w:p w14:paraId="1467AED9"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2</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68AB850C"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314" w:type="pct"/>
            <w:tcBorders>
              <w:top w:val="nil"/>
              <w:left w:val="nil"/>
              <w:bottom w:val="single" w:sz="8" w:space="0" w:color="auto"/>
              <w:right w:val="single" w:sz="8" w:space="0" w:color="auto"/>
            </w:tcBorders>
            <w:shd w:val="clear" w:color="auto" w:fill="auto"/>
            <w:noWrap/>
            <w:vAlign w:val="center"/>
            <w:hideMark/>
          </w:tcPr>
          <w:p w14:paraId="171C0720"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83</w:t>
            </w:r>
          </w:p>
        </w:tc>
        <w:tc>
          <w:tcPr>
            <w:tcW w:w="419" w:type="pct"/>
            <w:tcBorders>
              <w:top w:val="nil"/>
              <w:left w:val="nil"/>
              <w:bottom w:val="single" w:sz="8" w:space="0" w:color="auto"/>
              <w:right w:val="single" w:sz="8" w:space="0" w:color="auto"/>
            </w:tcBorders>
            <w:shd w:val="clear" w:color="auto" w:fill="auto"/>
            <w:noWrap/>
            <w:vAlign w:val="center"/>
            <w:hideMark/>
          </w:tcPr>
          <w:p w14:paraId="294A05AF"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42</w:t>
            </w:r>
          </w:p>
        </w:tc>
      </w:tr>
      <w:tr w:rsidR="00883E60" w:rsidRPr="00883E60" w14:paraId="563D7331"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0B9745BE"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Primero de Familia de San José</w:t>
            </w:r>
          </w:p>
        </w:tc>
        <w:tc>
          <w:tcPr>
            <w:tcW w:w="603" w:type="pct"/>
            <w:tcBorders>
              <w:top w:val="nil"/>
              <w:left w:val="nil"/>
              <w:bottom w:val="single" w:sz="8" w:space="0" w:color="auto"/>
              <w:right w:val="single" w:sz="8" w:space="0" w:color="auto"/>
            </w:tcBorders>
            <w:shd w:val="clear" w:color="auto" w:fill="auto"/>
            <w:noWrap/>
            <w:vAlign w:val="center"/>
            <w:hideMark/>
          </w:tcPr>
          <w:p w14:paraId="455B4225"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156</w:t>
            </w:r>
          </w:p>
        </w:tc>
        <w:tc>
          <w:tcPr>
            <w:tcW w:w="545" w:type="pct"/>
            <w:tcBorders>
              <w:top w:val="nil"/>
              <w:left w:val="nil"/>
              <w:bottom w:val="single" w:sz="8" w:space="0" w:color="auto"/>
              <w:right w:val="single" w:sz="8" w:space="0" w:color="auto"/>
            </w:tcBorders>
            <w:shd w:val="clear" w:color="auto" w:fill="auto"/>
            <w:vAlign w:val="center"/>
            <w:hideMark/>
          </w:tcPr>
          <w:p w14:paraId="5905612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838</w:t>
            </w:r>
          </w:p>
        </w:tc>
        <w:tc>
          <w:tcPr>
            <w:tcW w:w="314" w:type="pct"/>
            <w:tcBorders>
              <w:top w:val="nil"/>
              <w:left w:val="nil"/>
              <w:bottom w:val="single" w:sz="8" w:space="0" w:color="auto"/>
              <w:right w:val="single" w:sz="8" w:space="0" w:color="auto"/>
            </w:tcBorders>
            <w:shd w:val="clear" w:color="auto" w:fill="auto"/>
            <w:noWrap/>
            <w:vAlign w:val="center"/>
            <w:hideMark/>
          </w:tcPr>
          <w:p w14:paraId="3E6CFB98"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75FCDBAB"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4</w:t>
            </w:r>
          </w:p>
        </w:tc>
        <w:tc>
          <w:tcPr>
            <w:tcW w:w="314" w:type="pct"/>
            <w:tcBorders>
              <w:top w:val="nil"/>
              <w:left w:val="nil"/>
              <w:bottom w:val="single" w:sz="8" w:space="0" w:color="auto"/>
              <w:right w:val="single" w:sz="8" w:space="0" w:color="auto"/>
            </w:tcBorders>
            <w:shd w:val="clear" w:color="auto" w:fill="auto"/>
            <w:noWrap/>
            <w:vAlign w:val="center"/>
            <w:hideMark/>
          </w:tcPr>
          <w:p w14:paraId="00842D14"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52</w:t>
            </w:r>
          </w:p>
        </w:tc>
        <w:tc>
          <w:tcPr>
            <w:tcW w:w="419" w:type="pct"/>
            <w:tcBorders>
              <w:top w:val="nil"/>
              <w:left w:val="nil"/>
              <w:bottom w:val="single" w:sz="8" w:space="0" w:color="auto"/>
              <w:right w:val="single" w:sz="8" w:space="0" w:color="auto"/>
            </w:tcBorders>
            <w:shd w:val="clear" w:color="auto" w:fill="auto"/>
            <w:noWrap/>
            <w:vAlign w:val="center"/>
            <w:hideMark/>
          </w:tcPr>
          <w:p w14:paraId="69C218C7"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39</w:t>
            </w:r>
          </w:p>
        </w:tc>
      </w:tr>
      <w:tr w:rsidR="00883E60" w:rsidRPr="00883E60" w14:paraId="6244348E" w14:textId="77777777" w:rsidTr="001D0C10">
        <w:trPr>
          <w:trHeight w:val="300"/>
        </w:trPr>
        <w:tc>
          <w:tcPr>
            <w:tcW w:w="2381" w:type="pct"/>
            <w:tcBorders>
              <w:top w:val="nil"/>
              <w:left w:val="single" w:sz="8" w:space="0" w:color="auto"/>
              <w:bottom w:val="single" w:sz="8" w:space="0" w:color="auto"/>
              <w:right w:val="single" w:sz="8" w:space="0" w:color="auto"/>
            </w:tcBorders>
            <w:shd w:val="clear" w:color="auto" w:fill="auto"/>
            <w:noWrap/>
            <w:vAlign w:val="center"/>
            <w:hideMark/>
          </w:tcPr>
          <w:p w14:paraId="0E790F7F" w14:textId="77777777" w:rsidR="00883E60" w:rsidRPr="00883E60" w:rsidRDefault="00883E60" w:rsidP="00883E60">
            <w:pPr>
              <w:spacing w:after="0" w:line="240" w:lineRule="auto"/>
              <w:rPr>
                <w:rFonts w:ascii="Book Antiqua" w:eastAsia="Times New Roman" w:hAnsi="Book Antiqua" w:cs="Calibri"/>
                <w:b/>
                <w:bCs/>
                <w:color w:val="000000"/>
                <w:lang w:eastAsia="es-CR"/>
              </w:rPr>
            </w:pPr>
            <w:r w:rsidRPr="00883E60">
              <w:rPr>
                <w:rFonts w:ascii="Book Antiqua" w:eastAsia="Times New Roman" w:hAnsi="Book Antiqua" w:cs="Calibri"/>
                <w:b/>
                <w:bCs/>
                <w:color w:val="000000"/>
                <w:lang w:eastAsia="es-CR"/>
              </w:rPr>
              <w:t>Juzgado Segundo de Familia de San José</w:t>
            </w:r>
          </w:p>
        </w:tc>
        <w:tc>
          <w:tcPr>
            <w:tcW w:w="603" w:type="pct"/>
            <w:tcBorders>
              <w:top w:val="nil"/>
              <w:left w:val="nil"/>
              <w:bottom w:val="single" w:sz="8" w:space="0" w:color="auto"/>
              <w:right w:val="single" w:sz="8" w:space="0" w:color="auto"/>
            </w:tcBorders>
            <w:shd w:val="clear" w:color="auto" w:fill="auto"/>
            <w:noWrap/>
            <w:vAlign w:val="center"/>
            <w:hideMark/>
          </w:tcPr>
          <w:p w14:paraId="555435C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150</w:t>
            </w:r>
          </w:p>
        </w:tc>
        <w:tc>
          <w:tcPr>
            <w:tcW w:w="545" w:type="pct"/>
            <w:tcBorders>
              <w:top w:val="nil"/>
              <w:left w:val="nil"/>
              <w:bottom w:val="single" w:sz="8" w:space="0" w:color="auto"/>
              <w:right w:val="single" w:sz="8" w:space="0" w:color="auto"/>
            </w:tcBorders>
            <w:shd w:val="clear" w:color="auto" w:fill="auto"/>
            <w:vAlign w:val="center"/>
            <w:hideMark/>
          </w:tcPr>
          <w:p w14:paraId="1AA1024B"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788</w:t>
            </w:r>
          </w:p>
        </w:tc>
        <w:tc>
          <w:tcPr>
            <w:tcW w:w="314" w:type="pct"/>
            <w:tcBorders>
              <w:top w:val="nil"/>
              <w:left w:val="nil"/>
              <w:bottom w:val="single" w:sz="8" w:space="0" w:color="auto"/>
              <w:right w:val="single" w:sz="8" w:space="0" w:color="auto"/>
            </w:tcBorders>
            <w:shd w:val="clear" w:color="auto" w:fill="auto"/>
            <w:noWrap/>
            <w:vAlign w:val="center"/>
            <w:hideMark/>
          </w:tcPr>
          <w:p w14:paraId="2DE1C4A6"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w:t>
            </w:r>
          </w:p>
        </w:tc>
        <w:tc>
          <w:tcPr>
            <w:tcW w:w="424" w:type="pct"/>
            <w:gridSpan w:val="2"/>
            <w:tcBorders>
              <w:top w:val="single" w:sz="8" w:space="0" w:color="auto"/>
              <w:left w:val="nil"/>
              <w:bottom w:val="single" w:sz="8" w:space="0" w:color="auto"/>
              <w:right w:val="single" w:sz="8" w:space="0" w:color="000000"/>
            </w:tcBorders>
            <w:shd w:val="clear" w:color="auto" w:fill="auto"/>
            <w:vAlign w:val="center"/>
            <w:hideMark/>
          </w:tcPr>
          <w:p w14:paraId="4941E022"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w:t>
            </w:r>
          </w:p>
        </w:tc>
        <w:tc>
          <w:tcPr>
            <w:tcW w:w="314" w:type="pct"/>
            <w:tcBorders>
              <w:top w:val="nil"/>
              <w:left w:val="nil"/>
              <w:bottom w:val="single" w:sz="8" w:space="0" w:color="auto"/>
              <w:right w:val="single" w:sz="8" w:space="0" w:color="auto"/>
            </w:tcBorders>
            <w:shd w:val="clear" w:color="auto" w:fill="auto"/>
            <w:noWrap/>
            <w:vAlign w:val="center"/>
            <w:hideMark/>
          </w:tcPr>
          <w:p w14:paraId="7F404B4B"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50</w:t>
            </w:r>
          </w:p>
        </w:tc>
        <w:tc>
          <w:tcPr>
            <w:tcW w:w="419" w:type="pct"/>
            <w:tcBorders>
              <w:top w:val="nil"/>
              <w:left w:val="nil"/>
              <w:bottom w:val="single" w:sz="8" w:space="0" w:color="auto"/>
              <w:right w:val="single" w:sz="8" w:space="0" w:color="auto"/>
            </w:tcBorders>
            <w:shd w:val="clear" w:color="auto" w:fill="auto"/>
            <w:noWrap/>
            <w:vAlign w:val="center"/>
            <w:hideMark/>
          </w:tcPr>
          <w:p w14:paraId="60957F5E" w14:textId="77777777" w:rsidR="00883E60" w:rsidRPr="00883E60" w:rsidRDefault="00883E60" w:rsidP="00883E60">
            <w:pPr>
              <w:spacing w:after="0" w:line="240" w:lineRule="auto"/>
              <w:jc w:val="center"/>
              <w:rPr>
                <w:rFonts w:ascii="Book Antiqua" w:eastAsia="Times New Roman" w:hAnsi="Book Antiqua" w:cs="Calibri"/>
                <w:color w:val="000000"/>
                <w:lang w:eastAsia="es-CR"/>
              </w:rPr>
            </w:pPr>
            <w:r w:rsidRPr="00883E60">
              <w:rPr>
                <w:rFonts w:ascii="Book Antiqua" w:eastAsia="Times New Roman" w:hAnsi="Book Antiqua" w:cs="Calibri"/>
                <w:color w:val="000000"/>
                <w:lang w:eastAsia="es-CR"/>
              </w:rPr>
              <w:t>30</w:t>
            </w:r>
          </w:p>
        </w:tc>
      </w:tr>
      <w:tr w:rsidR="00883E60" w:rsidRPr="00883E60" w14:paraId="4113FFE9" w14:textId="77777777" w:rsidTr="001D0C10">
        <w:trPr>
          <w:trHeight w:val="300"/>
        </w:trPr>
        <w:tc>
          <w:tcPr>
            <w:tcW w:w="2381" w:type="pct"/>
            <w:tcBorders>
              <w:top w:val="nil"/>
              <w:left w:val="single" w:sz="8" w:space="0" w:color="auto"/>
              <w:bottom w:val="single" w:sz="8" w:space="0" w:color="auto"/>
              <w:right w:val="single" w:sz="8" w:space="0" w:color="auto"/>
            </w:tcBorders>
            <w:shd w:val="clear" w:color="000000" w:fill="808080"/>
            <w:noWrap/>
            <w:vAlign w:val="center"/>
            <w:hideMark/>
          </w:tcPr>
          <w:p w14:paraId="6DA10BA4" w14:textId="77777777" w:rsidR="00883E60" w:rsidRPr="00883E60" w:rsidRDefault="00883E60" w:rsidP="00883E60">
            <w:pPr>
              <w:spacing w:after="0" w:line="240" w:lineRule="auto"/>
              <w:jc w:val="right"/>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Total</w:t>
            </w:r>
          </w:p>
        </w:tc>
        <w:tc>
          <w:tcPr>
            <w:tcW w:w="603" w:type="pct"/>
            <w:tcBorders>
              <w:top w:val="nil"/>
              <w:left w:val="nil"/>
              <w:bottom w:val="single" w:sz="8" w:space="0" w:color="auto"/>
              <w:right w:val="single" w:sz="8" w:space="0" w:color="auto"/>
            </w:tcBorders>
            <w:shd w:val="clear" w:color="000000" w:fill="808080"/>
            <w:noWrap/>
            <w:vAlign w:val="center"/>
            <w:hideMark/>
          </w:tcPr>
          <w:p w14:paraId="56488D89"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2 519</w:t>
            </w:r>
          </w:p>
        </w:tc>
        <w:tc>
          <w:tcPr>
            <w:tcW w:w="545" w:type="pct"/>
            <w:tcBorders>
              <w:top w:val="nil"/>
              <w:left w:val="nil"/>
              <w:bottom w:val="single" w:sz="8" w:space="0" w:color="auto"/>
              <w:right w:val="single" w:sz="8" w:space="0" w:color="auto"/>
            </w:tcBorders>
            <w:shd w:val="clear" w:color="000000" w:fill="808080"/>
            <w:vAlign w:val="center"/>
            <w:hideMark/>
          </w:tcPr>
          <w:p w14:paraId="386A9D75"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13 471</w:t>
            </w:r>
          </w:p>
        </w:tc>
        <w:tc>
          <w:tcPr>
            <w:tcW w:w="314" w:type="pct"/>
            <w:tcBorders>
              <w:top w:val="nil"/>
              <w:left w:val="nil"/>
              <w:bottom w:val="single" w:sz="8" w:space="0" w:color="auto"/>
              <w:right w:val="single" w:sz="8" w:space="0" w:color="auto"/>
            </w:tcBorders>
            <w:shd w:val="clear" w:color="000000" w:fill="808080"/>
            <w:noWrap/>
            <w:vAlign w:val="center"/>
            <w:hideMark/>
          </w:tcPr>
          <w:p w14:paraId="6D275F6D"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33</w:t>
            </w:r>
          </w:p>
        </w:tc>
        <w:tc>
          <w:tcPr>
            <w:tcW w:w="424" w:type="pct"/>
            <w:gridSpan w:val="2"/>
            <w:tcBorders>
              <w:top w:val="single" w:sz="8" w:space="0" w:color="auto"/>
              <w:left w:val="nil"/>
              <w:bottom w:val="single" w:sz="8" w:space="0" w:color="auto"/>
              <w:right w:val="single" w:sz="8" w:space="0" w:color="000000"/>
            </w:tcBorders>
            <w:shd w:val="clear" w:color="000000" w:fill="808080"/>
            <w:vAlign w:val="center"/>
            <w:hideMark/>
          </w:tcPr>
          <w:p w14:paraId="1A84D535"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54</w:t>
            </w:r>
          </w:p>
        </w:tc>
        <w:tc>
          <w:tcPr>
            <w:tcW w:w="314" w:type="pct"/>
            <w:tcBorders>
              <w:top w:val="nil"/>
              <w:left w:val="nil"/>
              <w:bottom w:val="single" w:sz="8" w:space="0" w:color="auto"/>
              <w:right w:val="single" w:sz="8" w:space="0" w:color="auto"/>
            </w:tcBorders>
            <w:shd w:val="clear" w:color="000000" w:fill="808080"/>
            <w:noWrap/>
            <w:vAlign w:val="center"/>
            <w:hideMark/>
          </w:tcPr>
          <w:p w14:paraId="74F4086D"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906</w:t>
            </w:r>
          </w:p>
        </w:tc>
        <w:tc>
          <w:tcPr>
            <w:tcW w:w="419" w:type="pct"/>
            <w:tcBorders>
              <w:top w:val="nil"/>
              <w:left w:val="nil"/>
              <w:bottom w:val="single" w:sz="8" w:space="0" w:color="auto"/>
              <w:right w:val="single" w:sz="8" w:space="0" w:color="auto"/>
            </w:tcBorders>
            <w:shd w:val="clear" w:color="000000" w:fill="808080"/>
            <w:noWrap/>
            <w:vAlign w:val="center"/>
            <w:hideMark/>
          </w:tcPr>
          <w:p w14:paraId="50F423F3"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571</w:t>
            </w:r>
          </w:p>
        </w:tc>
      </w:tr>
      <w:tr w:rsidR="00883E60" w:rsidRPr="00883E60" w14:paraId="4170C58E" w14:textId="77777777" w:rsidTr="001D0C10">
        <w:trPr>
          <w:trHeight w:val="300"/>
        </w:trPr>
        <w:tc>
          <w:tcPr>
            <w:tcW w:w="2381" w:type="pct"/>
            <w:tcBorders>
              <w:top w:val="nil"/>
              <w:left w:val="single" w:sz="8" w:space="0" w:color="auto"/>
              <w:bottom w:val="single" w:sz="8" w:space="0" w:color="auto"/>
              <w:right w:val="single" w:sz="8" w:space="0" w:color="auto"/>
            </w:tcBorders>
            <w:shd w:val="clear" w:color="000000" w:fill="808080"/>
            <w:noWrap/>
            <w:vAlign w:val="center"/>
            <w:hideMark/>
          </w:tcPr>
          <w:p w14:paraId="374D774B" w14:textId="77777777" w:rsidR="00883E60" w:rsidRPr="00883E60" w:rsidRDefault="00883E60" w:rsidP="00883E60">
            <w:pPr>
              <w:spacing w:after="0" w:line="240" w:lineRule="auto"/>
              <w:jc w:val="right"/>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Promedio</w:t>
            </w:r>
          </w:p>
        </w:tc>
        <w:tc>
          <w:tcPr>
            <w:tcW w:w="603" w:type="pct"/>
            <w:tcBorders>
              <w:top w:val="nil"/>
              <w:left w:val="nil"/>
              <w:bottom w:val="single" w:sz="8" w:space="0" w:color="auto"/>
              <w:right w:val="single" w:sz="8" w:space="0" w:color="auto"/>
            </w:tcBorders>
            <w:shd w:val="clear" w:color="000000" w:fill="808080"/>
            <w:noWrap/>
            <w:vAlign w:val="center"/>
            <w:hideMark/>
          </w:tcPr>
          <w:p w14:paraId="31E6566F"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210</w:t>
            </w:r>
          </w:p>
        </w:tc>
        <w:tc>
          <w:tcPr>
            <w:tcW w:w="545" w:type="pct"/>
            <w:tcBorders>
              <w:top w:val="nil"/>
              <w:left w:val="nil"/>
              <w:bottom w:val="single" w:sz="8" w:space="0" w:color="auto"/>
              <w:right w:val="single" w:sz="8" w:space="0" w:color="auto"/>
            </w:tcBorders>
            <w:shd w:val="clear" w:color="000000" w:fill="808080"/>
            <w:vAlign w:val="center"/>
            <w:hideMark/>
          </w:tcPr>
          <w:p w14:paraId="6C8EA029"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1 123</w:t>
            </w:r>
          </w:p>
        </w:tc>
        <w:tc>
          <w:tcPr>
            <w:tcW w:w="314" w:type="pct"/>
            <w:tcBorders>
              <w:top w:val="nil"/>
              <w:left w:val="nil"/>
              <w:bottom w:val="single" w:sz="8" w:space="0" w:color="auto"/>
              <w:right w:val="single" w:sz="8" w:space="0" w:color="auto"/>
            </w:tcBorders>
            <w:shd w:val="clear" w:color="000000" w:fill="808080"/>
            <w:noWrap/>
            <w:vAlign w:val="center"/>
            <w:hideMark/>
          </w:tcPr>
          <w:p w14:paraId="36A33BCE"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3</w:t>
            </w:r>
          </w:p>
        </w:tc>
        <w:tc>
          <w:tcPr>
            <w:tcW w:w="424" w:type="pct"/>
            <w:gridSpan w:val="2"/>
            <w:tcBorders>
              <w:top w:val="single" w:sz="8" w:space="0" w:color="auto"/>
              <w:left w:val="nil"/>
              <w:bottom w:val="single" w:sz="8" w:space="0" w:color="auto"/>
              <w:right w:val="single" w:sz="8" w:space="0" w:color="000000"/>
            </w:tcBorders>
            <w:shd w:val="clear" w:color="000000" w:fill="808080"/>
            <w:vAlign w:val="center"/>
            <w:hideMark/>
          </w:tcPr>
          <w:p w14:paraId="2F3A31DE"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5</w:t>
            </w:r>
          </w:p>
        </w:tc>
        <w:tc>
          <w:tcPr>
            <w:tcW w:w="314" w:type="pct"/>
            <w:tcBorders>
              <w:top w:val="nil"/>
              <w:left w:val="nil"/>
              <w:bottom w:val="single" w:sz="8" w:space="0" w:color="auto"/>
              <w:right w:val="single" w:sz="8" w:space="0" w:color="auto"/>
            </w:tcBorders>
            <w:shd w:val="clear" w:color="000000" w:fill="808080"/>
            <w:noWrap/>
            <w:vAlign w:val="center"/>
            <w:hideMark/>
          </w:tcPr>
          <w:p w14:paraId="6697D7EE"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76</w:t>
            </w:r>
          </w:p>
        </w:tc>
        <w:tc>
          <w:tcPr>
            <w:tcW w:w="419" w:type="pct"/>
            <w:tcBorders>
              <w:top w:val="nil"/>
              <w:left w:val="nil"/>
              <w:bottom w:val="single" w:sz="8" w:space="0" w:color="auto"/>
              <w:right w:val="single" w:sz="8" w:space="0" w:color="auto"/>
            </w:tcBorders>
            <w:shd w:val="clear" w:color="000000" w:fill="808080"/>
            <w:noWrap/>
            <w:vAlign w:val="center"/>
            <w:hideMark/>
          </w:tcPr>
          <w:p w14:paraId="6A43ADD5" w14:textId="77777777" w:rsidR="00883E60" w:rsidRPr="00883E60" w:rsidRDefault="00883E60" w:rsidP="00883E60">
            <w:pPr>
              <w:spacing w:after="0" w:line="240" w:lineRule="auto"/>
              <w:jc w:val="center"/>
              <w:rPr>
                <w:rFonts w:ascii="Book Antiqua" w:eastAsia="Times New Roman" w:hAnsi="Book Antiqua" w:cs="Calibri"/>
                <w:b/>
                <w:bCs/>
                <w:color w:val="FFFFFF"/>
                <w:lang w:eastAsia="es-CR"/>
              </w:rPr>
            </w:pPr>
            <w:r w:rsidRPr="00883E60">
              <w:rPr>
                <w:rFonts w:ascii="Book Antiqua" w:eastAsia="Times New Roman" w:hAnsi="Book Antiqua" w:cs="Calibri"/>
                <w:b/>
                <w:bCs/>
                <w:color w:val="FFFFFF"/>
                <w:lang w:eastAsia="es-CR"/>
              </w:rPr>
              <w:t>48</w:t>
            </w:r>
          </w:p>
        </w:tc>
      </w:tr>
    </w:tbl>
    <w:p w14:paraId="573887CA" w14:textId="77777777" w:rsidR="00A0298D" w:rsidRDefault="00AB0890" w:rsidP="000069A7">
      <w:pPr>
        <w:spacing w:after="0" w:line="276" w:lineRule="auto"/>
        <w:jc w:val="both"/>
        <w:rPr>
          <w:rFonts w:ascii="Book Antiqua" w:hAnsi="Book Antiqua"/>
          <w:i/>
          <w:iCs/>
          <w:sz w:val="20"/>
          <w:szCs w:val="20"/>
        </w:rPr>
      </w:pPr>
      <w:r w:rsidRPr="00AB0890">
        <w:rPr>
          <w:rFonts w:ascii="Book Antiqua" w:hAnsi="Book Antiqua"/>
          <w:i/>
          <w:iCs/>
          <w:sz w:val="20"/>
          <w:szCs w:val="20"/>
        </w:rPr>
        <w:t>Fuente: Modernización Institucional de la Dirección de Planificación con base en datos de Cuadros Estadísticos del Subproceso de Estadística de la Dirección de Planificación</w:t>
      </w:r>
      <w:r>
        <w:rPr>
          <w:rFonts w:ascii="Book Antiqua" w:hAnsi="Book Antiqua"/>
          <w:i/>
          <w:iCs/>
          <w:sz w:val="20"/>
          <w:szCs w:val="20"/>
        </w:rPr>
        <w:t>.</w:t>
      </w:r>
    </w:p>
    <w:p w14:paraId="286DAFDD" w14:textId="751EFAC0" w:rsidR="00645471" w:rsidRDefault="00645471" w:rsidP="000069A7">
      <w:pPr>
        <w:spacing w:after="0" w:line="276" w:lineRule="auto"/>
        <w:jc w:val="both"/>
        <w:rPr>
          <w:rFonts w:ascii="Book Antiqua" w:hAnsi="Book Antiqua"/>
          <w:i/>
          <w:iCs/>
          <w:sz w:val="20"/>
          <w:szCs w:val="20"/>
        </w:rPr>
      </w:pPr>
      <w:r>
        <w:rPr>
          <w:rFonts w:ascii="Book Antiqua" w:hAnsi="Book Antiqua"/>
          <w:i/>
          <w:iCs/>
          <w:sz w:val="20"/>
          <w:szCs w:val="20"/>
        </w:rPr>
        <w:t>Nota:</w:t>
      </w:r>
      <w:r w:rsidR="0055481D" w:rsidRPr="0055481D">
        <w:t xml:space="preserve"> </w:t>
      </w:r>
      <w:r w:rsidR="00021C0F">
        <w:rPr>
          <w:rFonts w:ascii="Book Antiqua" w:hAnsi="Book Antiqua"/>
          <w:i/>
          <w:iCs/>
          <w:sz w:val="20"/>
          <w:szCs w:val="20"/>
        </w:rPr>
        <w:t>L</w:t>
      </w:r>
      <w:r w:rsidR="00021C0F" w:rsidRPr="0055481D">
        <w:rPr>
          <w:rFonts w:ascii="Book Antiqua" w:hAnsi="Book Antiqua"/>
          <w:i/>
          <w:iCs/>
          <w:sz w:val="20"/>
          <w:szCs w:val="20"/>
        </w:rPr>
        <w:t>os incidentes corresponden a los primeros 9 meses del 2021</w:t>
      </w:r>
      <w:r w:rsidR="00021C0F">
        <w:rPr>
          <w:rFonts w:ascii="Book Antiqua" w:hAnsi="Book Antiqua"/>
          <w:i/>
          <w:iCs/>
          <w:sz w:val="20"/>
          <w:szCs w:val="20"/>
        </w:rPr>
        <w:t>.</w:t>
      </w:r>
    </w:p>
    <w:p w14:paraId="40868C0A" w14:textId="77777777" w:rsidR="000069A7" w:rsidRDefault="000069A7" w:rsidP="000069A7">
      <w:pPr>
        <w:spacing w:after="0" w:line="276" w:lineRule="auto"/>
        <w:jc w:val="both"/>
        <w:rPr>
          <w:rFonts w:ascii="Book Antiqua" w:hAnsi="Book Antiqua"/>
          <w:i/>
          <w:iCs/>
          <w:sz w:val="20"/>
          <w:szCs w:val="20"/>
        </w:rPr>
      </w:pPr>
    </w:p>
    <w:p w14:paraId="677CD499" w14:textId="17C252A3" w:rsidR="00E134B7" w:rsidRDefault="00E134B7" w:rsidP="00E134B7">
      <w:pPr>
        <w:spacing w:after="0" w:line="276" w:lineRule="auto"/>
        <w:jc w:val="both"/>
        <w:rPr>
          <w:rFonts w:ascii="Book Antiqua" w:eastAsia="Calibri" w:hAnsi="Book Antiqua" w:cs="Arial"/>
          <w:sz w:val="24"/>
          <w:szCs w:val="24"/>
        </w:rPr>
      </w:pPr>
      <w:r w:rsidRPr="00E134B7">
        <w:rPr>
          <w:rFonts w:ascii="Book Antiqua" w:eastAsia="Calibri" w:hAnsi="Book Antiqua" w:cs="Arial"/>
          <w:sz w:val="24"/>
          <w:szCs w:val="24"/>
        </w:rPr>
        <w:t xml:space="preserve">En relación con la información del cuadro anterior, se destaca que la </w:t>
      </w:r>
      <w:bookmarkStart w:id="26" w:name="_Hlk31981039"/>
      <w:r w:rsidRPr="00E134B7">
        <w:rPr>
          <w:rFonts w:ascii="Book Antiqua" w:eastAsia="Calibri" w:hAnsi="Book Antiqua" w:cs="Arial"/>
          <w:sz w:val="24"/>
          <w:szCs w:val="24"/>
        </w:rPr>
        <w:t xml:space="preserve">carga de trabajo por persona juzgadora </w:t>
      </w:r>
      <w:r w:rsidR="000069A7">
        <w:rPr>
          <w:rFonts w:ascii="Book Antiqua" w:eastAsia="Calibri" w:hAnsi="Book Antiqua" w:cs="Arial"/>
          <w:sz w:val="24"/>
          <w:szCs w:val="24"/>
        </w:rPr>
        <w:t xml:space="preserve">aumentó de 74 a </w:t>
      </w:r>
      <w:r w:rsidRPr="00E134B7">
        <w:rPr>
          <w:rFonts w:ascii="Book Antiqua" w:eastAsia="Calibri" w:hAnsi="Book Antiqua" w:cs="Arial"/>
          <w:sz w:val="24"/>
          <w:szCs w:val="24"/>
        </w:rPr>
        <w:t>7</w:t>
      </w:r>
      <w:r w:rsidR="009F7311">
        <w:rPr>
          <w:rFonts w:ascii="Book Antiqua" w:eastAsia="Calibri" w:hAnsi="Book Antiqua" w:cs="Arial"/>
          <w:sz w:val="24"/>
          <w:szCs w:val="24"/>
        </w:rPr>
        <w:t>6</w:t>
      </w:r>
      <w:r w:rsidRPr="00E134B7">
        <w:rPr>
          <w:rFonts w:ascii="Book Antiqua" w:eastAsia="Calibri" w:hAnsi="Book Antiqua" w:cs="Arial"/>
          <w:sz w:val="24"/>
          <w:szCs w:val="24"/>
        </w:rPr>
        <w:t xml:space="preserve"> </w:t>
      </w:r>
      <w:r w:rsidR="000069A7">
        <w:rPr>
          <w:rFonts w:ascii="Book Antiqua" w:eastAsia="Calibri" w:hAnsi="Book Antiqua" w:cs="Arial"/>
          <w:sz w:val="24"/>
          <w:szCs w:val="24"/>
        </w:rPr>
        <w:t xml:space="preserve">asuntos </w:t>
      </w:r>
      <w:r w:rsidRPr="00E134B7">
        <w:rPr>
          <w:rFonts w:ascii="Book Antiqua" w:eastAsia="Calibri" w:hAnsi="Book Antiqua" w:cs="Arial"/>
          <w:sz w:val="24"/>
          <w:szCs w:val="24"/>
        </w:rPr>
        <w:t>al mes y por persona técnica judicial de trámite</w:t>
      </w:r>
      <w:bookmarkEnd w:id="26"/>
      <w:r w:rsidRPr="00E134B7">
        <w:rPr>
          <w:rFonts w:ascii="Book Antiqua" w:eastAsia="Calibri" w:hAnsi="Book Antiqua" w:cs="Arial"/>
          <w:sz w:val="24"/>
          <w:szCs w:val="24"/>
        </w:rPr>
        <w:t xml:space="preserve">, </w:t>
      </w:r>
      <w:r w:rsidR="000069A7">
        <w:rPr>
          <w:rFonts w:ascii="Book Antiqua" w:eastAsia="Calibri" w:hAnsi="Book Antiqua" w:cs="Arial"/>
          <w:sz w:val="24"/>
          <w:szCs w:val="24"/>
        </w:rPr>
        <w:t>de 47 a 4</w:t>
      </w:r>
      <w:r w:rsidR="009F7311">
        <w:rPr>
          <w:rFonts w:ascii="Book Antiqua" w:eastAsia="Calibri" w:hAnsi="Book Antiqua" w:cs="Arial"/>
          <w:sz w:val="24"/>
          <w:szCs w:val="24"/>
        </w:rPr>
        <w:t>8</w:t>
      </w:r>
      <w:r w:rsidR="000069A7">
        <w:rPr>
          <w:rFonts w:ascii="Book Antiqua" w:eastAsia="Calibri" w:hAnsi="Book Antiqua" w:cs="Arial"/>
          <w:sz w:val="24"/>
          <w:szCs w:val="24"/>
        </w:rPr>
        <w:t xml:space="preserve"> asuntos por mes; </w:t>
      </w:r>
      <w:r w:rsidRPr="00E134B7">
        <w:rPr>
          <w:rFonts w:ascii="Book Antiqua" w:eastAsia="Calibri" w:hAnsi="Book Antiqua" w:cs="Arial"/>
          <w:sz w:val="24"/>
          <w:szCs w:val="24"/>
        </w:rPr>
        <w:t xml:space="preserve"> se excluye para efecto del cálculo, el Juzgado de Niñez y Adolescencia de San Jose, dada su competencia particular. </w:t>
      </w:r>
    </w:p>
    <w:p w14:paraId="161FCAB9" w14:textId="77777777" w:rsidR="00B634F4" w:rsidRPr="00E134B7" w:rsidRDefault="00B634F4" w:rsidP="00E134B7">
      <w:pPr>
        <w:spacing w:after="0" w:line="276" w:lineRule="auto"/>
        <w:jc w:val="both"/>
        <w:rPr>
          <w:rFonts w:ascii="Book Antiqua" w:eastAsia="Calibri" w:hAnsi="Book Antiqua" w:cs="Arial"/>
          <w:sz w:val="24"/>
          <w:szCs w:val="24"/>
        </w:rPr>
      </w:pPr>
    </w:p>
    <w:p w14:paraId="7C8EEF14" w14:textId="14E8E812" w:rsidR="00B634F4" w:rsidRDefault="00B634F4" w:rsidP="00B634F4">
      <w:pPr>
        <w:spacing w:after="0" w:line="276" w:lineRule="auto"/>
        <w:jc w:val="both"/>
        <w:rPr>
          <w:rFonts w:ascii="Book Antiqua" w:eastAsia="Calibri" w:hAnsi="Book Antiqua" w:cs="Arial"/>
          <w:sz w:val="24"/>
          <w:szCs w:val="24"/>
        </w:rPr>
      </w:pPr>
      <w:r w:rsidRPr="00B634F4">
        <w:rPr>
          <w:rFonts w:ascii="Book Antiqua" w:eastAsia="Calibri" w:hAnsi="Book Antiqua" w:cs="Arial"/>
          <w:sz w:val="24"/>
          <w:szCs w:val="24"/>
        </w:rPr>
        <w:t xml:space="preserve">El </w:t>
      </w:r>
      <w:r w:rsidR="00C9145F">
        <w:rPr>
          <w:rFonts w:ascii="Book Antiqua" w:eastAsia="Calibri" w:hAnsi="Book Antiqua" w:cs="Arial"/>
          <w:sz w:val="24"/>
          <w:szCs w:val="24"/>
        </w:rPr>
        <w:t>7</w:t>
      </w:r>
      <w:r w:rsidR="004F692D">
        <w:rPr>
          <w:rFonts w:ascii="Book Antiqua" w:eastAsia="Calibri" w:hAnsi="Book Antiqua" w:cs="Arial"/>
          <w:sz w:val="24"/>
          <w:szCs w:val="24"/>
        </w:rPr>
        <w:t>8</w:t>
      </w:r>
      <w:r w:rsidRPr="00B634F4">
        <w:rPr>
          <w:rFonts w:ascii="Book Antiqua" w:eastAsia="Calibri" w:hAnsi="Book Antiqua" w:cs="Arial"/>
          <w:sz w:val="24"/>
          <w:szCs w:val="24"/>
        </w:rPr>
        <w:t xml:space="preserve">% de los casos entrados corresponden a principal, </w:t>
      </w:r>
      <w:r w:rsidR="00B65CC4">
        <w:rPr>
          <w:rFonts w:ascii="Book Antiqua" w:eastAsia="Calibri" w:hAnsi="Book Antiqua" w:cs="Arial"/>
          <w:sz w:val="24"/>
          <w:szCs w:val="24"/>
        </w:rPr>
        <w:t>1</w:t>
      </w:r>
      <w:r w:rsidR="004F692D">
        <w:rPr>
          <w:rFonts w:ascii="Book Antiqua" w:eastAsia="Calibri" w:hAnsi="Book Antiqua" w:cs="Arial"/>
          <w:sz w:val="24"/>
          <w:szCs w:val="24"/>
        </w:rPr>
        <w:t>5</w:t>
      </w:r>
      <w:r w:rsidRPr="00B634F4">
        <w:rPr>
          <w:rFonts w:ascii="Book Antiqua" w:eastAsia="Calibri" w:hAnsi="Book Antiqua" w:cs="Arial"/>
          <w:sz w:val="24"/>
          <w:szCs w:val="24"/>
        </w:rPr>
        <w:t xml:space="preserve">% a segunda instancia, 5% son reentrados y </w:t>
      </w:r>
      <w:r w:rsidR="00C9145F">
        <w:rPr>
          <w:rFonts w:ascii="Book Antiqua" w:eastAsia="Calibri" w:hAnsi="Book Antiqua" w:cs="Arial"/>
          <w:sz w:val="24"/>
          <w:szCs w:val="24"/>
        </w:rPr>
        <w:t>2</w:t>
      </w:r>
      <w:r w:rsidRPr="00B634F4">
        <w:rPr>
          <w:rFonts w:ascii="Book Antiqua" w:eastAsia="Calibri" w:hAnsi="Book Antiqua" w:cs="Arial"/>
          <w:sz w:val="24"/>
          <w:szCs w:val="24"/>
        </w:rPr>
        <w:t>% incidentes, estos resultados se muestran en el cuadro siguiente.</w:t>
      </w:r>
    </w:p>
    <w:p w14:paraId="461BBE80" w14:textId="77777777" w:rsidR="009F7311" w:rsidRDefault="009F7311" w:rsidP="00B634F4">
      <w:pPr>
        <w:spacing w:after="0" w:line="276" w:lineRule="auto"/>
        <w:jc w:val="both"/>
        <w:rPr>
          <w:rFonts w:ascii="Book Antiqua" w:eastAsia="Calibri" w:hAnsi="Book Antiqua" w:cs="Arial"/>
          <w:sz w:val="24"/>
          <w:szCs w:val="24"/>
        </w:rPr>
      </w:pPr>
    </w:p>
    <w:p w14:paraId="2A16F2DC" w14:textId="1A84B557" w:rsidR="00096C73" w:rsidRPr="00096C73" w:rsidRDefault="00096C73" w:rsidP="00096C7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96C73">
        <w:rPr>
          <w:rFonts w:ascii="Book Antiqua" w:eastAsia="Calibri" w:hAnsi="Book Antiqua" w:cs="Arial"/>
          <w:b/>
          <w:bCs/>
          <w:color w:val="1F497D"/>
          <w:szCs w:val="24"/>
          <w:lang w:val="es-ES" w:eastAsia="es-ES"/>
        </w:rPr>
        <w:t xml:space="preserve">Cuadro </w:t>
      </w:r>
      <w:r w:rsidRPr="00096C73">
        <w:rPr>
          <w:rFonts w:ascii="Book Antiqua" w:eastAsia="Calibri" w:hAnsi="Book Antiqua" w:cs="Arial"/>
          <w:b/>
          <w:bCs/>
          <w:color w:val="1F497D"/>
          <w:szCs w:val="24"/>
          <w:lang w:val="es-ES" w:eastAsia="es-ES"/>
        </w:rPr>
        <w:fldChar w:fldCharType="begin"/>
      </w:r>
      <w:r w:rsidRPr="00096C73">
        <w:rPr>
          <w:rFonts w:ascii="Book Antiqua" w:eastAsia="Calibri" w:hAnsi="Book Antiqua" w:cs="Arial"/>
          <w:b/>
          <w:bCs/>
          <w:color w:val="1F497D"/>
          <w:szCs w:val="24"/>
          <w:lang w:val="es-ES" w:eastAsia="es-ES"/>
        </w:rPr>
        <w:instrText xml:space="preserve"> SEQ Cuadro \* ARABIC </w:instrText>
      </w:r>
      <w:r w:rsidRPr="00096C73">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22</w:t>
      </w:r>
      <w:r w:rsidRPr="00096C73">
        <w:rPr>
          <w:rFonts w:ascii="Book Antiqua" w:eastAsia="Calibri" w:hAnsi="Book Antiqua" w:cs="Arial"/>
          <w:b/>
          <w:bCs/>
          <w:color w:val="1F497D"/>
          <w:szCs w:val="24"/>
          <w:lang w:val="es-ES" w:eastAsia="es-ES"/>
        </w:rPr>
        <w:fldChar w:fldCharType="end"/>
      </w:r>
      <w:r w:rsidRPr="00096C73">
        <w:rPr>
          <w:rFonts w:ascii="Book Antiqua" w:eastAsia="Calibri" w:hAnsi="Book Antiqua" w:cs="Arial"/>
          <w:b/>
          <w:bCs/>
          <w:color w:val="1F497D"/>
          <w:szCs w:val="24"/>
          <w:lang w:val="es-ES" w:eastAsia="es-ES"/>
        </w:rPr>
        <w:t xml:space="preserve"> </w:t>
      </w:r>
    </w:p>
    <w:p w14:paraId="4D6FABBA" w14:textId="77777777" w:rsidR="00096C73" w:rsidRPr="00096C73" w:rsidRDefault="00096C73" w:rsidP="00096C7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96C73">
        <w:rPr>
          <w:rFonts w:ascii="Book Antiqua" w:eastAsia="Calibri" w:hAnsi="Book Antiqua" w:cs="Arial"/>
          <w:b/>
          <w:bCs/>
          <w:color w:val="1F497D"/>
          <w:szCs w:val="24"/>
          <w:lang w:val="es-ES" w:eastAsia="es-ES"/>
        </w:rPr>
        <w:t xml:space="preserve">Desglose de entrados según motivo de entrada </w:t>
      </w:r>
    </w:p>
    <w:p w14:paraId="501BD530" w14:textId="77777777" w:rsidR="00096C73" w:rsidRPr="00096C73" w:rsidRDefault="00096C73" w:rsidP="00096C7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96C73">
        <w:rPr>
          <w:rFonts w:ascii="Book Antiqua" w:eastAsia="Calibri" w:hAnsi="Book Antiqua" w:cs="Arial"/>
          <w:b/>
          <w:bCs/>
          <w:color w:val="1F497D"/>
          <w:szCs w:val="24"/>
          <w:lang w:val="es-ES" w:eastAsia="es-ES"/>
        </w:rPr>
        <w:t>por persona juzgadora y persona técnica judicial</w:t>
      </w:r>
    </w:p>
    <w:tbl>
      <w:tblPr>
        <w:tblW w:w="5000" w:type="pct"/>
        <w:tblCellMar>
          <w:left w:w="70" w:type="dxa"/>
          <w:right w:w="70" w:type="dxa"/>
        </w:tblCellMar>
        <w:tblLook w:val="04A0" w:firstRow="1" w:lastRow="0" w:firstColumn="1" w:lastColumn="0" w:noHBand="0" w:noVBand="1"/>
      </w:tblPr>
      <w:tblGrid>
        <w:gridCol w:w="1922"/>
        <w:gridCol w:w="1981"/>
        <w:gridCol w:w="1550"/>
        <w:gridCol w:w="1570"/>
        <w:gridCol w:w="1795"/>
      </w:tblGrid>
      <w:tr w:rsidR="004F692D" w:rsidRPr="004F692D" w14:paraId="2AC5A40C" w14:textId="77777777" w:rsidTr="004F692D">
        <w:trPr>
          <w:trHeight w:val="1460"/>
        </w:trPr>
        <w:tc>
          <w:tcPr>
            <w:tcW w:w="1089"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221640E0"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Motivo de Entrada</w:t>
            </w:r>
          </w:p>
        </w:tc>
        <w:tc>
          <w:tcPr>
            <w:tcW w:w="1123" w:type="pct"/>
            <w:tcBorders>
              <w:top w:val="single" w:sz="8" w:space="0" w:color="auto"/>
              <w:left w:val="nil"/>
              <w:bottom w:val="single" w:sz="8" w:space="0" w:color="auto"/>
              <w:right w:val="single" w:sz="8" w:space="0" w:color="auto"/>
            </w:tcBorders>
            <w:shd w:val="clear" w:color="000000" w:fill="002060"/>
            <w:vAlign w:val="center"/>
            <w:hideMark/>
          </w:tcPr>
          <w:p w14:paraId="4AC392F0"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Promedio mensual de entrada 2017-2021 despachos especializados</w:t>
            </w:r>
          </w:p>
        </w:tc>
        <w:tc>
          <w:tcPr>
            <w:tcW w:w="879" w:type="pct"/>
            <w:tcBorders>
              <w:top w:val="single" w:sz="8" w:space="0" w:color="auto"/>
              <w:left w:val="nil"/>
              <w:bottom w:val="single" w:sz="8" w:space="0" w:color="auto"/>
              <w:right w:val="single" w:sz="8" w:space="0" w:color="auto"/>
            </w:tcBorders>
            <w:shd w:val="clear" w:color="000000" w:fill="002060"/>
            <w:vAlign w:val="center"/>
            <w:hideMark/>
          </w:tcPr>
          <w:p w14:paraId="4BE8D88E"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Porcentaje que representa de la entrada</w:t>
            </w:r>
          </w:p>
        </w:tc>
        <w:tc>
          <w:tcPr>
            <w:tcW w:w="890" w:type="pct"/>
            <w:tcBorders>
              <w:top w:val="single" w:sz="8" w:space="0" w:color="auto"/>
              <w:left w:val="nil"/>
              <w:bottom w:val="single" w:sz="8" w:space="0" w:color="auto"/>
              <w:right w:val="single" w:sz="8" w:space="0" w:color="auto"/>
            </w:tcBorders>
            <w:shd w:val="clear" w:color="000000" w:fill="002060"/>
            <w:vAlign w:val="center"/>
            <w:hideMark/>
          </w:tcPr>
          <w:p w14:paraId="3EC8917C"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Promedio mensual de entrada por Jueza/Juez</w:t>
            </w:r>
          </w:p>
        </w:tc>
        <w:tc>
          <w:tcPr>
            <w:tcW w:w="1018" w:type="pct"/>
            <w:tcBorders>
              <w:top w:val="single" w:sz="8" w:space="0" w:color="auto"/>
              <w:left w:val="nil"/>
              <w:bottom w:val="single" w:sz="8" w:space="0" w:color="auto"/>
              <w:right w:val="single" w:sz="8" w:space="0" w:color="auto"/>
            </w:tcBorders>
            <w:shd w:val="clear" w:color="000000" w:fill="002060"/>
            <w:vAlign w:val="center"/>
            <w:hideMark/>
          </w:tcPr>
          <w:p w14:paraId="2F8209FB"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 xml:space="preserve">Promedio mensual de entrada por persona Técnica Judicial trámite </w:t>
            </w:r>
          </w:p>
        </w:tc>
      </w:tr>
      <w:tr w:rsidR="004F692D" w:rsidRPr="004F692D" w14:paraId="10A7CD80" w14:textId="77777777" w:rsidTr="004F692D">
        <w:trPr>
          <w:trHeight w:val="300"/>
        </w:trPr>
        <w:tc>
          <w:tcPr>
            <w:tcW w:w="1089" w:type="pct"/>
            <w:tcBorders>
              <w:top w:val="nil"/>
              <w:left w:val="single" w:sz="8" w:space="0" w:color="auto"/>
              <w:bottom w:val="single" w:sz="8" w:space="0" w:color="auto"/>
              <w:right w:val="single" w:sz="8" w:space="0" w:color="auto"/>
            </w:tcBorders>
            <w:shd w:val="clear" w:color="auto" w:fill="auto"/>
            <w:noWrap/>
            <w:vAlign w:val="center"/>
            <w:hideMark/>
          </w:tcPr>
          <w:p w14:paraId="7B332D3C"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Principal</w:t>
            </w:r>
          </w:p>
        </w:tc>
        <w:tc>
          <w:tcPr>
            <w:tcW w:w="1123" w:type="pct"/>
            <w:tcBorders>
              <w:top w:val="nil"/>
              <w:left w:val="nil"/>
              <w:bottom w:val="single" w:sz="8" w:space="0" w:color="auto"/>
              <w:right w:val="single" w:sz="8" w:space="0" w:color="auto"/>
            </w:tcBorders>
            <w:shd w:val="clear" w:color="auto" w:fill="auto"/>
            <w:noWrap/>
            <w:vAlign w:val="center"/>
            <w:hideMark/>
          </w:tcPr>
          <w:p w14:paraId="755B3E92"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1962</w:t>
            </w:r>
          </w:p>
        </w:tc>
        <w:tc>
          <w:tcPr>
            <w:tcW w:w="879" w:type="pct"/>
            <w:tcBorders>
              <w:top w:val="nil"/>
              <w:left w:val="nil"/>
              <w:bottom w:val="single" w:sz="8" w:space="0" w:color="auto"/>
              <w:right w:val="single" w:sz="8" w:space="0" w:color="auto"/>
            </w:tcBorders>
            <w:shd w:val="clear" w:color="auto" w:fill="auto"/>
            <w:noWrap/>
            <w:vAlign w:val="center"/>
            <w:hideMark/>
          </w:tcPr>
          <w:p w14:paraId="487C56E8"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78%</w:t>
            </w:r>
          </w:p>
        </w:tc>
        <w:tc>
          <w:tcPr>
            <w:tcW w:w="890" w:type="pct"/>
            <w:tcBorders>
              <w:top w:val="nil"/>
              <w:left w:val="nil"/>
              <w:bottom w:val="single" w:sz="8" w:space="0" w:color="auto"/>
              <w:right w:val="single" w:sz="8" w:space="0" w:color="auto"/>
            </w:tcBorders>
            <w:shd w:val="clear" w:color="auto" w:fill="auto"/>
            <w:noWrap/>
            <w:vAlign w:val="center"/>
            <w:hideMark/>
          </w:tcPr>
          <w:p w14:paraId="651EE376"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59,5</w:t>
            </w:r>
          </w:p>
        </w:tc>
        <w:tc>
          <w:tcPr>
            <w:tcW w:w="1018" w:type="pct"/>
            <w:tcBorders>
              <w:top w:val="nil"/>
              <w:left w:val="nil"/>
              <w:bottom w:val="single" w:sz="8" w:space="0" w:color="auto"/>
              <w:right w:val="single" w:sz="8" w:space="0" w:color="auto"/>
            </w:tcBorders>
            <w:shd w:val="clear" w:color="auto" w:fill="auto"/>
            <w:noWrap/>
            <w:vAlign w:val="center"/>
            <w:hideMark/>
          </w:tcPr>
          <w:p w14:paraId="6D091642"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36,3</w:t>
            </w:r>
          </w:p>
        </w:tc>
      </w:tr>
      <w:tr w:rsidR="004F692D" w:rsidRPr="004F692D" w14:paraId="73EA9703" w14:textId="77777777" w:rsidTr="004F692D">
        <w:trPr>
          <w:trHeight w:val="300"/>
        </w:trPr>
        <w:tc>
          <w:tcPr>
            <w:tcW w:w="1089" w:type="pct"/>
            <w:tcBorders>
              <w:top w:val="nil"/>
              <w:left w:val="single" w:sz="8" w:space="0" w:color="auto"/>
              <w:bottom w:val="single" w:sz="8" w:space="0" w:color="auto"/>
              <w:right w:val="single" w:sz="8" w:space="0" w:color="auto"/>
            </w:tcBorders>
            <w:shd w:val="clear" w:color="auto" w:fill="auto"/>
            <w:noWrap/>
            <w:vAlign w:val="center"/>
            <w:hideMark/>
          </w:tcPr>
          <w:p w14:paraId="10837428"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Segunda Instancia</w:t>
            </w:r>
          </w:p>
        </w:tc>
        <w:tc>
          <w:tcPr>
            <w:tcW w:w="1123" w:type="pct"/>
            <w:tcBorders>
              <w:top w:val="nil"/>
              <w:left w:val="nil"/>
              <w:bottom w:val="single" w:sz="8" w:space="0" w:color="auto"/>
              <w:right w:val="single" w:sz="8" w:space="0" w:color="auto"/>
            </w:tcBorders>
            <w:shd w:val="clear" w:color="auto" w:fill="auto"/>
            <w:noWrap/>
            <w:vAlign w:val="center"/>
            <w:hideMark/>
          </w:tcPr>
          <w:p w14:paraId="1E0BCF0B"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390</w:t>
            </w:r>
          </w:p>
        </w:tc>
        <w:tc>
          <w:tcPr>
            <w:tcW w:w="879" w:type="pct"/>
            <w:tcBorders>
              <w:top w:val="nil"/>
              <w:left w:val="nil"/>
              <w:bottom w:val="single" w:sz="8" w:space="0" w:color="auto"/>
              <w:right w:val="single" w:sz="8" w:space="0" w:color="auto"/>
            </w:tcBorders>
            <w:shd w:val="clear" w:color="auto" w:fill="auto"/>
            <w:noWrap/>
            <w:vAlign w:val="center"/>
            <w:hideMark/>
          </w:tcPr>
          <w:p w14:paraId="4612886D"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15%</w:t>
            </w:r>
          </w:p>
        </w:tc>
        <w:tc>
          <w:tcPr>
            <w:tcW w:w="890" w:type="pct"/>
            <w:tcBorders>
              <w:top w:val="nil"/>
              <w:left w:val="nil"/>
              <w:bottom w:val="single" w:sz="8" w:space="0" w:color="auto"/>
              <w:right w:val="single" w:sz="8" w:space="0" w:color="auto"/>
            </w:tcBorders>
            <w:shd w:val="clear" w:color="auto" w:fill="auto"/>
            <w:noWrap/>
            <w:vAlign w:val="center"/>
            <w:hideMark/>
          </w:tcPr>
          <w:p w14:paraId="5008969D"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11,8</w:t>
            </w:r>
          </w:p>
        </w:tc>
        <w:tc>
          <w:tcPr>
            <w:tcW w:w="1018" w:type="pct"/>
            <w:tcBorders>
              <w:top w:val="nil"/>
              <w:left w:val="nil"/>
              <w:bottom w:val="single" w:sz="8" w:space="0" w:color="auto"/>
              <w:right w:val="single" w:sz="8" w:space="0" w:color="auto"/>
            </w:tcBorders>
            <w:shd w:val="clear" w:color="auto" w:fill="auto"/>
            <w:noWrap/>
            <w:vAlign w:val="center"/>
            <w:hideMark/>
          </w:tcPr>
          <w:p w14:paraId="7486D6C7"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7,2</w:t>
            </w:r>
          </w:p>
        </w:tc>
      </w:tr>
      <w:tr w:rsidR="004F692D" w:rsidRPr="004F692D" w14:paraId="4497FF45" w14:textId="77777777" w:rsidTr="004F692D">
        <w:trPr>
          <w:trHeight w:val="300"/>
        </w:trPr>
        <w:tc>
          <w:tcPr>
            <w:tcW w:w="1089" w:type="pct"/>
            <w:tcBorders>
              <w:top w:val="nil"/>
              <w:left w:val="single" w:sz="8" w:space="0" w:color="auto"/>
              <w:bottom w:val="single" w:sz="8" w:space="0" w:color="auto"/>
              <w:right w:val="single" w:sz="8" w:space="0" w:color="auto"/>
            </w:tcBorders>
            <w:shd w:val="clear" w:color="auto" w:fill="auto"/>
            <w:noWrap/>
            <w:vAlign w:val="center"/>
            <w:hideMark/>
          </w:tcPr>
          <w:p w14:paraId="09B03EB6"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Reentrados</w:t>
            </w:r>
          </w:p>
        </w:tc>
        <w:tc>
          <w:tcPr>
            <w:tcW w:w="1123" w:type="pct"/>
            <w:tcBorders>
              <w:top w:val="nil"/>
              <w:left w:val="nil"/>
              <w:bottom w:val="single" w:sz="8" w:space="0" w:color="auto"/>
              <w:right w:val="single" w:sz="8" w:space="0" w:color="auto"/>
            </w:tcBorders>
            <w:shd w:val="clear" w:color="auto" w:fill="auto"/>
            <w:noWrap/>
            <w:vAlign w:val="center"/>
            <w:hideMark/>
          </w:tcPr>
          <w:p w14:paraId="49627FE4"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120</w:t>
            </w:r>
          </w:p>
        </w:tc>
        <w:tc>
          <w:tcPr>
            <w:tcW w:w="879" w:type="pct"/>
            <w:tcBorders>
              <w:top w:val="nil"/>
              <w:left w:val="nil"/>
              <w:bottom w:val="single" w:sz="8" w:space="0" w:color="auto"/>
              <w:right w:val="single" w:sz="8" w:space="0" w:color="auto"/>
            </w:tcBorders>
            <w:shd w:val="clear" w:color="auto" w:fill="auto"/>
            <w:noWrap/>
            <w:vAlign w:val="center"/>
            <w:hideMark/>
          </w:tcPr>
          <w:p w14:paraId="62D13B5F"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5%</w:t>
            </w:r>
          </w:p>
        </w:tc>
        <w:tc>
          <w:tcPr>
            <w:tcW w:w="890" w:type="pct"/>
            <w:tcBorders>
              <w:top w:val="nil"/>
              <w:left w:val="nil"/>
              <w:bottom w:val="single" w:sz="8" w:space="0" w:color="auto"/>
              <w:right w:val="single" w:sz="8" w:space="0" w:color="auto"/>
            </w:tcBorders>
            <w:shd w:val="clear" w:color="auto" w:fill="auto"/>
            <w:noWrap/>
            <w:vAlign w:val="center"/>
            <w:hideMark/>
          </w:tcPr>
          <w:p w14:paraId="0FDF9AC9"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3,6</w:t>
            </w:r>
          </w:p>
        </w:tc>
        <w:tc>
          <w:tcPr>
            <w:tcW w:w="1018" w:type="pct"/>
            <w:tcBorders>
              <w:top w:val="nil"/>
              <w:left w:val="nil"/>
              <w:bottom w:val="single" w:sz="8" w:space="0" w:color="auto"/>
              <w:right w:val="single" w:sz="8" w:space="0" w:color="auto"/>
            </w:tcBorders>
            <w:shd w:val="clear" w:color="auto" w:fill="auto"/>
            <w:noWrap/>
            <w:vAlign w:val="center"/>
            <w:hideMark/>
          </w:tcPr>
          <w:p w14:paraId="1041BA62"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2,2</w:t>
            </w:r>
          </w:p>
        </w:tc>
      </w:tr>
      <w:tr w:rsidR="004F692D" w:rsidRPr="004F692D" w14:paraId="7C344C34" w14:textId="77777777" w:rsidTr="004F692D">
        <w:trPr>
          <w:trHeight w:val="300"/>
        </w:trPr>
        <w:tc>
          <w:tcPr>
            <w:tcW w:w="1089" w:type="pct"/>
            <w:tcBorders>
              <w:top w:val="nil"/>
              <w:left w:val="single" w:sz="8" w:space="0" w:color="auto"/>
              <w:bottom w:val="single" w:sz="8" w:space="0" w:color="auto"/>
              <w:right w:val="single" w:sz="8" w:space="0" w:color="auto"/>
            </w:tcBorders>
            <w:shd w:val="clear" w:color="auto" w:fill="auto"/>
            <w:noWrap/>
            <w:vAlign w:val="center"/>
            <w:hideMark/>
          </w:tcPr>
          <w:p w14:paraId="1628C05A"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Incidentes</w:t>
            </w:r>
          </w:p>
        </w:tc>
        <w:tc>
          <w:tcPr>
            <w:tcW w:w="1123" w:type="pct"/>
            <w:tcBorders>
              <w:top w:val="nil"/>
              <w:left w:val="nil"/>
              <w:bottom w:val="single" w:sz="8" w:space="0" w:color="auto"/>
              <w:right w:val="single" w:sz="8" w:space="0" w:color="auto"/>
            </w:tcBorders>
            <w:shd w:val="clear" w:color="auto" w:fill="auto"/>
            <w:noWrap/>
            <w:vAlign w:val="center"/>
            <w:hideMark/>
          </w:tcPr>
          <w:p w14:paraId="3467FEB5"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46</w:t>
            </w:r>
          </w:p>
        </w:tc>
        <w:tc>
          <w:tcPr>
            <w:tcW w:w="879" w:type="pct"/>
            <w:tcBorders>
              <w:top w:val="nil"/>
              <w:left w:val="nil"/>
              <w:bottom w:val="single" w:sz="8" w:space="0" w:color="auto"/>
              <w:right w:val="single" w:sz="8" w:space="0" w:color="auto"/>
            </w:tcBorders>
            <w:shd w:val="clear" w:color="auto" w:fill="auto"/>
            <w:noWrap/>
            <w:vAlign w:val="center"/>
            <w:hideMark/>
          </w:tcPr>
          <w:p w14:paraId="14A34092"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2%</w:t>
            </w:r>
          </w:p>
        </w:tc>
        <w:tc>
          <w:tcPr>
            <w:tcW w:w="890" w:type="pct"/>
            <w:tcBorders>
              <w:top w:val="nil"/>
              <w:left w:val="nil"/>
              <w:bottom w:val="single" w:sz="8" w:space="0" w:color="auto"/>
              <w:right w:val="single" w:sz="8" w:space="0" w:color="auto"/>
            </w:tcBorders>
            <w:shd w:val="clear" w:color="auto" w:fill="auto"/>
            <w:noWrap/>
            <w:vAlign w:val="center"/>
            <w:hideMark/>
          </w:tcPr>
          <w:p w14:paraId="55F0DA35"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1,4</w:t>
            </w:r>
          </w:p>
        </w:tc>
        <w:tc>
          <w:tcPr>
            <w:tcW w:w="1018" w:type="pct"/>
            <w:tcBorders>
              <w:top w:val="nil"/>
              <w:left w:val="nil"/>
              <w:bottom w:val="single" w:sz="8" w:space="0" w:color="auto"/>
              <w:right w:val="single" w:sz="8" w:space="0" w:color="auto"/>
            </w:tcBorders>
            <w:shd w:val="clear" w:color="auto" w:fill="auto"/>
            <w:noWrap/>
            <w:vAlign w:val="center"/>
            <w:hideMark/>
          </w:tcPr>
          <w:p w14:paraId="13F013CD" w14:textId="77777777" w:rsidR="004F692D" w:rsidRPr="004F692D" w:rsidRDefault="004F692D" w:rsidP="004F692D">
            <w:pPr>
              <w:spacing w:after="0" w:line="240" w:lineRule="auto"/>
              <w:jc w:val="center"/>
              <w:rPr>
                <w:rFonts w:ascii="Book Antiqua" w:eastAsia="Times New Roman" w:hAnsi="Book Antiqua" w:cs="Calibri"/>
                <w:color w:val="000000"/>
                <w:lang w:eastAsia="es-CR"/>
              </w:rPr>
            </w:pPr>
            <w:r w:rsidRPr="004F692D">
              <w:rPr>
                <w:rFonts w:ascii="Book Antiqua" w:eastAsia="Times New Roman" w:hAnsi="Book Antiqua" w:cs="Calibri"/>
                <w:color w:val="000000"/>
                <w:lang w:eastAsia="es-CR"/>
              </w:rPr>
              <w:t>0,9</w:t>
            </w:r>
          </w:p>
        </w:tc>
      </w:tr>
      <w:tr w:rsidR="004F692D" w:rsidRPr="004F692D" w14:paraId="4A945447" w14:textId="77777777" w:rsidTr="004F692D">
        <w:trPr>
          <w:trHeight w:val="300"/>
        </w:trPr>
        <w:tc>
          <w:tcPr>
            <w:tcW w:w="1089" w:type="pct"/>
            <w:tcBorders>
              <w:top w:val="nil"/>
              <w:left w:val="single" w:sz="8" w:space="0" w:color="auto"/>
              <w:bottom w:val="single" w:sz="8" w:space="0" w:color="auto"/>
              <w:right w:val="single" w:sz="8" w:space="0" w:color="auto"/>
            </w:tcBorders>
            <w:shd w:val="clear" w:color="000000" w:fill="808080"/>
            <w:noWrap/>
            <w:vAlign w:val="center"/>
            <w:hideMark/>
          </w:tcPr>
          <w:p w14:paraId="7D5C5196"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Total</w:t>
            </w:r>
          </w:p>
        </w:tc>
        <w:tc>
          <w:tcPr>
            <w:tcW w:w="1123" w:type="pct"/>
            <w:tcBorders>
              <w:top w:val="nil"/>
              <w:left w:val="nil"/>
              <w:bottom w:val="single" w:sz="8" w:space="0" w:color="auto"/>
              <w:right w:val="single" w:sz="8" w:space="0" w:color="auto"/>
            </w:tcBorders>
            <w:shd w:val="clear" w:color="000000" w:fill="808080"/>
            <w:noWrap/>
            <w:vAlign w:val="center"/>
            <w:hideMark/>
          </w:tcPr>
          <w:p w14:paraId="59B2DA82"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2518</w:t>
            </w:r>
          </w:p>
        </w:tc>
        <w:tc>
          <w:tcPr>
            <w:tcW w:w="879" w:type="pct"/>
            <w:tcBorders>
              <w:top w:val="nil"/>
              <w:left w:val="nil"/>
              <w:bottom w:val="single" w:sz="8" w:space="0" w:color="auto"/>
              <w:right w:val="single" w:sz="8" w:space="0" w:color="auto"/>
            </w:tcBorders>
            <w:shd w:val="clear" w:color="000000" w:fill="808080"/>
            <w:noWrap/>
            <w:vAlign w:val="center"/>
            <w:hideMark/>
          </w:tcPr>
          <w:p w14:paraId="3D75802C"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100%</w:t>
            </w:r>
          </w:p>
        </w:tc>
        <w:tc>
          <w:tcPr>
            <w:tcW w:w="890" w:type="pct"/>
            <w:tcBorders>
              <w:top w:val="nil"/>
              <w:left w:val="nil"/>
              <w:bottom w:val="single" w:sz="8" w:space="0" w:color="auto"/>
              <w:right w:val="single" w:sz="8" w:space="0" w:color="auto"/>
            </w:tcBorders>
            <w:shd w:val="clear" w:color="000000" w:fill="808080"/>
            <w:noWrap/>
            <w:vAlign w:val="center"/>
            <w:hideMark/>
          </w:tcPr>
          <w:p w14:paraId="5FC2F4BE"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76</w:t>
            </w:r>
          </w:p>
        </w:tc>
        <w:tc>
          <w:tcPr>
            <w:tcW w:w="1018" w:type="pct"/>
            <w:tcBorders>
              <w:top w:val="nil"/>
              <w:left w:val="nil"/>
              <w:bottom w:val="single" w:sz="8" w:space="0" w:color="auto"/>
              <w:right w:val="single" w:sz="8" w:space="0" w:color="auto"/>
            </w:tcBorders>
            <w:shd w:val="clear" w:color="000000" w:fill="808080"/>
            <w:noWrap/>
            <w:vAlign w:val="center"/>
            <w:hideMark/>
          </w:tcPr>
          <w:p w14:paraId="55341848" w14:textId="77777777" w:rsidR="004F692D" w:rsidRPr="004F692D" w:rsidRDefault="004F692D" w:rsidP="004F692D">
            <w:pPr>
              <w:spacing w:after="0" w:line="240" w:lineRule="auto"/>
              <w:jc w:val="center"/>
              <w:rPr>
                <w:rFonts w:ascii="Book Antiqua" w:eastAsia="Times New Roman" w:hAnsi="Book Antiqua" w:cs="Calibri"/>
                <w:b/>
                <w:bCs/>
                <w:color w:val="FFFFFF"/>
                <w:lang w:eastAsia="es-CR"/>
              </w:rPr>
            </w:pPr>
            <w:r w:rsidRPr="004F692D">
              <w:rPr>
                <w:rFonts w:ascii="Book Antiqua" w:eastAsia="Times New Roman" w:hAnsi="Book Antiqua" w:cs="Calibri"/>
                <w:b/>
                <w:bCs/>
                <w:color w:val="FFFFFF"/>
                <w:lang w:eastAsia="es-CR"/>
              </w:rPr>
              <w:t>47</w:t>
            </w:r>
          </w:p>
        </w:tc>
      </w:tr>
    </w:tbl>
    <w:p w14:paraId="74DEFFEC" w14:textId="5C97CC45" w:rsidR="00096C73" w:rsidRPr="004F692D" w:rsidRDefault="004F692D" w:rsidP="004F692D">
      <w:pPr>
        <w:spacing w:after="0" w:line="276" w:lineRule="auto"/>
        <w:jc w:val="both"/>
        <w:rPr>
          <w:rFonts w:ascii="Book Antiqua" w:eastAsia="Calibri" w:hAnsi="Book Antiqua" w:cs="Arial"/>
          <w:i/>
          <w:iCs/>
          <w:sz w:val="20"/>
          <w:szCs w:val="20"/>
        </w:rPr>
      </w:pPr>
      <w:r w:rsidRPr="004F692D">
        <w:rPr>
          <w:rFonts w:ascii="Book Antiqua" w:eastAsia="Calibri" w:hAnsi="Book Antiqua" w:cs="Arial"/>
          <w:i/>
          <w:iCs/>
          <w:sz w:val="20"/>
          <w:szCs w:val="20"/>
        </w:rPr>
        <w:t>Fuente: Modernización Jurisdiccional con base en datos de Cuadros Estadísticos del Subproceso de Estadística de la Dirección de Planificación</w:t>
      </w:r>
    </w:p>
    <w:p w14:paraId="70E49EB9" w14:textId="29284F35" w:rsidR="001020DC" w:rsidRDefault="005F6D5E" w:rsidP="00B634F4">
      <w:pPr>
        <w:spacing w:after="0" w:line="276" w:lineRule="auto"/>
        <w:jc w:val="both"/>
        <w:rPr>
          <w:rFonts w:ascii="Book Antiqua" w:eastAsia="Calibri" w:hAnsi="Book Antiqua" w:cs="Arial"/>
          <w:sz w:val="24"/>
          <w:szCs w:val="24"/>
        </w:rPr>
      </w:pPr>
      <w:r w:rsidRPr="005F6D5E">
        <w:rPr>
          <w:rFonts w:ascii="Book Antiqua" w:eastAsia="Calibri" w:hAnsi="Book Antiqua" w:cs="Arial"/>
          <w:sz w:val="24"/>
          <w:szCs w:val="24"/>
        </w:rPr>
        <w:t>Se analiza la cantidad de casos entrados en relación con los terminados por persona juzgadora para los despachos especializados en materia Familia, para evaluar estos resultados en relación con la carga de trabajo calculada.</w:t>
      </w:r>
    </w:p>
    <w:p w14:paraId="0A736B4A" w14:textId="08E7B0DB" w:rsidR="005F6D5E" w:rsidRDefault="005F6D5E" w:rsidP="00B634F4">
      <w:pPr>
        <w:spacing w:after="0" w:line="276" w:lineRule="auto"/>
        <w:jc w:val="both"/>
        <w:rPr>
          <w:rFonts w:ascii="Book Antiqua" w:eastAsia="Calibri" w:hAnsi="Book Antiqua" w:cs="Arial"/>
          <w:sz w:val="24"/>
          <w:szCs w:val="24"/>
        </w:rPr>
      </w:pPr>
    </w:p>
    <w:p w14:paraId="7CAD71D1" w14:textId="702D8B44" w:rsidR="005F6D5E" w:rsidRPr="005F6D5E" w:rsidRDefault="005F6D5E" w:rsidP="005F6D5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F6D5E">
        <w:rPr>
          <w:rFonts w:ascii="Book Antiqua" w:eastAsia="Calibri" w:hAnsi="Book Antiqua" w:cs="Arial"/>
          <w:b/>
          <w:bCs/>
          <w:color w:val="1F497D"/>
          <w:szCs w:val="24"/>
          <w:lang w:val="es-ES" w:eastAsia="es-ES"/>
        </w:rPr>
        <w:t xml:space="preserve">Cuadro </w:t>
      </w:r>
      <w:r w:rsidRPr="005F6D5E">
        <w:rPr>
          <w:rFonts w:ascii="Book Antiqua" w:eastAsia="Calibri" w:hAnsi="Book Antiqua" w:cs="Arial"/>
          <w:b/>
          <w:bCs/>
          <w:color w:val="1F497D"/>
          <w:szCs w:val="24"/>
          <w:lang w:val="es-ES" w:eastAsia="es-ES"/>
        </w:rPr>
        <w:fldChar w:fldCharType="begin"/>
      </w:r>
      <w:r w:rsidRPr="005F6D5E">
        <w:rPr>
          <w:rFonts w:ascii="Book Antiqua" w:eastAsia="Calibri" w:hAnsi="Book Antiqua" w:cs="Arial"/>
          <w:b/>
          <w:bCs/>
          <w:color w:val="1F497D"/>
          <w:szCs w:val="24"/>
          <w:lang w:val="es-ES" w:eastAsia="es-ES"/>
        </w:rPr>
        <w:instrText xml:space="preserve"> SEQ Cuadro \* ARABIC </w:instrText>
      </w:r>
      <w:r w:rsidRPr="005F6D5E">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23</w:t>
      </w:r>
      <w:r w:rsidRPr="005F6D5E">
        <w:rPr>
          <w:rFonts w:ascii="Book Antiqua" w:eastAsia="Calibri" w:hAnsi="Book Antiqua" w:cs="Arial"/>
          <w:b/>
          <w:bCs/>
          <w:color w:val="1F497D"/>
          <w:szCs w:val="24"/>
          <w:lang w:val="es-ES" w:eastAsia="es-ES"/>
        </w:rPr>
        <w:fldChar w:fldCharType="end"/>
      </w:r>
      <w:r w:rsidRPr="005F6D5E">
        <w:rPr>
          <w:rFonts w:ascii="Book Antiqua" w:eastAsia="Calibri" w:hAnsi="Book Antiqua" w:cs="Arial"/>
          <w:b/>
          <w:bCs/>
          <w:color w:val="1F497D"/>
          <w:szCs w:val="24"/>
          <w:lang w:val="es-ES" w:eastAsia="es-ES"/>
        </w:rPr>
        <w:t xml:space="preserve"> </w:t>
      </w:r>
    </w:p>
    <w:p w14:paraId="24F461AD" w14:textId="77777777" w:rsidR="005F6D5E" w:rsidRPr="005F6D5E" w:rsidRDefault="005F6D5E" w:rsidP="005F6D5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F6D5E">
        <w:rPr>
          <w:rFonts w:ascii="Book Antiqua" w:eastAsia="Calibri" w:hAnsi="Book Antiqua" w:cs="Arial"/>
          <w:b/>
          <w:bCs/>
          <w:color w:val="1F497D"/>
          <w:szCs w:val="24"/>
          <w:lang w:val="es-ES" w:eastAsia="es-ES"/>
        </w:rPr>
        <w:t xml:space="preserve">Promedio de casos entrados y terminados juzgados especializados en </w:t>
      </w:r>
    </w:p>
    <w:p w14:paraId="4E540256" w14:textId="77777777" w:rsidR="005F6D5E" w:rsidRPr="005F6D5E" w:rsidRDefault="005F6D5E" w:rsidP="005F6D5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F6D5E">
        <w:rPr>
          <w:rFonts w:ascii="Book Antiqua" w:eastAsia="Calibri" w:hAnsi="Book Antiqua" w:cs="Arial"/>
          <w:b/>
          <w:bCs/>
          <w:color w:val="1F497D"/>
          <w:szCs w:val="24"/>
          <w:lang w:val="es-ES" w:eastAsia="es-ES"/>
        </w:rPr>
        <w:t>materia Familia por persona juzgadora y por persona técnica judicial</w:t>
      </w:r>
    </w:p>
    <w:tbl>
      <w:tblPr>
        <w:tblW w:w="5000" w:type="pct"/>
        <w:tblCellMar>
          <w:left w:w="70" w:type="dxa"/>
          <w:right w:w="70" w:type="dxa"/>
        </w:tblCellMar>
        <w:tblLook w:val="04A0" w:firstRow="1" w:lastRow="0" w:firstColumn="1" w:lastColumn="0" w:noHBand="0" w:noVBand="1"/>
      </w:tblPr>
      <w:tblGrid>
        <w:gridCol w:w="1265"/>
        <w:gridCol w:w="1066"/>
        <w:gridCol w:w="1125"/>
        <w:gridCol w:w="974"/>
        <w:gridCol w:w="1069"/>
        <w:gridCol w:w="1125"/>
        <w:gridCol w:w="1069"/>
        <w:gridCol w:w="1125"/>
      </w:tblGrid>
      <w:tr w:rsidR="005158AA" w:rsidRPr="005158AA" w14:paraId="524D6034" w14:textId="77777777" w:rsidTr="005158AA">
        <w:trPr>
          <w:trHeight w:val="580"/>
        </w:trPr>
        <w:tc>
          <w:tcPr>
            <w:tcW w:w="68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795EA82"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Despacho</w:t>
            </w:r>
          </w:p>
        </w:tc>
        <w:tc>
          <w:tcPr>
            <w:tcW w:w="609"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D52544B"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Entrada</w:t>
            </w:r>
          </w:p>
        </w:tc>
        <w:tc>
          <w:tcPr>
            <w:tcW w:w="64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A789DA2"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terminado</w:t>
            </w:r>
          </w:p>
        </w:tc>
        <w:tc>
          <w:tcPr>
            <w:tcW w:w="55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0442845"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Relación Salida Entrada</w:t>
            </w:r>
          </w:p>
        </w:tc>
        <w:tc>
          <w:tcPr>
            <w:tcW w:w="1252" w:type="pct"/>
            <w:gridSpan w:val="2"/>
            <w:tcBorders>
              <w:top w:val="single" w:sz="8" w:space="0" w:color="auto"/>
              <w:left w:val="nil"/>
              <w:bottom w:val="single" w:sz="8" w:space="0" w:color="auto"/>
              <w:right w:val="single" w:sz="8" w:space="0" w:color="000000"/>
            </w:tcBorders>
            <w:shd w:val="clear" w:color="000000" w:fill="002060"/>
            <w:noWrap/>
            <w:vAlign w:val="center"/>
            <w:hideMark/>
          </w:tcPr>
          <w:p w14:paraId="21C99F6F"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Personas juzgadoras</w:t>
            </w:r>
          </w:p>
        </w:tc>
        <w:tc>
          <w:tcPr>
            <w:tcW w:w="1252" w:type="pct"/>
            <w:gridSpan w:val="2"/>
            <w:tcBorders>
              <w:top w:val="single" w:sz="8" w:space="0" w:color="auto"/>
              <w:left w:val="nil"/>
              <w:bottom w:val="single" w:sz="8" w:space="0" w:color="auto"/>
              <w:right w:val="single" w:sz="8" w:space="0" w:color="000000"/>
            </w:tcBorders>
            <w:shd w:val="clear" w:color="000000" w:fill="002060"/>
            <w:vAlign w:val="center"/>
            <w:hideMark/>
          </w:tcPr>
          <w:p w14:paraId="4EF619EC"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Personas Técnicas Judiciales de trámite</w:t>
            </w:r>
          </w:p>
        </w:tc>
      </w:tr>
      <w:tr w:rsidR="005158AA" w:rsidRPr="005158AA" w14:paraId="64ED052A" w14:textId="77777777" w:rsidTr="005158AA">
        <w:trPr>
          <w:trHeight w:val="1170"/>
        </w:trPr>
        <w:tc>
          <w:tcPr>
            <w:tcW w:w="688" w:type="pct"/>
            <w:vMerge/>
            <w:tcBorders>
              <w:top w:val="single" w:sz="8" w:space="0" w:color="auto"/>
              <w:left w:val="single" w:sz="8" w:space="0" w:color="auto"/>
              <w:bottom w:val="single" w:sz="8" w:space="0" w:color="000000"/>
              <w:right w:val="single" w:sz="8" w:space="0" w:color="auto"/>
            </w:tcBorders>
            <w:vAlign w:val="center"/>
            <w:hideMark/>
          </w:tcPr>
          <w:p w14:paraId="7D709330" w14:textId="77777777" w:rsidR="005158AA" w:rsidRPr="001D0C10" w:rsidRDefault="005158AA" w:rsidP="005158AA">
            <w:pPr>
              <w:spacing w:after="0" w:line="240" w:lineRule="auto"/>
              <w:rPr>
                <w:rFonts w:ascii="Book Antiqua" w:eastAsia="Times New Roman" w:hAnsi="Book Antiqua" w:cs="Calibri"/>
                <w:b/>
                <w:bCs/>
                <w:color w:val="FFFFFF"/>
                <w:sz w:val="20"/>
                <w:szCs w:val="20"/>
                <w:lang w:eastAsia="es-CR"/>
              </w:rPr>
            </w:pPr>
          </w:p>
        </w:tc>
        <w:tc>
          <w:tcPr>
            <w:tcW w:w="609" w:type="pct"/>
            <w:vMerge/>
            <w:tcBorders>
              <w:top w:val="single" w:sz="8" w:space="0" w:color="auto"/>
              <w:left w:val="single" w:sz="8" w:space="0" w:color="auto"/>
              <w:bottom w:val="single" w:sz="8" w:space="0" w:color="000000"/>
              <w:right w:val="single" w:sz="8" w:space="0" w:color="auto"/>
            </w:tcBorders>
            <w:vAlign w:val="center"/>
            <w:hideMark/>
          </w:tcPr>
          <w:p w14:paraId="62CB92A5" w14:textId="77777777" w:rsidR="005158AA" w:rsidRPr="001D0C10" w:rsidRDefault="005158AA" w:rsidP="005158AA">
            <w:pPr>
              <w:spacing w:after="0" w:line="240" w:lineRule="auto"/>
              <w:rPr>
                <w:rFonts w:ascii="Book Antiqua" w:eastAsia="Times New Roman" w:hAnsi="Book Antiqua" w:cs="Calibri"/>
                <w:b/>
                <w:bCs/>
                <w:color w:val="FFFFFF"/>
                <w:sz w:val="20"/>
                <w:szCs w:val="20"/>
                <w:lang w:eastAsia="es-CR"/>
              </w:rPr>
            </w:pPr>
          </w:p>
        </w:tc>
        <w:tc>
          <w:tcPr>
            <w:tcW w:w="642" w:type="pct"/>
            <w:vMerge/>
            <w:tcBorders>
              <w:top w:val="single" w:sz="8" w:space="0" w:color="auto"/>
              <w:left w:val="single" w:sz="8" w:space="0" w:color="auto"/>
              <w:bottom w:val="single" w:sz="8" w:space="0" w:color="000000"/>
              <w:right w:val="single" w:sz="8" w:space="0" w:color="auto"/>
            </w:tcBorders>
            <w:vAlign w:val="center"/>
            <w:hideMark/>
          </w:tcPr>
          <w:p w14:paraId="36C5A7AC" w14:textId="77777777" w:rsidR="005158AA" w:rsidRPr="001D0C10" w:rsidRDefault="005158AA" w:rsidP="005158AA">
            <w:pPr>
              <w:spacing w:after="0" w:line="240" w:lineRule="auto"/>
              <w:rPr>
                <w:rFonts w:ascii="Book Antiqua" w:eastAsia="Times New Roman" w:hAnsi="Book Antiqua" w:cs="Calibri"/>
                <w:b/>
                <w:bCs/>
                <w:color w:val="FFFFFF"/>
                <w:sz w:val="20"/>
                <w:szCs w:val="20"/>
                <w:lang w:eastAsia="es-CR"/>
              </w:rPr>
            </w:pPr>
          </w:p>
        </w:tc>
        <w:tc>
          <w:tcPr>
            <w:tcW w:w="556" w:type="pct"/>
            <w:vMerge/>
            <w:tcBorders>
              <w:top w:val="single" w:sz="8" w:space="0" w:color="auto"/>
              <w:left w:val="single" w:sz="8" w:space="0" w:color="auto"/>
              <w:bottom w:val="single" w:sz="8" w:space="0" w:color="000000"/>
              <w:right w:val="single" w:sz="8" w:space="0" w:color="auto"/>
            </w:tcBorders>
            <w:vAlign w:val="center"/>
            <w:hideMark/>
          </w:tcPr>
          <w:p w14:paraId="57BE4242" w14:textId="77777777" w:rsidR="005158AA" w:rsidRPr="001D0C10" w:rsidRDefault="005158AA" w:rsidP="005158AA">
            <w:pPr>
              <w:spacing w:after="0" w:line="240" w:lineRule="auto"/>
              <w:rPr>
                <w:rFonts w:ascii="Book Antiqua" w:eastAsia="Times New Roman" w:hAnsi="Book Antiqua" w:cs="Calibri"/>
                <w:b/>
                <w:bCs/>
                <w:color w:val="FFFFFF"/>
                <w:sz w:val="20"/>
                <w:szCs w:val="20"/>
                <w:lang w:eastAsia="es-CR"/>
              </w:rPr>
            </w:pPr>
          </w:p>
        </w:tc>
        <w:tc>
          <w:tcPr>
            <w:tcW w:w="610" w:type="pct"/>
            <w:tcBorders>
              <w:top w:val="nil"/>
              <w:left w:val="nil"/>
              <w:bottom w:val="single" w:sz="8" w:space="0" w:color="auto"/>
              <w:right w:val="single" w:sz="8" w:space="0" w:color="auto"/>
            </w:tcBorders>
            <w:shd w:val="clear" w:color="000000" w:fill="002060"/>
            <w:vAlign w:val="center"/>
            <w:hideMark/>
          </w:tcPr>
          <w:p w14:paraId="3900B079"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Entrada</w:t>
            </w:r>
          </w:p>
        </w:tc>
        <w:tc>
          <w:tcPr>
            <w:tcW w:w="642" w:type="pct"/>
            <w:tcBorders>
              <w:top w:val="nil"/>
              <w:left w:val="nil"/>
              <w:bottom w:val="single" w:sz="8" w:space="0" w:color="auto"/>
              <w:right w:val="single" w:sz="8" w:space="0" w:color="auto"/>
            </w:tcBorders>
            <w:shd w:val="clear" w:color="000000" w:fill="002060"/>
            <w:vAlign w:val="center"/>
            <w:hideMark/>
          </w:tcPr>
          <w:p w14:paraId="6A7EEB45"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terminado</w:t>
            </w:r>
          </w:p>
        </w:tc>
        <w:tc>
          <w:tcPr>
            <w:tcW w:w="610" w:type="pct"/>
            <w:tcBorders>
              <w:top w:val="nil"/>
              <w:left w:val="nil"/>
              <w:bottom w:val="single" w:sz="8" w:space="0" w:color="auto"/>
              <w:right w:val="single" w:sz="8" w:space="0" w:color="auto"/>
            </w:tcBorders>
            <w:shd w:val="clear" w:color="000000" w:fill="002060"/>
            <w:vAlign w:val="center"/>
            <w:hideMark/>
          </w:tcPr>
          <w:p w14:paraId="2214A3B0"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Entrada</w:t>
            </w:r>
          </w:p>
        </w:tc>
        <w:tc>
          <w:tcPr>
            <w:tcW w:w="642" w:type="pct"/>
            <w:tcBorders>
              <w:top w:val="nil"/>
              <w:left w:val="nil"/>
              <w:bottom w:val="single" w:sz="8" w:space="0" w:color="auto"/>
              <w:right w:val="single" w:sz="8" w:space="0" w:color="auto"/>
            </w:tcBorders>
            <w:shd w:val="clear" w:color="000000" w:fill="002060"/>
            <w:vAlign w:val="center"/>
            <w:hideMark/>
          </w:tcPr>
          <w:p w14:paraId="0CD866D1" w14:textId="77777777" w:rsidR="005158AA" w:rsidRPr="001D0C10" w:rsidRDefault="005158AA" w:rsidP="005158AA">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Promedio mensual de terminado</w:t>
            </w:r>
          </w:p>
        </w:tc>
      </w:tr>
      <w:tr w:rsidR="005158AA" w:rsidRPr="005158AA" w14:paraId="6908D3AA" w14:textId="77777777" w:rsidTr="005158AA">
        <w:trPr>
          <w:trHeight w:val="30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73EC00A9"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Cartago</w:t>
            </w:r>
          </w:p>
        </w:tc>
        <w:tc>
          <w:tcPr>
            <w:tcW w:w="609" w:type="pct"/>
            <w:tcBorders>
              <w:top w:val="nil"/>
              <w:left w:val="nil"/>
              <w:bottom w:val="single" w:sz="8" w:space="0" w:color="auto"/>
              <w:right w:val="single" w:sz="8" w:space="0" w:color="auto"/>
            </w:tcBorders>
            <w:shd w:val="clear" w:color="auto" w:fill="auto"/>
            <w:noWrap/>
            <w:vAlign w:val="center"/>
            <w:hideMark/>
          </w:tcPr>
          <w:p w14:paraId="3FE23C85"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375</w:t>
            </w:r>
          </w:p>
        </w:tc>
        <w:tc>
          <w:tcPr>
            <w:tcW w:w="642" w:type="pct"/>
            <w:tcBorders>
              <w:top w:val="nil"/>
              <w:left w:val="nil"/>
              <w:bottom w:val="single" w:sz="8" w:space="0" w:color="auto"/>
              <w:right w:val="single" w:sz="8" w:space="0" w:color="auto"/>
            </w:tcBorders>
            <w:shd w:val="clear" w:color="auto" w:fill="auto"/>
            <w:noWrap/>
            <w:vAlign w:val="center"/>
            <w:hideMark/>
          </w:tcPr>
          <w:p w14:paraId="65388E2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375</w:t>
            </w:r>
          </w:p>
        </w:tc>
        <w:tc>
          <w:tcPr>
            <w:tcW w:w="556" w:type="pct"/>
            <w:tcBorders>
              <w:top w:val="nil"/>
              <w:left w:val="nil"/>
              <w:bottom w:val="single" w:sz="8" w:space="0" w:color="auto"/>
              <w:right w:val="single" w:sz="8" w:space="0" w:color="auto"/>
            </w:tcBorders>
            <w:shd w:val="clear" w:color="auto" w:fill="auto"/>
            <w:noWrap/>
            <w:vAlign w:val="center"/>
            <w:hideMark/>
          </w:tcPr>
          <w:p w14:paraId="45B29E8D"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100%</w:t>
            </w:r>
          </w:p>
        </w:tc>
        <w:tc>
          <w:tcPr>
            <w:tcW w:w="610" w:type="pct"/>
            <w:tcBorders>
              <w:top w:val="nil"/>
              <w:left w:val="nil"/>
              <w:bottom w:val="single" w:sz="8" w:space="0" w:color="auto"/>
              <w:right w:val="single" w:sz="8" w:space="0" w:color="auto"/>
            </w:tcBorders>
            <w:shd w:val="clear" w:color="000000" w:fill="DBE5F1"/>
            <w:noWrap/>
            <w:vAlign w:val="center"/>
            <w:hideMark/>
          </w:tcPr>
          <w:p w14:paraId="7079510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125</w:t>
            </w:r>
          </w:p>
        </w:tc>
        <w:tc>
          <w:tcPr>
            <w:tcW w:w="642" w:type="pct"/>
            <w:tcBorders>
              <w:top w:val="nil"/>
              <w:left w:val="nil"/>
              <w:bottom w:val="single" w:sz="8" w:space="0" w:color="auto"/>
              <w:right w:val="single" w:sz="8" w:space="0" w:color="auto"/>
            </w:tcBorders>
            <w:shd w:val="clear" w:color="000000" w:fill="DBE5F1"/>
            <w:noWrap/>
            <w:vAlign w:val="center"/>
            <w:hideMark/>
          </w:tcPr>
          <w:p w14:paraId="7926502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125</w:t>
            </w:r>
          </w:p>
        </w:tc>
        <w:tc>
          <w:tcPr>
            <w:tcW w:w="610" w:type="pct"/>
            <w:tcBorders>
              <w:top w:val="nil"/>
              <w:left w:val="nil"/>
              <w:bottom w:val="single" w:sz="8" w:space="0" w:color="auto"/>
              <w:right w:val="single" w:sz="8" w:space="0" w:color="auto"/>
            </w:tcBorders>
            <w:shd w:val="clear" w:color="000000" w:fill="DBE5F1"/>
            <w:noWrap/>
            <w:vAlign w:val="center"/>
            <w:hideMark/>
          </w:tcPr>
          <w:p w14:paraId="4DDE0DD5"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75</w:t>
            </w:r>
          </w:p>
        </w:tc>
        <w:tc>
          <w:tcPr>
            <w:tcW w:w="642" w:type="pct"/>
            <w:tcBorders>
              <w:top w:val="nil"/>
              <w:left w:val="nil"/>
              <w:bottom w:val="single" w:sz="8" w:space="0" w:color="auto"/>
              <w:right w:val="single" w:sz="8" w:space="0" w:color="auto"/>
            </w:tcBorders>
            <w:shd w:val="clear" w:color="000000" w:fill="DBE5F1"/>
            <w:noWrap/>
            <w:vAlign w:val="center"/>
            <w:hideMark/>
          </w:tcPr>
          <w:p w14:paraId="5AC5959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75</w:t>
            </w:r>
          </w:p>
        </w:tc>
      </w:tr>
      <w:tr w:rsidR="005158AA" w:rsidRPr="005158AA" w14:paraId="4E47B1B9" w14:textId="77777777" w:rsidTr="005158AA">
        <w:trPr>
          <w:trHeight w:val="30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12AD0CBC"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Heredia</w:t>
            </w:r>
          </w:p>
        </w:tc>
        <w:tc>
          <w:tcPr>
            <w:tcW w:w="609" w:type="pct"/>
            <w:tcBorders>
              <w:top w:val="nil"/>
              <w:left w:val="nil"/>
              <w:bottom w:val="single" w:sz="8" w:space="0" w:color="auto"/>
              <w:right w:val="single" w:sz="8" w:space="0" w:color="auto"/>
            </w:tcBorders>
            <w:shd w:val="clear" w:color="auto" w:fill="auto"/>
            <w:noWrap/>
            <w:vAlign w:val="center"/>
            <w:hideMark/>
          </w:tcPr>
          <w:p w14:paraId="13CE31F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325</w:t>
            </w:r>
          </w:p>
        </w:tc>
        <w:tc>
          <w:tcPr>
            <w:tcW w:w="642" w:type="pct"/>
            <w:tcBorders>
              <w:top w:val="nil"/>
              <w:left w:val="nil"/>
              <w:bottom w:val="single" w:sz="8" w:space="0" w:color="auto"/>
              <w:right w:val="single" w:sz="8" w:space="0" w:color="auto"/>
            </w:tcBorders>
            <w:shd w:val="clear" w:color="auto" w:fill="auto"/>
            <w:noWrap/>
            <w:vAlign w:val="center"/>
            <w:hideMark/>
          </w:tcPr>
          <w:p w14:paraId="685F5D8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331</w:t>
            </w:r>
          </w:p>
        </w:tc>
        <w:tc>
          <w:tcPr>
            <w:tcW w:w="556" w:type="pct"/>
            <w:tcBorders>
              <w:top w:val="nil"/>
              <w:left w:val="nil"/>
              <w:bottom w:val="single" w:sz="8" w:space="0" w:color="auto"/>
              <w:right w:val="single" w:sz="8" w:space="0" w:color="auto"/>
            </w:tcBorders>
            <w:shd w:val="clear" w:color="auto" w:fill="auto"/>
            <w:noWrap/>
            <w:vAlign w:val="center"/>
            <w:hideMark/>
          </w:tcPr>
          <w:p w14:paraId="2D9479A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102%</w:t>
            </w:r>
          </w:p>
        </w:tc>
        <w:tc>
          <w:tcPr>
            <w:tcW w:w="610" w:type="pct"/>
            <w:tcBorders>
              <w:top w:val="nil"/>
              <w:left w:val="nil"/>
              <w:bottom w:val="single" w:sz="8" w:space="0" w:color="auto"/>
              <w:right w:val="single" w:sz="8" w:space="0" w:color="auto"/>
            </w:tcBorders>
            <w:shd w:val="clear" w:color="000000" w:fill="DBE5F1"/>
            <w:noWrap/>
            <w:vAlign w:val="center"/>
            <w:hideMark/>
          </w:tcPr>
          <w:p w14:paraId="340C0BE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81</w:t>
            </w:r>
          </w:p>
        </w:tc>
        <w:tc>
          <w:tcPr>
            <w:tcW w:w="642" w:type="pct"/>
            <w:tcBorders>
              <w:top w:val="nil"/>
              <w:left w:val="nil"/>
              <w:bottom w:val="single" w:sz="8" w:space="0" w:color="auto"/>
              <w:right w:val="single" w:sz="8" w:space="0" w:color="auto"/>
            </w:tcBorders>
            <w:shd w:val="clear" w:color="000000" w:fill="DBE5F1"/>
            <w:noWrap/>
            <w:vAlign w:val="center"/>
            <w:hideMark/>
          </w:tcPr>
          <w:p w14:paraId="4D319002"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83</w:t>
            </w:r>
          </w:p>
        </w:tc>
        <w:tc>
          <w:tcPr>
            <w:tcW w:w="610" w:type="pct"/>
            <w:tcBorders>
              <w:top w:val="nil"/>
              <w:left w:val="nil"/>
              <w:bottom w:val="single" w:sz="8" w:space="0" w:color="auto"/>
              <w:right w:val="single" w:sz="8" w:space="0" w:color="auto"/>
            </w:tcBorders>
            <w:shd w:val="clear" w:color="000000" w:fill="DBE5F1"/>
            <w:noWrap/>
            <w:vAlign w:val="center"/>
            <w:hideMark/>
          </w:tcPr>
          <w:p w14:paraId="016E7692"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46</w:t>
            </w:r>
          </w:p>
        </w:tc>
        <w:tc>
          <w:tcPr>
            <w:tcW w:w="642" w:type="pct"/>
            <w:tcBorders>
              <w:top w:val="nil"/>
              <w:left w:val="nil"/>
              <w:bottom w:val="single" w:sz="8" w:space="0" w:color="auto"/>
              <w:right w:val="single" w:sz="8" w:space="0" w:color="auto"/>
            </w:tcBorders>
            <w:shd w:val="clear" w:color="000000" w:fill="DBE5F1"/>
            <w:noWrap/>
            <w:vAlign w:val="center"/>
            <w:hideMark/>
          </w:tcPr>
          <w:p w14:paraId="05C76A5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47</w:t>
            </w:r>
          </w:p>
        </w:tc>
      </w:tr>
      <w:tr w:rsidR="005158AA" w:rsidRPr="005158AA" w14:paraId="304A8AF4"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2F79DFEE" w14:textId="5668CB6D"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 xml:space="preserve">Juzgado Familia I Circ. Jud. </w:t>
            </w:r>
            <w:r w:rsidR="00E85731" w:rsidRPr="005158AA">
              <w:rPr>
                <w:rFonts w:ascii="Book Antiqua" w:eastAsia="Times New Roman" w:hAnsi="Book Antiqua" w:cs="Calibri"/>
                <w:b/>
                <w:bCs/>
                <w:color w:val="000000"/>
                <w:lang w:eastAsia="es-CR"/>
              </w:rPr>
              <w:t>D</w:t>
            </w:r>
            <w:r w:rsidRPr="005158AA">
              <w:rPr>
                <w:rFonts w:ascii="Book Antiqua" w:eastAsia="Times New Roman" w:hAnsi="Book Antiqua" w:cs="Calibri"/>
                <w:b/>
                <w:bCs/>
                <w:color w:val="000000"/>
                <w:lang w:eastAsia="es-CR"/>
              </w:rPr>
              <w:t>e Alajuela</w:t>
            </w:r>
          </w:p>
        </w:tc>
        <w:tc>
          <w:tcPr>
            <w:tcW w:w="609" w:type="pct"/>
            <w:tcBorders>
              <w:top w:val="nil"/>
              <w:left w:val="nil"/>
              <w:bottom w:val="single" w:sz="8" w:space="0" w:color="auto"/>
              <w:right w:val="single" w:sz="8" w:space="0" w:color="auto"/>
            </w:tcBorders>
            <w:shd w:val="clear" w:color="auto" w:fill="auto"/>
            <w:noWrap/>
            <w:vAlign w:val="center"/>
            <w:hideMark/>
          </w:tcPr>
          <w:p w14:paraId="71908041"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239</w:t>
            </w:r>
          </w:p>
        </w:tc>
        <w:tc>
          <w:tcPr>
            <w:tcW w:w="642" w:type="pct"/>
            <w:tcBorders>
              <w:top w:val="nil"/>
              <w:left w:val="nil"/>
              <w:bottom w:val="single" w:sz="8" w:space="0" w:color="auto"/>
              <w:right w:val="single" w:sz="8" w:space="0" w:color="auto"/>
            </w:tcBorders>
            <w:shd w:val="clear" w:color="auto" w:fill="auto"/>
            <w:noWrap/>
            <w:vAlign w:val="center"/>
            <w:hideMark/>
          </w:tcPr>
          <w:p w14:paraId="4F9532CD"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196</w:t>
            </w:r>
          </w:p>
        </w:tc>
        <w:tc>
          <w:tcPr>
            <w:tcW w:w="556" w:type="pct"/>
            <w:tcBorders>
              <w:top w:val="nil"/>
              <w:left w:val="nil"/>
              <w:bottom w:val="single" w:sz="8" w:space="0" w:color="auto"/>
              <w:right w:val="single" w:sz="8" w:space="0" w:color="auto"/>
            </w:tcBorders>
            <w:shd w:val="clear" w:color="auto" w:fill="auto"/>
            <w:noWrap/>
            <w:vAlign w:val="center"/>
            <w:hideMark/>
          </w:tcPr>
          <w:p w14:paraId="29CABF9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82%</w:t>
            </w:r>
          </w:p>
        </w:tc>
        <w:tc>
          <w:tcPr>
            <w:tcW w:w="610" w:type="pct"/>
            <w:tcBorders>
              <w:top w:val="nil"/>
              <w:left w:val="nil"/>
              <w:bottom w:val="single" w:sz="8" w:space="0" w:color="auto"/>
              <w:right w:val="single" w:sz="8" w:space="0" w:color="auto"/>
            </w:tcBorders>
            <w:shd w:val="clear" w:color="000000" w:fill="DBE5F1"/>
            <w:noWrap/>
            <w:vAlign w:val="center"/>
            <w:hideMark/>
          </w:tcPr>
          <w:p w14:paraId="6225950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80</w:t>
            </w:r>
          </w:p>
        </w:tc>
        <w:tc>
          <w:tcPr>
            <w:tcW w:w="642" w:type="pct"/>
            <w:tcBorders>
              <w:top w:val="nil"/>
              <w:left w:val="nil"/>
              <w:bottom w:val="single" w:sz="8" w:space="0" w:color="auto"/>
              <w:right w:val="single" w:sz="8" w:space="0" w:color="auto"/>
            </w:tcBorders>
            <w:shd w:val="clear" w:color="000000" w:fill="DBE5F1"/>
            <w:noWrap/>
            <w:vAlign w:val="center"/>
            <w:hideMark/>
          </w:tcPr>
          <w:p w14:paraId="56D3AAE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65</w:t>
            </w:r>
          </w:p>
        </w:tc>
        <w:tc>
          <w:tcPr>
            <w:tcW w:w="610" w:type="pct"/>
            <w:tcBorders>
              <w:top w:val="nil"/>
              <w:left w:val="nil"/>
              <w:bottom w:val="single" w:sz="8" w:space="0" w:color="auto"/>
              <w:right w:val="single" w:sz="8" w:space="0" w:color="auto"/>
            </w:tcBorders>
            <w:shd w:val="clear" w:color="000000" w:fill="DBE5F1"/>
            <w:noWrap/>
            <w:vAlign w:val="center"/>
            <w:hideMark/>
          </w:tcPr>
          <w:p w14:paraId="114F321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48</w:t>
            </w:r>
          </w:p>
        </w:tc>
        <w:tc>
          <w:tcPr>
            <w:tcW w:w="642" w:type="pct"/>
            <w:tcBorders>
              <w:top w:val="nil"/>
              <w:left w:val="nil"/>
              <w:bottom w:val="single" w:sz="8" w:space="0" w:color="auto"/>
              <w:right w:val="single" w:sz="8" w:space="0" w:color="auto"/>
            </w:tcBorders>
            <w:shd w:val="clear" w:color="000000" w:fill="DBE5F1"/>
            <w:noWrap/>
            <w:vAlign w:val="center"/>
            <w:hideMark/>
          </w:tcPr>
          <w:p w14:paraId="2641403F"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39</w:t>
            </w:r>
          </w:p>
        </w:tc>
      </w:tr>
      <w:tr w:rsidR="005158AA" w:rsidRPr="005158AA" w14:paraId="5BF3E6EC"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36C172DB"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lastRenderedPageBreak/>
              <w:t>Juzgado Familia I Circ. Jud. Zona Atlántica</w:t>
            </w:r>
          </w:p>
        </w:tc>
        <w:tc>
          <w:tcPr>
            <w:tcW w:w="609" w:type="pct"/>
            <w:tcBorders>
              <w:top w:val="nil"/>
              <w:left w:val="nil"/>
              <w:bottom w:val="single" w:sz="8" w:space="0" w:color="auto"/>
              <w:right w:val="single" w:sz="8" w:space="0" w:color="auto"/>
            </w:tcBorders>
            <w:shd w:val="clear" w:color="auto" w:fill="auto"/>
            <w:noWrap/>
            <w:vAlign w:val="center"/>
            <w:hideMark/>
          </w:tcPr>
          <w:p w14:paraId="3660089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129</w:t>
            </w:r>
          </w:p>
        </w:tc>
        <w:tc>
          <w:tcPr>
            <w:tcW w:w="642" w:type="pct"/>
            <w:tcBorders>
              <w:top w:val="nil"/>
              <w:left w:val="nil"/>
              <w:bottom w:val="single" w:sz="8" w:space="0" w:color="auto"/>
              <w:right w:val="single" w:sz="8" w:space="0" w:color="auto"/>
            </w:tcBorders>
            <w:shd w:val="clear" w:color="auto" w:fill="auto"/>
            <w:noWrap/>
            <w:vAlign w:val="center"/>
            <w:hideMark/>
          </w:tcPr>
          <w:p w14:paraId="1D3631D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96</w:t>
            </w:r>
          </w:p>
        </w:tc>
        <w:tc>
          <w:tcPr>
            <w:tcW w:w="556" w:type="pct"/>
            <w:tcBorders>
              <w:top w:val="nil"/>
              <w:left w:val="nil"/>
              <w:bottom w:val="single" w:sz="8" w:space="0" w:color="auto"/>
              <w:right w:val="single" w:sz="8" w:space="0" w:color="auto"/>
            </w:tcBorders>
            <w:shd w:val="clear" w:color="auto" w:fill="auto"/>
            <w:noWrap/>
            <w:vAlign w:val="center"/>
            <w:hideMark/>
          </w:tcPr>
          <w:p w14:paraId="4322ECA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74%</w:t>
            </w:r>
          </w:p>
        </w:tc>
        <w:tc>
          <w:tcPr>
            <w:tcW w:w="610" w:type="pct"/>
            <w:tcBorders>
              <w:top w:val="nil"/>
              <w:left w:val="nil"/>
              <w:bottom w:val="single" w:sz="8" w:space="0" w:color="auto"/>
              <w:right w:val="single" w:sz="8" w:space="0" w:color="auto"/>
            </w:tcBorders>
            <w:shd w:val="clear" w:color="000000" w:fill="DBE5F1"/>
            <w:noWrap/>
            <w:vAlign w:val="center"/>
            <w:hideMark/>
          </w:tcPr>
          <w:p w14:paraId="2DDDC3E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65</w:t>
            </w:r>
          </w:p>
        </w:tc>
        <w:tc>
          <w:tcPr>
            <w:tcW w:w="642" w:type="pct"/>
            <w:tcBorders>
              <w:top w:val="nil"/>
              <w:left w:val="nil"/>
              <w:bottom w:val="single" w:sz="8" w:space="0" w:color="auto"/>
              <w:right w:val="single" w:sz="8" w:space="0" w:color="auto"/>
            </w:tcBorders>
            <w:shd w:val="clear" w:color="000000" w:fill="DBE5F1"/>
            <w:noWrap/>
            <w:vAlign w:val="center"/>
            <w:hideMark/>
          </w:tcPr>
          <w:p w14:paraId="2FB1F4E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48</w:t>
            </w:r>
          </w:p>
        </w:tc>
        <w:tc>
          <w:tcPr>
            <w:tcW w:w="610" w:type="pct"/>
            <w:tcBorders>
              <w:top w:val="nil"/>
              <w:left w:val="nil"/>
              <w:bottom w:val="single" w:sz="8" w:space="0" w:color="auto"/>
              <w:right w:val="single" w:sz="8" w:space="0" w:color="auto"/>
            </w:tcBorders>
            <w:shd w:val="clear" w:color="000000" w:fill="DBE5F1"/>
            <w:noWrap/>
            <w:vAlign w:val="center"/>
            <w:hideMark/>
          </w:tcPr>
          <w:p w14:paraId="590BFB6F"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32</w:t>
            </w:r>
          </w:p>
        </w:tc>
        <w:tc>
          <w:tcPr>
            <w:tcW w:w="642" w:type="pct"/>
            <w:tcBorders>
              <w:top w:val="nil"/>
              <w:left w:val="nil"/>
              <w:bottom w:val="single" w:sz="8" w:space="0" w:color="auto"/>
              <w:right w:val="single" w:sz="8" w:space="0" w:color="auto"/>
            </w:tcBorders>
            <w:shd w:val="clear" w:color="000000" w:fill="DBE5F1"/>
            <w:noWrap/>
            <w:vAlign w:val="center"/>
            <w:hideMark/>
          </w:tcPr>
          <w:p w14:paraId="3BB9A4C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24</w:t>
            </w:r>
          </w:p>
        </w:tc>
      </w:tr>
      <w:tr w:rsidR="005158AA" w:rsidRPr="005158AA" w14:paraId="325B25C5"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36EECA25"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I Circ. Jud. Zona Sur</w:t>
            </w:r>
          </w:p>
        </w:tc>
        <w:tc>
          <w:tcPr>
            <w:tcW w:w="609" w:type="pct"/>
            <w:tcBorders>
              <w:top w:val="nil"/>
              <w:left w:val="nil"/>
              <w:bottom w:val="single" w:sz="8" w:space="0" w:color="auto"/>
              <w:right w:val="single" w:sz="8" w:space="0" w:color="auto"/>
            </w:tcBorders>
            <w:shd w:val="clear" w:color="auto" w:fill="auto"/>
            <w:noWrap/>
            <w:vAlign w:val="center"/>
            <w:hideMark/>
          </w:tcPr>
          <w:p w14:paraId="01CDC23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114</w:t>
            </w:r>
          </w:p>
        </w:tc>
        <w:tc>
          <w:tcPr>
            <w:tcW w:w="642" w:type="pct"/>
            <w:tcBorders>
              <w:top w:val="nil"/>
              <w:left w:val="nil"/>
              <w:bottom w:val="single" w:sz="8" w:space="0" w:color="auto"/>
              <w:right w:val="single" w:sz="8" w:space="0" w:color="auto"/>
            </w:tcBorders>
            <w:shd w:val="clear" w:color="auto" w:fill="auto"/>
            <w:noWrap/>
            <w:vAlign w:val="center"/>
            <w:hideMark/>
          </w:tcPr>
          <w:p w14:paraId="4D9F6F9F"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87</w:t>
            </w:r>
          </w:p>
        </w:tc>
        <w:tc>
          <w:tcPr>
            <w:tcW w:w="556" w:type="pct"/>
            <w:tcBorders>
              <w:top w:val="nil"/>
              <w:left w:val="nil"/>
              <w:bottom w:val="single" w:sz="8" w:space="0" w:color="auto"/>
              <w:right w:val="single" w:sz="8" w:space="0" w:color="auto"/>
            </w:tcBorders>
            <w:shd w:val="clear" w:color="auto" w:fill="auto"/>
            <w:noWrap/>
            <w:vAlign w:val="center"/>
            <w:hideMark/>
          </w:tcPr>
          <w:p w14:paraId="788A0BD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76%</w:t>
            </w:r>
          </w:p>
        </w:tc>
        <w:tc>
          <w:tcPr>
            <w:tcW w:w="610" w:type="pct"/>
            <w:tcBorders>
              <w:top w:val="nil"/>
              <w:left w:val="nil"/>
              <w:bottom w:val="single" w:sz="8" w:space="0" w:color="auto"/>
              <w:right w:val="single" w:sz="8" w:space="0" w:color="auto"/>
            </w:tcBorders>
            <w:shd w:val="clear" w:color="000000" w:fill="DBE5F1"/>
            <w:noWrap/>
            <w:vAlign w:val="center"/>
            <w:hideMark/>
          </w:tcPr>
          <w:p w14:paraId="62F5293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57</w:t>
            </w:r>
          </w:p>
        </w:tc>
        <w:tc>
          <w:tcPr>
            <w:tcW w:w="642" w:type="pct"/>
            <w:tcBorders>
              <w:top w:val="nil"/>
              <w:left w:val="nil"/>
              <w:bottom w:val="single" w:sz="8" w:space="0" w:color="auto"/>
              <w:right w:val="single" w:sz="8" w:space="0" w:color="auto"/>
            </w:tcBorders>
            <w:shd w:val="clear" w:color="000000" w:fill="DBE5F1"/>
            <w:noWrap/>
            <w:vAlign w:val="center"/>
            <w:hideMark/>
          </w:tcPr>
          <w:p w14:paraId="723B3BC2"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44</w:t>
            </w:r>
          </w:p>
        </w:tc>
        <w:tc>
          <w:tcPr>
            <w:tcW w:w="610" w:type="pct"/>
            <w:tcBorders>
              <w:top w:val="nil"/>
              <w:left w:val="nil"/>
              <w:bottom w:val="single" w:sz="8" w:space="0" w:color="auto"/>
              <w:right w:val="single" w:sz="8" w:space="0" w:color="auto"/>
            </w:tcBorders>
            <w:shd w:val="clear" w:color="000000" w:fill="DBE5F1"/>
            <w:noWrap/>
            <w:vAlign w:val="center"/>
            <w:hideMark/>
          </w:tcPr>
          <w:p w14:paraId="65706953"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57</w:t>
            </w:r>
          </w:p>
        </w:tc>
        <w:tc>
          <w:tcPr>
            <w:tcW w:w="642" w:type="pct"/>
            <w:tcBorders>
              <w:top w:val="nil"/>
              <w:left w:val="nil"/>
              <w:bottom w:val="single" w:sz="8" w:space="0" w:color="auto"/>
              <w:right w:val="single" w:sz="8" w:space="0" w:color="auto"/>
            </w:tcBorders>
            <w:shd w:val="clear" w:color="000000" w:fill="DBE5F1"/>
            <w:noWrap/>
            <w:vAlign w:val="center"/>
            <w:hideMark/>
          </w:tcPr>
          <w:p w14:paraId="24858C11"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44</w:t>
            </w:r>
          </w:p>
        </w:tc>
      </w:tr>
      <w:tr w:rsidR="005158AA" w:rsidRPr="005158AA" w14:paraId="625EB145"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6DC4B5E1" w14:textId="75D2251B"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 xml:space="preserve">Juzgado Familia II Circ. Jud. </w:t>
            </w:r>
            <w:r w:rsidR="00E85731" w:rsidRPr="005158AA">
              <w:rPr>
                <w:rFonts w:ascii="Book Antiqua" w:eastAsia="Times New Roman" w:hAnsi="Book Antiqua" w:cs="Calibri"/>
                <w:b/>
                <w:bCs/>
                <w:color w:val="000000"/>
                <w:lang w:eastAsia="es-CR"/>
              </w:rPr>
              <w:t>D</w:t>
            </w:r>
            <w:r w:rsidRPr="005158AA">
              <w:rPr>
                <w:rFonts w:ascii="Book Antiqua" w:eastAsia="Times New Roman" w:hAnsi="Book Antiqua" w:cs="Calibri"/>
                <w:b/>
                <w:bCs/>
                <w:color w:val="000000"/>
                <w:lang w:eastAsia="es-CR"/>
              </w:rPr>
              <w:t>e Alajuela</w:t>
            </w:r>
          </w:p>
        </w:tc>
        <w:tc>
          <w:tcPr>
            <w:tcW w:w="609" w:type="pct"/>
            <w:tcBorders>
              <w:top w:val="nil"/>
              <w:left w:val="nil"/>
              <w:bottom w:val="single" w:sz="8" w:space="0" w:color="auto"/>
              <w:right w:val="single" w:sz="8" w:space="0" w:color="auto"/>
            </w:tcBorders>
            <w:shd w:val="clear" w:color="auto" w:fill="auto"/>
            <w:noWrap/>
            <w:vAlign w:val="center"/>
            <w:hideMark/>
          </w:tcPr>
          <w:p w14:paraId="2E82653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147</w:t>
            </w:r>
          </w:p>
        </w:tc>
        <w:tc>
          <w:tcPr>
            <w:tcW w:w="642" w:type="pct"/>
            <w:tcBorders>
              <w:top w:val="nil"/>
              <w:left w:val="nil"/>
              <w:bottom w:val="single" w:sz="8" w:space="0" w:color="auto"/>
              <w:right w:val="single" w:sz="8" w:space="0" w:color="auto"/>
            </w:tcBorders>
            <w:shd w:val="clear" w:color="auto" w:fill="auto"/>
            <w:noWrap/>
            <w:vAlign w:val="center"/>
            <w:hideMark/>
          </w:tcPr>
          <w:p w14:paraId="5B72893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110</w:t>
            </w:r>
          </w:p>
        </w:tc>
        <w:tc>
          <w:tcPr>
            <w:tcW w:w="556" w:type="pct"/>
            <w:tcBorders>
              <w:top w:val="nil"/>
              <w:left w:val="nil"/>
              <w:bottom w:val="single" w:sz="8" w:space="0" w:color="auto"/>
              <w:right w:val="single" w:sz="8" w:space="0" w:color="auto"/>
            </w:tcBorders>
            <w:shd w:val="clear" w:color="auto" w:fill="auto"/>
            <w:noWrap/>
            <w:vAlign w:val="center"/>
            <w:hideMark/>
          </w:tcPr>
          <w:p w14:paraId="5407A5D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75%</w:t>
            </w:r>
          </w:p>
        </w:tc>
        <w:tc>
          <w:tcPr>
            <w:tcW w:w="610" w:type="pct"/>
            <w:tcBorders>
              <w:top w:val="nil"/>
              <w:left w:val="nil"/>
              <w:bottom w:val="single" w:sz="8" w:space="0" w:color="auto"/>
              <w:right w:val="single" w:sz="8" w:space="0" w:color="auto"/>
            </w:tcBorders>
            <w:shd w:val="clear" w:color="000000" w:fill="DBE5F1"/>
            <w:noWrap/>
            <w:vAlign w:val="center"/>
            <w:hideMark/>
          </w:tcPr>
          <w:p w14:paraId="44727AF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73</w:t>
            </w:r>
          </w:p>
        </w:tc>
        <w:tc>
          <w:tcPr>
            <w:tcW w:w="642" w:type="pct"/>
            <w:tcBorders>
              <w:top w:val="nil"/>
              <w:left w:val="nil"/>
              <w:bottom w:val="single" w:sz="8" w:space="0" w:color="auto"/>
              <w:right w:val="single" w:sz="8" w:space="0" w:color="auto"/>
            </w:tcBorders>
            <w:shd w:val="clear" w:color="000000" w:fill="DBE5F1"/>
            <w:noWrap/>
            <w:vAlign w:val="center"/>
            <w:hideMark/>
          </w:tcPr>
          <w:p w14:paraId="76E4C06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55</w:t>
            </w:r>
          </w:p>
        </w:tc>
        <w:tc>
          <w:tcPr>
            <w:tcW w:w="610" w:type="pct"/>
            <w:tcBorders>
              <w:top w:val="nil"/>
              <w:left w:val="nil"/>
              <w:bottom w:val="single" w:sz="8" w:space="0" w:color="auto"/>
              <w:right w:val="single" w:sz="8" w:space="0" w:color="auto"/>
            </w:tcBorders>
            <w:shd w:val="clear" w:color="000000" w:fill="DBE5F1"/>
            <w:noWrap/>
            <w:vAlign w:val="center"/>
            <w:hideMark/>
          </w:tcPr>
          <w:p w14:paraId="40B62BB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49</w:t>
            </w:r>
          </w:p>
        </w:tc>
        <w:tc>
          <w:tcPr>
            <w:tcW w:w="642" w:type="pct"/>
            <w:tcBorders>
              <w:top w:val="nil"/>
              <w:left w:val="nil"/>
              <w:bottom w:val="single" w:sz="8" w:space="0" w:color="auto"/>
              <w:right w:val="single" w:sz="8" w:space="0" w:color="auto"/>
            </w:tcBorders>
            <w:shd w:val="clear" w:color="000000" w:fill="DBE5F1"/>
            <w:noWrap/>
            <w:vAlign w:val="center"/>
            <w:hideMark/>
          </w:tcPr>
          <w:p w14:paraId="27B83F3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37</w:t>
            </w:r>
          </w:p>
        </w:tc>
      </w:tr>
      <w:tr w:rsidR="005158AA" w:rsidRPr="005158AA" w14:paraId="3D1E753A"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65C3810D"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II Circ. Jud. San José</w:t>
            </w:r>
          </w:p>
        </w:tc>
        <w:tc>
          <w:tcPr>
            <w:tcW w:w="609" w:type="pct"/>
            <w:tcBorders>
              <w:top w:val="nil"/>
              <w:left w:val="nil"/>
              <w:bottom w:val="single" w:sz="8" w:space="0" w:color="auto"/>
              <w:right w:val="single" w:sz="8" w:space="0" w:color="auto"/>
            </w:tcBorders>
            <w:shd w:val="clear" w:color="auto" w:fill="auto"/>
            <w:noWrap/>
            <w:vAlign w:val="center"/>
            <w:hideMark/>
          </w:tcPr>
          <w:p w14:paraId="183AB98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323</w:t>
            </w:r>
          </w:p>
        </w:tc>
        <w:tc>
          <w:tcPr>
            <w:tcW w:w="642" w:type="pct"/>
            <w:tcBorders>
              <w:top w:val="nil"/>
              <w:left w:val="nil"/>
              <w:bottom w:val="single" w:sz="8" w:space="0" w:color="auto"/>
              <w:right w:val="single" w:sz="8" w:space="0" w:color="auto"/>
            </w:tcBorders>
            <w:shd w:val="clear" w:color="auto" w:fill="auto"/>
            <w:noWrap/>
            <w:vAlign w:val="center"/>
            <w:hideMark/>
          </w:tcPr>
          <w:p w14:paraId="1FEC0F71"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262</w:t>
            </w:r>
          </w:p>
        </w:tc>
        <w:tc>
          <w:tcPr>
            <w:tcW w:w="556" w:type="pct"/>
            <w:tcBorders>
              <w:top w:val="nil"/>
              <w:left w:val="nil"/>
              <w:bottom w:val="single" w:sz="8" w:space="0" w:color="auto"/>
              <w:right w:val="single" w:sz="8" w:space="0" w:color="auto"/>
            </w:tcBorders>
            <w:shd w:val="clear" w:color="auto" w:fill="auto"/>
            <w:noWrap/>
            <w:vAlign w:val="center"/>
            <w:hideMark/>
          </w:tcPr>
          <w:p w14:paraId="3E1919A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81%</w:t>
            </w:r>
          </w:p>
        </w:tc>
        <w:tc>
          <w:tcPr>
            <w:tcW w:w="610" w:type="pct"/>
            <w:tcBorders>
              <w:top w:val="nil"/>
              <w:left w:val="nil"/>
              <w:bottom w:val="single" w:sz="8" w:space="0" w:color="auto"/>
              <w:right w:val="single" w:sz="8" w:space="0" w:color="auto"/>
            </w:tcBorders>
            <w:shd w:val="clear" w:color="000000" w:fill="DBE5F1"/>
            <w:noWrap/>
            <w:vAlign w:val="center"/>
            <w:hideMark/>
          </w:tcPr>
          <w:p w14:paraId="63F9C69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81</w:t>
            </w:r>
          </w:p>
        </w:tc>
        <w:tc>
          <w:tcPr>
            <w:tcW w:w="642" w:type="pct"/>
            <w:tcBorders>
              <w:top w:val="nil"/>
              <w:left w:val="nil"/>
              <w:bottom w:val="single" w:sz="8" w:space="0" w:color="auto"/>
              <w:right w:val="single" w:sz="8" w:space="0" w:color="auto"/>
            </w:tcBorders>
            <w:shd w:val="clear" w:color="000000" w:fill="DBE5F1"/>
            <w:noWrap/>
            <w:vAlign w:val="center"/>
            <w:hideMark/>
          </w:tcPr>
          <w:p w14:paraId="0044DED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65</w:t>
            </w:r>
          </w:p>
        </w:tc>
        <w:tc>
          <w:tcPr>
            <w:tcW w:w="610" w:type="pct"/>
            <w:tcBorders>
              <w:top w:val="nil"/>
              <w:left w:val="nil"/>
              <w:bottom w:val="single" w:sz="8" w:space="0" w:color="auto"/>
              <w:right w:val="single" w:sz="8" w:space="0" w:color="auto"/>
            </w:tcBorders>
            <w:shd w:val="clear" w:color="000000" w:fill="DBE5F1"/>
            <w:noWrap/>
            <w:vAlign w:val="center"/>
            <w:hideMark/>
          </w:tcPr>
          <w:p w14:paraId="6D265A63"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40</w:t>
            </w:r>
          </w:p>
        </w:tc>
        <w:tc>
          <w:tcPr>
            <w:tcW w:w="642" w:type="pct"/>
            <w:tcBorders>
              <w:top w:val="nil"/>
              <w:left w:val="nil"/>
              <w:bottom w:val="single" w:sz="8" w:space="0" w:color="auto"/>
              <w:right w:val="single" w:sz="8" w:space="0" w:color="auto"/>
            </w:tcBorders>
            <w:shd w:val="clear" w:color="000000" w:fill="DBE5F1"/>
            <w:noWrap/>
            <w:vAlign w:val="center"/>
            <w:hideMark/>
          </w:tcPr>
          <w:p w14:paraId="73667835"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33</w:t>
            </w:r>
          </w:p>
        </w:tc>
      </w:tr>
      <w:tr w:rsidR="005158AA" w:rsidRPr="005158AA" w14:paraId="7AF7283D"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5484022B"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II Circ. Jud. Zona Atlántica</w:t>
            </w:r>
          </w:p>
        </w:tc>
        <w:tc>
          <w:tcPr>
            <w:tcW w:w="609" w:type="pct"/>
            <w:tcBorders>
              <w:top w:val="nil"/>
              <w:left w:val="nil"/>
              <w:bottom w:val="single" w:sz="8" w:space="0" w:color="auto"/>
              <w:right w:val="single" w:sz="8" w:space="0" w:color="auto"/>
            </w:tcBorders>
            <w:shd w:val="clear" w:color="auto" w:fill="auto"/>
            <w:noWrap/>
            <w:vAlign w:val="center"/>
            <w:hideMark/>
          </w:tcPr>
          <w:p w14:paraId="67540C2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168</w:t>
            </w:r>
          </w:p>
        </w:tc>
        <w:tc>
          <w:tcPr>
            <w:tcW w:w="642" w:type="pct"/>
            <w:tcBorders>
              <w:top w:val="nil"/>
              <w:left w:val="nil"/>
              <w:bottom w:val="single" w:sz="8" w:space="0" w:color="auto"/>
              <w:right w:val="single" w:sz="8" w:space="0" w:color="auto"/>
            </w:tcBorders>
            <w:shd w:val="clear" w:color="auto" w:fill="auto"/>
            <w:noWrap/>
            <w:vAlign w:val="center"/>
            <w:hideMark/>
          </w:tcPr>
          <w:p w14:paraId="1E62260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123</w:t>
            </w:r>
          </w:p>
        </w:tc>
        <w:tc>
          <w:tcPr>
            <w:tcW w:w="556" w:type="pct"/>
            <w:tcBorders>
              <w:top w:val="nil"/>
              <w:left w:val="nil"/>
              <w:bottom w:val="single" w:sz="8" w:space="0" w:color="auto"/>
              <w:right w:val="single" w:sz="8" w:space="0" w:color="auto"/>
            </w:tcBorders>
            <w:shd w:val="clear" w:color="auto" w:fill="auto"/>
            <w:noWrap/>
            <w:vAlign w:val="center"/>
            <w:hideMark/>
          </w:tcPr>
          <w:p w14:paraId="3659C4C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73%</w:t>
            </w:r>
          </w:p>
        </w:tc>
        <w:tc>
          <w:tcPr>
            <w:tcW w:w="610" w:type="pct"/>
            <w:tcBorders>
              <w:top w:val="nil"/>
              <w:left w:val="nil"/>
              <w:bottom w:val="single" w:sz="8" w:space="0" w:color="auto"/>
              <w:right w:val="single" w:sz="8" w:space="0" w:color="auto"/>
            </w:tcBorders>
            <w:shd w:val="clear" w:color="000000" w:fill="DBE5F1"/>
            <w:noWrap/>
            <w:vAlign w:val="center"/>
            <w:hideMark/>
          </w:tcPr>
          <w:p w14:paraId="2CDF68F4"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84</w:t>
            </w:r>
          </w:p>
        </w:tc>
        <w:tc>
          <w:tcPr>
            <w:tcW w:w="642" w:type="pct"/>
            <w:tcBorders>
              <w:top w:val="nil"/>
              <w:left w:val="nil"/>
              <w:bottom w:val="single" w:sz="8" w:space="0" w:color="auto"/>
              <w:right w:val="single" w:sz="8" w:space="0" w:color="auto"/>
            </w:tcBorders>
            <w:shd w:val="clear" w:color="000000" w:fill="DBE5F1"/>
            <w:noWrap/>
            <w:vAlign w:val="center"/>
            <w:hideMark/>
          </w:tcPr>
          <w:p w14:paraId="11CA1DE1"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61</w:t>
            </w:r>
          </w:p>
        </w:tc>
        <w:tc>
          <w:tcPr>
            <w:tcW w:w="610" w:type="pct"/>
            <w:tcBorders>
              <w:top w:val="nil"/>
              <w:left w:val="nil"/>
              <w:bottom w:val="single" w:sz="8" w:space="0" w:color="auto"/>
              <w:right w:val="single" w:sz="8" w:space="0" w:color="auto"/>
            </w:tcBorders>
            <w:shd w:val="clear" w:color="000000" w:fill="DBE5F1"/>
            <w:noWrap/>
            <w:vAlign w:val="center"/>
            <w:hideMark/>
          </w:tcPr>
          <w:p w14:paraId="11E8EDE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56</w:t>
            </w:r>
          </w:p>
        </w:tc>
        <w:tc>
          <w:tcPr>
            <w:tcW w:w="642" w:type="pct"/>
            <w:tcBorders>
              <w:top w:val="nil"/>
              <w:left w:val="nil"/>
              <w:bottom w:val="single" w:sz="8" w:space="0" w:color="auto"/>
              <w:right w:val="single" w:sz="8" w:space="0" w:color="auto"/>
            </w:tcBorders>
            <w:shd w:val="clear" w:color="000000" w:fill="DBE5F1"/>
            <w:noWrap/>
            <w:vAlign w:val="center"/>
            <w:hideMark/>
          </w:tcPr>
          <w:p w14:paraId="2FFC3E84"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41</w:t>
            </w:r>
          </w:p>
        </w:tc>
      </w:tr>
      <w:tr w:rsidR="005158AA" w:rsidRPr="005158AA" w14:paraId="0BA1D5CF"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76CFA7A4"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III Circ. Jud. De San José</w:t>
            </w:r>
          </w:p>
        </w:tc>
        <w:tc>
          <w:tcPr>
            <w:tcW w:w="609" w:type="pct"/>
            <w:tcBorders>
              <w:top w:val="nil"/>
              <w:left w:val="nil"/>
              <w:bottom w:val="single" w:sz="8" w:space="0" w:color="auto"/>
              <w:right w:val="single" w:sz="8" w:space="0" w:color="auto"/>
            </w:tcBorders>
            <w:shd w:val="clear" w:color="auto" w:fill="auto"/>
            <w:noWrap/>
            <w:vAlign w:val="center"/>
            <w:hideMark/>
          </w:tcPr>
          <w:p w14:paraId="175F259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226</w:t>
            </w:r>
          </w:p>
        </w:tc>
        <w:tc>
          <w:tcPr>
            <w:tcW w:w="642" w:type="pct"/>
            <w:tcBorders>
              <w:top w:val="nil"/>
              <w:left w:val="nil"/>
              <w:bottom w:val="single" w:sz="8" w:space="0" w:color="auto"/>
              <w:right w:val="single" w:sz="8" w:space="0" w:color="auto"/>
            </w:tcBorders>
            <w:shd w:val="clear" w:color="auto" w:fill="auto"/>
            <w:noWrap/>
            <w:vAlign w:val="center"/>
            <w:hideMark/>
          </w:tcPr>
          <w:p w14:paraId="38327BDB"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186</w:t>
            </w:r>
          </w:p>
        </w:tc>
        <w:tc>
          <w:tcPr>
            <w:tcW w:w="556" w:type="pct"/>
            <w:tcBorders>
              <w:top w:val="nil"/>
              <w:left w:val="nil"/>
              <w:bottom w:val="single" w:sz="8" w:space="0" w:color="auto"/>
              <w:right w:val="single" w:sz="8" w:space="0" w:color="auto"/>
            </w:tcBorders>
            <w:shd w:val="clear" w:color="auto" w:fill="auto"/>
            <w:noWrap/>
            <w:vAlign w:val="center"/>
            <w:hideMark/>
          </w:tcPr>
          <w:p w14:paraId="03C66484"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82%</w:t>
            </w:r>
          </w:p>
        </w:tc>
        <w:tc>
          <w:tcPr>
            <w:tcW w:w="610" w:type="pct"/>
            <w:tcBorders>
              <w:top w:val="nil"/>
              <w:left w:val="nil"/>
              <w:bottom w:val="single" w:sz="8" w:space="0" w:color="auto"/>
              <w:right w:val="single" w:sz="8" w:space="0" w:color="auto"/>
            </w:tcBorders>
            <w:shd w:val="clear" w:color="000000" w:fill="DBE5F1"/>
            <w:noWrap/>
            <w:vAlign w:val="center"/>
            <w:hideMark/>
          </w:tcPr>
          <w:p w14:paraId="6D0ADB44"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75</w:t>
            </w:r>
          </w:p>
        </w:tc>
        <w:tc>
          <w:tcPr>
            <w:tcW w:w="642" w:type="pct"/>
            <w:tcBorders>
              <w:top w:val="nil"/>
              <w:left w:val="nil"/>
              <w:bottom w:val="single" w:sz="8" w:space="0" w:color="auto"/>
              <w:right w:val="single" w:sz="8" w:space="0" w:color="auto"/>
            </w:tcBorders>
            <w:shd w:val="clear" w:color="000000" w:fill="DBE5F1"/>
            <w:noWrap/>
            <w:vAlign w:val="center"/>
            <w:hideMark/>
          </w:tcPr>
          <w:p w14:paraId="548AAC33"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62</w:t>
            </w:r>
          </w:p>
        </w:tc>
        <w:tc>
          <w:tcPr>
            <w:tcW w:w="610" w:type="pct"/>
            <w:tcBorders>
              <w:top w:val="nil"/>
              <w:left w:val="nil"/>
              <w:bottom w:val="single" w:sz="8" w:space="0" w:color="auto"/>
              <w:right w:val="single" w:sz="8" w:space="0" w:color="auto"/>
            </w:tcBorders>
            <w:shd w:val="clear" w:color="000000" w:fill="DBE5F1"/>
            <w:noWrap/>
            <w:vAlign w:val="center"/>
            <w:hideMark/>
          </w:tcPr>
          <w:p w14:paraId="66FCFAF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57</w:t>
            </w:r>
          </w:p>
        </w:tc>
        <w:tc>
          <w:tcPr>
            <w:tcW w:w="642" w:type="pct"/>
            <w:tcBorders>
              <w:top w:val="nil"/>
              <w:left w:val="nil"/>
              <w:bottom w:val="single" w:sz="8" w:space="0" w:color="auto"/>
              <w:right w:val="single" w:sz="8" w:space="0" w:color="auto"/>
            </w:tcBorders>
            <w:shd w:val="clear" w:color="000000" w:fill="DBE5F1"/>
            <w:noWrap/>
            <w:vAlign w:val="center"/>
            <w:hideMark/>
          </w:tcPr>
          <w:p w14:paraId="1234B8C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46</w:t>
            </w:r>
          </w:p>
        </w:tc>
      </w:tr>
      <w:tr w:rsidR="005158AA" w:rsidRPr="005158AA" w14:paraId="4855972E" w14:textId="77777777" w:rsidTr="005158AA">
        <w:trPr>
          <w:trHeight w:val="30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5A94110F"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Familia Puntarenas</w:t>
            </w:r>
          </w:p>
        </w:tc>
        <w:tc>
          <w:tcPr>
            <w:tcW w:w="609" w:type="pct"/>
            <w:tcBorders>
              <w:top w:val="nil"/>
              <w:left w:val="nil"/>
              <w:bottom w:val="single" w:sz="8" w:space="0" w:color="auto"/>
              <w:right w:val="single" w:sz="8" w:space="0" w:color="auto"/>
            </w:tcBorders>
            <w:shd w:val="clear" w:color="auto" w:fill="auto"/>
            <w:noWrap/>
            <w:vAlign w:val="center"/>
            <w:hideMark/>
          </w:tcPr>
          <w:p w14:paraId="7D5F4263"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167</w:t>
            </w:r>
          </w:p>
        </w:tc>
        <w:tc>
          <w:tcPr>
            <w:tcW w:w="642" w:type="pct"/>
            <w:tcBorders>
              <w:top w:val="nil"/>
              <w:left w:val="nil"/>
              <w:bottom w:val="single" w:sz="8" w:space="0" w:color="auto"/>
              <w:right w:val="single" w:sz="8" w:space="0" w:color="auto"/>
            </w:tcBorders>
            <w:shd w:val="clear" w:color="auto" w:fill="auto"/>
            <w:noWrap/>
            <w:vAlign w:val="center"/>
            <w:hideMark/>
          </w:tcPr>
          <w:p w14:paraId="4A82DD4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158</w:t>
            </w:r>
          </w:p>
        </w:tc>
        <w:tc>
          <w:tcPr>
            <w:tcW w:w="556" w:type="pct"/>
            <w:tcBorders>
              <w:top w:val="nil"/>
              <w:left w:val="nil"/>
              <w:bottom w:val="single" w:sz="8" w:space="0" w:color="auto"/>
              <w:right w:val="single" w:sz="8" w:space="0" w:color="auto"/>
            </w:tcBorders>
            <w:shd w:val="clear" w:color="auto" w:fill="auto"/>
            <w:noWrap/>
            <w:vAlign w:val="center"/>
            <w:hideMark/>
          </w:tcPr>
          <w:p w14:paraId="196FDCD0"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95%</w:t>
            </w:r>
          </w:p>
        </w:tc>
        <w:tc>
          <w:tcPr>
            <w:tcW w:w="610" w:type="pct"/>
            <w:tcBorders>
              <w:top w:val="nil"/>
              <w:left w:val="nil"/>
              <w:bottom w:val="single" w:sz="8" w:space="0" w:color="auto"/>
              <w:right w:val="single" w:sz="8" w:space="0" w:color="auto"/>
            </w:tcBorders>
            <w:shd w:val="clear" w:color="000000" w:fill="DBE5F1"/>
            <w:noWrap/>
            <w:vAlign w:val="center"/>
            <w:hideMark/>
          </w:tcPr>
          <w:p w14:paraId="7376E03D"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83</w:t>
            </w:r>
          </w:p>
        </w:tc>
        <w:tc>
          <w:tcPr>
            <w:tcW w:w="642" w:type="pct"/>
            <w:tcBorders>
              <w:top w:val="nil"/>
              <w:left w:val="nil"/>
              <w:bottom w:val="single" w:sz="8" w:space="0" w:color="auto"/>
              <w:right w:val="single" w:sz="8" w:space="0" w:color="auto"/>
            </w:tcBorders>
            <w:shd w:val="clear" w:color="000000" w:fill="DBE5F1"/>
            <w:noWrap/>
            <w:vAlign w:val="center"/>
            <w:hideMark/>
          </w:tcPr>
          <w:p w14:paraId="32858BB5"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79</w:t>
            </w:r>
          </w:p>
        </w:tc>
        <w:tc>
          <w:tcPr>
            <w:tcW w:w="610" w:type="pct"/>
            <w:tcBorders>
              <w:top w:val="nil"/>
              <w:left w:val="nil"/>
              <w:bottom w:val="single" w:sz="8" w:space="0" w:color="auto"/>
              <w:right w:val="single" w:sz="8" w:space="0" w:color="auto"/>
            </w:tcBorders>
            <w:shd w:val="clear" w:color="000000" w:fill="DBE5F1"/>
            <w:noWrap/>
            <w:vAlign w:val="center"/>
            <w:hideMark/>
          </w:tcPr>
          <w:p w14:paraId="484D68D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42</w:t>
            </w:r>
          </w:p>
        </w:tc>
        <w:tc>
          <w:tcPr>
            <w:tcW w:w="642" w:type="pct"/>
            <w:tcBorders>
              <w:top w:val="nil"/>
              <w:left w:val="nil"/>
              <w:bottom w:val="single" w:sz="8" w:space="0" w:color="auto"/>
              <w:right w:val="single" w:sz="8" w:space="0" w:color="auto"/>
            </w:tcBorders>
            <w:shd w:val="clear" w:color="000000" w:fill="DBE5F1"/>
            <w:noWrap/>
            <w:vAlign w:val="center"/>
            <w:hideMark/>
          </w:tcPr>
          <w:p w14:paraId="5CBC8C0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40</w:t>
            </w:r>
          </w:p>
        </w:tc>
      </w:tr>
      <w:tr w:rsidR="005158AA" w:rsidRPr="005158AA" w14:paraId="0D346B2E"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16958BFE"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Primero de Familia de San José</w:t>
            </w:r>
          </w:p>
        </w:tc>
        <w:tc>
          <w:tcPr>
            <w:tcW w:w="609" w:type="pct"/>
            <w:tcBorders>
              <w:top w:val="nil"/>
              <w:left w:val="nil"/>
              <w:bottom w:val="single" w:sz="8" w:space="0" w:color="auto"/>
              <w:right w:val="single" w:sz="8" w:space="0" w:color="auto"/>
            </w:tcBorders>
            <w:shd w:val="clear" w:color="auto" w:fill="auto"/>
            <w:noWrap/>
            <w:vAlign w:val="center"/>
            <w:hideMark/>
          </w:tcPr>
          <w:p w14:paraId="02283F4E"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156</w:t>
            </w:r>
          </w:p>
        </w:tc>
        <w:tc>
          <w:tcPr>
            <w:tcW w:w="642" w:type="pct"/>
            <w:tcBorders>
              <w:top w:val="nil"/>
              <w:left w:val="nil"/>
              <w:bottom w:val="single" w:sz="8" w:space="0" w:color="auto"/>
              <w:right w:val="single" w:sz="8" w:space="0" w:color="auto"/>
            </w:tcBorders>
            <w:shd w:val="clear" w:color="auto" w:fill="auto"/>
            <w:noWrap/>
            <w:vAlign w:val="center"/>
            <w:hideMark/>
          </w:tcPr>
          <w:p w14:paraId="5D11575F"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134</w:t>
            </w:r>
          </w:p>
        </w:tc>
        <w:tc>
          <w:tcPr>
            <w:tcW w:w="556" w:type="pct"/>
            <w:tcBorders>
              <w:top w:val="nil"/>
              <w:left w:val="nil"/>
              <w:bottom w:val="single" w:sz="8" w:space="0" w:color="auto"/>
              <w:right w:val="single" w:sz="8" w:space="0" w:color="auto"/>
            </w:tcBorders>
            <w:shd w:val="clear" w:color="auto" w:fill="auto"/>
            <w:noWrap/>
            <w:vAlign w:val="center"/>
            <w:hideMark/>
          </w:tcPr>
          <w:p w14:paraId="7D51AEA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86%</w:t>
            </w:r>
          </w:p>
        </w:tc>
        <w:tc>
          <w:tcPr>
            <w:tcW w:w="610" w:type="pct"/>
            <w:tcBorders>
              <w:top w:val="nil"/>
              <w:left w:val="nil"/>
              <w:bottom w:val="single" w:sz="8" w:space="0" w:color="auto"/>
              <w:right w:val="single" w:sz="8" w:space="0" w:color="auto"/>
            </w:tcBorders>
            <w:shd w:val="clear" w:color="000000" w:fill="DBE5F1"/>
            <w:noWrap/>
            <w:vAlign w:val="center"/>
            <w:hideMark/>
          </w:tcPr>
          <w:p w14:paraId="41A63707"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52</w:t>
            </w:r>
          </w:p>
        </w:tc>
        <w:tc>
          <w:tcPr>
            <w:tcW w:w="642" w:type="pct"/>
            <w:tcBorders>
              <w:top w:val="nil"/>
              <w:left w:val="nil"/>
              <w:bottom w:val="single" w:sz="8" w:space="0" w:color="auto"/>
              <w:right w:val="single" w:sz="8" w:space="0" w:color="auto"/>
            </w:tcBorders>
            <w:shd w:val="clear" w:color="000000" w:fill="DBE5F1"/>
            <w:noWrap/>
            <w:vAlign w:val="center"/>
            <w:hideMark/>
          </w:tcPr>
          <w:p w14:paraId="2099D2D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45</w:t>
            </w:r>
          </w:p>
        </w:tc>
        <w:tc>
          <w:tcPr>
            <w:tcW w:w="610" w:type="pct"/>
            <w:tcBorders>
              <w:top w:val="nil"/>
              <w:left w:val="nil"/>
              <w:bottom w:val="single" w:sz="8" w:space="0" w:color="auto"/>
              <w:right w:val="single" w:sz="8" w:space="0" w:color="auto"/>
            </w:tcBorders>
            <w:shd w:val="clear" w:color="000000" w:fill="DBE5F1"/>
            <w:noWrap/>
            <w:vAlign w:val="center"/>
            <w:hideMark/>
          </w:tcPr>
          <w:p w14:paraId="483A975D"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39</w:t>
            </w:r>
          </w:p>
        </w:tc>
        <w:tc>
          <w:tcPr>
            <w:tcW w:w="642" w:type="pct"/>
            <w:tcBorders>
              <w:top w:val="nil"/>
              <w:left w:val="nil"/>
              <w:bottom w:val="single" w:sz="8" w:space="0" w:color="auto"/>
              <w:right w:val="single" w:sz="8" w:space="0" w:color="auto"/>
            </w:tcBorders>
            <w:shd w:val="clear" w:color="000000" w:fill="DBE5F1"/>
            <w:noWrap/>
            <w:vAlign w:val="center"/>
            <w:hideMark/>
          </w:tcPr>
          <w:p w14:paraId="0ACD9E09"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34</w:t>
            </w:r>
          </w:p>
        </w:tc>
      </w:tr>
      <w:tr w:rsidR="005158AA" w:rsidRPr="005158AA" w14:paraId="23991813" w14:textId="77777777" w:rsidTr="005158AA">
        <w:trPr>
          <w:trHeight w:val="590"/>
        </w:trPr>
        <w:tc>
          <w:tcPr>
            <w:tcW w:w="688" w:type="pct"/>
            <w:tcBorders>
              <w:top w:val="nil"/>
              <w:left w:val="single" w:sz="8" w:space="0" w:color="auto"/>
              <w:bottom w:val="single" w:sz="8" w:space="0" w:color="auto"/>
              <w:right w:val="single" w:sz="8" w:space="0" w:color="auto"/>
            </w:tcBorders>
            <w:shd w:val="clear" w:color="auto" w:fill="auto"/>
            <w:vAlign w:val="center"/>
            <w:hideMark/>
          </w:tcPr>
          <w:p w14:paraId="2F00881F" w14:textId="77777777" w:rsidR="005158AA" w:rsidRPr="005158AA" w:rsidRDefault="005158AA" w:rsidP="005158AA">
            <w:pPr>
              <w:spacing w:after="0" w:line="240" w:lineRule="auto"/>
              <w:rPr>
                <w:rFonts w:ascii="Book Antiqua" w:eastAsia="Times New Roman" w:hAnsi="Book Antiqua" w:cs="Calibri"/>
                <w:b/>
                <w:bCs/>
                <w:color w:val="000000"/>
                <w:lang w:eastAsia="es-CR"/>
              </w:rPr>
            </w:pPr>
            <w:r w:rsidRPr="005158AA">
              <w:rPr>
                <w:rFonts w:ascii="Book Antiqua" w:eastAsia="Times New Roman" w:hAnsi="Book Antiqua" w:cs="Calibri"/>
                <w:b/>
                <w:bCs/>
                <w:color w:val="000000"/>
                <w:lang w:eastAsia="es-CR"/>
              </w:rPr>
              <w:t>Juzgado Segundo de Familia de San José</w:t>
            </w:r>
          </w:p>
        </w:tc>
        <w:tc>
          <w:tcPr>
            <w:tcW w:w="609" w:type="pct"/>
            <w:tcBorders>
              <w:top w:val="nil"/>
              <w:left w:val="nil"/>
              <w:bottom w:val="single" w:sz="8" w:space="0" w:color="auto"/>
              <w:right w:val="single" w:sz="8" w:space="0" w:color="auto"/>
            </w:tcBorders>
            <w:shd w:val="clear" w:color="auto" w:fill="auto"/>
            <w:noWrap/>
            <w:vAlign w:val="center"/>
            <w:hideMark/>
          </w:tcPr>
          <w:p w14:paraId="4272E0E2"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150</w:t>
            </w:r>
          </w:p>
        </w:tc>
        <w:tc>
          <w:tcPr>
            <w:tcW w:w="642" w:type="pct"/>
            <w:tcBorders>
              <w:top w:val="nil"/>
              <w:left w:val="nil"/>
              <w:bottom w:val="single" w:sz="8" w:space="0" w:color="auto"/>
              <w:right w:val="single" w:sz="8" w:space="0" w:color="auto"/>
            </w:tcBorders>
            <w:shd w:val="clear" w:color="auto" w:fill="auto"/>
            <w:noWrap/>
            <w:vAlign w:val="center"/>
            <w:hideMark/>
          </w:tcPr>
          <w:p w14:paraId="4C2A0CDA"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141</w:t>
            </w:r>
          </w:p>
        </w:tc>
        <w:tc>
          <w:tcPr>
            <w:tcW w:w="556" w:type="pct"/>
            <w:tcBorders>
              <w:top w:val="nil"/>
              <w:left w:val="nil"/>
              <w:bottom w:val="single" w:sz="8" w:space="0" w:color="auto"/>
              <w:right w:val="single" w:sz="8" w:space="0" w:color="auto"/>
            </w:tcBorders>
            <w:shd w:val="clear" w:color="auto" w:fill="auto"/>
            <w:noWrap/>
            <w:vAlign w:val="center"/>
            <w:hideMark/>
          </w:tcPr>
          <w:p w14:paraId="043BDD5E"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94%</w:t>
            </w:r>
          </w:p>
        </w:tc>
        <w:tc>
          <w:tcPr>
            <w:tcW w:w="610" w:type="pct"/>
            <w:tcBorders>
              <w:top w:val="nil"/>
              <w:left w:val="nil"/>
              <w:bottom w:val="single" w:sz="8" w:space="0" w:color="auto"/>
              <w:right w:val="single" w:sz="8" w:space="0" w:color="auto"/>
            </w:tcBorders>
            <w:shd w:val="clear" w:color="000000" w:fill="DBE5F1"/>
            <w:noWrap/>
            <w:vAlign w:val="center"/>
            <w:hideMark/>
          </w:tcPr>
          <w:p w14:paraId="07A80E48"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50</w:t>
            </w:r>
          </w:p>
        </w:tc>
        <w:tc>
          <w:tcPr>
            <w:tcW w:w="642" w:type="pct"/>
            <w:tcBorders>
              <w:top w:val="nil"/>
              <w:left w:val="nil"/>
              <w:bottom w:val="single" w:sz="8" w:space="0" w:color="auto"/>
              <w:right w:val="single" w:sz="8" w:space="0" w:color="auto"/>
            </w:tcBorders>
            <w:shd w:val="clear" w:color="000000" w:fill="DBE5F1"/>
            <w:noWrap/>
            <w:vAlign w:val="center"/>
            <w:hideMark/>
          </w:tcPr>
          <w:p w14:paraId="55389D4C"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47</w:t>
            </w:r>
          </w:p>
        </w:tc>
        <w:tc>
          <w:tcPr>
            <w:tcW w:w="610" w:type="pct"/>
            <w:tcBorders>
              <w:top w:val="nil"/>
              <w:left w:val="nil"/>
              <w:bottom w:val="single" w:sz="8" w:space="0" w:color="auto"/>
              <w:right w:val="single" w:sz="8" w:space="0" w:color="auto"/>
            </w:tcBorders>
            <w:shd w:val="clear" w:color="000000" w:fill="DBE5F1"/>
            <w:noWrap/>
            <w:vAlign w:val="center"/>
            <w:hideMark/>
          </w:tcPr>
          <w:p w14:paraId="77F74ED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30</w:t>
            </w:r>
          </w:p>
        </w:tc>
        <w:tc>
          <w:tcPr>
            <w:tcW w:w="642" w:type="pct"/>
            <w:tcBorders>
              <w:top w:val="nil"/>
              <w:left w:val="nil"/>
              <w:bottom w:val="single" w:sz="8" w:space="0" w:color="auto"/>
              <w:right w:val="single" w:sz="8" w:space="0" w:color="auto"/>
            </w:tcBorders>
            <w:shd w:val="clear" w:color="000000" w:fill="DBE5F1"/>
            <w:noWrap/>
            <w:vAlign w:val="center"/>
            <w:hideMark/>
          </w:tcPr>
          <w:p w14:paraId="65986CF6" w14:textId="77777777" w:rsidR="005158AA" w:rsidRPr="005158AA" w:rsidRDefault="005158AA" w:rsidP="005158AA">
            <w:pPr>
              <w:spacing w:after="0" w:line="240" w:lineRule="auto"/>
              <w:jc w:val="center"/>
              <w:rPr>
                <w:rFonts w:ascii="Book Antiqua" w:eastAsia="Times New Roman" w:hAnsi="Book Antiqua" w:cs="Calibri"/>
                <w:color w:val="000000"/>
                <w:lang w:eastAsia="es-CR"/>
              </w:rPr>
            </w:pPr>
            <w:r w:rsidRPr="005158AA">
              <w:rPr>
                <w:rFonts w:ascii="Book Antiqua" w:eastAsia="Times New Roman" w:hAnsi="Book Antiqua" w:cs="Calibri"/>
                <w:color w:val="000000"/>
                <w:lang w:eastAsia="es-CR"/>
              </w:rPr>
              <w:t>28</w:t>
            </w:r>
          </w:p>
        </w:tc>
      </w:tr>
      <w:tr w:rsidR="005158AA" w:rsidRPr="005158AA" w14:paraId="794127DC" w14:textId="77777777" w:rsidTr="005158AA">
        <w:trPr>
          <w:trHeight w:val="300"/>
        </w:trPr>
        <w:tc>
          <w:tcPr>
            <w:tcW w:w="688" w:type="pct"/>
            <w:tcBorders>
              <w:top w:val="nil"/>
              <w:left w:val="single" w:sz="8" w:space="0" w:color="auto"/>
              <w:bottom w:val="single" w:sz="8" w:space="0" w:color="auto"/>
              <w:right w:val="single" w:sz="8" w:space="0" w:color="auto"/>
            </w:tcBorders>
            <w:shd w:val="clear" w:color="000000" w:fill="808080"/>
            <w:vAlign w:val="center"/>
            <w:hideMark/>
          </w:tcPr>
          <w:p w14:paraId="433D4A4C" w14:textId="77777777" w:rsidR="005158AA" w:rsidRPr="005158AA" w:rsidRDefault="005158AA" w:rsidP="005158AA">
            <w:pPr>
              <w:spacing w:after="0" w:line="240" w:lineRule="auto"/>
              <w:jc w:val="right"/>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Total</w:t>
            </w:r>
          </w:p>
        </w:tc>
        <w:tc>
          <w:tcPr>
            <w:tcW w:w="609" w:type="pct"/>
            <w:tcBorders>
              <w:top w:val="nil"/>
              <w:left w:val="nil"/>
              <w:bottom w:val="single" w:sz="8" w:space="0" w:color="auto"/>
              <w:right w:val="single" w:sz="8" w:space="0" w:color="auto"/>
            </w:tcBorders>
            <w:shd w:val="clear" w:color="000000" w:fill="808080"/>
            <w:noWrap/>
            <w:vAlign w:val="center"/>
            <w:hideMark/>
          </w:tcPr>
          <w:p w14:paraId="215824B2"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2 519</w:t>
            </w:r>
          </w:p>
        </w:tc>
        <w:tc>
          <w:tcPr>
            <w:tcW w:w="642" w:type="pct"/>
            <w:tcBorders>
              <w:top w:val="nil"/>
              <w:left w:val="nil"/>
              <w:bottom w:val="single" w:sz="8" w:space="0" w:color="auto"/>
              <w:right w:val="single" w:sz="8" w:space="0" w:color="auto"/>
            </w:tcBorders>
            <w:shd w:val="clear" w:color="000000" w:fill="808080"/>
            <w:noWrap/>
            <w:vAlign w:val="center"/>
            <w:hideMark/>
          </w:tcPr>
          <w:p w14:paraId="4D848765"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2 198</w:t>
            </w:r>
          </w:p>
        </w:tc>
        <w:tc>
          <w:tcPr>
            <w:tcW w:w="556" w:type="pct"/>
            <w:tcBorders>
              <w:top w:val="nil"/>
              <w:left w:val="nil"/>
              <w:bottom w:val="single" w:sz="8" w:space="0" w:color="auto"/>
              <w:right w:val="single" w:sz="8" w:space="0" w:color="auto"/>
            </w:tcBorders>
            <w:shd w:val="clear" w:color="000000" w:fill="808080"/>
            <w:noWrap/>
            <w:vAlign w:val="center"/>
            <w:hideMark/>
          </w:tcPr>
          <w:p w14:paraId="704B1983"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 </w:t>
            </w:r>
          </w:p>
        </w:tc>
        <w:tc>
          <w:tcPr>
            <w:tcW w:w="610" w:type="pct"/>
            <w:tcBorders>
              <w:top w:val="nil"/>
              <w:left w:val="nil"/>
              <w:bottom w:val="single" w:sz="8" w:space="0" w:color="auto"/>
              <w:right w:val="single" w:sz="8" w:space="0" w:color="auto"/>
            </w:tcBorders>
            <w:shd w:val="clear" w:color="000000" w:fill="808080"/>
            <w:noWrap/>
            <w:vAlign w:val="center"/>
            <w:hideMark/>
          </w:tcPr>
          <w:p w14:paraId="0C1E9F0B"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906</w:t>
            </w:r>
          </w:p>
        </w:tc>
        <w:tc>
          <w:tcPr>
            <w:tcW w:w="642" w:type="pct"/>
            <w:tcBorders>
              <w:top w:val="nil"/>
              <w:left w:val="nil"/>
              <w:bottom w:val="single" w:sz="8" w:space="0" w:color="auto"/>
              <w:right w:val="single" w:sz="8" w:space="0" w:color="auto"/>
            </w:tcBorders>
            <w:shd w:val="clear" w:color="000000" w:fill="808080"/>
            <w:noWrap/>
            <w:vAlign w:val="center"/>
            <w:hideMark/>
          </w:tcPr>
          <w:p w14:paraId="0DC82491"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779</w:t>
            </w:r>
          </w:p>
        </w:tc>
        <w:tc>
          <w:tcPr>
            <w:tcW w:w="610" w:type="pct"/>
            <w:tcBorders>
              <w:top w:val="nil"/>
              <w:left w:val="nil"/>
              <w:bottom w:val="single" w:sz="8" w:space="0" w:color="auto"/>
              <w:right w:val="single" w:sz="8" w:space="0" w:color="auto"/>
            </w:tcBorders>
            <w:shd w:val="clear" w:color="000000" w:fill="808080"/>
            <w:noWrap/>
            <w:vAlign w:val="center"/>
            <w:hideMark/>
          </w:tcPr>
          <w:p w14:paraId="522F91A9"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571</w:t>
            </w:r>
          </w:p>
        </w:tc>
        <w:tc>
          <w:tcPr>
            <w:tcW w:w="642" w:type="pct"/>
            <w:tcBorders>
              <w:top w:val="nil"/>
              <w:left w:val="nil"/>
              <w:bottom w:val="single" w:sz="8" w:space="0" w:color="auto"/>
              <w:right w:val="single" w:sz="8" w:space="0" w:color="auto"/>
            </w:tcBorders>
            <w:shd w:val="clear" w:color="000000" w:fill="808080"/>
            <w:noWrap/>
            <w:vAlign w:val="center"/>
            <w:hideMark/>
          </w:tcPr>
          <w:p w14:paraId="05F3E913"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487</w:t>
            </w:r>
          </w:p>
        </w:tc>
      </w:tr>
      <w:tr w:rsidR="005158AA" w:rsidRPr="005158AA" w14:paraId="5A354595" w14:textId="77777777" w:rsidTr="005158AA">
        <w:trPr>
          <w:trHeight w:val="300"/>
        </w:trPr>
        <w:tc>
          <w:tcPr>
            <w:tcW w:w="688" w:type="pct"/>
            <w:tcBorders>
              <w:top w:val="nil"/>
              <w:left w:val="single" w:sz="8" w:space="0" w:color="auto"/>
              <w:bottom w:val="single" w:sz="8" w:space="0" w:color="auto"/>
              <w:right w:val="single" w:sz="8" w:space="0" w:color="auto"/>
            </w:tcBorders>
            <w:shd w:val="clear" w:color="000000" w:fill="808080"/>
            <w:vAlign w:val="center"/>
            <w:hideMark/>
          </w:tcPr>
          <w:p w14:paraId="53A31855" w14:textId="77777777" w:rsidR="005158AA" w:rsidRPr="005158AA" w:rsidRDefault="005158AA" w:rsidP="005158AA">
            <w:pPr>
              <w:spacing w:after="0" w:line="240" w:lineRule="auto"/>
              <w:jc w:val="right"/>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Promedio</w:t>
            </w:r>
          </w:p>
        </w:tc>
        <w:tc>
          <w:tcPr>
            <w:tcW w:w="609" w:type="pct"/>
            <w:tcBorders>
              <w:top w:val="nil"/>
              <w:left w:val="nil"/>
              <w:bottom w:val="single" w:sz="8" w:space="0" w:color="auto"/>
              <w:right w:val="single" w:sz="8" w:space="0" w:color="auto"/>
            </w:tcBorders>
            <w:shd w:val="clear" w:color="000000" w:fill="808080"/>
            <w:noWrap/>
            <w:vAlign w:val="center"/>
            <w:hideMark/>
          </w:tcPr>
          <w:p w14:paraId="32E966FF"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210</w:t>
            </w:r>
          </w:p>
        </w:tc>
        <w:tc>
          <w:tcPr>
            <w:tcW w:w="642" w:type="pct"/>
            <w:tcBorders>
              <w:top w:val="nil"/>
              <w:left w:val="nil"/>
              <w:bottom w:val="single" w:sz="8" w:space="0" w:color="auto"/>
              <w:right w:val="single" w:sz="8" w:space="0" w:color="auto"/>
            </w:tcBorders>
            <w:shd w:val="clear" w:color="000000" w:fill="808080"/>
            <w:noWrap/>
            <w:vAlign w:val="center"/>
            <w:hideMark/>
          </w:tcPr>
          <w:p w14:paraId="3F21109D"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183</w:t>
            </w:r>
          </w:p>
        </w:tc>
        <w:tc>
          <w:tcPr>
            <w:tcW w:w="556" w:type="pct"/>
            <w:tcBorders>
              <w:top w:val="nil"/>
              <w:left w:val="nil"/>
              <w:bottom w:val="single" w:sz="8" w:space="0" w:color="auto"/>
              <w:right w:val="single" w:sz="8" w:space="0" w:color="auto"/>
            </w:tcBorders>
            <w:shd w:val="clear" w:color="000000" w:fill="808080"/>
            <w:noWrap/>
            <w:vAlign w:val="center"/>
            <w:hideMark/>
          </w:tcPr>
          <w:p w14:paraId="728737EA"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85%</w:t>
            </w:r>
          </w:p>
        </w:tc>
        <w:tc>
          <w:tcPr>
            <w:tcW w:w="610" w:type="pct"/>
            <w:tcBorders>
              <w:top w:val="nil"/>
              <w:left w:val="nil"/>
              <w:bottom w:val="single" w:sz="8" w:space="0" w:color="auto"/>
              <w:right w:val="single" w:sz="8" w:space="0" w:color="auto"/>
            </w:tcBorders>
            <w:shd w:val="clear" w:color="000000" w:fill="808080"/>
            <w:noWrap/>
            <w:vAlign w:val="center"/>
            <w:hideMark/>
          </w:tcPr>
          <w:p w14:paraId="487906E4"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76</w:t>
            </w:r>
          </w:p>
        </w:tc>
        <w:tc>
          <w:tcPr>
            <w:tcW w:w="642" w:type="pct"/>
            <w:tcBorders>
              <w:top w:val="nil"/>
              <w:left w:val="nil"/>
              <w:bottom w:val="single" w:sz="8" w:space="0" w:color="auto"/>
              <w:right w:val="single" w:sz="8" w:space="0" w:color="auto"/>
            </w:tcBorders>
            <w:shd w:val="clear" w:color="000000" w:fill="808080"/>
            <w:noWrap/>
            <w:vAlign w:val="center"/>
            <w:hideMark/>
          </w:tcPr>
          <w:p w14:paraId="660A2E78"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65</w:t>
            </w:r>
          </w:p>
        </w:tc>
        <w:tc>
          <w:tcPr>
            <w:tcW w:w="610" w:type="pct"/>
            <w:tcBorders>
              <w:top w:val="nil"/>
              <w:left w:val="nil"/>
              <w:bottom w:val="single" w:sz="8" w:space="0" w:color="auto"/>
              <w:right w:val="single" w:sz="8" w:space="0" w:color="auto"/>
            </w:tcBorders>
            <w:shd w:val="clear" w:color="000000" w:fill="808080"/>
            <w:noWrap/>
            <w:vAlign w:val="center"/>
            <w:hideMark/>
          </w:tcPr>
          <w:p w14:paraId="2FA5A309"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48</w:t>
            </w:r>
          </w:p>
        </w:tc>
        <w:tc>
          <w:tcPr>
            <w:tcW w:w="642" w:type="pct"/>
            <w:tcBorders>
              <w:top w:val="nil"/>
              <w:left w:val="nil"/>
              <w:bottom w:val="single" w:sz="8" w:space="0" w:color="auto"/>
              <w:right w:val="single" w:sz="8" w:space="0" w:color="auto"/>
            </w:tcBorders>
            <w:shd w:val="clear" w:color="000000" w:fill="808080"/>
            <w:noWrap/>
            <w:vAlign w:val="center"/>
            <w:hideMark/>
          </w:tcPr>
          <w:p w14:paraId="006C6A43" w14:textId="77777777" w:rsidR="005158AA" w:rsidRPr="005158AA" w:rsidRDefault="005158AA" w:rsidP="005158AA">
            <w:pPr>
              <w:spacing w:after="0" w:line="240" w:lineRule="auto"/>
              <w:jc w:val="center"/>
              <w:rPr>
                <w:rFonts w:ascii="Book Antiqua" w:eastAsia="Times New Roman" w:hAnsi="Book Antiqua" w:cs="Calibri"/>
                <w:b/>
                <w:bCs/>
                <w:color w:val="FFFFFF"/>
                <w:lang w:eastAsia="es-CR"/>
              </w:rPr>
            </w:pPr>
            <w:r w:rsidRPr="005158AA">
              <w:rPr>
                <w:rFonts w:ascii="Book Antiqua" w:eastAsia="Times New Roman" w:hAnsi="Book Antiqua" w:cs="Calibri"/>
                <w:b/>
                <w:bCs/>
                <w:color w:val="FFFFFF"/>
                <w:lang w:eastAsia="es-CR"/>
              </w:rPr>
              <w:t>41</w:t>
            </w:r>
          </w:p>
        </w:tc>
      </w:tr>
    </w:tbl>
    <w:p w14:paraId="3B787329" w14:textId="78E9A468" w:rsidR="005F6D5E" w:rsidRPr="005158AA" w:rsidRDefault="005158AA" w:rsidP="00B634F4">
      <w:pPr>
        <w:spacing w:after="0" w:line="276" w:lineRule="auto"/>
        <w:jc w:val="both"/>
        <w:rPr>
          <w:rFonts w:ascii="Book Antiqua" w:eastAsia="Calibri" w:hAnsi="Book Antiqua" w:cs="Arial"/>
          <w:i/>
          <w:iCs/>
          <w:sz w:val="20"/>
          <w:szCs w:val="20"/>
        </w:rPr>
      </w:pPr>
      <w:r w:rsidRPr="005158AA">
        <w:rPr>
          <w:rFonts w:ascii="Book Antiqua" w:eastAsia="Calibri" w:hAnsi="Book Antiqua" w:cs="Arial"/>
          <w:i/>
          <w:iCs/>
          <w:sz w:val="20"/>
          <w:szCs w:val="20"/>
        </w:rPr>
        <w:lastRenderedPageBreak/>
        <w:t xml:space="preserve">Fuente: Modernización </w:t>
      </w:r>
      <w:r>
        <w:rPr>
          <w:rFonts w:ascii="Book Antiqua" w:eastAsia="Calibri" w:hAnsi="Book Antiqua" w:cs="Arial"/>
          <w:i/>
          <w:iCs/>
          <w:sz w:val="20"/>
          <w:szCs w:val="20"/>
        </w:rPr>
        <w:t>Institucional</w:t>
      </w:r>
      <w:r w:rsidRPr="005158AA">
        <w:rPr>
          <w:rFonts w:ascii="Book Antiqua" w:eastAsia="Calibri" w:hAnsi="Book Antiqua" w:cs="Arial"/>
          <w:i/>
          <w:iCs/>
          <w:sz w:val="20"/>
          <w:szCs w:val="20"/>
        </w:rPr>
        <w:t xml:space="preserve"> con base en datos de Cuadros Estadísticos 201</w:t>
      </w:r>
      <w:r>
        <w:rPr>
          <w:rFonts w:ascii="Book Antiqua" w:eastAsia="Calibri" w:hAnsi="Book Antiqua" w:cs="Arial"/>
          <w:i/>
          <w:iCs/>
          <w:sz w:val="20"/>
          <w:szCs w:val="20"/>
        </w:rPr>
        <w:t>7</w:t>
      </w:r>
      <w:r w:rsidRPr="005158AA">
        <w:rPr>
          <w:rFonts w:ascii="Book Antiqua" w:eastAsia="Calibri" w:hAnsi="Book Antiqua" w:cs="Arial"/>
          <w:i/>
          <w:iCs/>
          <w:sz w:val="20"/>
          <w:szCs w:val="20"/>
        </w:rPr>
        <w:t xml:space="preserve"> a 20</w:t>
      </w:r>
      <w:r>
        <w:rPr>
          <w:rFonts w:ascii="Book Antiqua" w:eastAsia="Calibri" w:hAnsi="Book Antiqua" w:cs="Arial"/>
          <w:i/>
          <w:iCs/>
          <w:sz w:val="20"/>
          <w:szCs w:val="20"/>
        </w:rPr>
        <w:t>2</w:t>
      </w:r>
      <w:r w:rsidRPr="005158AA">
        <w:rPr>
          <w:rFonts w:ascii="Book Antiqua" w:eastAsia="Calibri" w:hAnsi="Book Antiqua" w:cs="Arial"/>
          <w:i/>
          <w:iCs/>
          <w:sz w:val="20"/>
          <w:szCs w:val="20"/>
        </w:rPr>
        <w:t>1 del Subproceso de Estadística de la Dirección de Planificación.  Los casos entrados y terminados incluyen: Principales, Reentrados, Incidentes y Segunda Instancia.</w:t>
      </w:r>
    </w:p>
    <w:p w14:paraId="728EA9FB" w14:textId="6770480E" w:rsidR="00D26D89" w:rsidRPr="00D26D89" w:rsidRDefault="00D26D89" w:rsidP="00D26D89">
      <w:pPr>
        <w:spacing w:after="0" w:line="276" w:lineRule="auto"/>
        <w:jc w:val="both"/>
        <w:rPr>
          <w:rFonts w:ascii="Book Antiqua" w:eastAsia="Calibri" w:hAnsi="Book Antiqua" w:cs="Arial"/>
          <w:sz w:val="24"/>
          <w:szCs w:val="24"/>
        </w:rPr>
      </w:pPr>
      <w:r w:rsidRPr="00D26D89">
        <w:rPr>
          <w:rFonts w:ascii="Book Antiqua" w:eastAsia="Calibri" w:hAnsi="Book Antiqua" w:cs="Arial"/>
          <w:sz w:val="24"/>
          <w:szCs w:val="24"/>
        </w:rPr>
        <w:t xml:space="preserve">Como se muestra en el cuadro anterior, </w:t>
      </w:r>
      <w:r w:rsidR="00643CED">
        <w:rPr>
          <w:rFonts w:ascii="Book Antiqua" w:eastAsia="Calibri" w:hAnsi="Book Antiqua" w:cs="Arial"/>
          <w:sz w:val="24"/>
          <w:szCs w:val="24"/>
        </w:rPr>
        <w:t xml:space="preserve">para el periodo 2017 a 2021, </w:t>
      </w:r>
      <w:r w:rsidRPr="00D26D89">
        <w:rPr>
          <w:rFonts w:ascii="Book Antiqua" w:eastAsia="Calibri" w:hAnsi="Book Antiqua" w:cs="Arial"/>
          <w:sz w:val="24"/>
          <w:szCs w:val="24"/>
        </w:rPr>
        <w:t xml:space="preserve">se </w:t>
      </w:r>
      <w:r w:rsidR="00643CED">
        <w:rPr>
          <w:rFonts w:ascii="Book Antiqua" w:eastAsia="Calibri" w:hAnsi="Book Antiqua" w:cs="Arial"/>
          <w:sz w:val="24"/>
          <w:szCs w:val="24"/>
        </w:rPr>
        <w:t xml:space="preserve">terminó un </w:t>
      </w:r>
      <w:r w:rsidR="00643CED" w:rsidRPr="00643CED">
        <w:rPr>
          <w:rFonts w:ascii="Book Antiqua" w:eastAsia="Calibri" w:hAnsi="Book Antiqua" w:cs="Arial"/>
          <w:sz w:val="24"/>
          <w:szCs w:val="24"/>
        </w:rPr>
        <w:t>82</w:t>
      </w:r>
      <w:r w:rsidRPr="00643CED">
        <w:rPr>
          <w:rFonts w:ascii="Book Antiqua" w:eastAsia="Calibri" w:hAnsi="Book Antiqua" w:cs="Arial"/>
          <w:sz w:val="24"/>
          <w:szCs w:val="24"/>
        </w:rPr>
        <w:t>%</w:t>
      </w:r>
      <w:r w:rsidRPr="00D26D89">
        <w:rPr>
          <w:rFonts w:ascii="Book Antiqua" w:eastAsia="Calibri" w:hAnsi="Book Antiqua" w:cs="Arial"/>
          <w:sz w:val="24"/>
          <w:szCs w:val="24"/>
        </w:rPr>
        <w:t xml:space="preserve"> de los casos entrados (principales</w:t>
      </w:r>
      <w:r>
        <w:rPr>
          <w:rFonts w:ascii="Book Antiqua" w:eastAsia="Calibri" w:hAnsi="Book Antiqua" w:cs="Arial"/>
          <w:sz w:val="24"/>
          <w:szCs w:val="24"/>
        </w:rPr>
        <w:t>,</w:t>
      </w:r>
      <w:r w:rsidRPr="00D26D89">
        <w:rPr>
          <w:rFonts w:ascii="Book Antiqua" w:eastAsia="Calibri" w:hAnsi="Book Antiqua" w:cs="Arial"/>
          <w:sz w:val="24"/>
          <w:szCs w:val="24"/>
        </w:rPr>
        <w:t xml:space="preserve"> </w:t>
      </w:r>
      <w:r>
        <w:rPr>
          <w:rFonts w:ascii="Book Antiqua" w:eastAsia="Calibri" w:hAnsi="Book Antiqua" w:cs="Arial"/>
          <w:sz w:val="24"/>
          <w:szCs w:val="24"/>
        </w:rPr>
        <w:t>r</w:t>
      </w:r>
      <w:r w:rsidRPr="00D26D89">
        <w:rPr>
          <w:rFonts w:ascii="Book Antiqua" w:eastAsia="Calibri" w:hAnsi="Book Antiqua" w:cs="Arial"/>
          <w:sz w:val="24"/>
          <w:szCs w:val="24"/>
        </w:rPr>
        <w:t xml:space="preserve">eentrados, incidentes y segunda instancia). </w:t>
      </w:r>
    </w:p>
    <w:p w14:paraId="661C0216" w14:textId="77777777" w:rsidR="00D26D89" w:rsidRPr="00D26D89" w:rsidRDefault="00D26D89" w:rsidP="00D26D89">
      <w:pPr>
        <w:spacing w:after="0" w:line="276" w:lineRule="auto"/>
        <w:jc w:val="both"/>
        <w:rPr>
          <w:rFonts w:ascii="Book Antiqua" w:eastAsia="Calibri" w:hAnsi="Book Antiqua" w:cs="Arial"/>
          <w:sz w:val="24"/>
          <w:szCs w:val="24"/>
        </w:rPr>
      </w:pPr>
    </w:p>
    <w:p w14:paraId="5B88E23A" w14:textId="77777777" w:rsidR="00D26D89" w:rsidRPr="00D26D89" w:rsidRDefault="00D26D89" w:rsidP="00D26D89">
      <w:pPr>
        <w:spacing w:after="0" w:line="276" w:lineRule="auto"/>
        <w:jc w:val="both"/>
        <w:rPr>
          <w:rFonts w:ascii="Book Antiqua" w:eastAsia="Calibri" w:hAnsi="Book Antiqua" w:cs="Arial"/>
          <w:sz w:val="24"/>
          <w:szCs w:val="24"/>
        </w:rPr>
      </w:pPr>
      <w:r w:rsidRPr="00D26D89">
        <w:rPr>
          <w:rFonts w:ascii="Book Antiqua" w:eastAsia="Calibri" w:hAnsi="Book Antiqua" w:cs="Arial"/>
          <w:sz w:val="24"/>
          <w:szCs w:val="24"/>
        </w:rPr>
        <w:t>Utilizando los resultados de carga de trabajo calculada, se puede realizar la comparación con la cantidad de puestos que deberían tener cada despacho especializado luego de la disminución esperada en los niveles de entrada mensual por la desjudicialización de procesos que establece el nuevo Código Procesal Familia. Para esto se toma en cuenta que los despachos especializados en materia Familia según la estructura funcional identificada en la sección anterior, se tendrá dedicada al menos una persona técnica judicial a la atención de la manifestación.</w:t>
      </w:r>
    </w:p>
    <w:p w14:paraId="2D5BBBEA" w14:textId="77777777" w:rsidR="00D26D89" w:rsidRPr="00D26D89" w:rsidRDefault="00D26D89" w:rsidP="00D26D89">
      <w:pPr>
        <w:spacing w:after="0" w:line="276" w:lineRule="auto"/>
        <w:jc w:val="both"/>
        <w:rPr>
          <w:rFonts w:ascii="Book Antiqua" w:eastAsia="Calibri" w:hAnsi="Book Antiqua" w:cs="Arial"/>
          <w:sz w:val="24"/>
          <w:szCs w:val="24"/>
        </w:rPr>
      </w:pPr>
    </w:p>
    <w:p w14:paraId="61D881E7" w14:textId="3679423F" w:rsidR="008532A0" w:rsidRDefault="008532A0" w:rsidP="00D26D8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virtud del abordaje de todos los juzgados especializados en materia de Familia, y que constan en el oficio de la Dirección de Planificación 6-PLA-MI-2022, aprobado por el Consejo Superior en sesión </w:t>
      </w:r>
      <w:r w:rsidR="00D30600">
        <w:rPr>
          <w:rFonts w:ascii="Book Antiqua" w:eastAsia="Calibri" w:hAnsi="Book Antiqua" w:cs="Arial"/>
          <w:sz w:val="24"/>
          <w:szCs w:val="24"/>
        </w:rPr>
        <w:t>7-22 del 5 de enero de 2022, artículo XXXV.</w:t>
      </w:r>
    </w:p>
    <w:p w14:paraId="072A8335" w14:textId="77777777" w:rsidR="008532A0" w:rsidRDefault="008532A0" w:rsidP="00D26D89">
      <w:pPr>
        <w:spacing w:after="0" w:line="276" w:lineRule="auto"/>
        <w:jc w:val="both"/>
        <w:rPr>
          <w:rFonts w:ascii="Book Antiqua" w:eastAsia="Calibri" w:hAnsi="Book Antiqua" w:cs="Arial"/>
          <w:sz w:val="24"/>
          <w:szCs w:val="24"/>
        </w:rPr>
      </w:pPr>
    </w:p>
    <w:p w14:paraId="73078E1C" w14:textId="4B7482DD" w:rsidR="008532A0" w:rsidRDefault="008532A0" w:rsidP="00D26D8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donde se incluye además el análisis de indicadores y calificación MAIC de las oficinas especializadas, </w:t>
      </w:r>
      <w:r w:rsidRPr="001D0C10">
        <w:rPr>
          <w:rFonts w:ascii="Book Antiqua" w:eastAsia="Calibri" w:hAnsi="Book Antiqua" w:cs="Arial"/>
          <w:b/>
          <w:bCs/>
          <w:sz w:val="24"/>
          <w:szCs w:val="24"/>
          <w:u w:val="single"/>
        </w:rPr>
        <w:t>finalmente no se concluye del seguimiento que ninguna de la materia critica “D” la justificación sea necesidad de personal.</w:t>
      </w:r>
      <w:r>
        <w:rPr>
          <w:rFonts w:ascii="Book Antiqua" w:eastAsia="Calibri" w:hAnsi="Book Antiqua" w:cs="Arial"/>
          <w:sz w:val="24"/>
          <w:szCs w:val="24"/>
        </w:rPr>
        <w:t xml:space="preserve"> </w:t>
      </w:r>
    </w:p>
    <w:p w14:paraId="48B0D8D9" w14:textId="77777777" w:rsidR="008532A0" w:rsidRDefault="008532A0" w:rsidP="00D26D89">
      <w:pPr>
        <w:spacing w:after="0" w:line="276" w:lineRule="auto"/>
        <w:jc w:val="both"/>
        <w:rPr>
          <w:rFonts w:ascii="Book Antiqua" w:eastAsia="Calibri" w:hAnsi="Book Antiqua" w:cs="Arial"/>
          <w:sz w:val="24"/>
          <w:szCs w:val="24"/>
        </w:rPr>
      </w:pPr>
    </w:p>
    <w:p w14:paraId="5C1B0346" w14:textId="0336318B" w:rsidR="008532A0" w:rsidRDefault="008532A0" w:rsidP="00D26D8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Adicionalmente, como parte de los estudios complementarios citados en</w:t>
      </w:r>
      <w:r w:rsidR="00912F27">
        <w:rPr>
          <w:rFonts w:ascii="Book Antiqua" w:eastAsia="Calibri" w:hAnsi="Book Antiqua" w:cs="Arial"/>
          <w:sz w:val="24"/>
          <w:szCs w:val="24"/>
        </w:rPr>
        <w:t xml:space="preserve"> </w:t>
      </w:r>
      <w:r>
        <w:rPr>
          <w:rFonts w:ascii="Book Antiqua" w:eastAsia="Calibri" w:hAnsi="Book Antiqua" w:cs="Arial"/>
          <w:sz w:val="24"/>
          <w:szCs w:val="24"/>
        </w:rPr>
        <w:t>el oficio 389-PLA-</w:t>
      </w:r>
      <w:r w:rsidR="00CC0AB9">
        <w:rPr>
          <w:rFonts w:ascii="Book Antiqua" w:eastAsia="Calibri" w:hAnsi="Book Antiqua" w:cs="Arial"/>
          <w:sz w:val="24"/>
          <w:szCs w:val="24"/>
        </w:rPr>
        <w:t>R</w:t>
      </w:r>
      <w:r>
        <w:rPr>
          <w:rFonts w:ascii="Book Antiqua" w:eastAsia="Calibri" w:hAnsi="Book Antiqua" w:cs="Arial"/>
          <w:sz w:val="24"/>
          <w:szCs w:val="24"/>
        </w:rPr>
        <w:t xml:space="preserve">H-MI-2021, se </w:t>
      </w:r>
      <w:r w:rsidR="00912F27">
        <w:rPr>
          <w:rFonts w:ascii="Book Antiqua" w:eastAsia="Calibri" w:hAnsi="Book Antiqua" w:cs="Arial"/>
          <w:sz w:val="24"/>
          <w:szCs w:val="24"/>
        </w:rPr>
        <w:t>está</w:t>
      </w:r>
      <w:r>
        <w:rPr>
          <w:rFonts w:ascii="Book Antiqua" w:eastAsia="Calibri" w:hAnsi="Book Antiqua" w:cs="Arial"/>
          <w:sz w:val="24"/>
          <w:szCs w:val="24"/>
        </w:rPr>
        <w:t xml:space="preserve"> analizando en este momento por parte de</w:t>
      </w:r>
      <w:r w:rsidR="00912F27">
        <w:rPr>
          <w:rFonts w:ascii="Book Antiqua" w:eastAsia="Calibri" w:hAnsi="Book Antiqua" w:cs="Arial"/>
          <w:sz w:val="24"/>
          <w:szCs w:val="24"/>
        </w:rPr>
        <w:t xml:space="preserve"> </w:t>
      </w:r>
      <w:r>
        <w:rPr>
          <w:rFonts w:ascii="Book Antiqua" w:eastAsia="Calibri" w:hAnsi="Book Antiqua" w:cs="Arial"/>
          <w:sz w:val="24"/>
          <w:szCs w:val="24"/>
        </w:rPr>
        <w:t xml:space="preserve">la Dirección de Planificación, la </w:t>
      </w:r>
      <w:r w:rsidRPr="001D0C10">
        <w:rPr>
          <w:rFonts w:ascii="Book Antiqua" w:eastAsia="Calibri" w:hAnsi="Book Antiqua" w:cs="Arial"/>
          <w:sz w:val="24"/>
          <w:szCs w:val="24"/>
          <w:u w:val="single"/>
        </w:rPr>
        <w:t xml:space="preserve">posibilidad de crear un </w:t>
      </w:r>
      <w:r w:rsidR="00912F27" w:rsidRPr="001D0C10">
        <w:rPr>
          <w:rFonts w:ascii="Book Antiqua" w:eastAsia="Calibri" w:hAnsi="Book Antiqua" w:cs="Arial"/>
          <w:sz w:val="24"/>
          <w:szCs w:val="24"/>
          <w:u w:val="single"/>
        </w:rPr>
        <w:t>Juzgado</w:t>
      </w:r>
      <w:r w:rsidRPr="001D0C10">
        <w:rPr>
          <w:rFonts w:ascii="Book Antiqua" w:eastAsia="Calibri" w:hAnsi="Book Antiqua" w:cs="Arial"/>
          <w:sz w:val="24"/>
          <w:szCs w:val="24"/>
          <w:u w:val="single"/>
        </w:rPr>
        <w:t xml:space="preserve"> de Familia con una competencia limitada al conocimiento de las apelaciones de materia de </w:t>
      </w:r>
      <w:r w:rsidR="00912F27" w:rsidRPr="001D0C10">
        <w:rPr>
          <w:rFonts w:ascii="Book Antiqua" w:eastAsia="Calibri" w:hAnsi="Book Antiqua" w:cs="Arial"/>
          <w:sz w:val="24"/>
          <w:szCs w:val="24"/>
          <w:u w:val="single"/>
        </w:rPr>
        <w:t>Pensiones</w:t>
      </w:r>
      <w:r w:rsidRPr="001D0C10">
        <w:rPr>
          <w:rFonts w:ascii="Book Antiqua" w:eastAsia="Calibri" w:hAnsi="Book Antiqua" w:cs="Arial"/>
          <w:sz w:val="24"/>
          <w:szCs w:val="24"/>
          <w:u w:val="single"/>
        </w:rPr>
        <w:t xml:space="preserve"> Alimentarias </w:t>
      </w:r>
      <w:r w:rsidRPr="001D0C10">
        <w:rPr>
          <w:rFonts w:ascii="Book Antiqua" w:eastAsia="Calibri" w:hAnsi="Book Antiqua" w:cs="Arial"/>
          <w:b/>
          <w:bCs/>
          <w:sz w:val="24"/>
          <w:szCs w:val="24"/>
        </w:rPr>
        <w:t>(</w:t>
      </w:r>
      <w:r w:rsidR="00912F27" w:rsidRPr="001D0C10">
        <w:rPr>
          <w:rFonts w:ascii="Book Antiqua" w:eastAsia="Calibri" w:hAnsi="Book Antiqua" w:cs="Arial"/>
          <w:b/>
          <w:bCs/>
          <w:sz w:val="24"/>
          <w:szCs w:val="24"/>
        </w:rPr>
        <w:t>referencia</w:t>
      </w:r>
      <w:r w:rsidRPr="001D0C10">
        <w:rPr>
          <w:rFonts w:ascii="Book Antiqua" w:eastAsia="Calibri" w:hAnsi="Book Antiqua" w:cs="Arial"/>
          <w:b/>
          <w:bCs/>
          <w:sz w:val="24"/>
          <w:szCs w:val="24"/>
        </w:rPr>
        <w:t xml:space="preserve"> interna 1680-2021).</w:t>
      </w:r>
      <w:r w:rsidR="00CC0AB9">
        <w:rPr>
          <w:rFonts w:ascii="Book Antiqua" w:eastAsia="Calibri" w:hAnsi="Book Antiqua" w:cs="Arial"/>
          <w:sz w:val="24"/>
          <w:szCs w:val="24"/>
        </w:rPr>
        <w:t xml:space="preserve"> </w:t>
      </w:r>
      <w:r>
        <w:rPr>
          <w:rFonts w:ascii="Book Antiqua" w:eastAsia="Calibri" w:hAnsi="Book Antiqua" w:cs="Arial"/>
          <w:sz w:val="24"/>
          <w:szCs w:val="24"/>
        </w:rPr>
        <w:t>El informe contemplar</w:t>
      </w:r>
      <w:r w:rsidR="00CC0AB9">
        <w:rPr>
          <w:rFonts w:ascii="Book Antiqua" w:eastAsia="Calibri" w:hAnsi="Book Antiqua" w:cs="Arial"/>
          <w:sz w:val="24"/>
          <w:szCs w:val="24"/>
        </w:rPr>
        <w:t>á</w:t>
      </w:r>
      <w:r>
        <w:rPr>
          <w:rFonts w:ascii="Book Antiqua" w:eastAsia="Calibri" w:hAnsi="Book Antiqua" w:cs="Arial"/>
          <w:sz w:val="24"/>
          <w:szCs w:val="24"/>
        </w:rPr>
        <w:t xml:space="preserve"> dentro del análisis la estimación de los asuntos en segunda instancia que dejaran de </w:t>
      </w:r>
      <w:r w:rsidR="00912F27">
        <w:rPr>
          <w:rFonts w:ascii="Book Antiqua" w:eastAsia="Calibri" w:hAnsi="Book Antiqua" w:cs="Arial"/>
          <w:sz w:val="24"/>
          <w:szCs w:val="24"/>
        </w:rPr>
        <w:t>entrar</w:t>
      </w:r>
      <w:r>
        <w:rPr>
          <w:rFonts w:ascii="Book Antiqua" w:eastAsia="Calibri" w:hAnsi="Book Antiqua" w:cs="Arial"/>
          <w:sz w:val="24"/>
          <w:szCs w:val="24"/>
        </w:rPr>
        <w:t xml:space="preserve"> a los juzgados de Familia </w:t>
      </w:r>
      <w:r w:rsidR="00912F27">
        <w:rPr>
          <w:rFonts w:ascii="Book Antiqua" w:eastAsia="Calibri" w:hAnsi="Book Antiqua" w:cs="Arial"/>
          <w:sz w:val="24"/>
          <w:szCs w:val="24"/>
        </w:rPr>
        <w:t xml:space="preserve">por apelaciones en </w:t>
      </w:r>
      <w:r w:rsidR="00912F27" w:rsidRPr="001D0C10">
        <w:rPr>
          <w:rFonts w:ascii="Book Antiqua" w:eastAsia="Calibri" w:hAnsi="Book Antiqua" w:cs="Arial"/>
          <w:i/>
          <w:iCs/>
          <w:sz w:val="24"/>
          <w:szCs w:val="24"/>
        </w:rPr>
        <w:t>“pensiones provisionales”.</w:t>
      </w:r>
    </w:p>
    <w:p w14:paraId="0008008A" w14:textId="77777777" w:rsidR="008532A0" w:rsidRDefault="008532A0" w:rsidP="00D26D89">
      <w:pPr>
        <w:spacing w:after="0" w:line="276" w:lineRule="auto"/>
        <w:jc w:val="both"/>
        <w:rPr>
          <w:rFonts w:ascii="Book Antiqua" w:eastAsia="Calibri" w:hAnsi="Book Antiqua" w:cs="Arial"/>
          <w:sz w:val="24"/>
          <w:szCs w:val="24"/>
        </w:rPr>
      </w:pPr>
    </w:p>
    <w:p w14:paraId="3344C89D" w14:textId="2E2C8EAC" w:rsidR="00D26D89" w:rsidRDefault="00D26D89" w:rsidP="00D26D89">
      <w:pPr>
        <w:spacing w:after="0" w:line="276" w:lineRule="auto"/>
        <w:jc w:val="both"/>
        <w:rPr>
          <w:rFonts w:ascii="Book Antiqua" w:eastAsia="Calibri" w:hAnsi="Book Antiqua" w:cs="Arial"/>
          <w:sz w:val="24"/>
          <w:szCs w:val="24"/>
        </w:rPr>
      </w:pPr>
      <w:r w:rsidRPr="00D26D89">
        <w:rPr>
          <w:rFonts w:ascii="Book Antiqua" w:eastAsia="Calibri" w:hAnsi="Book Antiqua" w:cs="Arial"/>
          <w:sz w:val="24"/>
          <w:szCs w:val="24"/>
        </w:rPr>
        <w:t xml:space="preserve">El cálculo que se realiza para conocer la proporción de recurso humano que se debe tener en cada oficina considerando una entrada por plaza en el caso de Judicatura </w:t>
      </w:r>
      <w:r w:rsidRPr="00643CED">
        <w:rPr>
          <w:rFonts w:ascii="Book Antiqua" w:eastAsia="Calibri" w:hAnsi="Book Antiqua" w:cs="Arial"/>
          <w:sz w:val="24"/>
          <w:szCs w:val="24"/>
        </w:rPr>
        <w:t>7</w:t>
      </w:r>
      <w:r w:rsidR="00643CED" w:rsidRPr="00643CED">
        <w:rPr>
          <w:rFonts w:ascii="Book Antiqua" w:eastAsia="Calibri" w:hAnsi="Book Antiqua" w:cs="Arial"/>
          <w:sz w:val="24"/>
          <w:szCs w:val="24"/>
        </w:rPr>
        <w:t>6</w:t>
      </w:r>
      <w:r w:rsidRPr="00643CED">
        <w:rPr>
          <w:rFonts w:ascii="Book Antiqua" w:eastAsia="Calibri" w:hAnsi="Book Antiqua" w:cs="Arial"/>
          <w:sz w:val="24"/>
          <w:szCs w:val="24"/>
        </w:rPr>
        <w:t xml:space="preserve"> y en el del personal técnico 4</w:t>
      </w:r>
      <w:r w:rsidR="00643CED" w:rsidRPr="00643CED">
        <w:rPr>
          <w:rFonts w:ascii="Book Antiqua" w:eastAsia="Calibri" w:hAnsi="Book Antiqua" w:cs="Arial"/>
          <w:sz w:val="24"/>
          <w:szCs w:val="24"/>
        </w:rPr>
        <w:t>8</w:t>
      </w:r>
      <w:r w:rsidRPr="00D26D89">
        <w:rPr>
          <w:rFonts w:ascii="Book Antiqua" w:eastAsia="Calibri" w:hAnsi="Book Antiqua" w:cs="Arial"/>
          <w:sz w:val="24"/>
          <w:szCs w:val="24"/>
        </w:rPr>
        <w:t xml:space="preserve"> (se divide la entrada entre el parámetro para obtener cantidad de recurso humano necesario), manteniendo una relación entre la </w:t>
      </w:r>
      <w:r w:rsidRPr="00D26D89">
        <w:rPr>
          <w:rFonts w:ascii="Book Antiqua" w:eastAsia="Calibri" w:hAnsi="Book Antiqua" w:cs="Arial"/>
          <w:sz w:val="24"/>
          <w:szCs w:val="24"/>
        </w:rPr>
        <w:lastRenderedPageBreak/>
        <w:t>cantidad de personas técnicas y juzgadoras para la firma de proveído (2 ó 3 técnicos por Jueza o Juez).</w:t>
      </w:r>
    </w:p>
    <w:p w14:paraId="765F4344" w14:textId="3FA46F54" w:rsidR="00A96771" w:rsidRDefault="00A96771" w:rsidP="00D26D89">
      <w:pPr>
        <w:spacing w:after="0" w:line="276" w:lineRule="auto"/>
        <w:jc w:val="both"/>
        <w:rPr>
          <w:rFonts w:ascii="Book Antiqua" w:eastAsia="Calibri" w:hAnsi="Book Antiqua" w:cs="Arial"/>
          <w:sz w:val="24"/>
          <w:szCs w:val="24"/>
        </w:rPr>
      </w:pPr>
    </w:p>
    <w:p w14:paraId="224FCB73" w14:textId="6A3CBDC3" w:rsidR="00A96771" w:rsidRDefault="00A96771" w:rsidP="00D26D89">
      <w:pPr>
        <w:spacing w:after="0" w:line="276" w:lineRule="auto"/>
        <w:jc w:val="both"/>
        <w:rPr>
          <w:rFonts w:ascii="Book Antiqua" w:eastAsia="Calibri" w:hAnsi="Book Antiqua" w:cs="Arial"/>
          <w:sz w:val="24"/>
          <w:szCs w:val="24"/>
        </w:rPr>
      </w:pPr>
    </w:p>
    <w:p w14:paraId="2F91FFD6" w14:textId="1E44A68B" w:rsidR="002C37D8" w:rsidRPr="002C37D8" w:rsidRDefault="002C37D8" w:rsidP="002C37D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37D8">
        <w:rPr>
          <w:rFonts w:ascii="Book Antiqua" w:eastAsia="Calibri" w:hAnsi="Book Antiqua" w:cs="Arial"/>
          <w:b/>
          <w:bCs/>
          <w:color w:val="1F497D"/>
          <w:szCs w:val="24"/>
          <w:lang w:val="es-ES" w:eastAsia="es-ES"/>
        </w:rPr>
        <w:t xml:space="preserve">Cuadro </w:t>
      </w:r>
      <w:r w:rsidRPr="002C37D8">
        <w:rPr>
          <w:rFonts w:ascii="Book Antiqua" w:eastAsia="Calibri" w:hAnsi="Book Antiqua" w:cs="Arial"/>
          <w:b/>
          <w:bCs/>
          <w:color w:val="1F497D"/>
          <w:szCs w:val="24"/>
          <w:lang w:val="es-ES" w:eastAsia="es-ES"/>
        </w:rPr>
        <w:fldChar w:fldCharType="begin"/>
      </w:r>
      <w:r w:rsidRPr="002C37D8">
        <w:rPr>
          <w:rFonts w:ascii="Book Antiqua" w:eastAsia="Calibri" w:hAnsi="Book Antiqua" w:cs="Arial"/>
          <w:b/>
          <w:bCs/>
          <w:color w:val="1F497D"/>
          <w:szCs w:val="24"/>
          <w:lang w:val="es-ES" w:eastAsia="es-ES"/>
        </w:rPr>
        <w:instrText xml:space="preserve"> SEQ Cuadro \* ARABIC </w:instrText>
      </w:r>
      <w:r w:rsidRPr="002C37D8">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24</w:t>
      </w:r>
      <w:r w:rsidRPr="002C37D8">
        <w:rPr>
          <w:rFonts w:ascii="Book Antiqua" w:eastAsia="Calibri" w:hAnsi="Book Antiqua" w:cs="Arial"/>
          <w:b/>
          <w:bCs/>
          <w:color w:val="1F497D"/>
          <w:szCs w:val="24"/>
          <w:lang w:val="es-ES" w:eastAsia="es-ES"/>
        </w:rPr>
        <w:fldChar w:fldCharType="end"/>
      </w:r>
      <w:r w:rsidRPr="002C37D8">
        <w:rPr>
          <w:rFonts w:ascii="Book Antiqua" w:eastAsia="Calibri" w:hAnsi="Book Antiqua" w:cs="Arial"/>
          <w:b/>
          <w:bCs/>
          <w:color w:val="1F497D"/>
          <w:szCs w:val="24"/>
          <w:lang w:val="es-ES" w:eastAsia="es-ES"/>
        </w:rPr>
        <w:t xml:space="preserve"> </w:t>
      </w:r>
    </w:p>
    <w:p w14:paraId="0F107569" w14:textId="77777777" w:rsidR="002C37D8" w:rsidRPr="002C37D8" w:rsidRDefault="002C37D8" w:rsidP="002C37D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37D8">
        <w:rPr>
          <w:rFonts w:ascii="Book Antiqua" w:eastAsia="Calibri" w:hAnsi="Book Antiqua" w:cs="Arial"/>
          <w:b/>
          <w:bCs/>
          <w:color w:val="1F497D"/>
          <w:szCs w:val="24"/>
          <w:lang w:val="es-ES" w:eastAsia="es-ES"/>
        </w:rPr>
        <w:t xml:space="preserve">Cantidad de persona juzgadora y persona técnica </w:t>
      </w:r>
    </w:p>
    <w:p w14:paraId="0574E742" w14:textId="58B92EF2" w:rsidR="002C37D8" w:rsidRDefault="002C37D8" w:rsidP="002C37D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37D8">
        <w:rPr>
          <w:rFonts w:ascii="Book Antiqua" w:eastAsia="Calibri" w:hAnsi="Book Antiqua" w:cs="Arial"/>
          <w:b/>
          <w:bCs/>
          <w:color w:val="1F497D"/>
          <w:szCs w:val="24"/>
          <w:lang w:val="es-ES" w:eastAsia="es-ES"/>
        </w:rPr>
        <w:t>judicial requeridas según promedio de entrada de casos</w:t>
      </w:r>
    </w:p>
    <w:tbl>
      <w:tblPr>
        <w:tblW w:w="6340" w:type="pct"/>
        <w:tblInd w:w="-1144" w:type="dxa"/>
        <w:tblCellMar>
          <w:left w:w="70" w:type="dxa"/>
          <w:right w:w="70" w:type="dxa"/>
        </w:tblCellMar>
        <w:tblLook w:val="04A0" w:firstRow="1" w:lastRow="0" w:firstColumn="1" w:lastColumn="0" w:noHBand="0" w:noVBand="1"/>
      </w:tblPr>
      <w:tblGrid>
        <w:gridCol w:w="1265"/>
        <w:gridCol w:w="1151"/>
        <w:gridCol w:w="1085"/>
        <w:gridCol w:w="1140"/>
        <w:gridCol w:w="1140"/>
        <w:gridCol w:w="1040"/>
        <w:gridCol w:w="1140"/>
        <w:gridCol w:w="1040"/>
        <w:gridCol w:w="1140"/>
        <w:gridCol w:w="1040"/>
      </w:tblGrid>
      <w:tr w:rsidR="00040A5C" w:rsidRPr="00104596" w14:paraId="13FF9A90" w14:textId="77777777" w:rsidTr="001D0C10">
        <w:trPr>
          <w:trHeight w:val="770"/>
        </w:trPr>
        <w:tc>
          <w:tcPr>
            <w:tcW w:w="56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A534059" w14:textId="77777777" w:rsidR="00104596" w:rsidRPr="00104596" w:rsidRDefault="00104596" w:rsidP="00104596">
            <w:pPr>
              <w:spacing w:after="0" w:line="240" w:lineRule="auto"/>
              <w:jc w:val="center"/>
              <w:rPr>
                <w:rFonts w:ascii="Book Antiqua" w:eastAsia="Times New Roman" w:hAnsi="Book Antiqua" w:cs="Calibri"/>
                <w:b/>
                <w:bCs/>
                <w:color w:val="FFFFFF"/>
                <w:lang w:eastAsia="es-CR"/>
              </w:rPr>
            </w:pPr>
            <w:r w:rsidRPr="00104596">
              <w:rPr>
                <w:rFonts w:ascii="Book Antiqua" w:eastAsia="Times New Roman" w:hAnsi="Book Antiqua" w:cs="Calibri"/>
                <w:b/>
                <w:bCs/>
                <w:color w:val="FFFFFF"/>
                <w:lang w:eastAsia="es-CR"/>
              </w:rPr>
              <w:t>Despacho</w:t>
            </w:r>
          </w:p>
        </w:tc>
        <w:tc>
          <w:tcPr>
            <w:tcW w:w="51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6D86F45"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Promedio mensual de entrada estimada con desjudicia- lización</w:t>
            </w:r>
          </w:p>
        </w:tc>
        <w:tc>
          <w:tcPr>
            <w:tcW w:w="48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8319B35"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Promedio mensual de terminado</w:t>
            </w:r>
          </w:p>
        </w:tc>
        <w:tc>
          <w:tcPr>
            <w:tcW w:w="51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21C24BC"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Relación Salida entrada proyectada</w:t>
            </w:r>
          </w:p>
        </w:tc>
        <w:tc>
          <w:tcPr>
            <w:tcW w:w="975" w:type="pct"/>
            <w:gridSpan w:val="2"/>
            <w:tcBorders>
              <w:top w:val="single" w:sz="8" w:space="0" w:color="auto"/>
              <w:left w:val="nil"/>
              <w:bottom w:val="single" w:sz="8" w:space="0" w:color="auto"/>
              <w:right w:val="single" w:sz="8" w:space="0" w:color="000000"/>
            </w:tcBorders>
            <w:shd w:val="clear" w:color="000000" w:fill="002060"/>
            <w:vAlign w:val="center"/>
            <w:hideMark/>
          </w:tcPr>
          <w:p w14:paraId="7CBA0A06"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Recurso humano actual</w:t>
            </w:r>
          </w:p>
        </w:tc>
        <w:tc>
          <w:tcPr>
            <w:tcW w:w="975" w:type="pct"/>
            <w:gridSpan w:val="2"/>
            <w:tcBorders>
              <w:top w:val="single" w:sz="8" w:space="0" w:color="auto"/>
              <w:left w:val="nil"/>
              <w:bottom w:val="single" w:sz="8" w:space="0" w:color="auto"/>
              <w:right w:val="single" w:sz="8" w:space="0" w:color="000000"/>
            </w:tcBorders>
            <w:shd w:val="clear" w:color="000000" w:fill="002060"/>
            <w:vAlign w:val="center"/>
            <w:hideMark/>
          </w:tcPr>
          <w:p w14:paraId="081F7E32"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Recurso humano requerido</w:t>
            </w:r>
          </w:p>
        </w:tc>
        <w:tc>
          <w:tcPr>
            <w:tcW w:w="975" w:type="pct"/>
            <w:gridSpan w:val="2"/>
            <w:tcBorders>
              <w:top w:val="single" w:sz="8" w:space="0" w:color="auto"/>
              <w:left w:val="nil"/>
              <w:bottom w:val="single" w:sz="8" w:space="0" w:color="auto"/>
              <w:right w:val="single" w:sz="8" w:space="0" w:color="000000"/>
            </w:tcBorders>
            <w:shd w:val="clear" w:color="000000" w:fill="002060"/>
            <w:vAlign w:val="center"/>
            <w:hideMark/>
          </w:tcPr>
          <w:p w14:paraId="3B38FAF0"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Variación</w:t>
            </w:r>
          </w:p>
        </w:tc>
      </w:tr>
      <w:tr w:rsidR="00040A5C" w:rsidRPr="00104596" w14:paraId="51CD966B" w14:textId="77777777" w:rsidTr="001D0C10">
        <w:trPr>
          <w:trHeight w:val="1050"/>
        </w:trPr>
        <w:tc>
          <w:tcPr>
            <w:tcW w:w="566" w:type="pct"/>
            <w:vMerge/>
            <w:tcBorders>
              <w:top w:val="single" w:sz="8" w:space="0" w:color="auto"/>
              <w:left w:val="single" w:sz="8" w:space="0" w:color="auto"/>
              <w:bottom w:val="single" w:sz="8" w:space="0" w:color="000000"/>
              <w:right w:val="single" w:sz="8" w:space="0" w:color="auto"/>
            </w:tcBorders>
            <w:vAlign w:val="center"/>
            <w:hideMark/>
          </w:tcPr>
          <w:p w14:paraId="4FD943D4" w14:textId="77777777" w:rsidR="00104596" w:rsidRPr="00104596" w:rsidRDefault="00104596" w:rsidP="00104596">
            <w:pPr>
              <w:spacing w:after="0" w:line="240" w:lineRule="auto"/>
              <w:rPr>
                <w:rFonts w:ascii="Book Antiqua" w:eastAsia="Times New Roman" w:hAnsi="Book Antiqua" w:cs="Calibri"/>
                <w:b/>
                <w:bCs/>
                <w:color w:val="FFFFFF"/>
                <w:lang w:eastAsia="es-CR"/>
              </w:rPr>
            </w:pPr>
          </w:p>
        </w:tc>
        <w:tc>
          <w:tcPr>
            <w:tcW w:w="515" w:type="pct"/>
            <w:vMerge/>
            <w:tcBorders>
              <w:top w:val="single" w:sz="8" w:space="0" w:color="auto"/>
              <w:left w:val="single" w:sz="8" w:space="0" w:color="auto"/>
              <w:bottom w:val="single" w:sz="8" w:space="0" w:color="000000"/>
              <w:right w:val="single" w:sz="8" w:space="0" w:color="auto"/>
            </w:tcBorders>
            <w:vAlign w:val="center"/>
            <w:hideMark/>
          </w:tcPr>
          <w:p w14:paraId="5D0BFAB9" w14:textId="77777777" w:rsidR="00104596" w:rsidRPr="00104596" w:rsidRDefault="00104596" w:rsidP="00104596">
            <w:pPr>
              <w:spacing w:after="0" w:line="240" w:lineRule="auto"/>
              <w:rPr>
                <w:rFonts w:ascii="Book Antiqua" w:eastAsia="Times New Roman" w:hAnsi="Book Antiqua" w:cs="Calibri"/>
                <w:b/>
                <w:bCs/>
                <w:color w:val="FFFFFF"/>
                <w:sz w:val="20"/>
                <w:szCs w:val="20"/>
                <w:lang w:eastAsia="es-CR"/>
              </w:rPr>
            </w:pPr>
          </w:p>
        </w:tc>
        <w:tc>
          <w:tcPr>
            <w:tcW w:w="485" w:type="pct"/>
            <w:vMerge/>
            <w:tcBorders>
              <w:top w:val="single" w:sz="8" w:space="0" w:color="auto"/>
              <w:left w:val="single" w:sz="8" w:space="0" w:color="auto"/>
              <w:bottom w:val="single" w:sz="8" w:space="0" w:color="000000"/>
              <w:right w:val="single" w:sz="8" w:space="0" w:color="auto"/>
            </w:tcBorders>
            <w:vAlign w:val="center"/>
            <w:hideMark/>
          </w:tcPr>
          <w:p w14:paraId="2F9E7BD3" w14:textId="77777777" w:rsidR="00104596" w:rsidRPr="00104596" w:rsidRDefault="00104596" w:rsidP="00104596">
            <w:pPr>
              <w:spacing w:after="0" w:line="240" w:lineRule="auto"/>
              <w:rPr>
                <w:rFonts w:ascii="Book Antiqua" w:eastAsia="Times New Roman" w:hAnsi="Book Antiqua" w:cs="Calibri"/>
                <w:b/>
                <w:bCs/>
                <w:color w:val="FFFFFF"/>
                <w:sz w:val="20"/>
                <w:szCs w:val="20"/>
                <w:lang w:eastAsia="es-CR"/>
              </w:rPr>
            </w:pPr>
          </w:p>
        </w:tc>
        <w:tc>
          <w:tcPr>
            <w:tcW w:w="510" w:type="pct"/>
            <w:vMerge/>
            <w:tcBorders>
              <w:top w:val="single" w:sz="8" w:space="0" w:color="auto"/>
              <w:left w:val="single" w:sz="8" w:space="0" w:color="auto"/>
              <w:bottom w:val="single" w:sz="8" w:space="0" w:color="000000"/>
              <w:right w:val="single" w:sz="8" w:space="0" w:color="auto"/>
            </w:tcBorders>
            <w:vAlign w:val="center"/>
            <w:hideMark/>
          </w:tcPr>
          <w:p w14:paraId="6E0127B7" w14:textId="77777777" w:rsidR="00104596" w:rsidRPr="00104596" w:rsidRDefault="00104596" w:rsidP="00104596">
            <w:pPr>
              <w:spacing w:after="0" w:line="240" w:lineRule="auto"/>
              <w:rPr>
                <w:rFonts w:ascii="Book Antiqua" w:eastAsia="Times New Roman" w:hAnsi="Book Antiqua" w:cs="Calibri"/>
                <w:b/>
                <w:bCs/>
                <w:color w:val="FFFFFF"/>
                <w:sz w:val="20"/>
                <w:szCs w:val="20"/>
                <w:lang w:eastAsia="es-CR"/>
              </w:rPr>
            </w:pPr>
          </w:p>
        </w:tc>
        <w:tc>
          <w:tcPr>
            <w:tcW w:w="510" w:type="pct"/>
            <w:tcBorders>
              <w:top w:val="nil"/>
              <w:left w:val="nil"/>
              <w:bottom w:val="single" w:sz="8" w:space="0" w:color="auto"/>
              <w:right w:val="single" w:sz="8" w:space="0" w:color="auto"/>
            </w:tcBorders>
            <w:shd w:val="clear" w:color="000000" w:fill="002060"/>
            <w:vAlign w:val="center"/>
            <w:hideMark/>
          </w:tcPr>
          <w:p w14:paraId="3D5D7E0F"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juzgadoras</w:t>
            </w:r>
          </w:p>
        </w:tc>
        <w:tc>
          <w:tcPr>
            <w:tcW w:w="465" w:type="pct"/>
            <w:tcBorders>
              <w:top w:val="nil"/>
              <w:left w:val="nil"/>
              <w:bottom w:val="single" w:sz="8" w:space="0" w:color="auto"/>
              <w:right w:val="single" w:sz="8" w:space="0" w:color="auto"/>
            </w:tcBorders>
            <w:shd w:val="clear" w:color="000000" w:fill="002060"/>
            <w:vAlign w:val="center"/>
            <w:hideMark/>
          </w:tcPr>
          <w:p w14:paraId="46B9D28D"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Técnicas Judiciales de trámite</w:t>
            </w:r>
          </w:p>
        </w:tc>
        <w:tc>
          <w:tcPr>
            <w:tcW w:w="510" w:type="pct"/>
            <w:tcBorders>
              <w:top w:val="nil"/>
              <w:left w:val="nil"/>
              <w:bottom w:val="single" w:sz="8" w:space="0" w:color="auto"/>
              <w:right w:val="single" w:sz="8" w:space="0" w:color="auto"/>
            </w:tcBorders>
            <w:shd w:val="clear" w:color="000000" w:fill="002060"/>
            <w:vAlign w:val="center"/>
            <w:hideMark/>
          </w:tcPr>
          <w:p w14:paraId="61CF418A"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juzgadoras</w:t>
            </w:r>
          </w:p>
        </w:tc>
        <w:tc>
          <w:tcPr>
            <w:tcW w:w="465" w:type="pct"/>
            <w:tcBorders>
              <w:top w:val="nil"/>
              <w:left w:val="nil"/>
              <w:bottom w:val="single" w:sz="8" w:space="0" w:color="auto"/>
              <w:right w:val="single" w:sz="8" w:space="0" w:color="auto"/>
            </w:tcBorders>
            <w:shd w:val="clear" w:color="000000" w:fill="002060"/>
            <w:vAlign w:val="center"/>
            <w:hideMark/>
          </w:tcPr>
          <w:p w14:paraId="67122E90"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Técnicas Judiciales de trámite</w:t>
            </w:r>
          </w:p>
        </w:tc>
        <w:tc>
          <w:tcPr>
            <w:tcW w:w="510" w:type="pct"/>
            <w:tcBorders>
              <w:top w:val="nil"/>
              <w:left w:val="nil"/>
              <w:bottom w:val="single" w:sz="8" w:space="0" w:color="auto"/>
              <w:right w:val="single" w:sz="8" w:space="0" w:color="auto"/>
            </w:tcBorders>
            <w:shd w:val="clear" w:color="000000" w:fill="002060"/>
            <w:vAlign w:val="center"/>
            <w:hideMark/>
          </w:tcPr>
          <w:p w14:paraId="3F912593"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juzgadoras</w:t>
            </w:r>
          </w:p>
        </w:tc>
        <w:tc>
          <w:tcPr>
            <w:tcW w:w="465" w:type="pct"/>
            <w:tcBorders>
              <w:top w:val="nil"/>
              <w:left w:val="nil"/>
              <w:bottom w:val="single" w:sz="8" w:space="0" w:color="auto"/>
              <w:right w:val="single" w:sz="8" w:space="0" w:color="auto"/>
            </w:tcBorders>
            <w:shd w:val="clear" w:color="000000" w:fill="002060"/>
            <w:vAlign w:val="center"/>
            <w:hideMark/>
          </w:tcPr>
          <w:p w14:paraId="3E5B5B62" w14:textId="77777777" w:rsidR="00104596" w:rsidRPr="00104596" w:rsidRDefault="00104596" w:rsidP="00104596">
            <w:pPr>
              <w:spacing w:after="0" w:line="240" w:lineRule="auto"/>
              <w:jc w:val="center"/>
              <w:rPr>
                <w:rFonts w:ascii="Book Antiqua" w:eastAsia="Times New Roman" w:hAnsi="Book Antiqua" w:cs="Calibri"/>
                <w:b/>
                <w:bCs/>
                <w:color w:val="FFFFFF"/>
                <w:sz w:val="20"/>
                <w:szCs w:val="20"/>
                <w:lang w:eastAsia="es-CR"/>
              </w:rPr>
            </w:pPr>
            <w:r w:rsidRPr="00104596">
              <w:rPr>
                <w:rFonts w:ascii="Book Antiqua" w:eastAsia="Times New Roman" w:hAnsi="Book Antiqua" w:cs="Calibri"/>
                <w:b/>
                <w:bCs/>
                <w:color w:val="FFFFFF"/>
                <w:sz w:val="20"/>
                <w:szCs w:val="20"/>
                <w:lang w:eastAsia="es-CR"/>
              </w:rPr>
              <w:t>Personas Técnicas Judiciales</w:t>
            </w:r>
          </w:p>
        </w:tc>
      </w:tr>
      <w:tr w:rsidR="000D7B97" w:rsidRPr="00104596" w14:paraId="777B2B64"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57105C37"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Familia Cartago</w:t>
            </w:r>
          </w:p>
        </w:tc>
        <w:tc>
          <w:tcPr>
            <w:tcW w:w="515" w:type="pct"/>
            <w:tcBorders>
              <w:top w:val="nil"/>
              <w:left w:val="nil"/>
              <w:bottom w:val="single" w:sz="8" w:space="0" w:color="auto"/>
              <w:right w:val="single" w:sz="8" w:space="0" w:color="auto"/>
            </w:tcBorders>
            <w:shd w:val="clear" w:color="auto" w:fill="auto"/>
            <w:noWrap/>
            <w:vAlign w:val="center"/>
            <w:hideMark/>
          </w:tcPr>
          <w:p w14:paraId="29AE7F8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336</w:t>
            </w:r>
          </w:p>
        </w:tc>
        <w:tc>
          <w:tcPr>
            <w:tcW w:w="485" w:type="pct"/>
            <w:tcBorders>
              <w:top w:val="nil"/>
              <w:left w:val="nil"/>
              <w:bottom w:val="single" w:sz="8" w:space="0" w:color="auto"/>
              <w:right w:val="single" w:sz="8" w:space="0" w:color="auto"/>
            </w:tcBorders>
            <w:shd w:val="clear" w:color="auto" w:fill="auto"/>
            <w:noWrap/>
            <w:vAlign w:val="center"/>
            <w:hideMark/>
          </w:tcPr>
          <w:p w14:paraId="2660085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352</w:t>
            </w:r>
          </w:p>
        </w:tc>
        <w:tc>
          <w:tcPr>
            <w:tcW w:w="510" w:type="pct"/>
            <w:tcBorders>
              <w:top w:val="nil"/>
              <w:left w:val="nil"/>
              <w:bottom w:val="single" w:sz="8" w:space="0" w:color="auto"/>
              <w:right w:val="single" w:sz="8" w:space="0" w:color="auto"/>
            </w:tcBorders>
            <w:shd w:val="clear" w:color="auto" w:fill="auto"/>
            <w:vAlign w:val="center"/>
            <w:hideMark/>
          </w:tcPr>
          <w:p w14:paraId="4D2C82F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105%</w:t>
            </w:r>
          </w:p>
        </w:tc>
        <w:tc>
          <w:tcPr>
            <w:tcW w:w="510" w:type="pct"/>
            <w:tcBorders>
              <w:top w:val="nil"/>
              <w:left w:val="nil"/>
              <w:bottom w:val="single" w:sz="8" w:space="0" w:color="auto"/>
              <w:right w:val="single" w:sz="8" w:space="0" w:color="auto"/>
            </w:tcBorders>
            <w:shd w:val="clear" w:color="auto" w:fill="auto"/>
            <w:noWrap/>
            <w:vAlign w:val="center"/>
            <w:hideMark/>
          </w:tcPr>
          <w:p w14:paraId="3FAA032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auto" w:fill="auto"/>
            <w:noWrap/>
            <w:vAlign w:val="center"/>
            <w:hideMark/>
          </w:tcPr>
          <w:p w14:paraId="7847771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5</w:t>
            </w:r>
          </w:p>
        </w:tc>
        <w:tc>
          <w:tcPr>
            <w:tcW w:w="510" w:type="pct"/>
            <w:tcBorders>
              <w:top w:val="nil"/>
              <w:left w:val="nil"/>
              <w:bottom w:val="single" w:sz="8" w:space="0" w:color="auto"/>
              <w:right w:val="single" w:sz="8" w:space="0" w:color="auto"/>
            </w:tcBorders>
            <w:shd w:val="clear" w:color="000000" w:fill="DBE5F1"/>
            <w:noWrap/>
            <w:vAlign w:val="center"/>
            <w:hideMark/>
          </w:tcPr>
          <w:p w14:paraId="68B150C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465" w:type="pct"/>
            <w:tcBorders>
              <w:top w:val="nil"/>
              <w:left w:val="nil"/>
              <w:bottom w:val="single" w:sz="8" w:space="0" w:color="auto"/>
              <w:right w:val="single" w:sz="8" w:space="0" w:color="auto"/>
            </w:tcBorders>
            <w:shd w:val="clear" w:color="000000" w:fill="DBE5F1"/>
            <w:noWrap/>
            <w:vAlign w:val="center"/>
            <w:hideMark/>
          </w:tcPr>
          <w:p w14:paraId="7573BF0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7</w:t>
            </w:r>
          </w:p>
        </w:tc>
        <w:tc>
          <w:tcPr>
            <w:tcW w:w="510" w:type="pct"/>
            <w:tcBorders>
              <w:top w:val="nil"/>
              <w:left w:val="nil"/>
              <w:bottom w:val="single" w:sz="8" w:space="0" w:color="auto"/>
              <w:right w:val="single" w:sz="8" w:space="0" w:color="auto"/>
            </w:tcBorders>
            <w:shd w:val="clear" w:color="000000" w:fill="FDE9D9"/>
            <w:noWrap/>
            <w:vAlign w:val="center"/>
            <w:hideMark/>
          </w:tcPr>
          <w:p w14:paraId="74742AE2" w14:textId="727677AE" w:rsidR="00104596" w:rsidRPr="00104596" w:rsidRDefault="00104596" w:rsidP="00104596">
            <w:pPr>
              <w:spacing w:after="0" w:line="240" w:lineRule="auto"/>
              <w:jc w:val="center"/>
              <w:rPr>
                <w:rFonts w:ascii="Book Antiqua" w:eastAsia="Times New Roman" w:hAnsi="Book Antiqua" w:cs="Calibri"/>
                <w:color w:val="000000"/>
                <w:lang w:eastAsia="es-CR"/>
              </w:rPr>
            </w:pPr>
            <w:r w:rsidRPr="00982DA9">
              <w:t>+</w:t>
            </w:r>
            <w:r w:rsidRPr="00104596">
              <w:rPr>
                <w:rFonts w:ascii="Book Antiqua" w:eastAsia="Times New Roman" w:hAnsi="Book Antiqua" w:cs="Calibri"/>
                <w:color w:val="000000"/>
                <w:lang w:eastAsia="es-CR"/>
              </w:rPr>
              <w:t>1</w:t>
            </w:r>
          </w:p>
        </w:tc>
        <w:tc>
          <w:tcPr>
            <w:tcW w:w="465" w:type="pct"/>
            <w:tcBorders>
              <w:top w:val="nil"/>
              <w:left w:val="nil"/>
              <w:bottom w:val="single" w:sz="8" w:space="0" w:color="auto"/>
              <w:right w:val="single" w:sz="8" w:space="0" w:color="auto"/>
            </w:tcBorders>
            <w:shd w:val="clear" w:color="000000" w:fill="FDE9D9"/>
            <w:noWrap/>
            <w:vAlign w:val="center"/>
            <w:hideMark/>
          </w:tcPr>
          <w:p w14:paraId="279E1AE9" w14:textId="7D694955" w:rsidR="00104596" w:rsidRPr="00104596" w:rsidRDefault="00104596" w:rsidP="00104596">
            <w:pPr>
              <w:spacing w:after="0" w:line="240" w:lineRule="auto"/>
              <w:jc w:val="center"/>
              <w:rPr>
                <w:rFonts w:ascii="Book Antiqua" w:eastAsia="Times New Roman" w:hAnsi="Book Antiqua" w:cs="Calibri"/>
                <w:color w:val="000000"/>
                <w:lang w:eastAsia="es-CR"/>
              </w:rPr>
            </w:pPr>
            <w:r w:rsidRPr="00982DA9">
              <w:t>+</w:t>
            </w:r>
            <w:r w:rsidRPr="00104596">
              <w:rPr>
                <w:rFonts w:ascii="Book Antiqua" w:eastAsia="Times New Roman" w:hAnsi="Book Antiqua" w:cs="Calibri"/>
                <w:color w:val="000000"/>
                <w:lang w:eastAsia="es-CR"/>
              </w:rPr>
              <w:t>2</w:t>
            </w:r>
          </w:p>
        </w:tc>
      </w:tr>
      <w:tr w:rsidR="000D7B97" w:rsidRPr="00104596" w14:paraId="2CF706D2"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4B3C97DC"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Familia Heredia</w:t>
            </w:r>
          </w:p>
        </w:tc>
        <w:tc>
          <w:tcPr>
            <w:tcW w:w="515" w:type="pct"/>
            <w:tcBorders>
              <w:top w:val="nil"/>
              <w:left w:val="nil"/>
              <w:bottom w:val="single" w:sz="8" w:space="0" w:color="auto"/>
              <w:right w:val="single" w:sz="8" w:space="0" w:color="auto"/>
            </w:tcBorders>
            <w:shd w:val="clear" w:color="auto" w:fill="auto"/>
            <w:noWrap/>
            <w:vAlign w:val="center"/>
            <w:hideMark/>
          </w:tcPr>
          <w:p w14:paraId="6E9AA89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292</w:t>
            </w:r>
          </w:p>
        </w:tc>
        <w:tc>
          <w:tcPr>
            <w:tcW w:w="485" w:type="pct"/>
            <w:tcBorders>
              <w:top w:val="nil"/>
              <w:left w:val="nil"/>
              <w:bottom w:val="single" w:sz="8" w:space="0" w:color="auto"/>
              <w:right w:val="single" w:sz="8" w:space="0" w:color="auto"/>
            </w:tcBorders>
            <w:shd w:val="clear" w:color="auto" w:fill="auto"/>
            <w:noWrap/>
            <w:vAlign w:val="center"/>
            <w:hideMark/>
          </w:tcPr>
          <w:p w14:paraId="3E418DC1"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310</w:t>
            </w:r>
          </w:p>
        </w:tc>
        <w:tc>
          <w:tcPr>
            <w:tcW w:w="510" w:type="pct"/>
            <w:tcBorders>
              <w:top w:val="nil"/>
              <w:left w:val="nil"/>
              <w:bottom w:val="single" w:sz="8" w:space="0" w:color="auto"/>
              <w:right w:val="single" w:sz="8" w:space="0" w:color="auto"/>
            </w:tcBorders>
            <w:shd w:val="clear" w:color="auto" w:fill="auto"/>
            <w:vAlign w:val="center"/>
            <w:hideMark/>
          </w:tcPr>
          <w:p w14:paraId="73E7FF4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106%</w:t>
            </w:r>
          </w:p>
        </w:tc>
        <w:tc>
          <w:tcPr>
            <w:tcW w:w="510" w:type="pct"/>
            <w:tcBorders>
              <w:top w:val="nil"/>
              <w:left w:val="nil"/>
              <w:bottom w:val="single" w:sz="8" w:space="0" w:color="auto"/>
              <w:right w:val="single" w:sz="8" w:space="0" w:color="auto"/>
            </w:tcBorders>
            <w:shd w:val="clear" w:color="auto" w:fill="auto"/>
            <w:noWrap/>
            <w:vAlign w:val="center"/>
            <w:hideMark/>
          </w:tcPr>
          <w:p w14:paraId="263827C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465" w:type="pct"/>
            <w:tcBorders>
              <w:top w:val="nil"/>
              <w:left w:val="nil"/>
              <w:bottom w:val="single" w:sz="8" w:space="0" w:color="auto"/>
              <w:right w:val="single" w:sz="8" w:space="0" w:color="auto"/>
            </w:tcBorders>
            <w:shd w:val="clear" w:color="auto" w:fill="auto"/>
            <w:noWrap/>
            <w:vAlign w:val="center"/>
            <w:hideMark/>
          </w:tcPr>
          <w:p w14:paraId="535B862A"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7</w:t>
            </w:r>
          </w:p>
        </w:tc>
        <w:tc>
          <w:tcPr>
            <w:tcW w:w="510" w:type="pct"/>
            <w:tcBorders>
              <w:top w:val="nil"/>
              <w:left w:val="nil"/>
              <w:bottom w:val="single" w:sz="8" w:space="0" w:color="auto"/>
              <w:right w:val="single" w:sz="8" w:space="0" w:color="auto"/>
            </w:tcBorders>
            <w:shd w:val="clear" w:color="000000" w:fill="DBE5F1"/>
            <w:noWrap/>
            <w:vAlign w:val="center"/>
            <w:hideMark/>
          </w:tcPr>
          <w:p w14:paraId="7936D6EA"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465" w:type="pct"/>
            <w:tcBorders>
              <w:top w:val="nil"/>
              <w:left w:val="nil"/>
              <w:bottom w:val="single" w:sz="8" w:space="0" w:color="auto"/>
              <w:right w:val="single" w:sz="8" w:space="0" w:color="auto"/>
            </w:tcBorders>
            <w:shd w:val="clear" w:color="000000" w:fill="DBE5F1"/>
            <w:noWrap/>
            <w:vAlign w:val="center"/>
            <w:hideMark/>
          </w:tcPr>
          <w:p w14:paraId="47DFD128"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6</w:t>
            </w:r>
          </w:p>
        </w:tc>
        <w:tc>
          <w:tcPr>
            <w:tcW w:w="510" w:type="pct"/>
            <w:tcBorders>
              <w:top w:val="nil"/>
              <w:left w:val="nil"/>
              <w:bottom w:val="single" w:sz="8" w:space="0" w:color="auto"/>
              <w:right w:val="single" w:sz="8" w:space="0" w:color="auto"/>
            </w:tcBorders>
            <w:shd w:val="clear" w:color="000000" w:fill="FDE9D9"/>
            <w:noWrap/>
            <w:vAlign w:val="center"/>
            <w:hideMark/>
          </w:tcPr>
          <w:p w14:paraId="7067D90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5AFCBD4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r>
      <w:tr w:rsidR="000D7B97" w:rsidRPr="00104596" w14:paraId="145A3DDC"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1BCD6395" w14:textId="3848A56E"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 xml:space="preserve">Juzgado Familia I Circ. Jud. </w:t>
            </w:r>
            <w:r w:rsidR="00E85731" w:rsidRPr="00104596">
              <w:rPr>
                <w:rFonts w:ascii="Book Antiqua" w:eastAsia="Times New Roman" w:hAnsi="Book Antiqua" w:cs="Calibri"/>
                <w:b/>
                <w:bCs/>
                <w:color w:val="000000"/>
                <w:lang w:eastAsia="es-CR"/>
              </w:rPr>
              <w:t>D</w:t>
            </w:r>
            <w:r w:rsidRPr="00104596">
              <w:rPr>
                <w:rFonts w:ascii="Book Antiqua" w:eastAsia="Times New Roman" w:hAnsi="Book Antiqua" w:cs="Calibri"/>
                <w:b/>
                <w:bCs/>
                <w:color w:val="000000"/>
                <w:lang w:eastAsia="es-CR"/>
              </w:rPr>
              <w:t>e Alajuela</w:t>
            </w:r>
          </w:p>
        </w:tc>
        <w:tc>
          <w:tcPr>
            <w:tcW w:w="515" w:type="pct"/>
            <w:tcBorders>
              <w:top w:val="nil"/>
              <w:left w:val="nil"/>
              <w:bottom w:val="single" w:sz="8" w:space="0" w:color="auto"/>
              <w:right w:val="single" w:sz="8" w:space="0" w:color="auto"/>
            </w:tcBorders>
            <w:shd w:val="clear" w:color="auto" w:fill="auto"/>
            <w:noWrap/>
            <w:vAlign w:val="center"/>
            <w:hideMark/>
          </w:tcPr>
          <w:p w14:paraId="317214E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211</w:t>
            </w:r>
          </w:p>
        </w:tc>
        <w:tc>
          <w:tcPr>
            <w:tcW w:w="485" w:type="pct"/>
            <w:tcBorders>
              <w:top w:val="nil"/>
              <w:left w:val="nil"/>
              <w:bottom w:val="single" w:sz="8" w:space="0" w:color="auto"/>
              <w:right w:val="single" w:sz="8" w:space="0" w:color="auto"/>
            </w:tcBorders>
            <w:shd w:val="clear" w:color="auto" w:fill="auto"/>
            <w:noWrap/>
            <w:vAlign w:val="center"/>
            <w:hideMark/>
          </w:tcPr>
          <w:p w14:paraId="0099EB7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191</w:t>
            </w:r>
          </w:p>
        </w:tc>
        <w:tc>
          <w:tcPr>
            <w:tcW w:w="510" w:type="pct"/>
            <w:tcBorders>
              <w:top w:val="nil"/>
              <w:left w:val="nil"/>
              <w:bottom w:val="single" w:sz="8" w:space="0" w:color="auto"/>
              <w:right w:val="single" w:sz="8" w:space="0" w:color="auto"/>
            </w:tcBorders>
            <w:shd w:val="clear" w:color="auto" w:fill="auto"/>
            <w:vAlign w:val="center"/>
            <w:hideMark/>
          </w:tcPr>
          <w:p w14:paraId="2BEA26FE"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90%</w:t>
            </w:r>
          </w:p>
        </w:tc>
        <w:tc>
          <w:tcPr>
            <w:tcW w:w="510" w:type="pct"/>
            <w:tcBorders>
              <w:top w:val="nil"/>
              <w:left w:val="nil"/>
              <w:bottom w:val="single" w:sz="8" w:space="0" w:color="auto"/>
              <w:right w:val="single" w:sz="8" w:space="0" w:color="auto"/>
            </w:tcBorders>
            <w:shd w:val="clear" w:color="auto" w:fill="auto"/>
            <w:noWrap/>
            <w:vAlign w:val="center"/>
            <w:hideMark/>
          </w:tcPr>
          <w:p w14:paraId="50E6A90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auto" w:fill="auto"/>
            <w:noWrap/>
            <w:vAlign w:val="center"/>
            <w:hideMark/>
          </w:tcPr>
          <w:p w14:paraId="3BF047B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5</w:t>
            </w:r>
          </w:p>
        </w:tc>
        <w:tc>
          <w:tcPr>
            <w:tcW w:w="510" w:type="pct"/>
            <w:tcBorders>
              <w:top w:val="nil"/>
              <w:left w:val="nil"/>
              <w:bottom w:val="single" w:sz="8" w:space="0" w:color="auto"/>
              <w:right w:val="single" w:sz="8" w:space="0" w:color="auto"/>
            </w:tcBorders>
            <w:shd w:val="clear" w:color="000000" w:fill="DBE5F1"/>
            <w:noWrap/>
            <w:vAlign w:val="center"/>
            <w:hideMark/>
          </w:tcPr>
          <w:p w14:paraId="0BFB9CC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000000" w:fill="DBE5F1"/>
            <w:noWrap/>
            <w:vAlign w:val="center"/>
            <w:hideMark/>
          </w:tcPr>
          <w:p w14:paraId="4EBB719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510" w:type="pct"/>
            <w:tcBorders>
              <w:top w:val="nil"/>
              <w:left w:val="nil"/>
              <w:bottom w:val="single" w:sz="8" w:space="0" w:color="auto"/>
              <w:right w:val="single" w:sz="8" w:space="0" w:color="auto"/>
            </w:tcBorders>
            <w:shd w:val="clear" w:color="000000" w:fill="FDE9D9"/>
            <w:noWrap/>
            <w:vAlign w:val="center"/>
            <w:hideMark/>
          </w:tcPr>
          <w:p w14:paraId="08007C4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15AC76E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r>
      <w:tr w:rsidR="000D7B97" w:rsidRPr="00104596" w14:paraId="34566A2F"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6503CE67"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Familia I Circ. Jud. Zona Atlántica</w:t>
            </w:r>
          </w:p>
        </w:tc>
        <w:tc>
          <w:tcPr>
            <w:tcW w:w="515" w:type="pct"/>
            <w:tcBorders>
              <w:top w:val="nil"/>
              <w:left w:val="nil"/>
              <w:bottom w:val="single" w:sz="8" w:space="0" w:color="auto"/>
              <w:right w:val="single" w:sz="8" w:space="0" w:color="auto"/>
            </w:tcBorders>
            <w:shd w:val="clear" w:color="auto" w:fill="auto"/>
            <w:noWrap/>
            <w:vAlign w:val="center"/>
            <w:hideMark/>
          </w:tcPr>
          <w:p w14:paraId="5E12291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117</w:t>
            </w:r>
          </w:p>
        </w:tc>
        <w:tc>
          <w:tcPr>
            <w:tcW w:w="485" w:type="pct"/>
            <w:tcBorders>
              <w:top w:val="nil"/>
              <w:left w:val="nil"/>
              <w:bottom w:val="single" w:sz="8" w:space="0" w:color="auto"/>
              <w:right w:val="single" w:sz="8" w:space="0" w:color="auto"/>
            </w:tcBorders>
            <w:shd w:val="clear" w:color="auto" w:fill="auto"/>
            <w:noWrap/>
            <w:vAlign w:val="center"/>
            <w:hideMark/>
          </w:tcPr>
          <w:p w14:paraId="79BE87B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93</w:t>
            </w:r>
          </w:p>
        </w:tc>
        <w:tc>
          <w:tcPr>
            <w:tcW w:w="510" w:type="pct"/>
            <w:tcBorders>
              <w:top w:val="nil"/>
              <w:left w:val="nil"/>
              <w:bottom w:val="single" w:sz="8" w:space="0" w:color="auto"/>
              <w:right w:val="single" w:sz="8" w:space="0" w:color="auto"/>
            </w:tcBorders>
            <w:shd w:val="clear" w:color="auto" w:fill="auto"/>
            <w:vAlign w:val="center"/>
            <w:hideMark/>
          </w:tcPr>
          <w:p w14:paraId="1D69016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79%</w:t>
            </w:r>
          </w:p>
        </w:tc>
        <w:tc>
          <w:tcPr>
            <w:tcW w:w="510" w:type="pct"/>
            <w:tcBorders>
              <w:top w:val="nil"/>
              <w:left w:val="nil"/>
              <w:bottom w:val="single" w:sz="8" w:space="0" w:color="auto"/>
              <w:right w:val="single" w:sz="8" w:space="0" w:color="auto"/>
            </w:tcBorders>
            <w:shd w:val="clear" w:color="auto" w:fill="auto"/>
            <w:noWrap/>
            <w:vAlign w:val="center"/>
            <w:hideMark/>
          </w:tcPr>
          <w:p w14:paraId="6066727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auto" w:fill="auto"/>
            <w:noWrap/>
            <w:vAlign w:val="center"/>
            <w:hideMark/>
          </w:tcPr>
          <w:p w14:paraId="554196E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510" w:type="pct"/>
            <w:tcBorders>
              <w:top w:val="nil"/>
              <w:left w:val="nil"/>
              <w:bottom w:val="single" w:sz="8" w:space="0" w:color="auto"/>
              <w:right w:val="single" w:sz="8" w:space="0" w:color="auto"/>
            </w:tcBorders>
            <w:shd w:val="clear" w:color="000000" w:fill="DBE5F1"/>
            <w:noWrap/>
            <w:vAlign w:val="center"/>
            <w:hideMark/>
          </w:tcPr>
          <w:p w14:paraId="504799D9"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65E609E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510" w:type="pct"/>
            <w:tcBorders>
              <w:top w:val="nil"/>
              <w:left w:val="nil"/>
              <w:bottom w:val="single" w:sz="8" w:space="0" w:color="auto"/>
              <w:right w:val="single" w:sz="8" w:space="0" w:color="auto"/>
            </w:tcBorders>
            <w:shd w:val="clear" w:color="000000" w:fill="FDE9D9"/>
            <w:noWrap/>
            <w:vAlign w:val="center"/>
            <w:hideMark/>
          </w:tcPr>
          <w:p w14:paraId="451798B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354BB47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r>
      <w:tr w:rsidR="000D7B97" w:rsidRPr="00104596" w14:paraId="755537A0"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72344EB5"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 xml:space="preserve">Juzgado Familia I Circ. Jud. Zona Sur </w:t>
            </w:r>
          </w:p>
        </w:tc>
        <w:tc>
          <w:tcPr>
            <w:tcW w:w="515" w:type="pct"/>
            <w:tcBorders>
              <w:top w:val="nil"/>
              <w:left w:val="nil"/>
              <w:bottom w:val="single" w:sz="8" w:space="0" w:color="auto"/>
              <w:right w:val="single" w:sz="8" w:space="0" w:color="auto"/>
            </w:tcBorders>
            <w:shd w:val="clear" w:color="auto" w:fill="auto"/>
            <w:noWrap/>
            <w:vAlign w:val="center"/>
            <w:hideMark/>
          </w:tcPr>
          <w:p w14:paraId="5BBC7A7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103</w:t>
            </w:r>
          </w:p>
        </w:tc>
        <w:tc>
          <w:tcPr>
            <w:tcW w:w="485" w:type="pct"/>
            <w:tcBorders>
              <w:top w:val="nil"/>
              <w:left w:val="nil"/>
              <w:bottom w:val="single" w:sz="8" w:space="0" w:color="auto"/>
              <w:right w:val="single" w:sz="8" w:space="0" w:color="auto"/>
            </w:tcBorders>
            <w:shd w:val="clear" w:color="auto" w:fill="auto"/>
            <w:noWrap/>
            <w:vAlign w:val="center"/>
            <w:hideMark/>
          </w:tcPr>
          <w:p w14:paraId="68B281F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85</w:t>
            </w:r>
          </w:p>
        </w:tc>
        <w:tc>
          <w:tcPr>
            <w:tcW w:w="510" w:type="pct"/>
            <w:tcBorders>
              <w:top w:val="nil"/>
              <w:left w:val="nil"/>
              <w:bottom w:val="single" w:sz="8" w:space="0" w:color="auto"/>
              <w:right w:val="single" w:sz="8" w:space="0" w:color="auto"/>
            </w:tcBorders>
            <w:shd w:val="clear" w:color="auto" w:fill="auto"/>
            <w:vAlign w:val="center"/>
            <w:hideMark/>
          </w:tcPr>
          <w:p w14:paraId="2331BC8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83%</w:t>
            </w:r>
          </w:p>
        </w:tc>
        <w:tc>
          <w:tcPr>
            <w:tcW w:w="510" w:type="pct"/>
            <w:tcBorders>
              <w:top w:val="nil"/>
              <w:left w:val="nil"/>
              <w:bottom w:val="single" w:sz="8" w:space="0" w:color="auto"/>
              <w:right w:val="single" w:sz="8" w:space="0" w:color="auto"/>
            </w:tcBorders>
            <w:shd w:val="clear" w:color="auto" w:fill="auto"/>
            <w:noWrap/>
            <w:vAlign w:val="center"/>
            <w:hideMark/>
          </w:tcPr>
          <w:p w14:paraId="461B2771"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auto" w:fill="auto"/>
            <w:noWrap/>
            <w:vAlign w:val="center"/>
            <w:hideMark/>
          </w:tcPr>
          <w:p w14:paraId="1AC4F91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510" w:type="pct"/>
            <w:tcBorders>
              <w:top w:val="nil"/>
              <w:left w:val="nil"/>
              <w:bottom w:val="single" w:sz="8" w:space="0" w:color="auto"/>
              <w:right w:val="single" w:sz="8" w:space="0" w:color="auto"/>
            </w:tcBorders>
            <w:shd w:val="clear" w:color="000000" w:fill="DBE5F1"/>
            <w:noWrap/>
            <w:vAlign w:val="center"/>
            <w:hideMark/>
          </w:tcPr>
          <w:p w14:paraId="11939A9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c>
          <w:tcPr>
            <w:tcW w:w="465" w:type="pct"/>
            <w:tcBorders>
              <w:top w:val="nil"/>
              <w:left w:val="nil"/>
              <w:bottom w:val="single" w:sz="8" w:space="0" w:color="auto"/>
              <w:right w:val="single" w:sz="8" w:space="0" w:color="auto"/>
            </w:tcBorders>
            <w:shd w:val="clear" w:color="000000" w:fill="DBE5F1"/>
            <w:noWrap/>
            <w:vAlign w:val="center"/>
            <w:hideMark/>
          </w:tcPr>
          <w:p w14:paraId="669DE958"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510" w:type="pct"/>
            <w:tcBorders>
              <w:top w:val="nil"/>
              <w:left w:val="nil"/>
              <w:bottom w:val="single" w:sz="8" w:space="0" w:color="auto"/>
              <w:right w:val="single" w:sz="8" w:space="0" w:color="auto"/>
            </w:tcBorders>
            <w:shd w:val="clear" w:color="000000" w:fill="FDE9D9"/>
            <w:noWrap/>
            <w:vAlign w:val="center"/>
            <w:hideMark/>
          </w:tcPr>
          <w:p w14:paraId="530DBD0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c>
          <w:tcPr>
            <w:tcW w:w="465" w:type="pct"/>
            <w:tcBorders>
              <w:top w:val="nil"/>
              <w:left w:val="nil"/>
              <w:bottom w:val="single" w:sz="8" w:space="0" w:color="auto"/>
              <w:right w:val="single" w:sz="8" w:space="0" w:color="auto"/>
            </w:tcBorders>
            <w:shd w:val="clear" w:color="000000" w:fill="FDE9D9"/>
            <w:noWrap/>
            <w:vAlign w:val="center"/>
            <w:hideMark/>
          </w:tcPr>
          <w:p w14:paraId="511A344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r>
      <w:tr w:rsidR="000D7B97" w:rsidRPr="00104596" w14:paraId="300AA0D6"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6143E42B" w14:textId="3B43AF8E"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 xml:space="preserve">Juzgado Familia II Circ. Jud. </w:t>
            </w:r>
            <w:r w:rsidR="00E85731" w:rsidRPr="00104596">
              <w:rPr>
                <w:rFonts w:ascii="Book Antiqua" w:eastAsia="Times New Roman" w:hAnsi="Book Antiqua" w:cs="Calibri"/>
                <w:b/>
                <w:bCs/>
                <w:color w:val="000000"/>
                <w:lang w:eastAsia="es-CR"/>
              </w:rPr>
              <w:t>D</w:t>
            </w:r>
            <w:r w:rsidRPr="00104596">
              <w:rPr>
                <w:rFonts w:ascii="Book Antiqua" w:eastAsia="Times New Roman" w:hAnsi="Book Antiqua" w:cs="Calibri"/>
                <w:b/>
                <w:bCs/>
                <w:color w:val="000000"/>
                <w:lang w:eastAsia="es-CR"/>
              </w:rPr>
              <w:t>e Alajuela</w:t>
            </w:r>
          </w:p>
        </w:tc>
        <w:tc>
          <w:tcPr>
            <w:tcW w:w="515" w:type="pct"/>
            <w:tcBorders>
              <w:top w:val="nil"/>
              <w:left w:val="nil"/>
              <w:bottom w:val="single" w:sz="8" w:space="0" w:color="auto"/>
              <w:right w:val="single" w:sz="8" w:space="0" w:color="auto"/>
            </w:tcBorders>
            <w:shd w:val="clear" w:color="auto" w:fill="auto"/>
            <w:noWrap/>
            <w:vAlign w:val="center"/>
            <w:hideMark/>
          </w:tcPr>
          <w:p w14:paraId="049526F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168</w:t>
            </w:r>
          </w:p>
        </w:tc>
        <w:tc>
          <w:tcPr>
            <w:tcW w:w="485" w:type="pct"/>
            <w:tcBorders>
              <w:top w:val="nil"/>
              <w:left w:val="nil"/>
              <w:bottom w:val="single" w:sz="8" w:space="0" w:color="auto"/>
              <w:right w:val="single" w:sz="8" w:space="0" w:color="auto"/>
            </w:tcBorders>
            <w:shd w:val="clear" w:color="auto" w:fill="auto"/>
            <w:noWrap/>
            <w:vAlign w:val="center"/>
            <w:hideMark/>
          </w:tcPr>
          <w:p w14:paraId="6904369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107</w:t>
            </w:r>
          </w:p>
        </w:tc>
        <w:tc>
          <w:tcPr>
            <w:tcW w:w="510" w:type="pct"/>
            <w:tcBorders>
              <w:top w:val="nil"/>
              <w:left w:val="nil"/>
              <w:bottom w:val="single" w:sz="8" w:space="0" w:color="auto"/>
              <w:right w:val="single" w:sz="8" w:space="0" w:color="auto"/>
            </w:tcBorders>
            <w:shd w:val="clear" w:color="auto" w:fill="auto"/>
            <w:vAlign w:val="center"/>
            <w:hideMark/>
          </w:tcPr>
          <w:p w14:paraId="61AFBB9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64%</w:t>
            </w:r>
          </w:p>
        </w:tc>
        <w:tc>
          <w:tcPr>
            <w:tcW w:w="510" w:type="pct"/>
            <w:tcBorders>
              <w:top w:val="nil"/>
              <w:left w:val="nil"/>
              <w:bottom w:val="single" w:sz="8" w:space="0" w:color="auto"/>
              <w:right w:val="single" w:sz="8" w:space="0" w:color="auto"/>
            </w:tcBorders>
            <w:shd w:val="clear" w:color="auto" w:fill="auto"/>
            <w:noWrap/>
            <w:vAlign w:val="center"/>
            <w:hideMark/>
          </w:tcPr>
          <w:p w14:paraId="2DBC5D2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auto" w:fill="auto"/>
            <w:noWrap/>
            <w:vAlign w:val="center"/>
            <w:hideMark/>
          </w:tcPr>
          <w:p w14:paraId="2E4F98E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510" w:type="pct"/>
            <w:tcBorders>
              <w:top w:val="nil"/>
              <w:left w:val="nil"/>
              <w:bottom w:val="single" w:sz="8" w:space="0" w:color="auto"/>
              <w:right w:val="single" w:sz="8" w:space="0" w:color="auto"/>
            </w:tcBorders>
            <w:shd w:val="clear" w:color="000000" w:fill="DBE5F1"/>
            <w:noWrap/>
            <w:vAlign w:val="center"/>
            <w:hideMark/>
          </w:tcPr>
          <w:p w14:paraId="3EAADFE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3C5C0A3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FDE9D9"/>
            <w:noWrap/>
            <w:vAlign w:val="center"/>
            <w:hideMark/>
          </w:tcPr>
          <w:p w14:paraId="3200B86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60AEE16B" w14:textId="7A0F7A14" w:rsidR="00104596" w:rsidRPr="00104596" w:rsidRDefault="00104596" w:rsidP="00104596">
            <w:pPr>
              <w:spacing w:after="0" w:line="240" w:lineRule="auto"/>
              <w:jc w:val="center"/>
              <w:rPr>
                <w:rFonts w:ascii="Book Antiqua" w:eastAsia="Times New Roman" w:hAnsi="Book Antiqua" w:cs="Calibri"/>
                <w:color w:val="000000"/>
                <w:lang w:eastAsia="es-CR"/>
              </w:rPr>
            </w:pPr>
            <w:r w:rsidRPr="00982DA9">
              <w:t>+</w:t>
            </w:r>
            <w:r w:rsidRPr="00104596">
              <w:rPr>
                <w:rFonts w:ascii="Book Antiqua" w:eastAsia="Times New Roman" w:hAnsi="Book Antiqua" w:cs="Calibri"/>
                <w:color w:val="000000"/>
                <w:lang w:eastAsia="es-CR"/>
              </w:rPr>
              <w:t>1</w:t>
            </w:r>
          </w:p>
        </w:tc>
      </w:tr>
      <w:tr w:rsidR="000D7B97" w:rsidRPr="00104596" w14:paraId="08940EBA"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22C8F8DA"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 xml:space="preserve">Juzgado Familia II </w:t>
            </w:r>
            <w:r w:rsidRPr="00104596">
              <w:rPr>
                <w:rFonts w:ascii="Book Antiqua" w:eastAsia="Times New Roman" w:hAnsi="Book Antiqua" w:cs="Calibri"/>
                <w:b/>
                <w:bCs/>
                <w:color w:val="000000"/>
                <w:lang w:eastAsia="es-CR"/>
              </w:rPr>
              <w:lastRenderedPageBreak/>
              <w:t>Circ. Jud. San José</w:t>
            </w:r>
          </w:p>
        </w:tc>
        <w:tc>
          <w:tcPr>
            <w:tcW w:w="515" w:type="pct"/>
            <w:tcBorders>
              <w:top w:val="nil"/>
              <w:left w:val="nil"/>
              <w:bottom w:val="single" w:sz="8" w:space="0" w:color="auto"/>
              <w:right w:val="single" w:sz="8" w:space="0" w:color="auto"/>
            </w:tcBorders>
            <w:shd w:val="clear" w:color="auto" w:fill="auto"/>
            <w:noWrap/>
            <w:vAlign w:val="center"/>
            <w:hideMark/>
          </w:tcPr>
          <w:p w14:paraId="12FF852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lastRenderedPageBreak/>
              <w:t>291</w:t>
            </w:r>
          </w:p>
        </w:tc>
        <w:tc>
          <w:tcPr>
            <w:tcW w:w="485" w:type="pct"/>
            <w:tcBorders>
              <w:top w:val="nil"/>
              <w:left w:val="nil"/>
              <w:bottom w:val="single" w:sz="8" w:space="0" w:color="auto"/>
              <w:right w:val="single" w:sz="8" w:space="0" w:color="auto"/>
            </w:tcBorders>
            <w:shd w:val="clear" w:color="auto" w:fill="auto"/>
            <w:noWrap/>
            <w:vAlign w:val="center"/>
            <w:hideMark/>
          </w:tcPr>
          <w:p w14:paraId="6FA33D3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252</w:t>
            </w:r>
          </w:p>
        </w:tc>
        <w:tc>
          <w:tcPr>
            <w:tcW w:w="510" w:type="pct"/>
            <w:tcBorders>
              <w:top w:val="nil"/>
              <w:left w:val="nil"/>
              <w:bottom w:val="single" w:sz="8" w:space="0" w:color="auto"/>
              <w:right w:val="single" w:sz="8" w:space="0" w:color="auto"/>
            </w:tcBorders>
            <w:shd w:val="clear" w:color="auto" w:fill="auto"/>
            <w:vAlign w:val="center"/>
            <w:hideMark/>
          </w:tcPr>
          <w:p w14:paraId="646F8AD1"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86%</w:t>
            </w:r>
          </w:p>
        </w:tc>
        <w:tc>
          <w:tcPr>
            <w:tcW w:w="510" w:type="pct"/>
            <w:tcBorders>
              <w:top w:val="nil"/>
              <w:left w:val="nil"/>
              <w:bottom w:val="single" w:sz="8" w:space="0" w:color="auto"/>
              <w:right w:val="single" w:sz="8" w:space="0" w:color="auto"/>
            </w:tcBorders>
            <w:shd w:val="clear" w:color="auto" w:fill="auto"/>
            <w:noWrap/>
            <w:vAlign w:val="center"/>
            <w:hideMark/>
          </w:tcPr>
          <w:p w14:paraId="262D643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465" w:type="pct"/>
            <w:tcBorders>
              <w:top w:val="nil"/>
              <w:left w:val="nil"/>
              <w:bottom w:val="single" w:sz="8" w:space="0" w:color="auto"/>
              <w:right w:val="single" w:sz="8" w:space="0" w:color="auto"/>
            </w:tcBorders>
            <w:shd w:val="clear" w:color="auto" w:fill="auto"/>
            <w:noWrap/>
            <w:vAlign w:val="center"/>
            <w:hideMark/>
          </w:tcPr>
          <w:p w14:paraId="366B831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7</w:t>
            </w:r>
          </w:p>
        </w:tc>
        <w:tc>
          <w:tcPr>
            <w:tcW w:w="510" w:type="pct"/>
            <w:tcBorders>
              <w:top w:val="nil"/>
              <w:left w:val="nil"/>
              <w:bottom w:val="single" w:sz="8" w:space="0" w:color="auto"/>
              <w:right w:val="single" w:sz="8" w:space="0" w:color="auto"/>
            </w:tcBorders>
            <w:shd w:val="clear" w:color="000000" w:fill="DBE5F1"/>
            <w:noWrap/>
            <w:vAlign w:val="center"/>
            <w:hideMark/>
          </w:tcPr>
          <w:p w14:paraId="559066F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465" w:type="pct"/>
            <w:tcBorders>
              <w:top w:val="nil"/>
              <w:left w:val="nil"/>
              <w:bottom w:val="single" w:sz="8" w:space="0" w:color="auto"/>
              <w:right w:val="single" w:sz="8" w:space="0" w:color="auto"/>
            </w:tcBorders>
            <w:shd w:val="clear" w:color="000000" w:fill="DBE5F1"/>
            <w:noWrap/>
            <w:vAlign w:val="center"/>
            <w:hideMark/>
          </w:tcPr>
          <w:p w14:paraId="1FCADD4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6</w:t>
            </w:r>
          </w:p>
        </w:tc>
        <w:tc>
          <w:tcPr>
            <w:tcW w:w="510" w:type="pct"/>
            <w:tcBorders>
              <w:top w:val="nil"/>
              <w:left w:val="nil"/>
              <w:bottom w:val="single" w:sz="8" w:space="0" w:color="auto"/>
              <w:right w:val="single" w:sz="8" w:space="0" w:color="auto"/>
            </w:tcBorders>
            <w:shd w:val="clear" w:color="000000" w:fill="FDE9D9"/>
            <w:noWrap/>
            <w:vAlign w:val="center"/>
            <w:hideMark/>
          </w:tcPr>
          <w:p w14:paraId="44970A6A"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71774B6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r>
      <w:tr w:rsidR="000D7B97" w:rsidRPr="00104596" w14:paraId="7F85F254"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3305AF7E"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Familia II Circ. Jud. Zona Atlántica</w:t>
            </w:r>
          </w:p>
        </w:tc>
        <w:tc>
          <w:tcPr>
            <w:tcW w:w="515" w:type="pct"/>
            <w:tcBorders>
              <w:top w:val="nil"/>
              <w:left w:val="nil"/>
              <w:bottom w:val="single" w:sz="8" w:space="0" w:color="auto"/>
              <w:right w:val="single" w:sz="8" w:space="0" w:color="auto"/>
            </w:tcBorders>
            <w:shd w:val="clear" w:color="auto" w:fill="auto"/>
            <w:noWrap/>
            <w:vAlign w:val="center"/>
            <w:hideMark/>
          </w:tcPr>
          <w:p w14:paraId="7C2A37E8"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150</w:t>
            </w:r>
          </w:p>
        </w:tc>
        <w:tc>
          <w:tcPr>
            <w:tcW w:w="485" w:type="pct"/>
            <w:tcBorders>
              <w:top w:val="nil"/>
              <w:left w:val="nil"/>
              <w:bottom w:val="single" w:sz="8" w:space="0" w:color="auto"/>
              <w:right w:val="single" w:sz="8" w:space="0" w:color="auto"/>
            </w:tcBorders>
            <w:shd w:val="clear" w:color="auto" w:fill="auto"/>
            <w:noWrap/>
            <w:vAlign w:val="center"/>
            <w:hideMark/>
          </w:tcPr>
          <w:p w14:paraId="7AAFB5E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119</w:t>
            </w:r>
          </w:p>
        </w:tc>
        <w:tc>
          <w:tcPr>
            <w:tcW w:w="510" w:type="pct"/>
            <w:tcBorders>
              <w:top w:val="nil"/>
              <w:left w:val="nil"/>
              <w:bottom w:val="single" w:sz="8" w:space="0" w:color="auto"/>
              <w:right w:val="single" w:sz="8" w:space="0" w:color="auto"/>
            </w:tcBorders>
            <w:shd w:val="clear" w:color="auto" w:fill="auto"/>
            <w:vAlign w:val="center"/>
            <w:hideMark/>
          </w:tcPr>
          <w:p w14:paraId="41E1DA59"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79%</w:t>
            </w:r>
          </w:p>
        </w:tc>
        <w:tc>
          <w:tcPr>
            <w:tcW w:w="510" w:type="pct"/>
            <w:tcBorders>
              <w:top w:val="nil"/>
              <w:left w:val="nil"/>
              <w:bottom w:val="single" w:sz="8" w:space="0" w:color="auto"/>
              <w:right w:val="single" w:sz="8" w:space="0" w:color="auto"/>
            </w:tcBorders>
            <w:shd w:val="clear" w:color="auto" w:fill="auto"/>
            <w:noWrap/>
            <w:vAlign w:val="center"/>
            <w:hideMark/>
          </w:tcPr>
          <w:p w14:paraId="10825F2D"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auto" w:fill="auto"/>
            <w:noWrap/>
            <w:vAlign w:val="center"/>
            <w:hideMark/>
          </w:tcPr>
          <w:p w14:paraId="748A08D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DBE5F1"/>
            <w:noWrap/>
            <w:vAlign w:val="center"/>
            <w:hideMark/>
          </w:tcPr>
          <w:p w14:paraId="6E8191C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7BC2FE6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FDE9D9"/>
            <w:noWrap/>
            <w:vAlign w:val="center"/>
            <w:hideMark/>
          </w:tcPr>
          <w:p w14:paraId="02A761C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6A5FFD51"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r>
      <w:tr w:rsidR="000D7B97" w:rsidRPr="00104596" w14:paraId="6473A118"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50AE728E"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 xml:space="preserve">Juzgado Familia III Circ. Jud. De San José </w:t>
            </w:r>
          </w:p>
        </w:tc>
        <w:tc>
          <w:tcPr>
            <w:tcW w:w="515" w:type="pct"/>
            <w:tcBorders>
              <w:top w:val="nil"/>
              <w:left w:val="nil"/>
              <w:bottom w:val="single" w:sz="8" w:space="0" w:color="auto"/>
              <w:right w:val="single" w:sz="8" w:space="0" w:color="auto"/>
            </w:tcBorders>
            <w:shd w:val="clear" w:color="auto" w:fill="auto"/>
            <w:noWrap/>
            <w:vAlign w:val="center"/>
            <w:hideMark/>
          </w:tcPr>
          <w:p w14:paraId="4F6D9D1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202</w:t>
            </w:r>
          </w:p>
        </w:tc>
        <w:tc>
          <w:tcPr>
            <w:tcW w:w="485" w:type="pct"/>
            <w:tcBorders>
              <w:top w:val="nil"/>
              <w:left w:val="nil"/>
              <w:bottom w:val="single" w:sz="8" w:space="0" w:color="auto"/>
              <w:right w:val="single" w:sz="8" w:space="0" w:color="auto"/>
            </w:tcBorders>
            <w:shd w:val="clear" w:color="auto" w:fill="auto"/>
            <w:noWrap/>
            <w:vAlign w:val="center"/>
            <w:hideMark/>
          </w:tcPr>
          <w:p w14:paraId="3B3107C0"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181</w:t>
            </w:r>
          </w:p>
        </w:tc>
        <w:tc>
          <w:tcPr>
            <w:tcW w:w="510" w:type="pct"/>
            <w:tcBorders>
              <w:top w:val="nil"/>
              <w:left w:val="nil"/>
              <w:bottom w:val="single" w:sz="8" w:space="0" w:color="auto"/>
              <w:right w:val="single" w:sz="8" w:space="0" w:color="auto"/>
            </w:tcBorders>
            <w:shd w:val="clear" w:color="auto" w:fill="auto"/>
            <w:vAlign w:val="center"/>
            <w:hideMark/>
          </w:tcPr>
          <w:p w14:paraId="63031CA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90%</w:t>
            </w:r>
          </w:p>
        </w:tc>
        <w:tc>
          <w:tcPr>
            <w:tcW w:w="510" w:type="pct"/>
            <w:tcBorders>
              <w:top w:val="nil"/>
              <w:left w:val="nil"/>
              <w:bottom w:val="single" w:sz="8" w:space="0" w:color="auto"/>
              <w:right w:val="single" w:sz="8" w:space="0" w:color="auto"/>
            </w:tcBorders>
            <w:shd w:val="clear" w:color="auto" w:fill="auto"/>
            <w:noWrap/>
            <w:vAlign w:val="center"/>
            <w:hideMark/>
          </w:tcPr>
          <w:p w14:paraId="096F0C9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auto" w:fill="auto"/>
            <w:noWrap/>
            <w:vAlign w:val="center"/>
            <w:hideMark/>
          </w:tcPr>
          <w:p w14:paraId="044288C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510" w:type="pct"/>
            <w:tcBorders>
              <w:top w:val="nil"/>
              <w:left w:val="nil"/>
              <w:bottom w:val="single" w:sz="8" w:space="0" w:color="auto"/>
              <w:right w:val="single" w:sz="8" w:space="0" w:color="auto"/>
            </w:tcBorders>
            <w:shd w:val="clear" w:color="000000" w:fill="DBE5F1"/>
            <w:noWrap/>
            <w:vAlign w:val="center"/>
            <w:hideMark/>
          </w:tcPr>
          <w:p w14:paraId="0785C2D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000000" w:fill="DBE5F1"/>
            <w:noWrap/>
            <w:vAlign w:val="center"/>
            <w:hideMark/>
          </w:tcPr>
          <w:p w14:paraId="31905A58"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4</w:t>
            </w:r>
          </w:p>
        </w:tc>
        <w:tc>
          <w:tcPr>
            <w:tcW w:w="510" w:type="pct"/>
            <w:tcBorders>
              <w:top w:val="nil"/>
              <w:left w:val="nil"/>
              <w:bottom w:val="single" w:sz="8" w:space="0" w:color="auto"/>
              <w:right w:val="single" w:sz="8" w:space="0" w:color="auto"/>
            </w:tcBorders>
            <w:shd w:val="clear" w:color="000000" w:fill="FDE9D9"/>
            <w:noWrap/>
            <w:vAlign w:val="center"/>
            <w:hideMark/>
          </w:tcPr>
          <w:p w14:paraId="09E6AA3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711C444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r>
      <w:tr w:rsidR="000D7B97" w:rsidRPr="00104596" w14:paraId="7C599AC3"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42F7FF25"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Familia Puntarenas</w:t>
            </w:r>
          </w:p>
        </w:tc>
        <w:tc>
          <w:tcPr>
            <w:tcW w:w="515" w:type="pct"/>
            <w:tcBorders>
              <w:top w:val="nil"/>
              <w:left w:val="nil"/>
              <w:bottom w:val="single" w:sz="8" w:space="0" w:color="auto"/>
              <w:right w:val="single" w:sz="8" w:space="0" w:color="auto"/>
            </w:tcBorders>
            <w:shd w:val="clear" w:color="auto" w:fill="auto"/>
            <w:noWrap/>
            <w:vAlign w:val="center"/>
            <w:hideMark/>
          </w:tcPr>
          <w:p w14:paraId="3F03F7B9"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149</w:t>
            </w:r>
          </w:p>
        </w:tc>
        <w:tc>
          <w:tcPr>
            <w:tcW w:w="485" w:type="pct"/>
            <w:tcBorders>
              <w:top w:val="nil"/>
              <w:left w:val="nil"/>
              <w:bottom w:val="single" w:sz="8" w:space="0" w:color="auto"/>
              <w:right w:val="single" w:sz="8" w:space="0" w:color="auto"/>
            </w:tcBorders>
            <w:shd w:val="clear" w:color="auto" w:fill="auto"/>
            <w:noWrap/>
            <w:vAlign w:val="center"/>
            <w:hideMark/>
          </w:tcPr>
          <w:p w14:paraId="16434069"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147</w:t>
            </w:r>
          </w:p>
        </w:tc>
        <w:tc>
          <w:tcPr>
            <w:tcW w:w="510" w:type="pct"/>
            <w:tcBorders>
              <w:top w:val="nil"/>
              <w:left w:val="nil"/>
              <w:bottom w:val="single" w:sz="8" w:space="0" w:color="auto"/>
              <w:right w:val="single" w:sz="8" w:space="0" w:color="auto"/>
            </w:tcBorders>
            <w:shd w:val="clear" w:color="auto" w:fill="auto"/>
            <w:vAlign w:val="center"/>
            <w:hideMark/>
          </w:tcPr>
          <w:p w14:paraId="2D0ACB9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98%</w:t>
            </w:r>
          </w:p>
        </w:tc>
        <w:tc>
          <w:tcPr>
            <w:tcW w:w="510" w:type="pct"/>
            <w:tcBorders>
              <w:top w:val="nil"/>
              <w:left w:val="nil"/>
              <w:bottom w:val="single" w:sz="8" w:space="0" w:color="auto"/>
              <w:right w:val="single" w:sz="8" w:space="0" w:color="auto"/>
            </w:tcBorders>
            <w:shd w:val="clear" w:color="auto" w:fill="auto"/>
            <w:noWrap/>
            <w:vAlign w:val="center"/>
            <w:hideMark/>
          </w:tcPr>
          <w:p w14:paraId="1230683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auto" w:fill="auto"/>
            <w:noWrap/>
            <w:vAlign w:val="center"/>
            <w:hideMark/>
          </w:tcPr>
          <w:p w14:paraId="661A1CEE"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DBE5F1"/>
            <w:noWrap/>
            <w:vAlign w:val="center"/>
            <w:hideMark/>
          </w:tcPr>
          <w:p w14:paraId="12D4BD5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0670752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FDE9D9"/>
            <w:noWrap/>
            <w:vAlign w:val="center"/>
            <w:hideMark/>
          </w:tcPr>
          <w:p w14:paraId="234ACB4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c>
          <w:tcPr>
            <w:tcW w:w="465" w:type="pct"/>
            <w:tcBorders>
              <w:top w:val="nil"/>
              <w:left w:val="nil"/>
              <w:bottom w:val="single" w:sz="8" w:space="0" w:color="auto"/>
              <w:right w:val="single" w:sz="8" w:space="0" w:color="auto"/>
            </w:tcBorders>
            <w:shd w:val="clear" w:color="000000" w:fill="FDE9D9"/>
            <w:noWrap/>
            <w:vAlign w:val="center"/>
            <w:hideMark/>
          </w:tcPr>
          <w:p w14:paraId="0766586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0</w:t>
            </w:r>
          </w:p>
        </w:tc>
      </w:tr>
      <w:tr w:rsidR="000D7B97" w:rsidRPr="00104596" w14:paraId="44CAEA22"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14933203"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Primero de Familia de San José</w:t>
            </w:r>
          </w:p>
        </w:tc>
        <w:tc>
          <w:tcPr>
            <w:tcW w:w="515" w:type="pct"/>
            <w:tcBorders>
              <w:top w:val="nil"/>
              <w:left w:val="nil"/>
              <w:bottom w:val="single" w:sz="8" w:space="0" w:color="auto"/>
              <w:right w:val="single" w:sz="8" w:space="0" w:color="auto"/>
            </w:tcBorders>
            <w:shd w:val="clear" w:color="auto" w:fill="auto"/>
            <w:noWrap/>
            <w:vAlign w:val="center"/>
            <w:hideMark/>
          </w:tcPr>
          <w:p w14:paraId="6DF26AA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141</w:t>
            </w:r>
          </w:p>
        </w:tc>
        <w:tc>
          <w:tcPr>
            <w:tcW w:w="485" w:type="pct"/>
            <w:tcBorders>
              <w:top w:val="nil"/>
              <w:left w:val="nil"/>
              <w:bottom w:val="single" w:sz="8" w:space="0" w:color="auto"/>
              <w:right w:val="single" w:sz="8" w:space="0" w:color="auto"/>
            </w:tcBorders>
            <w:shd w:val="clear" w:color="auto" w:fill="auto"/>
            <w:noWrap/>
            <w:vAlign w:val="center"/>
            <w:hideMark/>
          </w:tcPr>
          <w:p w14:paraId="07F1EF59"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130</w:t>
            </w:r>
          </w:p>
        </w:tc>
        <w:tc>
          <w:tcPr>
            <w:tcW w:w="510" w:type="pct"/>
            <w:tcBorders>
              <w:top w:val="nil"/>
              <w:left w:val="nil"/>
              <w:bottom w:val="single" w:sz="8" w:space="0" w:color="auto"/>
              <w:right w:val="single" w:sz="8" w:space="0" w:color="auto"/>
            </w:tcBorders>
            <w:shd w:val="clear" w:color="auto" w:fill="auto"/>
            <w:vAlign w:val="center"/>
            <w:hideMark/>
          </w:tcPr>
          <w:p w14:paraId="6777CDD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92%</w:t>
            </w:r>
          </w:p>
        </w:tc>
        <w:tc>
          <w:tcPr>
            <w:tcW w:w="510" w:type="pct"/>
            <w:tcBorders>
              <w:top w:val="nil"/>
              <w:left w:val="nil"/>
              <w:bottom w:val="single" w:sz="8" w:space="0" w:color="auto"/>
              <w:right w:val="single" w:sz="8" w:space="0" w:color="auto"/>
            </w:tcBorders>
            <w:shd w:val="clear" w:color="auto" w:fill="auto"/>
            <w:noWrap/>
            <w:vAlign w:val="center"/>
            <w:hideMark/>
          </w:tcPr>
          <w:p w14:paraId="7A1FDCB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auto" w:fill="auto"/>
            <w:noWrap/>
            <w:vAlign w:val="center"/>
            <w:hideMark/>
          </w:tcPr>
          <w:p w14:paraId="3364044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5</w:t>
            </w:r>
          </w:p>
        </w:tc>
        <w:tc>
          <w:tcPr>
            <w:tcW w:w="510" w:type="pct"/>
            <w:tcBorders>
              <w:top w:val="nil"/>
              <w:left w:val="nil"/>
              <w:bottom w:val="single" w:sz="8" w:space="0" w:color="auto"/>
              <w:right w:val="single" w:sz="8" w:space="0" w:color="auto"/>
            </w:tcBorders>
            <w:shd w:val="clear" w:color="000000" w:fill="DBE5F1"/>
            <w:noWrap/>
            <w:vAlign w:val="center"/>
            <w:hideMark/>
          </w:tcPr>
          <w:p w14:paraId="1F049B2B"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0EC17AC5"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FDE9D9"/>
            <w:noWrap/>
            <w:vAlign w:val="center"/>
            <w:hideMark/>
          </w:tcPr>
          <w:p w14:paraId="2F8F893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c>
          <w:tcPr>
            <w:tcW w:w="465" w:type="pct"/>
            <w:tcBorders>
              <w:top w:val="nil"/>
              <w:left w:val="nil"/>
              <w:bottom w:val="single" w:sz="8" w:space="0" w:color="auto"/>
              <w:right w:val="single" w:sz="8" w:space="0" w:color="auto"/>
            </w:tcBorders>
            <w:shd w:val="clear" w:color="000000" w:fill="FDE9D9"/>
            <w:noWrap/>
            <w:vAlign w:val="center"/>
            <w:hideMark/>
          </w:tcPr>
          <w:p w14:paraId="3090F9C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r>
      <w:tr w:rsidR="000D7B97" w:rsidRPr="00104596" w14:paraId="12DDC649" w14:textId="77777777" w:rsidTr="001D0C10">
        <w:trPr>
          <w:trHeight w:val="360"/>
        </w:trPr>
        <w:tc>
          <w:tcPr>
            <w:tcW w:w="566" w:type="pct"/>
            <w:tcBorders>
              <w:top w:val="nil"/>
              <w:left w:val="single" w:sz="8" w:space="0" w:color="auto"/>
              <w:bottom w:val="single" w:sz="8" w:space="0" w:color="auto"/>
              <w:right w:val="single" w:sz="8" w:space="0" w:color="auto"/>
            </w:tcBorders>
            <w:shd w:val="clear" w:color="auto" w:fill="auto"/>
            <w:vAlign w:val="center"/>
            <w:hideMark/>
          </w:tcPr>
          <w:p w14:paraId="378505F3" w14:textId="77777777" w:rsidR="00104596" w:rsidRPr="00104596" w:rsidRDefault="00104596" w:rsidP="00104596">
            <w:pPr>
              <w:spacing w:after="0" w:line="240" w:lineRule="auto"/>
              <w:rPr>
                <w:rFonts w:ascii="Book Antiqua" w:eastAsia="Times New Roman" w:hAnsi="Book Antiqua" w:cs="Calibri"/>
                <w:b/>
                <w:bCs/>
                <w:color w:val="000000"/>
                <w:lang w:eastAsia="es-CR"/>
              </w:rPr>
            </w:pPr>
            <w:r w:rsidRPr="00104596">
              <w:rPr>
                <w:rFonts w:ascii="Book Antiqua" w:eastAsia="Times New Roman" w:hAnsi="Book Antiqua" w:cs="Calibri"/>
                <w:b/>
                <w:bCs/>
                <w:color w:val="000000"/>
                <w:lang w:eastAsia="es-CR"/>
              </w:rPr>
              <w:t>Juzgado Segundo de Familia de San José</w:t>
            </w:r>
          </w:p>
        </w:tc>
        <w:tc>
          <w:tcPr>
            <w:tcW w:w="515" w:type="pct"/>
            <w:tcBorders>
              <w:top w:val="nil"/>
              <w:left w:val="nil"/>
              <w:bottom w:val="single" w:sz="8" w:space="0" w:color="auto"/>
              <w:right w:val="single" w:sz="8" w:space="0" w:color="auto"/>
            </w:tcBorders>
            <w:shd w:val="clear" w:color="auto" w:fill="auto"/>
            <w:noWrap/>
            <w:vAlign w:val="center"/>
            <w:hideMark/>
          </w:tcPr>
          <w:p w14:paraId="05420ED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134</w:t>
            </w:r>
          </w:p>
        </w:tc>
        <w:tc>
          <w:tcPr>
            <w:tcW w:w="485" w:type="pct"/>
            <w:tcBorders>
              <w:top w:val="nil"/>
              <w:left w:val="nil"/>
              <w:bottom w:val="single" w:sz="8" w:space="0" w:color="auto"/>
              <w:right w:val="single" w:sz="8" w:space="0" w:color="auto"/>
            </w:tcBorders>
            <w:shd w:val="clear" w:color="auto" w:fill="auto"/>
            <w:noWrap/>
            <w:vAlign w:val="center"/>
            <w:hideMark/>
          </w:tcPr>
          <w:p w14:paraId="523F7C6F"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137</w:t>
            </w:r>
          </w:p>
        </w:tc>
        <w:tc>
          <w:tcPr>
            <w:tcW w:w="510" w:type="pct"/>
            <w:tcBorders>
              <w:top w:val="nil"/>
              <w:left w:val="nil"/>
              <w:bottom w:val="single" w:sz="8" w:space="0" w:color="auto"/>
              <w:right w:val="single" w:sz="8" w:space="0" w:color="auto"/>
            </w:tcBorders>
            <w:shd w:val="clear" w:color="auto" w:fill="auto"/>
            <w:vAlign w:val="center"/>
            <w:hideMark/>
          </w:tcPr>
          <w:p w14:paraId="6895889C"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102%</w:t>
            </w:r>
          </w:p>
        </w:tc>
        <w:tc>
          <w:tcPr>
            <w:tcW w:w="510" w:type="pct"/>
            <w:tcBorders>
              <w:top w:val="nil"/>
              <w:left w:val="nil"/>
              <w:bottom w:val="single" w:sz="8" w:space="0" w:color="auto"/>
              <w:right w:val="single" w:sz="8" w:space="0" w:color="auto"/>
            </w:tcBorders>
            <w:shd w:val="clear" w:color="auto" w:fill="auto"/>
            <w:noWrap/>
            <w:vAlign w:val="center"/>
            <w:hideMark/>
          </w:tcPr>
          <w:p w14:paraId="4BA6C427"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465" w:type="pct"/>
            <w:tcBorders>
              <w:top w:val="nil"/>
              <w:left w:val="nil"/>
              <w:bottom w:val="single" w:sz="8" w:space="0" w:color="auto"/>
              <w:right w:val="single" w:sz="8" w:space="0" w:color="auto"/>
            </w:tcBorders>
            <w:shd w:val="clear" w:color="auto" w:fill="auto"/>
            <w:noWrap/>
            <w:vAlign w:val="center"/>
            <w:hideMark/>
          </w:tcPr>
          <w:p w14:paraId="57BFF331"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5</w:t>
            </w:r>
          </w:p>
        </w:tc>
        <w:tc>
          <w:tcPr>
            <w:tcW w:w="510" w:type="pct"/>
            <w:tcBorders>
              <w:top w:val="nil"/>
              <w:left w:val="nil"/>
              <w:bottom w:val="single" w:sz="8" w:space="0" w:color="auto"/>
              <w:right w:val="single" w:sz="8" w:space="0" w:color="auto"/>
            </w:tcBorders>
            <w:shd w:val="clear" w:color="000000" w:fill="DBE5F1"/>
            <w:noWrap/>
            <w:vAlign w:val="center"/>
            <w:hideMark/>
          </w:tcPr>
          <w:p w14:paraId="79E195A2"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c>
          <w:tcPr>
            <w:tcW w:w="465" w:type="pct"/>
            <w:tcBorders>
              <w:top w:val="nil"/>
              <w:left w:val="nil"/>
              <w:bottom w:val="single" w:sz="8" w:space="0" w:color="auto"/>
              <w:right w:val="single" w:sz="8" w:space="0" w:color="auto"/>
            </w:tcBorders>
            <w:shd w:val="clear" w:color="000000" w:fill="DBE5F1"/>
            <w:noWrap/>
            <w:vAlign w:val="center"/>
            <w:hideMark/>
          </w:tcPr>
          <w:p w14:paraId="5E366B33"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3</w:t>
            </w:r>
          </w:p>
        </w:tc>
        <w:tc>
          <w:tcPr>
            <w:tcW w:w="510" w:type="pct"/>
            <w:tcBorders>
              <w:top w:val="nil"/>
              <w:left w:val="nil"/>
              <w:bottom w:val="single" w:sz="8" w:space="0" w:color="auto"/>
              <w:right w:val="single" w:sz="8" w:space="0" w:color="auto"/>
            </w:tcBorders>
            <w:shd w:val="clear" w:color="000000" w:fill="FDE9D9"/>
            <w:noWrap/>
            <w:vAlign w:val="center"/>
            <w:hideMark/>
          </w:tcPr>
          <w:p w14:paraId="68BB6D66"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-1</w:t>
            </w:r>
          </w:p>
        </w:tc>
        <w:tc>
          <w:tcPr>
            <w:tcW w:w="465" w:type="pct"/>
            <w:tcBorders>
              <w:top w:val="nil"/>
              <w:left w:val="nil"/>
              <w:bottom w:val="single" w:sz="8" w:space="0" w:color="auto"/>
              <w:right w:val="single" w:sz="8" w:space="0" w:color="auto"/>
            </w:tcBorders>
            <w:shd w:val="clear" w:color="000000" w:fill="FDE9D9"/>
            <w:noWrap/>
            <w:vAlign w:val="center"/>
            <w:hideMark/>
          </w:tcPr>
          <w:p w14:paraId="7960D524" w14:textId="77777777" w:rsidR="00104596" w:rsidRPr="00104596" w:rsidRDefault="00104596" w:rsidP="00104596">
            <w:pPr>
              <w:spacing w:after="0" w:line="240" w:lineRule="auto"/>
              <w:jc w:val="center"/>
              <w:rPr>
                <w:rFonts w:ascii="Book Antiqua" w:eastAsia="Times New Roman" w:hAnsi="Book Antiqua" w:cs="Calibri"/>
                <w:color w:val="000000"/>
                <w:lang w:eastAsia="es-CR"/>
              </w:rPr>
            </w:pPr>
            <w:r w:rsidRPr="00104596">
              <w:rPr>
                <w:rFonts w:ascii="Book Antiqua" w:eastAsia="Times New Roman" w:hAnsi="Book Antiqua" w:cs="Calibri"/>
                <w:color w:val="000000"/>
                <w:lang w:eastAsia="es-CR"/>
              </w:rPr>
              <w:t>-2</w:t>
            </w:r>
          </w:p>
        </w:tc>
      </w:tr>
    </w:tbl>
    <w:p w14:paraId="56DCBFE4" w14:textId="507B8CCE" w:rsidR="002C37D8" w:rsidRPr="007D1FD9" w:rsidRDefault="007D1FD9" w:rsidP="007D1FD9">
      <w:pPr>
        <w:keepNext/>
        <w:numPr>
          <w:ilvl w:val="12"/>
          <w:numId w:val="0"/>
        </w:numPr>
        <w:spacing w:after="0" w:line="276" w:lineRule="auto"/>
        <w:rPr>
          <w:rFonts w:ascii="Book Antiqua" w:eastAsia="Calibri" w:hAnsi="Book Antiqua" w:cs="Arial"/>
          <w:i/>
          <w:iCs/>
          <w:sz w:val="20"/>
          <w:szCs w:val="20"/>
          <w:lang w:val="es-ES" w:eastAsia="es-ES"/>
        </w:rPr>
      </w:pPr>
      <w:r w:rsidRPr="007D1FD9">
        <w:rPr>
          <w:rFonts w:ascii="Book Antiqua" w:eastAsia="Calibri" w:hAnsi="Book Antiqua" w:cs="Arial"/>
          <w:i/>
          <w:iCs/>
          <w:sz w:val="20"/>
          <w:szCs w:val="20"/>
          <w:lang w:val="es-ES" w:eastAsia="es-ES"/>
        </w:rPr>
        <w:t>Fuente: Modernización Institucional de la Dirección de Planificación. Los caso entrados y terminados incluye: Principales, Reentrados, Incidentes y Segunda Instancia.</w:t>
      </w:r>
    </w:p>
    <w:p w14:paraId="56B70F0E" w14:textId="47C971EA" w:rsidR="007D1FD9" w:rsidRDefault="007D1FD9" w:rsidP="002C37D8">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70BAC723" w14:textId="0340149B" w:rsidR="000379A3" w:rsidRDefault="002C37D8" w:rsidP="002C37D8">
      <w:pPr>
        <w:spacing w:after="0" w:line="276" w:lineRule="auto"/>
        <w:jc w:val="both"/>
        <w:rPr>
          <w:rFonts w:ascii="Book Antiqua" w:eastAsia="Calibri" w:hAnsi="Book Antiqua" w:cs="Arial"/>
          <w:sz w:val="24"/>
          <w:szCs w:val="24"/>
        </w:rPr>
      </w:pPr>
      <w:r w:rsidRPr="002C37D8">
        <w:rPr>
          <w:rFonts w:ascii="Book Antiqua" w:eastAsia="Calibri" w:hAnsi="Book Antiqua" w:cs="Arial"/>
          <w:sz w:val="24"/>
          <w:szCs w:val="24"/>
        </w:rPr>
        <w:t xml:space="preserve">De los resultados anteriores se identifica que el Juzgado de Familia de </w:t>
      </w:r>
      <w:r w:rsidRPr="00D56F74">
        <w:rPr>
          <w:rFonts w:ascii="Book Antiqua" w:eastAsia="Calibri" w:hAnsi="Book Antiqua" w:cs="Arial"/>
          <w:sz w:val="24"/>
          <w:szCs w:val="24"/>
        </w:rPr>
        <w:t>Cartago</w:t>
      </w:r>
      <w:r w:rsidR="00B432C4">
        <w:rPr>
          <w:rFonts w:ascii="Book Antiqua" w:eastAsia="Calibri" w:hAnsi="Book Antiqua" w:cs="Arial"/>
          <w:sz w:val="24"/>
          <w:szCs w:val="24"/>
        </w:rPr>
        <w:t xml:space="preserve"> y el </w:t>
      </w:r>
      <w:bookmarkStart w:id="27" w:name="_Hlk96073158"/>
      <w:r w:rsidRPr="00D56F74">
        <w:rPr>
          <w:rFonts w:ascii="Book Antiqua" w:eastAsia="Calibri" w:hAnsi="Book Antiqua" w:cs="Arial"/>
          <w:sz w:val="24"/>
          <w:szCs w:val="24"/>
        </w:rPr>
        <w:t xml:space="preserve">Juzgado Familia </w:t>
      </w:r>
      <w:r w:rsidR="00545C67">
        <w:rPr>
          <w:rFonts w:ascii="Book Antiqua" w:eastAsia="Calibri" w:hAnsi="Book Antiqua" w:cs="Arial"/>
          <w:sz w:val="24"/>
          <w:szCs w:val="24"/>
        </w:rPr>
        <w:t xml:space="preserve">del Segundo </w:t>
      </w:r>
      <w:r w:rsidRPr="00D56F74">
        <w:rPr>
          <w:rFonts w:ascii="Book Antiqua" w:eastAsia="Calibri" w:hAnsi="Book Antiqua" w:cs="Arial"/>
          <w:sz w:val="24"/>
          <w:szCs w:val="24"/>
        </w:rPr>
        <w:t>Circuito Judicial de Alajuela</w:t>
      </w:r>
      <w:bookmarkEnd w:id="27"/>
      <w:r w:rsidR="00D56F74" w:rsidRPr="00B432C4">
        <w:rPr>
          <w:rFonts w:ascii="Book Antiqua" w:eastAsia="Calibri" w:hAnsi="Book Antiqua" w:cs="Arial"/>
          <w:sz w:val="24"/>
          <w:szCs w:val="24"/>
        </w:rPr>
        <w:t>, so</w:t>
      </w:r>
      <w:r w:rsidRPr="00B432C4">
        <w:rPr>
          <w:rFonts w:ascii="Book Antiqua" w:eastAsia="Calibri" w:hAnsi="Book Antiqua" w:cs="Arial"/>
          <w:sz w:val="24"/>
          <w:szCs w:val="24"/>
        </w:rPr>
        <w:t>n los únicos que registran necesidad de personas juzgadoras o técnicas judiciales, con</w:t>
      </w:r>
      <w:r w:rsidRPr="002C37D8">
        <w:rPr>
          <w:rFonts w:ascii="Book Antiqua" w:eastAsia="Calibri" w:hAnsi="Book Antiqua" w:cs="Arial"/>
          <w:sz w:val="24"/>
          <w:szCs w:val="24"/>
        </w:rPr>
        <w:t xml:space="preserve"> la variación estimada en los niveles de entrada mensual del nuevo Código Procesal Familia</w:t>
      </w:r>
      <w:r w:rsidR="000379A3">
        <w:rPr>
          <w:rFonts w:ascii="Book Antiqua" w:eastAsia="Calibri" w:hAnsi="Book Antiqua" w:cs="Arial"/>
          <w:sz w:val="24"/>
          <w:szCs w:val="24"/>
        </w:rPr>
        <w:t xml:space="preserve">; por lo que se analizan con mayor detalle en el siguiente apartado. </w:t>
      </w:r>
    </w:p>
    <w:p w14:paraId="4C633B99" w14:textId="77777777" w:rsidR="000379A3" w:rsidRDefault="000379A3" w:rsidP="002C37D8">
      <w:pPr>
        <w:spacing w:after="0" w:line="276" w:lineRule="auto"/>
        <w:jc w:val="both"/>
        <w:rPr>
          <w:rFonts w:ascii="Book Antiqua" w:eastAsia="Calibri" w:hAnsi="Book Antiqua" w:cs="Arial"/>
          <w:sz w:val="24"/>
          <w:szCs w:val="24"/>
        </w:rPr>
      </w:pPr>
    </w:p>
    <w:p w14:paraId="111FAC1A" w14:textId="487673AA" w:rsidR="002C37D8" w:rsidRPr="002C37D8" w:rsidRDefault="002C37D8" w:rsidP="002C37D8">
      <w:pPr>
        <w:spacing w:after="0" w:line="276" w:lineRule="auto"/>
        <w:jc w:val="both"/>
        <w:rPr>
          <w:rFonts w:ascii="Book Antiqua" w:eastAsia="Calibri" w:hAnsi="Book Antiqua" w:cs="Arial"/>
          <w:sz w:val="24"/>
          <w:szCs w:val="24"/>
        </w:rPr>
      </w:pPr>
      <w:r w:rsidRPr="002C37D8">
        <w:rPr>
          <w:rFonts w:ascii="Book Antiqua" w:eastAsia="Calibri" w:hAnsi="Book Antiqua" w:cs="Arial"/>
          <w:sz w:val="24"/>
          <w:szCs w:val="24"/>
        </w:rPr>
        <w:t xml:space="preserve">En los demás casos producto de esta variación no sería necesario incluir recurso humano, por el contrario, según el volumen de ingreso de casos al mes se podría disponer para </w:t>
      </w:r>
      <w:r w:rsidRPr="00D56F74">
        <w:rPr>
          <w:rFonts w:ascii="Book Antiqua" w:eastAsia="Calibri" w:hAnsi="Book Antiqua" w:cs="Arial"/>
          <w:sz w:val="24"/>
          <w:szCs w:val="24"/>
        </w:rPr>
        <w:t xml:space="preserve">reubicar personas juzgadoras en el </w:t>
      </w:r>
      <w:r w:rsidR="00B432C4">
        <w:rPr>
          <w:rFonts w:ascii="Book Antiqua" w:eastAsia="Calibri" w:hAnsi="Book Antiqua" w:cs="Arial"/>
          <w:sz w:val="24"/>
          <w:szCs w:val="24"/>
        </w:rPr>
        <w:t xml:space="preserve">Juzgado de Familia del I Circuito Judicial de la Zona Sur, </w:t>
      </w:r>
      <w:r w:rsidRPr="00D56F74">
        <w:rPr>
          <w:rFonts w:ascii="Book Antiqua" w:eastAsia="Calibri" w:hAnsi="Book Antiqua" w:cs="Arial"/>
          <w:sz w:val="24"/>
          <w:szCs w:val="24"/>
        </w:rPr>
        <w:t xml:space="preserve">Juzgado Primero de Familia de San José y el Juzgado Segundo de Familia de San José, además de personas técnicas judiciales en los Juzgados de Familia de Heredia, </w:t>
      </w:r>
      <w:r w:rsidR="002F0EBD">
        <w:rPr>
          <w:rFonts w:ascii="Book Antiqua" w:eastAsia="Calibri" w:hAnsi="Book Antiqua" w:cs="Arial"/>
          <w:sz w:val="24"/>
          <w:szCs w:val="24"/>
        </w:rPr>
        <w:t xml:space="preserve">del I Circuito Judicial de Alajuela, </w:t>
      </w:r>
      <w:r w:rsidRPr="00D56F74">
        <w:rPr>
          <w:rFonts w:ascii="Book Antiqua" w:eastAsia="Calibri" w:hAnsi="Book Antiqua" w:cs="Arial"/>
          <w:sz w:val="24"/>
          <w:szCs w:val="24"/>
        </w:rPr>
        <w:t xml:space="preserve">del I Circuito Judicial Zona Atlántica, del II Circuito </w:t>
      </w:r>
      <w:r w:rsidR="00E85731" w:rsidRPr="00D56F74">
        <w:rPr>
          <w:rFonts w:ascii="Book Antiqua" w:eastAsia="Calibri" w:hAnsi="Book Antiqua" w:cs="Arial"/>
          <w:sz w:val="24"/>
          <w:szCs w:val="24"/>
        </w:rPr>
        <w:t>j</w:t>
      </w:r>
      <w:r w:rsidRPr="00D56F74">
        <w:rPr>
          <w:rFonts w:ascii="Book Antiqua" w:eastAsia="Calibri" w:hAnsi="Book Antiqua" w:cs="Arial"/>
          <w:sz w:val="24"/>
          <w:szCs w:val="24"/>
        </w:rPr>
        <w:t xml:space="preserve">udicial </w:t>
      </w:r>
      <w:r w:rsidR="00E85731" w:rsidRPr="00D56F74">
        <w:rPr>
          <w:rFonts w:ascii="Book Antiqua" w:eastAsia="Calibri" w:hAnsi="Book Antiqua" w:cs="Arial"/>
          <w:sz w:val="24"/>
          <w:szCs w:val="24"/>
        </w:rPr>
        <w:t>s</w:t>
      </w:r>
      <w:r w:rsidRPr="00D56F74">
        <w:rPr>
          <w:rFonts w:ascii="Book Antiqua" w:eastAsia="Calibri" w:hAnsi="Book Antiqua" w:cs="Arial"/>
          <w:sz w:val="24"/>
          <w:szCs w:val="24"/>
        </w:rPr>
        <w:t>an José (porque</w:t>
      </w:r>
      <w:r w:rsidRPr="002C37D8">
        <w:rPr>
          <w:rFonts w:ascii="Book Antiqua" w:eastAsia="Calibri" w:hAnsi="Book Antiqua" w:cs="Arial"/>
          <w:sz w:val="24"/>
          <w:szCs w:val="24"/>
        </w:rPr>
        <w:t xml:space="preserve"> además de los 7 </w:t>
      </w:r>
      <w:r w:rsidRPr="002C37D8">
        <w:rPr>
          <w:rFonts w:ascii="Book Antiqua" w:eastAsia="Calibri" w:hAnsi="Book Antiqua" w:cs="Arial"/>
          <w:sz w:val="24"/>
          <w:szCs w:val="24"/>
        </w:rPr>
        <w:lastRenderedPageBreak/>
        <w:t xml:space="preserve">técnicos tramitadores dispone de un manifestador y un Auxiliar de </w:t>
      </w:r>
      <w:r>
        <w:rPr>
          <w:rFonts w:ascii="Book Antiqua" w:eastAsia="Calibri" w:hAnsi="Book Antiqua" w:cs="Arial"/>
          <w:sz w:val="24"/>
          <w:szCs w:val="24"/>
        </w:rPr>
        <w:t>S</w:t>
      </w:r>
      <w:r w:rsidRPr="002C37D8">
        <w:rPr>
          <w:rFonts w:ascii="Book Antiqua" w:eastAsia="Calibri" w:hAnsi="Book Antiqua" w:cs="Arial"/>
          <w:sz w:val="24"/>
          <w:szCs w:val="24"/>
        </w:rPr>
        <w:t xml:space="preserve">ervicios </w:t>
      </w:r>
      <w:r>
        <w:rPr>
          <w:rFonts w:ascii="Book Antiqua" w:eastAsia="Calibri" w:hAnsi="Book Antiqua" w:cs="Arial"/>
          <w:sz w:val="24"/>
          <w:szCs w:val="24"/>
        </w:rPr>
        <w:t>G</w:t>
      </w:r>
      <w:r w:rsidRPr="002C37D8">
        <w:rPr>
          <w:rFonts w:ascii="Book Antiqua" w:eastAsia="Calibri" w:hAnsi="Book Antiqua" w:cs="Arial"/>
          <w:sz w:val="24"/>
          <w:szCs w:val="24"/>
        </w:rPr>
        <w:t xml:space="preserve">enerales), y </w:t>
      </w:r>
      <w:r w:rsidRPr="00D56F74">
        <w:rPr>
          <w:rFonts w:ascii="Book Antiqua" w:eastAsia="Calibri" w:hAnsi="Book Antiqua" w:cs="Arial"/>
          <w:sz w:val="24"/>
          <w:szCs w:val="24"/>
        </w:rPr>
        <w:t xml:space="preserve">del Primero y el Segundo de Familia de </w:t>
      </w:r>
      <w:r w:rsidR="00E85731" w:rsidRPr="00D56F74">
        <w:rPr>
          <w:rFonts w:ascii="Book Antiqua" w:eastAsia="Calibri" w:hAnsi="Book Antiqua" w:cs="Arial"/>
          <w:sz w:val="24"/>
          <w:szCs w:val="24"/>
        </w:rPr>
        <w:t>s</w:t>
      </w:r>
      <w:r w:rsidRPr="00D56F74">
        <w:rPr>
          <w:rFonts w:ascii="Book Antiqua" w:eastAsia="Calibri" w:hAnsi="Book Antiqua" w:cs="Arial"/>
          <w:sz w:val="24"/>
          <w:szCs w:val="24"/>
        </w:rPr>
        <w:t>an José, por lo que se procede a analizar dichos despachos en específico.</w:t>
      </w:r>
      <w:r w:rsidRPr="002C37D8">
        <w:rPr>
          <w:rFonts w:ascii="Book Antiqua" w:eastAsia="Calibri" w:hAnsi="Book Antiqua" w:cs="Arial"/>
          <w:sz w:val="24"/>
          <w:szCs w:val="24"/>
        </w:rPr>
        <w:t xml:space="preserve"> </w:t>
      </w:r>
    </w:p>
    <w:p w14:paraId="071A11A1" w14:textId="77777777" w:rsidR="002C37D8" w:rsidRPr="002C37D8" w:rsidRDefault="002C37D8" w:rsidP="002C37D8">
      <w:pPr>
        <w:spacing w:after="0" w:line="276" w:lineRule="auto"/>
        <w:jc w:val="both"/>
        <w:rPr>
          <w:rFonts w:ascii="Book Antiqua" w:eastAsia="Calibri" w:hAnsi="Book Antiqua" w:cs="Arial"/>
          <w:sz w:val="24"/>
          <w:szCs w:val="24"/>
        </w:rPr>
      </w:pPr>
    </w:p>
    <w:p w14:paraId="0E22F91A" w14:textId="04C246BD" w:rsidR="002C37D8" w:rsidRPr="002C37D8" w:rsidRDefault="002C37D8" w:rsidP="002C37D8">
      <w:pPr>
        <w:spacing w:after="0" w:line="276" w:lineRule="auto"/>
        <w:jc w:val="both"/>
        <w:rPr>
          <w:rFonts w:ascii="Book Antiqua" w:eastAsia="Calibri" w:hAnsi="Book Antiqua" w:cs="Arial"/>
          <w:sz w:val="24"/>
          <w:szCs w:val="24"/>
          <w:lang w:val="es-ES"/>
        </w:rPr>
      </w:pPr>
      <w:r w:rsidRPr="00384E3E">
        <w:rPr>
          <w:rFonts w:ascii="Book Antiqua" w:eastAsia="Calibri" w:hAnsi="Book Antiqua" w:cs="Arial"/>
          <w:sz w:val="24"/>
          <w:szCs w:val="24"/>
        </w:rPr>
        <w:t>Es importante indicar que para efectos de este informe no se planteará la reubicación de personas juzgadoras o técnicas judiciales, bajo el entendido que al mantener estas personas e</w:t>
      </w:r>
      <w:r w:rsidR="0032739F" w:rsidRPr="00384E3E">
        <w:rPr>
          <w:rFonts w:ascii="Book Antiqua" w:eastAsia="Calibri" w:hAnsi="Book Antiqua" w:cs="Arial"/>
          <w:sz w:val="24"/>
          <w:szCs w:val="24"/>
        </w:rPr>
        <w:t>n</w:t>
      </w:r>
      <w:r w:rsidRPr="00384E3E">
        <w:rPr>
          <w:rFonts w:ascii="Book Antiqua" w:eastAsia="Calibri" w:hAnsi="Book Antiqua" w:cs="Arial"/>
          <w:sz w:val="24"/>
          <w:szCs w:val="24"/>
        </w:rPr>
        <w:t xml:space="preserve"> sus despachos se estaría contribuyendo a la reducción del circulante y a la disminución de tiempos en los procesos en sus despachos de manera inmediata, en línea con lo indicado por la Contraloría General de la República, hecho que se comprobará en los abordajes que se realicen a estas oficinas por la Dirección de Planificación y el seguimiento respectivo.</w:t>
      </w:r>
    </w:p>
    <w:p w14:paraId="6EBB02FB" w14:textId="17CE869C" w:rsidR="002C37D8" w:rsidRDefault="002C37D8" w:rsidP="002C37D8">
      <w:pPr>
        <w:spacing w:after="0" w:line="276" w:lineRule="auto"/>
        <w:jc w:val="both"/>
        <w:rPr>
          <w:rFonts w:ascii="Book Antiqua" w:eastAsia="Calibri" w:hAnsi="Book Antiqua" w:cs="Arial"/>
          <w:sz w:val="24"/>
          <w:szCs w:val="24"/>
        </w:rPr>
      </w:pPr>
    </w:p>
    <w:p w14:paraId="03DF88FA" w14:textId="77777777" w:rsidR="000379A3" w:rsidRPr="004A3198" w:rsidRDefault="000379A3"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 xml:space="preserve">Juzgado </w:t>
      </w:r>
      <w:bookmarkStart w:id="28" w:name="_Hlk31981893"/>
      <w:r w:rsidRPr="004A3198">
        <w:rPr>
          <w:rFonts w:ascii="Book Antiqua" w:eastAsia="Calibri" w:hAnsi="Book Antiqua" w:cs="Arial"/>
          <w:b/>
          <w:bCs/>
          <w:sz w:val="24"/>
          <w:szCs w:val="24"/>
        </w:rPr>
        <w:t>de Familia de Cartago</w:t>
      </w:r>
      <w:bookmarkEnd w:id="28"/>
    </w:p>
    <w:p w14:paraId="4018302C" w14:textId="77777777" w:rsidR="004A3198" w:rsidRDefault="004A3198" w:rsidP="000379A3">
      <w:pPr>
        <w:spacing w:after="0" w:line="276" w:lineRule="auto"/>
        <w:jc w:val="both"/>
        <w:rPr>
          <w:rFonts w:ascii="Book Antiqua" w:eastAsia="Calibri" w:hAnsi="Book Antiqua" w:cs="Arial"/>
          <w:sz w:val="24"/>
          <w:szCs w:val="24"/>
        </w:rPr>
      </w:pPr>
    </w:p>
    <w:p w14:paraId="31967E37" w14:textId="7FCB94CB" w:rsidR="000379A3" w:rsidRDefault="000379A3" w:rsidP="000379A3">
      <w:pPr>
        <w:spacing w:after="0" w:line="276" w:lineRule="auto"/>
        <w:jc w:val="both"/>
        <w:rPr>
          <w:rFonts w:ascii="Book Antiqua" w:eastAsia="Calibri" w:hAnsi="Book Antiqua" w:cs="Arial"/>
          <w:sz w:val="24"/>
          <w:szCs w:val="24"/>
        </w:rPr>
      </w:pPr>
      <w:r w:rsidRPr="009D59D7">
        <w:rPr>
          <w:rFonts w:ascii="Book Antiqua" w:eastAsia="Calibri" w:hAnsi="Book Antiqua" w:cs="Arial"/>
          <w:sz w:val="24"/>
          <w:szCs w:val="24"/>
        </w:rPr>
        <w:t>En el caso del Juzgado de Familia de Cartago cuenta actualmente con 3 recursos de persona juzgadora (informe 628-PLA-EV-2020).  El Juzgado de Familia de Cartago es el que registra mayor cantidad de casos entrados en la actualidad por persona juzgadora de todo el país con 125 casos en promedio al mes</w:t>
      </w:r>
      <w:r>
        <w:rPr>
          <w:rFonts w:ascii="Book Antiqua" w:eastAsia="Calibri" w:hAnsi="Book Antiqua" w:cs="Arial"/>
          <w:sz w:val="24"/>
          <w:szCs w:val="24"/>
        </w:rPr>
        <w:t>. Conforme a esa carga</w:t>
      </w:r>
      <w:r w:rsidRPr="009D59D7">
        <w:rPr>
          <w:rFonts w:ascii="Book Antiqua" w:eastAsia="Calibri" w:hAnsi="Book Antiqua" w:cs="Arial"/>
          <w:sz w:val="24"/>
          <w:szCs w:val="24"/>
        </w:rPr>
        <w:t xml:space="preserve"> </w:t>
      </w:r>
      <w:r>
        <w:rPr>
          <w:rFonts w:ascii="Book Antiqua" w:eastAsia="Calibri" w:hAnsi="Book Antiqua" w:cs="Arial"/>
          <w:sz w:val="24"/>
          <w:szCs w:val="24"/>
        </w:rPr>
        <w:t xml:space="preserve">se estaría ante la necesidad </w:t>
      </w:r>
      <w:r w:rsidRPr="009D59D7">
        <w:rPr>
          <w:rFonts w:ascii="Book Antiqua" w:eastAsia="Calibri" w:hAnsi="Book Antiqua" w:cs="Arial"/>
          <w:sz w:val="24"/>
          <w:szCs w:val="24"/>
        </w:rPr>
        <w:t xml:space="preserve">de crear la plaza de Jueza o Juez 3 </w:t>
      </w:r>
      <w:r w:rsidR="00E32E75">
        <w:rPr>
          <w:rFonts w:ascii="Book Antiqua" w:eastAsia="Calibri" w:hAnsi="Book Antiqua" w:cs="Arial"/>
          <w:sz w:val="24"/>
          <w:szCs w:val="24"/>
        </w:rPr>
        <w:t xml:space="preserve">y 2 de persona técnica judicial </w:t>
      </w:r>
      <w:r w:rsidRPr="009D59D7">
        <w:rPr>
          <w:rFonts w:ascii="Book Antiqua" w:eastAsia="Calibri" w:hAnsi="Book Antiqua" w:cs="Arial"/>
          <w:sz w:val="24"/>
          <w:szCs w:val="24"/>
        </w:rPr>
        <w:t>con la entrada del nuevo Código Procesal de Familia</w:t>
      </w:r>
      <w:r>
        <w:rPr>
          <w:rFonts w:ascii="Book Antiqua" w:eastAsia="Calibri" w:hAnsi="Book Antiqua" w:cs="Arial"/>
          <w:sz w:val="24"/>
          <w:szCs w:val="24"/>
        </w:rPr>
        <w:t xml:space="preserve"> según el análisis macro del cuadro anterior. </w:t>
      </w:r>
    </w:p>
    <w:p w14:paraId="43FCD898" w14:textId="77777777" w:rsidR="00E32E75" w:rsidRDefault="000379A3" w:rsidP="00E32E7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Sin embargo, al analizar en detalle la oficina, </w:t>
      </w:r>
      <w:r w:rsidR="00E32E75">
        <w:rPr>
          <w:rFonts w:ascii="Book Antiqua" w:eastAsia="Calibri" w:hAnsi="Book Antiqua" w:cs="Arial"/>
          <w:sz w:val="24"/>
          <w:szCs w:val="24"/>
        </w:rPr>
        <w:t>la cual reporta un</w:t>
      </w:r>
      <w:r w:rsidR="00E32E75" w:rsidRPr="009D59D7">
        <w:rPr>
          <w:rFonts w:ascii="Book Antiqua" w:eastAsia="Calibri" w:hAnsi="Book Antiqua" w:cs="Arial"/>
          <w:sz w:val="24"/>
          <w:szCs w:val="24"/>
        </w:rPr>
        <w:t xml:space="preserve"> excelente rendimiento de las personas juzgadoras a través del tiempo, registrando en promedio 117 casos terminados por Jueza o Juez, un 93% superior al valor promedio registrado por los demás despachos para las personas juzgadoras (65), razón por la que no se considera necesario la inclusión de este nuevo recurso. Lo anterior bajo el entendido que no se varíe el recurso humano (Juezas o Jueces) en este despacho, situación que, si se diera, entonces se requeriría una nueva valoración de condiciones para justificar o no la necesidad de incluir la persona juzgadora identificada anteriormente para completar la estructura de trabajo</w:t>
      </w:r>
      <w:r w:rsidR="00E32E75">
        <w:rPr>
          <w:rFonts w:ascii="Book Antiqua" w:eastAsia="Calibri" w:hAnsi="Book Antiqua" w:cs="Arial"/>
          <w:sz w:val="24"/>
          <w:szCs w:val="24"/>
        </w:rPr>
        <w:t xml:space="preserve"> y tampoco el recurso de apoyo. </w:t>
      </w:r>
    </w:p>
    <w:p w14:paraId="5FD02016" w14:textId="7D24E312" w:rsidR="000379A3" w:rsidRPr="009D59D7" w:rsidRDefault="00E32E75" w:rsidP="00E32E7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Lo anterior considerando además, visualizar el impacto en la carga de trabajo de esta oficina a partir del 1 de octubre de 2022, </w:t>
      </w:r>
      <w:r w:rsidR="00562911">
        <w:rPr>
          <w:rFonts w:ascii="Book Antiqua" w:eastAsia="Calibri" w:hAnsi="Book Antiqua" w:cs="Arial"/>
          <w:sz w:val="24"/>
          <w:szCs w:val="24"/>
        </w:rPr>
        <w:t>fecha a</w:t>
      </w:r>
      <w:r>
        <w:rPr>
          <w:rFonts w:ascii="Book Antiqua" w:eastAsia="Calibri" w:hAnsi="Book Antiqua" w:cs="Arial"/>
          <w:sz w:val="24"/>
          <w:szCs w:val="24"/>
        </w:rPr>
        <w:t xml:space="preserve"> partir de la cual ya no conocerán las Apelaciones de “pensiones provisionales” que para 2021 representó una entrada de 448 casos.  Así como la eventual creación de un </w:t>
      </w:r>
      <w:r w:rsidR="00562911">
        <w:rPr>
          <w:rFonts w:ascii="Book Antiqua" w:eastAsia="Calibri" w:hAnsi="Book Antiqua" w:cs="Arial"/>
          <w:sz w:val="24"/>
          <w:szCs w:val="24"/>
        </w:rPr>
        <w:t>J</w:t>
      </w:r>
      <w:r>
        <w:rPr>
          <w:rFonts w:ascii="Book Antiqua" w:eastAsia="Calibri" w:hAnsi="Book Antiqua" w:cs="Arial"/>
          <w:sz w:val="24"/>
          <w:szCs w:val="24"/>
        </w:rPr>
        <w:t xml:space="preserve">uzgado de Familia que pueda </w:t>
      </w:r>
      <w:r>
        <w:rPr>
          <w:rFonts w:ascii="Book Antiqua" w:eastAsia="Calibri" w:hAnsi="Book Antiqua" w:cs="Arial"/>
          <w:sz w:val="24"/>
          <w:szCs w:val="24"/>
        </w:rPr>
        <w:lastRenderedPageBreak/>
        <w:t xml:space="preserve">conocer toda la segunda instancia de este juzgado que podría representar perder </w:t>
      </w:r>
      <w:r w:rsidR="00562911">
        <w:rPr>
          <w:rFonts w:ascii="Book Antiqua" w:eastAsia="Calibri" w:hAnsi="Book Antiqua" w:cs="Arial"/>
          <w:sz w:val="24"/>
          <w:szCs w:val="24"/>
        </w:rPr>
        <w:t>no 448 asuntos sino en promedio 573</w:t>
      </w:r>
      <w:r w:rsidR="00562911">
        <w:rPr>
          <w:rStyle w:val="Refdenotaalpie"/>
          <w:rFonts w:ascii="Book Antiqua" w:eastAsia="Calibri" w:hAnsi="Book Antiqua" w:cs="Arial"/>
          <w:sz w:val="24"/>
          <w:szCs w:val="24"/>
        </w:rPr>
        <w:footnoteReference w:id="12"/>
      </w:r>
      <w:r w:rsidR="00E659AD">
        <w:rPr>
          <w:rFonts w:ascii="Book Antiqua" w:eastAsia="Calibri" w:hAnsi="Book Antiqua" w:cs="Arial"/>
          <w:sz w:val="24"/>
          <w:szCs w:val="24"/>
        </w:rPr>
        <w:t>, lo cual equival</w:t>
      </w:r>
      <w:r w:rsidR="00B0711E">
        <w:rPr>
          <w:rFonts w:ascii="Book Antiqua" w:eastAsia="Calibri" w:hAnsi="Book Antiqua" w:cs="Arial"/>
          <w:sz w:val="24"/>
          <w:szCs w:val="24"/>
        </w:rPr>
        <w:t>e a un 24%, prácticamente lo equivalente a un recurso de persona juzgadora.</w:t>
      </w:r>
    </w:p>
    <w:p w14:paraId="7149FB8B" w14:textId="76BEADD1" w:rsidR="000379A3" w:rsidRDefault="000379A3" w:rsidP="002C37D8">
      <w:pPr>
        <w:spacing w:after="0" w:line="276" w:lineRule="auto"/>
        <w:jc w:val="both"/>
        <w:rPr>
          <w:rFonts w:ascii="Book Antiqua" w:eastAsia="Calibri" w:hAnsi="Book Antiqua" w:cs="Arial"/>
          <w:sz w:val="24"/>
          <w:szCs w:val="24"/>
        </w:rPr>
      </w:pPr>
    </w:p>
    <w:p w14:paraId="4EFA6129" w14:textId="419248EA" w:rsidR="00CD33BA" w:rsidRPr="004A3198" w:rsidRDefault="00CD33BA"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Juzgado Familia del Segundo Circuito Judicial de Alajuela</w:t>
      </w:r>
    </w:p>
    <w:p w14:paraId="2B078DA9" w14:textId="77777777" w:rsidR="004A3198" w:rsidRDefault="004A3198" w:rsidP="004823B4">
      <w:pPr>
        <w:spacing w:line="276" w:lineRule="auto"/>
        <w:jc w:val="both"/>
        <w:rPr>
          <w:rFonts w:ascii="Book Antiqua" w:eastAsia="Calibri" w:hAnsi="Book Antiqua" w:cs="Arial"/>
          <w:sz w:val="24"/>
          <w:szCs w:val="24"/>
        </w:rPr>
      </w:pPr>
    </w:p>
    <w:p w14:paraId="5E34FD15" w14:textId="04221836" w:rsidR="00CD33BA" w:rsidRPr="009D59D7" w:rsidRDefault="00CD33BA" w:rsidP="004823B4">
      <w:pPr>
        <w:spacing w:line="276" w:lineRule="auto"/>
        <w:jc w:val="both"/>
        <w:rPr>
          <w:rFonts w:ascii="Book Antiqua" w:eastAsia="Calibri" w:hAnsi="Book Antiqua" w:cs="Arial"/>
          <w:sz w:val="24"/>
          <w:szCs w:val="24"/>
        </w:rPr>
      </w:pPr>
      <w:r w:rsidRPr="009D59D7">
        <w:rPr>
          <w:rFonts w:ascii="Book Antiqua" w:eastAsia="Calibri" w:hAnsi="Book Antiqua" w:cs="Arial"/>
          <w:sz w:val="24"/>
          <w:szCs w:val="24"/>
        </w:rPr>
        <w:t xml:space="preserve">El Juzgado Familia del Segundo Circuito Judicial de Alajuela, San Carlos, registra en promedio </w:t>
      </w:r>
      <w:r w:rsidR="0035192D" w:rsidRPr="009D59D7">
        <w:rPr>
          <w:rFonts w:ascii="Book Antiqua" w:eastAsia="Calibri" w:hAnsi="Book Antiqua" w:cs="Arial"/>
          <w:sz w:val="24"/>
          <w:szCs w:val="24"/>
        </w:rPr>
        <w:t>53</w:t>
      </w:r>
      <w:r w:rsidRPr="009D59D7">
        <w:rPr>
          <w:rFonts w:ascii="Book Antiqua" w:eastAsia="Calibri" w:hAnsi="Book Antiqua" w:cs="Arial"/>
          <w:sz w:val="24"/>
          <w:szCs w:val="24"/>
        </w:rPr>
        <w:t xml:space="preserve"> casos terminados por Jueza o Juez , lo que representa un 1</w:t>
      </w:r>
      <w:r w:rsidR="0035192D" w:rsidRPr="009D59D7">
        <w:rPr>
          <w:rFonts w:ascii="Book Antiqua" w:eastAsia="Calibri" w:hAnsi="Book Antiqua" w:cs="Arial"/>
          <w:sz w:val="24"/>
          <w:szCs w:val="24"/>
        </w:rPr>
        <w:t>5</w:t>
      </w:r>
      <w:r w:rsidRPr="009D59D7">
        <w:rPr>
          <w:rFonts w:ascii="Book Antiqua" w:eastAsia="Calibri" w:hAnsi="Book Antiqua" w:cs="Arial"/>
          <w:sz w:val="24"/>
          <w:szCs w:val="24"/>
        </w:rPr>
        <w:t xml:space="preserve">% inferior al promedio de los demás despachos especializados en materia Familia. En el caso de los técnicos, con una entrada mensual de </w:t>
      </w:r>
      <w:r w:rsidR="007448FF" w:rsidRPr="009D59D7">
        <w:rPr>
          <w:rFonts w:ascii="Book Antiqua" w:eastAsia="Calibri" w:hAnsi="Book Antiqua" w:cs="Arial"/>
          <w:sz w:val="24"/>
          <w:szCs w:val="24"/>
        </w:rPr>
        <w:t xml:space="preserve">48 </w:t>
      </w:r>
      <w:r w:rsidRPr="009D59D7">
        <w:rPr>
          <w:rFonts w:ascii="Book Antiqua" w:eastAsia="Calibri" w:hAnsi="Book Antiqua" w:cs="Arial"/>
          <w:sz w:val="24"/>
          <w:szCs w:val="24"/>
        </w:rPr>
        <w:t xml:space="preserve">asuntos por plaza se ajustan al promedio nacional.  </w:t>
      </w:r>
    </w:p>
    <w:p w14:paraId="6A990B20" w14:textId="4FFEC66C" w:rsidR="00AF5DE5" w:rsidRDefault="00CD33BA" w:rsidP="00AF5DE5">
      <w:pPr>
        <w:keepNext/>
        <w:numPr>
          <w:ilvl w:val="12"/>
          <w:numId w:val="0"/>
        </w:numPr>
        <w:spacing w:after="0" w:line="276" w:lineRule="auto"/>
        <w:jc w:val="both"/>
        <w:rPr>
          <w:rFonts w:ascii="Book Antiqua" w:eastAsia="Calibri" w:hAnsi="Book Antiqua" w:cs="Arial"/>
          <w:sz w:val="24"/>
          <w:szCs w:val="24"/>
        </w:rPr>
      </w:pPr>
      <w:r w:rsidRPr="009D59D7">
        <w:rPr>
          <w:rFonts w:ascii="Book Antiqua" w:eastAsia="Calibri" w:hAnsi="Book Antiqua" w:cs="Arial"/>
          <w:sz w:val="24"/>
          <w:szCs w:val="24"/>
        </w:rPr>
        <w:t xml:space="preserve">Se compara la entrada mensual una vez que se desjudicialicen procesos y se divide contra </w:t>
      </w:r>
      <w:r w:rsidR="007448FF" w:rsidRPr="009D59D7">
        <w:rPr>
          <w:rFonts w:ascii="Book Antiqua" w:eastAsia="Calibri" w:hAnsi="Book Antiqua" w:cs="Arial"/>
          <w:sz w:val="24"/>
          <w:szCs w:val="24"/>
        </w:rPr>
        <w:t>76</w:t>
      </w:r>
      <w:r w:rsidRPr="009D59D7">
        <w:rPr>
          <w:rFonts w:ascii="Book Antiqua" w:eastAsia="Calibri" w:hAnsi="Book Antiqua" w:cs="Arial"/>
          <w:sz w:val="24"/>
          <w:szCs w:val="24"/>
        </w:rPr>
        <w:t xml:space="preserve"> asuntos por plaza de Judicatura y </w:t>
      </w:r>
      <w:r w:rsidR="007448FF" w:rsidRPr="009D59D7">
        <w:rPr>
          <w:rFonts w:ascii="Book Antiqua" w:eastAsia="Calibri" w:hAnsi="Book Antiqua" w:cs="Arial"/>
          <w:sz w:val="24"/>
          <w:szCs w:val="24"/>
        </w:rPr>
        <w:t>48</w:t>
      </w:r>
      <w:r w:rsidRPr="009D59D7">
        <w:rPr>
          <w:rFonts w:ascii="Book Antiqua" w:eastAsia="Calibri" w:hAnsi="Book Antiqua" w:cs="Arial"/>
          <w:sz w:val="24"/>
          <w:szCs w:val="24"/>
        </w:rPr>
        <w:t xml:space="preserve"> por persona Técnica Judicial, para obtener la cantidad de recurso humano</w:t>
      </w:r>
      <w:r w:rsidR="00AF5DE5">
        <w:rPr>
          <w:rFonts w:ascii="Book Antiqua" w:eastAsia="Calibri" w:hAnsi="Book Antiqua" w:cs="Arial"/>
          <w:sz w:val="24"/>
          <w:szCs w:val="24"/>
        </w:rPr>
        <w:t xml:space="preserve"> </w:t>
      </w:r>
      <w:r w:rsidRPr="009D59D7">
        <w:rPr>
          <w:rFonts w:ascii="Book Antiqua" w:eastAsia="Calibri" w:hAnsi="Book Antiqua" w:cs="Arial"/>
          <w:sz w:val="24"/>
          <w:szCs w:val="24"/>
        </w:rPr>
        <w:t>que se necesita</w:t>
      </w:r>
      <w:r w:rsidR="00AF5DE5">
        <w:rPr>
          <w:rFonts w:ascii="Book Antiqua" w:eastAsia="Calibri" w:hAnsi="Book Antiqua" w:cs="Arial"/>
          <w:sz w:val="24"/>
          <w:szCs w:val="24"/>
        </w:rPr>
        <w:t>.</w:t>
      </w:r>
    </w:p>
    <w:p w14:paraId="78B4DCB2" w14:textId="77777777" w:rsidR="00AF5DE5" w:rsidRDefault="00AF5DE5" w:rsidP="004D306D">
      <w:pPr>
        <w:keepNext/>
        <w:numPr>
          <w:ilvl w:val="12"/>
          <w:numId w:val="0"/>
        </w:numPr>
        <w:spacing w:after="0" w:line="276" w:lineRule="auto"/>
        <w:jc w:val="center"/>
        <w:rPr>
          <w:rFonts w:ascii="Book Antiqua" w:eastAsia="Calibri" w:hAnsi="Book Antiqua" w:cs="Arial"/>
          <w:sz w:val="24"/>
          <w:szCs w:val="24"/>
        </w:rPr>
      </w:pPr>
    </w:p>
    <w:p w14:paraId="69C2B66A" w14:textId="4AB5D945" w:rsidR="00CD33BA" w:rsidRPr="004D306D" w:rsidRDefault="00CD33BA" w:rsidP="004D30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D306D">
        <w:rPr>
          <w:rFonts w:ascii="Book Antiqua" w:eastAsia="Calibri" w:hAnsi="Book Antiqua" w:cs="Arial"/>
          <w:b/>
          <w:bCs/>
          <w:color w:val="1F497D"/>
          <w:szCs w:val="24"/>
          <w:lang w:val="es-ES" w:eastAsia="es-ES"/>
        </w:rPr>
        <w:t xml:space="preserve">Cuadro </w:t>
      </w:r>
      <w:r w:rsidRPr="004D306D">
        <w:rPr>
          <w:rFonts w:ascii="Book Antiqua" w:eastAsia="Calibri" w:hAnsi="Book Antiqua" w:cs="Arial"/>
          <w:b/>
          <w:bCs/>
          <w:color w:val="1F497D"/>
          <w:szCs w:val="24"/>
          <w:lang w:val="es-ES" w:eastAsia="es-ES"/>
        </w:rPr>
        <w:fldChar w:fldCharType="begin"/>
      </w:r>
      <w:r w:rsidRPr="004D306D">
        <w:rPr>
          <w:rFonts w:ascii="Book Antiqua" w:eastAsia="Calibri" w:hAnsi="Book Antiqua" w:cs="Arial"/>
          <w:b/>
          <w:bCs/>
          <w:color w:val="1F497D"/>
          <w:szCs w:val="24"/>
          <w:lang w:val="es-ES" w:eastAsia="es-ES"/>
        </w:rPr>
        <w:instrText xml:space="preserve"> SEQ Cuadro \* ARABIC </w:instrText>
      </w:r>
      <w:r w:rsidRPr="004D306D">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25</w:t>
      </w:r>
      <w:r w:rsidRPr="004D306D">
        <w:rPr>
          <w:rFonts w:ascii="Book Antiqua" w:eastAsia="Calibri" w:hAnsi="Book Antiqua" w:cs="Arial"/>
          <w:b/>
          <w:bCs/>
          <w:color w:val="1F497D"/>
          <w:szCs w:val="24"/>
          <w:lang w:val="es-ES" w:eastAsia="es-ES"/>
        </w:rPr>
        <w:fldChar w:fldCharType="end"/>
      </w:r>
    </w:p>
    <w:p w14:paraId="6DDCE1D6" w14:textId="3CFBEAC0" w:rsidR="00CD33BA" w:rsidRPr="004D306D" w:rsidRDefault="00CD33BA" w:rsidP="004D30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D306D">
        <w:rPr>
          <w:rFonts w:ascii="Book Antiqua" w:eastAsia="Calibri" w:hAnsi="Book Antiqua" w:cs="Arial"/>
          <w:b/>
          <w:bCs/>
          <w:color w:val="1F497D"/>
          <w:szCs w:val="24"/>
          <w:lang w:val="es-ES" w:eastAsia="es-ES"/>
        </w:rPr>
        <w:t>Análisis de carga de trabajo para el Juzgado Familia II Circuito Judicial de Alajuela</w:t>
      </w:r>
    </w:p>
    <w:tbl>
      <w:tblPr>
        <w:tblW w:w="5000" w:type="pct"/>
        <w:tblCellMar>
          <w:left w:w="70" w:type="dxa"/>
          <w:right w:w="70" w:type="dxa"/>
        </w:tblCellMar>
        <w:tblLook w:val="04A0" w:firstRow="1" w:lastRow="0" w:firstColumn="1" w:lastColumn="0" w:noHBand="0" w:noVBand="1"/>
      </w:tblPr>
      <w:tblGrid>
        <w:gridCol w:w="5206"/>
        <w:gridCol w:w="1760"/>
        <w:gridCol w:w="1852"/>
      </w:tblGrid>
      <w:tr w:rsidR="009D59D7" w:rsidRPr="009D59D7" w14:paraId="7D7BC005" w14:textId="77777777" w:rsidTr="007448FF">
        <w:trPr>
          <w:trHeight w:val="590"/>
        </w:trPr>
        <w:tc>
          <w:tcPr>
            <w:tcW w:w="2952" w:type="pct"/>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463B885A" w14:textId="186F064B" w:rsidR="007448FF" w:rsidRPr="004D306D" w:rsidRDefault="007448FF" w:rsidP="004D306D">
            <w:pPr>
              <w:spacing w:after="0" w:line="240" w:lineRule="auto"/>
              <w:jc w:val="center"/>
              <w:rPr>
                <w:rFonts w:ascii="Book Antiqua" w:eastAsia="Times New Roman" w:hAnsi="Book Antiqua" w:cs="Calibri"/>
                <w:color w:val="FFFFFF"/>
                <w:lang w:eastAsia="es-CR"/>
              </w:rPr>
            </w:pPr>
            <w:r w:rsidRPr="004D306D">
              <w:rPr>
                <w:rFonts w:ascii="Book Antiqua" w:eastAsia="Times New Roman" w:hAnsi="Book Antiqua" w:cs="Calibri"/>
                <w:color w:val="FFFFFF"/>
                <w:lang w:eastAsia="es-CR"/>
              </w:rPr>
              <w:t>Juzgado Familia II Circuito Judicial de Alajuela</w:t>
            </w:r>
          </w:p>
        </w:tc>
        <w:tc>
          <w:tcPr>
            <w:tcW w:w="998" w:type="pct"/>
            <w:tcBorders>
              <w:top w:val="single" w:sz="8" w:space="0" w:color="auto"/>
              <w:left w:val="nil"/>
              <w:bottom w:val="single" w:sz="8" w:space="0" w:color="auto"/>
              <w:right w:val="single" w:sz="8" w:space="0" w:color="auto"/>
            </w:tcBorders>
            <w:shd w:val="clear" w:color="000000" w:fill="002060"/>
            <w:vAlign w:val="center"/>
            <w:hideMark/>
          </w:tcPr>
          <w:p w14:paraId="74EAAF22" w14:textId="207937DD" w:rsidR="007448FF" w:rsidRPr="004D306D" w:rsidRDefault="007448FF" w:rsidP="004D306D">
            <w:pPr>
              <w:spacing w:after="0" w:line="240" w:lineRule="auto"/>
              <w:jc w:val="center"/>
              <w:rPr>
                <w:rFonts w:ascii="Book Antiqua" w:eastAsia="Times New Roman" w:hAnsi="Book Antiqua" w:cs="Calibri"/>
                <w:color w:val="FFFFFF"/>
                <w:lang w:eastAsia="es-CR"/>
              </w:rPr>
            </w:pPr>
            <w:r w:rsidRPr="004D306D">
              <w:rPr>
                <w:rFonts w:ascii="Book Antiqua" w:eastAsia="Times New Roman" w:hAnsi="Book Antiqua" w:cs="Calibri"/>
                <w:color w:val="FFFFFF"/>
                <w:lang w:eastAsia="es-CR"/>
              </w:rPr>
              <w:t>Personas Juzgadoras</w:t>
            </w:r>
          </w:p>
        </w:tc>
        <w:tc>
          <w:tcPr>
            <w:tcW w:w="1050" w:type="pct"/>
            <w:tcBorders>
              <w:top w:val="single" w:sz="8" w:space="0" w:color="auto"/>
              <w:left w:val="nil"/>
              <w:bottom w:val="single" w:sz="8" w:space="0" w:color="auto"/>
              <w:right w:val="single" w:sz="8" w:space="0" w:color="auto"/>
            </w:tcBorders>
            <w:shd w:val="clear" w:color="000000" w:fill="002060"/>
            <w:vAlign w:val="center"/>
            <w:hideMark/>
          </w:tcPr>
          <w:p w14:paraId="6A4DA9FA" w14:textId="52257243" w:rsidR="007448FF" w:rsidRPr="004D306D" w:rsidRDefault="007448FF" w:rsidP="004D306D">
            <w:pPr>
              <w:spacing w:after="0" w:line="240" w:lineRule="auto"/>
              <w:jc w:val="center"/>
              <w:rPr>
                <w:rFonts w:ascii="Book Antiqua" w:eastAsia="Times New Roman" w:hAnsi="Book Antiqua" w:cs="Calibri"/>
                <w:color w:val="FFFFFF"/>
                <w:lang w:eastAsia="es-CR"/>
              </w:rPr>
            </w:pPr>
            <w:r w:rsidRPr="004D306D">
              <w:rPr>
                <w:rFonts w:ascii="Book Antiqua" w:eastAsia="Times New Roman" w:hAnsi="Book Antiqua" w:cs="Calibri"/>
                <w:color w:val="FFFFFF"/>
                <w:lang w:eastAsia="es-CR"/>
              </w:rPr>
              <w:t>Personas Técnicas Judiciales de Trámite</w:t>
            </w:r>
          </w:p>
        </w:tc>
      </w:tr>
      <w:tr w:rsidR="009D59D7" w:rsidRPr="009D59D7" w14:paraId="0F8273BC" w14:textId="77777777" w:rsidTr="007448FF">
        <w:trPr>
          <w:trHeight w:val="590"/>
        </w:trPr>
        <w:tc>
          <w:tcPr>
            <w:tcW w:w="2952" w:type="pct"/>
            <w:tcBorders>
              <w:top w:val="nil"/>
              <w:left w:val="single" w:sz="8" w:space="0" w:color="auto"/>
              <w:bottom w:val="single" w:sz="8" w:space="0" w:color="auto"/>
              <w:right w:val="single" w:sz="8" w:space="0" w:color="auto"/>
            </w:tcBorders>
            <w:shd w:val="clear" w:color="000000" w:fill="BFBFBF"/>
            <w:vAlign w:val="center"/>
            <w:hideMark/>
          </w:tcPr>
          <w:p w14:paraId="5DA92567" w14:textId="0E71CFFA"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Promedio mensual de Entrada 2017-2021 (estimado con desjudicialización)</w:t>
            </w:r>
          </w:p>
        </w:tc>
        <w:tc>
          <w:tcPr>
            <w:tcW w:w="998" w:type="pct"/>
            <w:tcBorders>
              <w:top w:val="nil"/>
              <w:left w:val="nil"/>
              <w:bottom w:val="single" w:sz="8" w:space="0" w:color="auto"/>
              <w:right w:val="single" w:sz="8" w:space="0" w:color="auto"/>
            </w:tcBorders>
            <w:shd w:val="clear" w:color="auto" w:fill="auto"/>
            <w:noWrap/>
            <w:vAlign w:val="center"/>
            <w:hideMark/>
          </w:tcPr>
          <w:p w14:paraId="3D0CC4E6" w14:textId="3C6CF1D7"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147/2=74</w:t>
            </w:r>
          </w:p>
        </w:tc>
        <w:tc>
          <w:tcPr>
            <w:tcW w:w="1050" w:type="pct"/>
            <w:tcBorders>
              <w:top w:val="nil"/>
              <w:left w:val="nil"/>
              <w:bottom w:val="single" w:sz="8" w:space="0" w:color="auto"/>
              <w:right w:val="single" w:sz="8" w:space="0" w:color="auto"/>
            </w:tcBorders>
            <w:shd w:val="clear" w:color="auto" w:fill="auto"/>
            <w:noWrap/>
            <w:vAlign w:val="center"/>
            <w:hideMark/>
          </w:tcPr>
          <w:p w14:paraId="2DEA7549" w14:textId="56594071"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147/2=74</w:t>
            </w:r>
          </w:p>
        </w:tc>
      </w:tr>
      <w:tr w:rsidR="009D59D7" w:rsidRPr="009D59D7" w14:paraId="1A9EA6C6" w14:textId="77777777" w:rsidTr="007448FF">
        <w:trPr>
          <w:trHeight w:val="300"/>
        </w:trPr>
        <w:tc>
          <w:tcPr>
            <w:tcW w:w="2952" w:type="pct"/>
            <w:tcBorders>
              <w:top w:val="nil"/>
              <w:left w:val="single" w:sz="8" w:space="0" w:color="auto"/>
              <w:bottom w:val="single" w:sz="8" w:space="0" w:color="auto"/>
              <w:right w:val="single" w:sz="8" w:space="0" w:color="auto"/>
            </w:tcBorders>
            <w:shd w:val="clear" w:color="000000" w:fill="BFBFBF"/>
            <w:noWrap/>
            <w:vAlign w:val="center"/>
            <w:hideMark/>
          </w:tcPr>
          <w:p w14:paraId="69AAEBAE" w14:textId="495A56B5"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Promedio mensual de terminado 2017-2021</w:t>
            </w:r>
          </w:p>
        </w:tc>
        <w:tc>
          <w:tcPr>
            <w:tcW w:w="998" w:type="pct"/>
            <w:tcBorders>
              <w:top w:val="nil"/>
              <w:left w:val="nil"/>
              <w:bottom w:val="single" w:sz="8" w:space="0" w:color="auto"/>
              <w:right w:val="single" w:sz="8" w:space="0" w:color="auto"/>
            </w:tcBorders>
            <w:shd w:val="clear" w:color="auto" w:fill="auto"/>
            <w:noWrap/>
            <w:vAlign w:val="center"/>
            <w:hideMark/>
          </w:tcPr>
          <w:p w14:paraId="5D2062FA" w14:textId="5C94622C"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107/2=53</w:t>
            </w:r>
          </w:p>
        </w:tc>
        <w:tc>
          <w:tcPr>
            <w:tcW w:w="1050" w:type="pct"/>
            <w:tcBorders>
              <w:top w:val="nil"/>
              <w:left w:val="nil"/>
              <w:bottom w:val="single" w:sz="8" w:space="0" w:color="auto"/>
              <w:right w:val="single" w:sz="8" w:space="0" w:color="auto"/>
            </w:tcBorders>
            <w:shd w:val="clear" w:color="auto" w:fill="auto"/>
            <w:noWrap/>
            <w:vAlign w:val="center"/>
            <w:hideMark/>
          </w:tcPr>
          <w:p w14:paraId="3E81F8D2" w14:textId="306CFD59"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107/2=53</w:t>
            </w:r>
          </w:p>
        </w:tc>
      </w:tr>
      <w:tr w:rsidR="009D59D7" w:rsidRPr="009D59D7" w14:paraId="5370CB9A" w14:textId="77777777" w:rsidTr="007448FF">
        <w:trPr>
          <w:trHeight w:val="300"/>
        </w:trPr>
        <w:tc>
          <w:tcPr>
            <w:tcW w:w="2952" w:type="pct"/>
            <w:tcBorders>
              <w:top w:val="nil"/>
              <w:left w:val="single" w:sz="8" w:space="0" w:color="auto"/>
              <w:bottom w:val="single" w:sz="8" w:space="0" w:color="auto"/>
              <w:right w:val="single" w:sz="8" w:space="0" w:color="auto"/>
            </w:tcBorders>
            <w:shd w:val="clear" w:color="000000" w:fill="BFBFBF"/>
            <w:noWrap/>
            <w:vAlign w:val="center"/>
            <w:hideMark/>
          </w:tcPr>
          <w:p w14:paraId="1F27BDE7" w14:textId="5C8BCB40"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Circulante al finalizar el 2021</w:t>
            </w:r>
          </w:p>
        </w:tc>
        <w:tc>
          <w:tcPr>
            <w:tcW w:w="204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2AD0F39" w14:textId="1A81F553"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584</w:t>
            </w:r>
          </w:p>
        </w:tc>
      </w:tr>
      <w:tr w:rsidR="009D59D7" w:rsidRPr="009D59D7" w14:paraId="293FAC56" w14:textId="77777777" w:rsidTr="007448FF">
        <w:trPr>
          <w:trHeight w:val="300"/>
        </w:trPr>
        <w:tc>
          <w:tcPr>
            <w:tcW w:w="2952" w:type="pct"/>
            <w:tcBorders>
              <w:top w:val="nil"/>
              <w:left w:val="single" w:sz="8" w:space="0" w:color="auto"/>
              <w:bottom w:val="single" w:sz="8" w:space="0" w:color="auto"/>
              <w:right w:val="single" w:sz="8" w:space="0" w:color="auto"/>
            </w:tcBorders>
            <w:shd w:val="clear" w:color="000000" w:fill="BFBFBF"/>
            <w:noWrap/>
            <w:vAlign w:val="center"/>
            <w:hideMark/>
          </w:tcPr>
          <w:p w14:paraId="7F53B4C7" w14:textId="29BD68C9" w:rsidR="007448FF" w:rsidRPr="004D306D" w:rsidRDefault="007448FF" w:rsidP="004D306D">
            <w:pPr>
              <w:spacing w:after="0" w:line="240" w:lineRule="auto"/>
              <w:rPr>
                <w:rFonts w:ascii="Book Antiqua" w:eastAsia="Times New Roman" w:hAnsi="Book Antiqua" w:cs="Calibri"/>
                <w:b/>
                <w:bCs/>
                <w:color w:val="000000"/>
                <w:sz w:val="20"/>
                <w:szCs w:val="20"/>
                <w:lang w:eastAsia="es-CR"/>
              </w:rPr>
            </w:pPr>
            <w:r w:rsidRPr="004D306D">
              <w:rPr>
                <w:rFonts w:ascii="Book Antiqua" w:eastAsia="Times New Roman" w:hAnsi="Book Antiqua" w:cs="Calibri"/>
                <w:b/>
                <w:bCs/>
                <w:color w:val="000000"/>
                <w:sz w:val="20"/>
                <w:szCs w:val="20"/>
                <w:lang w:eastAsia="es-CR"/>
              </w:rPr>
              <w:t>Relación Salida Entrada</w:t>
            </w:r>
          </w:p>
        </w:tc>
        <w:tc>
          <w:tcPr>
            <w:tcW w:w="204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94B1FF1" w14:textId="0E26E8F3" w:rsidR="007448FF" w:rsidRPr="004D306D" w:rsidRDefault="007448FF" w:rsidP="004D306D">
            <w:pPr>
              <w:spacing w:after="0" w:line="240" w:lineRule="auto"/>
              <w:jc w:val="center"/>
              <w:rPr>
                <w:rFonts w:ascii="Book Antiqua" w:eastAsia="Times New Roman" w:hAnsi="Book Antiqua" w:cs="Calibri"/>
                <w:color w:val="000000"/>
                <w:sz w:val="20"/>
                <w:szCs w:val="20"/>
                <w:lang w:eastAsia="es-CR"/>
              </w:rPr>
            </w:pPr>
            <w:r w:rsidRPr="004D306D">
              <w:rPr>
                <w:rFonts w:ascii="Book Antiqua" w:eastAsia="Times New Roman" w:hAnsi="Book Antiqua" w:cs="Calibri"/>
                <w:color w:val="000000"/>
                <w:sz w:val="20"/>
                <w:szCs w:val="20"/>
                <w:lang w:eastAsia="es-CR"/>
              </w:rPr>
              <w:t>73%</w:t>
            </w:r>
          </w:p>
        </w:tc>
      </w:tr>
      <w:tr w:rsidR="009D59D7" w:rsidRPr="009D59D7" w14:paraId="0AC32D79" w14:textId="77777777" w:rsidTr="007448FF">
        <w:trPr>
          <w:trHeight w:val="590"/>
        </w:trPr>
        <w:tc>
          <w:tcPr>
            <w:tcW w:w="2952" w:type="pct"/>
            <w:tcBorders>
              <w:top w:val="nil"/>
              <w:left w:val="single" w:sz="8" w:space="0" w:color="auto"/>
              <w:bottom w:val="single" w:sz="8" w:space="0" w:color="auto"/>
              <w:right w:val="single" w:sz="8" w:space="0" w:color="auto"/>
            </w:tcBorders>
            <w:shd w:val="clear" w:color="000000" w:fill="BFBFBF"/>
            <w:vAlign w:val="center"/>
            <w:hideMark/>
          </w:tcPr>
          <w:p w14:paraId="641A583D" w14:textId="4FE77B27"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Cantidad de personas con que cuenta el despacho (dedicando a una persona técnica judicial a la manifestación)</w:t>
            </w:r>
          </w:p>
        </w:tc>
        <w:tc>
          <w:tcPr>
            <w:tcW w:w="998" w:type="pct"/>
            <w:tcBorders>
              <w:top w:val="nil"/>
              <w:left w:val="nil"/>
              <w:bottom w:val="single" w:sz="8" w:space="0" w:color="auto"/>
              <w:right w:val="single" w:sz="8" w:space="0" w:color="auto"/>
            </w:tcBorders>
            <w:shd w:val="clear" w:color="auto" w:fill="auto"/>
            <w:noWrap/>
            <w:vAlign w:val="center"/>
            <w:hideMark/>
          </w:tcPr>
          <w:p w14:paraId="61B80AD4" w14:textId="1E8D5E81"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2</w:t>
            </w:r>
          </w:p>
        </w:tc>
        <w:tc>
          <w:tcPr>
            <w:tcW w:w="1050" w:type="pct"/>
            <w:tcBorders>
              <w:top w:val="nil"/>
              <w:left w:val="nil"/>
              <w:bottom w:val="single" w:sz="8" w:space="0" w:color="auto"/>
              <w:right w:val="single" w:sz="8" w:space="0" w:color="auto"/>
            </w:tcBorders>
            <w:shd w:val="clear" w:color="auto" w:fill="auto"/>
            <w:noWrap/>
            <w:vAlign w:val="center"/>
            <w:hideMark/>
          </w:tcPr>
          <w:p w14:paraId="6C844BB8" w14:textId="3798EB84"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2</w:t>
            </w:r>
          </w:p>
        </w:tc>
      </w:tr>
      <w:tr w:rsidR="009D59D7" w:rsidRPr="009D59D7" w14:paraId="7CB42058" w14:textId="77777777" w:rsidTr="007448FF">
        <w:trPr>
          <w:trHeight w:val="300"/>
        </w:trPr>
        <w:tc>
          <w:tcPr>
            <w:tcW w:w="2952" w:type="pct"/>
            <w:tcBorders>
              <w:top w:val="nil"/>
              <w:left w:val="single" w:sz="8" w:space="0" w:color="auto"/>
              <w:bottom w:val="single" w:sz="8" w:space="0" w:color="auto"/>
              <w:right w:val="single" w:sz="8" w:space="0" w:color="auto"/>
            </w:tcBorders>
            <w:shd w:val="clear" w:color="000000" w:fill="BFBFBF"/>
            <w:noWrap/>
            <w:vAlign w:val="center"/>
            <w:hideMark/>
          </w:tcPr>
          <w:p w14:paraId="4DD4220B" w14:textId="05181BBC"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Cantidad requerida de personas</w:t>
            </w:r>
          </w:p>
        </w:tc>
        <w:tc>
          <w:tcPr>
            <w:tcW w:w="998" w:type="pct"/>
            <w:tcBorders>
              <w:top w:val="nil"/>
              <w:left w:val="nil"/>
              <w:bottom w:val="single" w:sz="8" w:space="0" w:color="auto"/>
              <w:right w:val="single" w:sz="8" w:space="0" w:color="auto"/>
            </w:tcBorders>
            <w:shd w:val="clear" w:color="auto" w:fill="auto"/>
            <w:noWrap/>
            <w:vAlign w:val="center"/>
            <w:hideMark/>
          </w:tcPr>
          <w:p w14:paraId="5E2AE526" w14:textId="79F58F4D"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2</w:t>
            </w:r>
          </w:p>
        </w:tc>
        <w:tc>
          <w:tcPr>
            <w:tcW w:w="1050" w:type="pct"/>
            <w:tcBorders>
              <w:top w:val="nil"/>
              <w:left w:val="nil"/>
              <w:bottom w:val="single" w:sz="8" w:space="0" w:color="auto"/>
              <w:right w:val="single" w:sz="8" w:space="0" w:color="auto"/>
            </w:tcBorders>
            <w:shd w:val="clear" w:color="auto" w:fill="auto"/>
            <w:noWrap/>
            <w:vAlign w:val="center"/>
            <w:hideMark/>
          </w:tcPr>
          <w:p w14:paraId="2EA5C4E3" w14:textId="560EFB3A"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3</w:t>
            </w:r>
          </w:p>
        </w:tc>
      </w:tr>
      <w:tr w:rsidR="009D59D7" w:rsidRPr="009D59D7" w14:paraId="2549C250" w14:textId="77777777" w:rsidTr="007448FF">
        <w:trPr>
          <w:trHeight w:val="300"/>
        </w:trPr>
        <w:tc>
          <w:tcPr>
            <w:tcW w:w="2952" w:type="pct"/>
            <w:tcBorders>
              <w:top w:val="nil"/>
              <w:left w:val="single" w:sz="8" w:space="0" w:color="auto"/>
              <w:bottom w:val="single" w:sz="8" w:space="0" w:color="auto"/>
              <w:right w:val="single" w:sz="8" w:space="0" w:color="auto"/>
            </w:tcBorders>
            <w:shd w:val="clear" w:color="000000" w:fill="BFBFBF"/>
            <w:noWrap/>
            <w:vAlign w:val="center"/>
            <w:hideMark/>
          </w:tcPr>
          <w:p w14:paraId="2C97FB66" w14:textId="2FEB83E9" w:rsidR="007448FF" w:rsidRPr="004D306D" w:rsidRDefault="007448FF" w:rsidP="004D306D">
            <w:pPr>
              <w:spacing w:after="0" w:line="240" w:lineRule="auto"/>
              <w:rPr>
                <w:rFonts w:ascii="Book Antiqua" w:eastAsia="Times New Roman" w:hAnsi="Book Antiqua" w:cs="Calibri"/>
                <w:b/>
                <w:bCs/>
                <w:color w:val="000000"/>
                <w:lang w:eastAsia="es-CR"/>
              </w:rPr>
            </w:pPr>
            <w:r w:rsidRPr="004D306D">
              <w:rPr>
                <w:rFonts w:ascii="Book Antiqua" w:eastAsia="Times New Roman" w:hAnsi="Book Antiqua" w:cs="Calibri"/>
                <w:b/>
                <w:bCs/>
                <w:color w:val="000000"/>
                <w:lang w:eastAsia="es-CR"/>
              </w:rPr>
              <w:t>Variación</w:t>
            </w:r>
          </w:p>
        </w:tc>
        <w:tc>
          <w:tcPr>
            <w:tcW w:w="998" w:type="pct"/>
            <w:tcBorders>
              <w:top w:val="nil"/>
              <w:left w:val="nil"/>
              <w:bottom w:val="single" w:sz="8" w:space="0" w:color="auto"/>
              <w:right w:val="single" w:sz="8" w:space="0" w:color="auto"/>
            </w:tcBorders>
            <w:shd w:val="clear" w:color="auto" w:fill="auto"/>
            <w:noWrap/>
            <w:vAlign w:val="center"/>
            <w:hideMark/>
          </w:tcPr>
          <w:p w14:paraId="5D944920" w14:textId="4AF3E69B" w:rsidR="007448FF" w:rsidRPr="004D306D" w:rsidRDefault="007448FF" w:rsidP="004D306D">
            <w:pPr>
              <w:spacing w:after="0" w:line="240" w:lineRule="auto"/>
              <w:jc w:val="center"/>
              <w:rPr>
                <w:rFonts w:ascii="Book Antiqua" w:eastAsia="Times New Roman" w:hAnsi="Book Antiqua" w:cs="Calibri"/>
                <w:color w:val="000000"/>
                <w:lang w:eastAsia="es-CR"/>
              </w:rPr>
            </w:pPr>
            <w:r w:rsidRPr="004D306D">
              <w:rPr>
                <w:rFonts w:ascii="Book Antiqua" w:eastAsia="Times New Roman" w:hAnsi="Book Antiqua" w:cs="Calibri"/>
                <w:color w:val="000000"/>
                <w:lang w:eastAsia="es-CR"/>
              </w:rPr>
              <w:t>0</w:t>
            </w:r>
          </w:p>
        </w:tc>
        <w:tc>
          <w:tcPr>
            <w:tcW w:w="1050" w:type="pct"/>
            <w:tcBorders>
              <w:top w:val="nil"/>
              <w:left w:val="nil"/>
              <w:bottom w:val="single" w:sz="8" w:space="0" w:color="auto"/>
              <w:right w:val="single" w:sz="8" w:space="0" w:color="auto"/>
            </w:tcBorders>
            <w:shd w:val="clear" w:color="auto" w:fill="auto"/>
            <w:noWrap/>
            <w:vAlign w:val="center"/>
            <w:hideMark/>
          </w:tcPr>
          <w:p w14:paraId="1CC63EFF" w14:textId="099FE175" w:rsidR="007448FF" w:rsidRPr="004D306D" w:rsidRDefault="00B26BC9" w:rsidP="004D306D">
            <w:pPr>
              <w:spacing w:after="0" w:line="240" w:lineRule="auto"/>
              <w:jc w:val="center"/>
              <w:rPr>
                <w:rFonts w:ascii="Book Antiqua" w:eastAsia="Times New Roman" w:hAnsi="Book Antiqua" w:cs="Calibri"/>
                <w:color w:val="000000"/>
                <w:lang w:eastAsia="es-CR"/>
              </w:rPr>
            </w:pPr>
            <w:r w:rsidRPr="004D306D">
              <w:rPr>
                <w:rFonts w:eastAsia="Times New Roman" w:cs="Times New Roman"/>
                <w:color w:val="000000"/>
                <w:lang w:eastAsia="es-CR"/>
              </w:rPr>
              <w:t>+</w:t>
            </w:r>
            <w:r w:rsidR="007448FF" w:rsidRPr="004D306D">
              <w:rPr>
                <w:rFonts w:ascii="Book Antiqua" w:eastAsia="Times New Roman" w:hAnsi="Book Antiqua" w:cs="Calibri"/>
                <w:color w:val="000000"/>
                <w:lang w:eastAsia="es-CR"/>
              </w:rPr>
              <w:t>1</w:t>
            </w:r>
          </w:p>
        </w:tc>
      </w:tr>
    </w:tbl>
    <w:p w14:paraId="07568005" w14:textId="7BFD9DA4" w:rsidR="00EF0E2A" w:rsidRPr="009D59D7" w:rsidRDefault="00210C15" w:rsidP="004823B4">
      <w:pPr>
        <w:spacing w:line="276" w:lineRule="auto"/>
        <w:jc w:val="both"/>
        <w:rPr>
          <w:rFonts w:ascii="Book Antiqua" w:eastAsia="Calibri" w:hAnsi="Book Antiqua" w:cs="Arial"/>
          <w:i/>
          <w:iCs/>
          <w:sz w:val="20"/>
          <w:szCs w:val="20"/>
        </w:rPr>
      </w:pPr>
      <w:r w:rsidRPr="009D59D7">
        <w:rPr>
          <w:rFonts w:ascii="Book Antiqua" w:eastAsia="Calibri" w:hAnsi="Book Antiqua" w:cs="Arial"/>
          <w:i/>
          <w:iCs/>
          <w:sz w:val="20"/>
          <w:szCs w:val="20"/>
        </w:rPr>
        <w:t>Fuente: Modernización Institucional de la Dirección de Planificación con base en datos de Cuadros Estadísticos del Subproceso de Estadística de la Dirección de Planificación.</w:t>
      </w:r>
    </w:p>
    <w:p w14:paraId="194ACCA9" w14:textId="4B959DD4" w:rsidR="00B26BC9" w:rsidRPr="009D59D7" w:rsidRDefault="00B26BC9" w:rsidP="004D306D">
      <w:pPr>
        <w:spacing w:after="0" w:line="276" w:lineRule="auto"/>
        <w:jc w:val="both"/>
        <w:rPr>
          <w:rFonts w:ascii="Book Antiqua" w:eastAsia="Calibri" w:hAnsi="Book Antiqua" w:cs="Arial"/>
          <w:sz w:val="24"/>
          <w:szCs w:val="24"/>
        </w:rPr>
      </w:pPr>
    </w:p>
    <w:p w14:paraId="5C82A2F7" w14:textId="24A5DD5A" w:rsidR="00210C15" w:rsidRPr="009D59D7" w:rsidRDefault="00210C15" w:rsidP="001D0C10">
      <w:pPr>
        <w:spacing w:line="276" w:lineRule="auto"/>
        <w:jc w:val="both"/>
        <w:rPr>
          <w:rFonts w:ascii="Book Antiqua" w:eastAsia="Calibri" w:hAnsi="Book Antiqua" w:cs="Arial"/>
          <w:sz w:val="24"/>
          <w:szCs w:val="24"/>
        </w:rPr>
      </w:pPr>
      <w:r w:rsidRPr="009D59D7">
        <w:rPr>
          <w:rFonts w:ascii="Book Antiqua" w:eastAsia="Calibri" w:hAnsi="Book Antiqua" w:cs="Arial"/>
          <w:sz w:val="24"/>
          <w:szCs w:val="24"/>
        </w:rPr>
        <w:lastRenderedPageBreak/>
        <w:t>Se identifica la necesidad de una persona técnica judicial en este despacho, para completar la estructura propuesta. Ya que en la actualidad el despacho utiliza a la persona Auxiliar de Servicios Generales para atender entre otras funciones la manifestación. Es importante indicar que se planea continuar con una persona Auxiliar de Servicios Generales para que atienda las necesidades de limpieza de este despacho, ya que, si se considerara la recalificación o movimiento de estos puestos, se tendría que incluir el costo de contratación privada de servicio de limpieza, subpartida 1.04.06 “</w:t>
      </w:r>
      <w:r w:rsidRPr="00AF5DE5">
        <w:rPr>
          <w:rFonts w:ascii="Book Antiqua" w:eastAsia="Calibri" w:hAnsi="Book Antiqua" w:cs="Arial"/>
          <w:i/>
          <w:iCs/>
          <w:sz w:val="24"/>
          <w:szCs w:val="24"/>
        </w:rPr>
        <w:t>Servicios Generales”,</w:t>
      </w:r>
      <w:r w:rsidRPr="009D59D7">
        <w:rPr>
          <w:rFonts w:ascii="Book Antiqua" w:eastAsia="Calibri" w:hAnsi="Book Antiqua" w:cs="Arial"/>
          <w:sz w:val="24"/>
          <w:szCs w:val="24"/>
        </w:rPr>
        <w:t xml:space="preserve"> la cual actualmente se encuentra restringida por el aumento del Impuesto Valor Agregado (IVA) en los servicios.</w:t>
      </w:r>
    </w:p>
    <w:p w14:paraId="0CD93D09" w14:textId="0A297A39" w:rsidR="00EF0E2A" w:rsidRPr="009D59D7" w:rsidRDefault="00EF0E2A" w:rsidP="004823B4">
      <w:pPr>
        <w:spacing w:line="276" w:lineRule="auto"/>
        <w:jc w:val="both"/>
        <w:rPr>
          <w:rFonts w:ascii="Book Antiqua" w:eastAsia="Calibri" w:hAnsi="Book Antiqua" w:cs="Arial"/>
          <w:sz w:val="24"/>
          <w:szCs w:val="24"/>
        </w:rPr>
      </w:pPr>
    </w:p>
    <w:p w14:paraId="70EDA83A" w14:textId="3D5CFD70" w:rsidR="00210C15" w:rsidRPr="004D306D" w:rsidRDefault="00210C15" w:rsidP="004D30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D306D">
        <w:rPr>
          <w:rFonts w:ascii="Book Antiqua" w:eastAsia="Calibri" w:hAnsi="Book Antiqua" w:cs="Arial"/>
          <w:b/>
          <w:bCs/>
          <w:color w:val="1F497D"/>
          <w:szCs w:val="24"/>
          <w:lang w:val="es-ES" w:eastAsia="es-ES"/>
        </w:rPr>
        <w:t xml:space="preserve">Cuadro </w:t>
      </w:r>
      <w:r w:rsidRPr="004D306D">
        <w:rPr>
          <w:rFonts w:ascii="Book Antiqua" w:eastAsia="Calibri" w:hAnsi="Book Antiqua" w:cs="Arial"/>
          <w:b/>
          <w:bCs/>
          <w:color w:val="1F497D"/>
          <w:szCs w:val="24"/>
          <w:lang w:val="es-ES" w:eastAsia="es-ES"/>
        </w:rPr>
        <w:fldChar w:fldCharType="begin"/>
      </w:r>
      <w:r w:rsidRPr="004D306D">
        <w:rPr>
          <w:rFonts w:ascii="Book Antiqua" w:eastAsia="Calibri" w:hAnsi="Book Antiqua" w:cs="Arial"/>
          <w:b/>
          <w:bCs/>
          <w:color w:val="1F497D"/>
          <w:szCs w:val="24"/>
          <w:lang w:val="es-ES" w:eastAsia="es-ES"/>
        </w:rPr>
        <w:instrText xml:space="preserve"> SEQ Cuadro \* ARABIC </w:instrText>
      </w:r>
      <w:r w:rsidRPr="004D306D">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26</w:t>
      </w:r>
      <w:r w:rsidRPr="004D306D">
        <w:rPr>
          <w:rFonts w:ascii="Book Antiqua" w:eastAsia="Calibri" w:hAnsi="Book Antiqua" w:cs="Arial"/>
          <w:b/>
          <w:bCs/>
          <w:color w:val="1F497D"/>
          <w:szCs w:val="24"/>
          <w:lang w:val="es-ES" w:eastAsia="es-ES"/>
        </w:rPr>
        <w:fldChar w:fldCharType="end"/>
      </w:r>
    </w:p>
    <w:p w14:paraId="685BB8E5" w14:textId="3BA94CE5" w:rsidR="00210C15" w:rsidRPr="004D306D" w:rsidRDefault="00210C15" w:rsidP="004D30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D306D">
        <w:rPr>
          <w:rFonts w:ascii="Book Antiqua" w:eastAsia="Calibri" w:hAnsi="Book Antiqua" w:cs="Arial"/>
          <w:b/>
          <w:bCs/>
          <w:color w:val="1F497D"/>
          <w:szCs w:val="24"/>
          <w:lang w:val="es-ES" w:eastAsia="es-ES"/>
        </w:rPr>
        <w:t>Estructura propuesta Juzgado Familia II Circuito Judicial de Alajuela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3"/>
        <w:gridCol w:w="3402"/>
        <w:gridCol w:w="3303"/>
      </w:tblGrid>
      <w:tr w:rsidR="009D59D7" w:rsidRPr="009D59D7" w14:paraId="657E8C60" w14:textId="77777777" w:rsidTr="00210C15">
        <w:trPr>
          <w:trHeight w:val="283"/>
          <w:tblHeader/>
          <w:jc w:val="center"/>
        </w:trPr>
        <w:tc>
          <w:tcPr>
            <w:tcW w:w="1202" w:type="pct"/>
            <w:shd w:val="clear" w:color="auto" w:fill="002060"/>
            <w:vAlign w:val="center"/>
          </w:tcPr>
          <w:p w14:paraId="32B5449A" w14:textId="0198F23E" w:rsidR="00210C15" w:rsidRPr="004D306D" w:rsidRDefault="00210C15" w:rsidP="004D306D">
            <w:pPr>
              <w:spacing w:after="0" w:line="276" w:lineRule="auto"/>
              <w:jc w:val="center"/>
              <w:rPr>
                <w:rFonts w:ascii="Book Antiqua" w:eastAsia="Calibri" w:hAnsi="Book Antiqua" w:cs="Arial"/>
                <w:color w:val="FFFFFF"/>
              </w:rPr>
            </w:pPr>
            <w:r w:rsidRPr="004D306D">
              <w:rPr>
                <w:rFonts w:ascii="Book Antiqua" w:eastAsia="Calibri" w:hAnsi="Book Antiqua" w:cs="Arial"/>
                <w:b/>
                <w:bCs/>
                <w:color w:val="FFFFFF"/>
              </w:rPr>
              <w:t>Juzgado Mixto</w:t>
            </w:r>
          </w:p>
        </w:tc>
        <w:tc>
          <w:tcPr>
            <w:tcW w:w="1927" w:type="pct"/>
            <w:shd w:val="clear" w:color="auto" w:fill="002060"/>
            <w:vAlign w:val="center"/>
          </w:tcPr>
          <w:p w14:paraId="6F15939F" w14:textId="6E36686A" w:rsidR="00210C15" w:rsidRPr="004D306D" w:rsidRDefault="00210C15" w:rsidP="004D306D">
            <w:pPr>
              <w:spacing w:after="0" w:line="276" w:lineRule="auto"/>
              <w:jc w:val="center"/>
              <w:rPr>
                <w:rFonts w:ascii="Book Antiqua" w:eastAsia="Calibri" w:hAnsi="Book Antiqua" w:cs="Arial"/>
                <w:color w:val="FFFFFF"/>
              </w:rPr>
            </w:pPr>
            <w:r w:rsidRPr="004D306D">
              <w:rPr>
                <w:rFonts w:ascii="Book Antiqua" w:eastAsia="Calibri" w:hAnsi="Book Antiqua" w:cs="Arial"/>
                <w:b/>
                <w:bCs/>
                <w:color w:val="FFFFFF"/>
              </w:rPr>
              <w:t>Estructura orgánica funcional actual del despacho</w:t>
            </w:r>
          </w:p>
        </w:tc>
        <w:tc>
          <w:tcPr>
            <w:tcW w:w="1871" w:type="pct"/>
            <w:shd w:val="clear" w:color="auto" w:fill="002060"/>
            <w:vAlign w:val="center"/>
          </w:tcPr>
          <w:p w14:paraId="29CD2623" w14:textId="0702D8B4" w:rsidR="00210C15" w:rsidRPr="004D306D" w:rsidRDefault="00210C15" w:rsidP="004D306D">
            <w:pPr>
              <w:spacing w:after="0" w:line="276" w:lineRule="auto"/>
              <w:jc w:val="center"/>
              <w:rPr>
                <w:rFonts w:ascii="Book Antiqua" w:eastAsia="Calibri" w:hAnsi="Book Antiqua" w:cs="Arial"/>
                <w:b/>
                <w:color w:val="FFFFFF"/>
              </w:rPr>
            </w:pPr>
            <w:r w:rsidRPr="004D306D">
              <w:rPr>
                <w:rFonts w:ascii="Book Antiqua" w:eastAsia="Calibri" w:hAnsi="Book Antiqua" w:cs="Arial"/>
                <w:b/>
                <w:color w:val="FFFFFF"/>
              </w:rPr>
              <w:t>Estructura Propuesta</w:t>
            </w:r>
          </w:p>
        </w:tc>
      </w:tr>
      <w:tr w:rsidR="009D59D7" w:rsidRPr="009D59D7" w14:paraId="0EB0A681" w14:textId="77777777" w:rsidTr="00210C15">
        <w:trPr>
          <w:jc w:val="center"/>
        </w:trPr>
        <w:tc>
          <w:tcPr>
            <w:tcW w:w="1202" w:type="pct"/>
            <w:shd w:val="clear" w:color="auto" w:fill="auto"/>
            <w:vAlign w:val="center"/>
          </w:tcPr>
          <w:p w14:paraId="3D551613" w14:textId="2075D619" w:rsidR="00210C15" w:rsidRPr="009D59D7" w:rsidRDefault="00210C15" w:rsidP="004D306D">
            <w:pPr>
              <w:spacing w:after="0" w:line="276" w:lineRule="auto"/>
              <w:rPr>
                <w:rFonts w:ascii="Book Antiqua" w:eastAsia="Calibri" w:hAnsi="Book Antiqua" w:cs="Arial"/>
              </w:rPr>
            </w:pPr>
            <w:r w:rsidRPr="009D59D7">
              <w:rPr>
                <w:rFonts w:ascii="Book Antiqua" w:eastAsia="Calibri" w:hAnsi="Book Antiqua" w:cs="Arial"/>
              </w:rPr>
              <w:t>Juzgado Familia II Circuito Judicial de Alajuela</w:t>
            </w:r>
          </w:p>
        </w:tc>
        <w:tc>
          <w:tcPr>
            <w:tcW w:w="1927" w:type="pct"/>
            <w:shd w:val="clear" w:color="auto" w:fill="auto"/>
            <w:vAlign w:val="center"/>
          </w:tcPr>
          <w:p w14:paraId="043CABF3" w14:textId="06962F1C" w:rsidR="00210C15" w:rsidRPr="009D59D7" w:rsidRDefault="00210C15" w:rsidP="004D306D">
            <w:pPr>
              <w:spacing w:after="0" w:line="276" w:lineRule="auto"/>
              <w:rPr>
                <w:rFonts w:ascii="Book Antiqua" w:eastAsia="Calibri" w:hAnsi="Book Antiqua" w:cs="Arial"/>
              </w:rPr>
            </w:pPr>
            <w:r w:rsidRPr="009D59D7">
              <w:rPr>
                <w:rFonts w:ascii="Book Antiqua" w:eastAsia="Calibri" w:hAnsi="Book Antiqua" w:cs="Arial"/>
              </w:rPr>
              <w:t>2 Juezas/ces 3</w:t>
            </w:r>
          </w:p>
          <w:p w14:paraId="269D42F9" w14:textId="7CFBD9EB"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1 Coordinadora/or Judicial 2</w:t>
            </w:r>
          </w:p>
          <w:p w14:paraId="7A1F1F0C" w14:textId="18D4F6FB"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3 Técnicas/os Judiciales 2</w:t>
            </w:r>
          </w:p>
          <w:p w14:paraId="16F71256" w14:textId="395C6155" w:rsidR="00210C15" w:rsidRPr="009D59D7" w:rsidRDefault="00210C15" w:rsidP="004D306D">
            <w:pPr>
              <w:spacing w:after="0" w:line="276" w:lineRule="auto"/>
              <w:rPr>
                <w:rFonts w:ascii="Book Antiqua" w:eastAsia="Calibri" w:hAnsi="Book Antiqua" w:cs="Arial"/>
              </w:rPr>
            </w:pPr>
            <w:r w:rsidRPr="009D59D7">
              <w:rPr>
                <w:rFonts w:ascii="Book Antiqua" w:eastAsia="Calibri" w:hAnsi="Book Antiqua" w:cs="Arial"/>
              </w:rPr>
              <w:t>1 Auxiliar de Servicios Generales 2</w:t>
            </w:r>
          </w:p>
        </w:tc>
        <w:tc>
          <w:tcPr>
            <w:tcW w:w="1871" w:type="pct"/>
            <w:vAlign w:val="center"/>
          </w:tcPr>
          <w:p w14:paraId="1F873434" w14:textId="59A10540" w:rsidR="00210C15" w:rsidRPr="009D59D7" w:rsidRDefault="00210C15" w:rsidP="004D306D">
            <w:pPr>
              <w:spacing w:after="0" w:line="276" w:lineRule="auto"/>
              <w:rPr>
                <w:rFonts w:ascii="Book Antiqua" w:eastAsia="Calibri" w:hAnsi="Book Antiqua" w:cs="Arial"/>
              </w:rPr>
            </w:pPr>
            <w:r w:rsidRPr="009D59D7">
              <w:rPr>
                <w:rFonts w:ascii="Book Antiqua" w:eastAsia="Calibri" w:hAnsi="Book Antiqua" w:cs="Arial"/>
              </w:rPr>
              <w:t>2 Juezas/ces 3</w:t>
            </w:r>
          </w:p>
          <w:p w14:paraId="20EA62E5" w14:textId="4434C5D8"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1 Coordinadora/or Judicial 2</w:t>
            </w:r>
          </w:p>
          <w:p w14:paraId="5AE0A0EA" w14:textId="314DE7CE"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 xml:space="preserve">4 Técnicas/os Judiciales 2 (crear una </w:t>
            </w:r>
            <w:r w:rsidRPr="009D59D7">
              <w:rPr>
                <w:rFonts w:ascii="Book Antiqua" w:eastAsia="Calibri" w:hAnsi="Book Antiqua" w:cs="Arial"/>
                <w:i/>
              </w:rPr>
              <w:t>plaza técnica o técnico Judicial 2</w:t>
            </w:r>
            <w:r w:rsidRPr="009D59D7">
              <w:rPr>
                <w:rFonts w:ascii="Book Antiqua" w:eastAsia="Calibri" w:hAnsi="Book Antiqua" w:cs="Arial"/>
              </w:rPr>
              <w:t>)</w:t>
            </w:r>
          </w:p>
          <w:p w14:paraId="768A13E9" w14:textId="061D02EB" w:rsidR="00210C15" w:rsidRPr="009D59D7" w:rsidRDefault="00210C15" w:rsidP="000379A3">
            <w:pPr>
              <w:spacing w:after="0" w:line="276" w:lineRule="auto"/>
              <w:jc w:val="both"/>
              <w:rPr>
                <w:rFonts w:ascii="Book Antiqua" w:eastAsia="Calibri" w:hAnsi="Book Antiqua" w:cs="Arial"/>
              </w:rPr>
            </w:pPr>
            <w:r w:rsidRPr="009D59D7">
              <w:rPr>
                <w:rFonts w:ascii="Book Antiqua" w:eastAsia="Calibri" w:hAnsi="Book Antiqua" w:cs="Arial"/>
              </w:rPr>
              <w:t>1 Auxiliar de Servicios Generales 2</w:t>
            </w:r>
          </w:p>
        </w:tc>
      </w:tr>
    </w:tbl>
    <w:p w14:paraId="4A5BE792" w14:textId="50AF3F6B" w:rsidR="00210C15" w:rsidRPr="009D59D7" w:rsidRDefault="00210C15" w:rsidP="004823B4">
      <w:pPr>
        <w:spacing w:line="276" w:lineRule="auto"/>
        <w:jc w:val="both"/>
        <w:rPr>
          <w:rFonts w:ascii="Book Antiqua" w:eastAsia="Calibri" w:hAnsi="Book Antiqua" w:cs="Arial"/>
          <w:i/>
          <w:iCs/>
          <w:sz w:val="20"/>
          <w:szCs w:val="20"/>
        </w:rPr>
      </w:pPr>
      <w:r w:rsidRPr="009D59D7">
        <w:rPr>
          <w:rFonts w:ascii="Book Antiqua" w:eastAsia="Calibri" w:hAnsi="Book Antiqua" w:cs="Arial"/>
          <w:i/>
          <w:iCs/>
          <w:sz w:val="20"/>
          <w:szCs w:val="20"/>
        </w:rPr>
        <w:t>Fuente: Modernización Institucional de la Dirección de Planificación.</w:t>
      </w:r>
    </w:p>
    <w:p w14:paraId="44D1C8B4" w14:textId="29595901" w:rsidR="00210C15" w:rsidRPr="009D59D7" w:rsidRDefault="00210C15" w:rsidP="004D306D">
      <w:pPr>
        <w:spacing w:after="0" w:line="276" w:lineRule="auto"/>
        <w:jc w:val="both"/>
        <w:rPr>
          <w:rFonts w:ascii="Book Antiqua" w:eastAsia="Calibri" w:hAnsi="Book Antiqua" w:cs="Arial"/>
          <w:sz w:val="24"/>
          <w:szCs w:val="24"/>
        </w:rPr>
      </w:pPr>
      <w:r w:rsidRPr="009D59D7">
        <w:rPr>
          <w:rFonts w:ascii="Book Antiqua" w:eastAsia="Calibri" w:hAnsi="Book Antiqua" w:cs="Arial"/>
          <w:sz w:val="24"/>
          <w:szCs w:val="24"/>
        </w:rPr>
        <w:t>Por lo que basado en los resultados anteriores se analiza el costo de la inclusión de la plaza de persona técnica judicial 2 para completar la estructura de trabajo de este despacho. El impacto económico de esta propuesta se calcula en el siguiente cuadro.</w:t>
      </w:r>
    </w:p>
    <w:p w14:paraId="5670BD10" w14:textId="77777777" w:rsidR="00F64BE5" w:rsidRDefault="00F64BE5" w:rsidP="001D0C10">
      <w:pPr>
        <w:spacing w:line="276" w:lineRule="auto"/>
        <w:jc w:val="center"/>
        <w:rPr>
          <w:rFonts w:ascii="Book Antiqua" w:eastAsia="Calibri" w:hAnsi="Book Antiqua" w:cs="Arial"/>
          <w:b/>
          <w:bCs/>
          <w:szCs w:val="24"/>
          <w:lang w:val="es-ES" w:eastAsia="es-ES"/>
        </w:rPr>
      </w:pPr>
    </w:p>
    <w:p w14:paraId="590CE5F8" w14:textId="33739591" w:rsidR="00210C15" w:rsidRPr="00EF146D" w:rsidRDefault="00210C15"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27</w:t>
      </w:r>
      <w:r w:rsidRPr="00EF146D">
        <w:rPr>
          <w:rFonts w:ascii="Book Antiqua" w:eastAsia="Calibri" w:hAnsi="Book Antiqua" w:cs="Arial"/>
          <w:b/>
          <w:bCs/>
          <w:color w:val="1F497D"/>
          <w:szCs w:val="24"/>
          <w:lang w:val="es-ES" w:eastAsia="es-ES"/>
        </w:rPr>
        <w:fldChar w:fldCharType="end"/>
      </w:r>
    </w:p>
    <w:p w14:paraId="5EDF34EE" w14:textId="324AFFEC" w:rsidR="00210C15" w:rsidRPr="001D0C10" w:rsidRDefault="00210C15" w:rsidP="00F64BE5">
      <w:pPr>
        <w:spacing w:after="0" w:line="276" w:lineRule="auto"/>
        <w:jc w:val="center"/>
        <w:rPr>
          <w:rFonts w:ascii="Book Antiqua" w:eastAsia="Calibri" w:hAnsi="Book Antiqua" w:cs="Arial"/>
          <w:b/>
          <w:bCs/>
          <w:szCs w:val="24"/>
          <w:lang w:val="es-ES" w:eastAsia="es-ES"/>
        </w:rPr>
      </w:pPr>
      <w:r w:rsidRPr="001D0C10">
        <w:rPr>
          <w:rFonts w:ascii="Book Antiqua" w:eastAsia="Calibri" w:hAnsi="Book Antiqua" w:cs="Arial"/>
          <w:b/>
          <w:bCs/>
          <w:szCs w:val="24"/>
          <w:lang w:val="es-ES" w:eastAsia="es-ES"/>
        </w:rPr>
        <w:t>Costo por puesto anual según estructura propuesta</w:t>
      </w:r>
    </w:p>
    <w:p w14:paraId="33FE867F" w14:textId="0057E528" w:rsidR="00210C15" w:rsidRPr="001D0C10" w:rsidRDefault="00210C15" w:rsidP="00F64BE5">
      <w:pPr>
        <w:spacing w:after="0" w:line="276" w:lineRule="auto"/>
        <w:jc w:val="center"/>
        <w:rPr>
          <w:rFonts w:ascii="Book Antiqua" w:eastAsia="Calibri" w:hAnsi="Book Antiqua" w:cs="Arial"/>
          <w:b/>
          <w:bCs/>
          <w:szCs w:val="24"/>
          <w:lang w:val="es-ES" w:eastAsia="es-ES"/>
        </w:rPr>
      </w:pPr>
      <w:r w:rsidRPr="001D0C10">
        <w:rPr>
          <w:rFonts w:ascii="Book Antiqua" w:eastAsia="Calibri" w:hAnsi="Book Antiqua" w:cs="Arial"/>
          <w:b/>
          <w:bCs/>
          <w:szCs w:val="24"/>
          <w:lang w:val="es-ES" w:eastAsia="es-ES"/>
        </w:rPr>
        <w:t>para el Juzgado Familia del Segundo Circuito Judicial de Alajuela</w:t>
      </w:r>
    </w:p>
    <w:tbl>
      <w:tblPr>
        <w:tblW w:w="5000" w:type="pct"/>
        <w:tblCellMar>
          <w:left w:w="70" w:type="dxa"/>
          <w:right w:w="70" w:type="dxa"/>
        </w:tblCellMar>
        <w:tblLook w:val="04A0" w:firstRow="1" w:lastRow="0" w:firstColumn="1" w:lastColumn="0" w:noHBand="0" w:noVBand="1"/>
      </w:tblPr>
      <w:tblGrid>
        <w:gridCol w:w="2012"/>
        <w:gridCol w:w="1351"/>
        <w:gridCol w:w="1311"/>
        <w:gridCol w:w="2401"/>
        <w:gridCol w:w="1758"/>
      </w:tblGrid>
      <w:tr w:rsidR="009D59D7" w:rsidRPr="009D59D7" w14:paraId="3FE9BAD4" w14:textId="77777777" w:rsidTr="00210C15">
        <w:trPr>
          <w:trHeight w:val="600"/>
          <w:tblHeader/>
        </w:trPr>
        <w:tc>
          <w:tcPr>
            <w:tcW w:w="1139" w:type="pct"/>
            <w:tcBorders>
              <w:bottom w:val="single" w:sz="4" w:space="0" w:color="auto"/>
              <w:right w:val="single" w:sz="4" w:space="0" w:color="auto"/>
            </w:tcBorders>
            <w:shd w:val="clear" w:color="auto" w:fill="auto"/>
            <w:vAlign w:val="center"/>
            <w:hideMark/>
          </w:tcPr>
          <w:p w14:paraId="4EAFDF6D" w14:textId="3C0F8D20" w:rsidR="00210C15" w:rsidRPr="001D0C10" w:rsidRDefault="00210C15" w:rsidP="001D0C10">
            <w:pPr>
              <w:spacing w:line="276" w:lineRule="auto"/>
              <w:jc w:val="both"/>
              <w:rPr>
                <w:rFonts w:ascii="Book Antiqua" w:eastAsia="Times New Roman" w:hAnsi="Book Antiqua" w:cs="Times New Roman"/>
                <w:lang w:eastAsia="es-CR"/>
              </w:rPr>
            </w:pPr>
            <w:r w:rsidRPr="001D0C10">
              <w:rPr>
                <w:rFonts w:ascii="Book Antiqua" w:eastAsia="Times New Roman" w:hAnsi="Book Antiqua" w:cs="Times New Roman"/>
                <w:lang w:eastAsia="es-CR"/>
              </w:rPr>
              <w:t> </w:t>
            </w:r>
          </w:p>
        </w:tc>
        <w:tc>
          <w:tcPr>
            <w:tcW w:w="765" w:type="pct"/>
            <w:tcBorders>
              <w:top w:val="single" w:sz="4" w:space="0" w:color="auto"/>
              <w:left w:val="nil"/>
              <w:bottom w:val="single" w:sz="4" w:space="0" w:color="auto"/>
              <w:right w:val="single" w:sz="4" w:space="0" w:color="auto"/>
            </w:tcBorders>
            <w:shd w:val="clear" w:color="000000" w:fill="002060"/>
            <w:vAlign w:val="center"/>
            <w:hideMark/>
          </w:tcPr>
          <w:p w14:paraId="4C1B3043" w14:textId="62632EC9" w:rsidR="00210C15" w:rsidRPr="001D0C10" w:rsidRDefault="00210C15" w:rsidP="001D0C10">
            <w:pPr>
              <w:spacing w:line="276" w:lineRule="auto"/>
              <w:jc w:val="both"/>
              <w:rPr>
                <w:rFonts w:ascii="Book Antiqua" w:eastAsia="Times New Roman" w:hAnsi="Book Antiqua" w:cs="Times New Roman"/>
                <w:b/>
                <w:bCs/>
                <w:lang w:eastAsia="es-CR"/>
              </w:rPr>
            </w:pPr>
            <w:r w:rsidRPr="001D0C10">
              <w:rPr>
                <w:rFonts w:ascii="Book Antiqua" w:eastAsia="Times New Roman" w:hAnsi="Book Antiqua" w:cs="Times New Roman"/>
                <w:b/>
                <w:bCs/>
                <w:lang w:eastAsia="ar-SA"/>
              </w:rPr>
              <w:t>Clase ancha</w:t>
            </w:r>
          </w:p>
        </w:tc>
        <w:tc>
          <w:tcPr>
            <w:tcW w:w="742" w:type="pct"/>
            <w:tcBorders>
              <w:top w:val="single" w:sz="4" w:space="0" w:color="auto"/>
              <w:left w:val="nil"/>
              <w:bottom w:val="single" w:sz="4" w:space="0" w:color="auto"/>
              <w:right w:val="single" w:sz="4" w:space="0" w:color="auto"/>
            </w:tcBorders>
            <w:shd w:val="clear" w:color="000000" w:fill="002060"/>
            <w:vAlign w:val="center"/>
            <w:hideMark/>
          </w:tcPr>
          <w:p w14:paraId="4A17681C" w14:textId="263276CD" w:rsidR="00210C15" w:rsidRPr="001D0C10" w:rsidRDefault="00210C15" w:rsidP="001D0C10">
            <w:pPr>
              <w:spacing w:line="276" w:lineRule="auto"/>
              <w:jc w:val="both"/>
              <w:rPr>
                <w:rFonts w:ascii="Book Antiqua" w:eastAsia="Times New Roman" w:hAnsi="Book Antiqua" w:cs="Times New Roman"/>
                <w:b/>
                <w:bCs/>
                <w:lang w:eastAsia="es-CR"/>
              </w:rPr>
            </w:pPr>
            <w:r w:rsidRPr="001D0C10">
              <w:rPr>
                <w:rFonts w:ascii="Book Antiqua" w:eastAsia="Times New Roman" w:hAnsi="Book Antiqua" w:cs="Times New Roman"/>
                <w:b/>
                <w:bCs/>
                <w:lang w:eastAsia="ar-SA"/>
              </w:rPr>
              <w:t>Clase angosta</w:t>
            </w:r>
          </w:p>
        </w:tc>
        <w:tc>
          <w:tcPr>
            <w:tcW w:w="1359" w:type="pct"/>
            <w:tcBorders>
              <w:top w:val="single" w:sz="4" w:space="0" w:color="auto"/>
              <w:left w:val="nil"/>
              <w:bottom w:val="single" w:sz="4" w:space="0" w:color="auto"/>
              <w:right w:val="single" w:sz="4" w:space="0" w:color="auto"/>
            </w:tcBorders>
            <w:shd w:val="clear" w:color="000000" w:fill="002060"/>
            <w:vAlign w:val="center"/>
            <w:hideMark/>
          </w:tcPr>
          <w:p w14:paraId="7F01D7FB" w14:textId="3883D3B0" w:rsidR="00210C15" w:rsidRPr="001D0C10" w:rsidRDefault="00210C15" w:rsidP="001D0C10">
            <w:pPr>
              <w:spacing w:line="276" w:lineRule="auto"/>
              <w:jc w:val="both"/>
              <w:rPr>
                <w:rFonts w:ascii="Book Antiqua" w:eastAsia="Times New Roman" w:hAnsi="Book Antiqua" w:cs="Times New Roman"/>
                <w:b/>
                <w:bCs/>
                <w:lang w:eastAsia="es-CR"/>
              </w:rPr>
            </w:pPr>
            <w:r w:rsidRPr="001D0C10">
              <w:rPr>
                <w:rFonts w:ascii="Book Antiqua" w:eastAsia="Times New Roman" w:hAnsi="Book Antiqua" w:cs="Times New Roman"/>
                <w:b/>
                <w:bCs/>
                <w:lang w:eastAsia="ar-SA"/>
              </w:rPr>
              <w:t>Costo del puesto anual</w:t>
            </w:r>
          </w:p>
        </w:tc>
        <w:tc>
          <w:tcPr>
            <w:tcW w:w="995" w:type="pct"/>
            <w:tcBorders>
              <w:top w:val="single" w:sz="4" w:space="0" w:color="auto"/>
              <w:left w:val="nil"/>
              <w:bottom w:val="single" w:sz="4" w:space="0" w:color="auto"/>
              <w:right w:val="single" w:sz="4" w:space="0" w:color="auto"/>
            </w:tcBorders>
            <w:shd w:val="clear" w:color="000000" w:fill="002060"/>
            <w:vAlign w:val="center"/>
          </w:tcPr>
          <w:p w14:paraId="04C7A1E9" w14:textId="66A72C50" w:rsidR="00210C15" w:rsidRPr="001D0C10" w:rsidRDefault="00210C15" w:rsidP="001D0C10">
            <w:pPr>
              <w:spacing w:line="276" w:lineRule="auto"/>
              <w:jc w:val="both"/>
              <w:rPr>
                <w:rFonts w:ascii="Book Antiqua" w:eastAsia="Times New Roman" w:hAnsi="Book Antiqua" w:cs="Times New Roman"/>
                <w:b/>
                <w:bCs/>
                <w:lang w:eastAsia="ar-SA"/>
              </w:rPr>
            </w:pPr>
            <w:r w:rsidRPr="001D0C10">
              <w:rPr>
                <w:rFonts w:ascii="Book Antiqua" w:eastAsia="Times New Roman" w:hAnsi="Book Antiqua" w:cs="Times New Roman"/>
                <w:b/>
                <w:bCs/>
                <w:lang w:eastAsia="ar-SA"/>
              </w:rPr>
              <w:t>Costo total</w:t>
            </w:r>
          </w:p>
        </w:tc>
      </w:tr>
      <w:tr w:rsidR="009D59D7" w:rsidRPr="009D59D7" w14:paraId="491A1513" w14:textId="77777777" w:rsidTr="00210C15">
        <w:trPr>
          <w:trHeight w:val="447"/>
        </w:trPr>
        <w:tc>
          <w:tcPr>
            <w:tcW w:w="113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0213246" w14:textId="4EF16709" w:rsidR="00210C15" w:rsidRPr="001D0C10" w:rsidRDefault="00210C15" w:rsidP="001D0C10">
            <w:pPr>
              <w:spacing w:line="276" w:lineRule="auto"/>
              <w:jc w:val="both"/>
              <w:rPr>
                <w:rFonts w:ascii="Book Antiqua" w:eastAsia="Times New Roman" w:hAnsi="Book Antiqua" w:cs="Times New Roman"/>
                <w:b/>
                <w:bCs/>
                <w:lang w:eastAsia="es-CR"/>
              </w:rPr>
            </w:pPr>
            <w:r w:rsidRPr="001D0C10">
              <w:rPr>
                <w:rFonts w:ascii="Book Antiqua" w:eastAsia="Times New Roman" w:hAnsi="Book Antiqua" w:cs="Times New Roman"/>
                <w:b/>
                <w:bCs/>
                <w:lang w:eastAsia="ar-SA"/>
              </w:rPr>
              <w:t>Situación actual del puesto</w:t>
            </w:r>
          </w:p>
        </w:tc>
        <w:tc>
          <w:tcPr>
            <w:tcW w:w="765" w:type="pct"/>
            <w:tcBorders>
              <w:top w:val="single" w:sz="4" w:space="0" w:color="auto"/>
              <w:left w:val="nil"/>
              <w:bottom w:val="single" w:sz="4" w:space="0" w:color="auto"/>
              <w:right w:val="single" w:sz="4" w:space="0" w:color="auto"/>
            </w:tcBorders>
            <w:shd w:val="clear" w:color="auto" w:fill="auto"/>
            <w:vAlign w:val="center"/>
            <w:hideMark/>
          </w:tcPr>
          <w:p w14:paraId="24929ABF" w14:textId="19A25B5D" w:rsidR="00210C15" w:rsidRPr="001D0C10" w:rsidRDefault="00210C15" w:rsidP="001D0C10">
            <w:pPr>
              <w:spacing w:line="276" w:lineRule="auto"/>
              <w:jc w:val="both"/>
              <w:rPr>
                <w:rFonts w:ascii="Book Antiqua" w:eastAsia="Times New Roman" w:hAnsi="Book Antiqua" w:cs="Times New Roman"/>
                <w:lang w:eastAsia="es-CR"/>
              </w:rPr>
            </w:pPr>
            <w:r w:rsidRPr="001D0C10">
              <w:rPr>
                <w:rFonts w:ascii="Book Antiqua" w:eastAsia="Times New Roman" w:hAnsi="Book Antiqua" w:cs="Times New Roman"/>
                <w:lang w:eastAsia="ar-SA"/>
              </w:rPr>
              <w:t>Técnico Judicial 2</w:t>
            </w:r>
          </w:p>
        </w:tc>
        <w:tc>
          <w:tcPr>
            <w:tcW w:w="742" w:type="pct"/>
            <w:tcBorders>
              <w:top w:val="single" w:sz="4" w:space="0" w:color="auto"/>
              <w:left w:val="nil"/>
              <w:bottom w:val="single" w:sz="4" w:space="0" w:color="auto"/>
              <w:right w:val="single" w:sz="4" w:space="0" w:color="auto"/>
            </w:tcBorders>
            <w:shd w:val="clear" w:color="auto" w:fill="auto"/>
            <w:vAlign w:val="center"/>
            <w:hideMark/>
          </w:tcPr>
          <w:p w14:paraId="274759C5" w14:textId="4A5F48DB" w:rsidR="00210C15" w:rsidRPr="001D0C10" w:rsidRDefault="00210C15" w:rsidP="001D0C10">
            <w:pPr>
              <w:spacing w:line="276" w:lineRule="auto"/>
              <w:jc w:val="both"/>
              <w:rPr>
                <w:rFonts w:ascii="Book Antiqua" w:eastAsia="Times New Roman" w:hAnsi="Book Antiqua" w:cs="Times New Roman"/>
                <w:lang w:eastAsia="es-CR"/>
              </w:rPr>
            </w:pPr>
            <w:r w:rsidRPr="001D0C10">
              <w:rPr>
                <w:rFonts w:ascii="Book Antiqua" w:eastAsia="Times New Roman" w:hAnsi="Book Antiqua" w:cs="Times New Roman"/>
                <w:lang w:eastAsia="ar-SA"/>
              </w:rPr>
              <w:t>Técnico Judicial</w:t>
            </w:r>
          </w:p>
        </w:tc>
        <w:tc>
          <w:tcPr>
            <w:tcW w:w="1359" w:type="pct"/>
            <w:tcBorders>
              <w:top w:val="single" w:sz="4" w:space="0" w:color="auto"/>
              <w:left w:val="nil"/>
              <w:bottom w:val="single" w:sz="4" w:space="0" w:color="auto"/>
              <w:right w:val="single" w:sz="4" w:space="0" w:color="auto"/>
            </w:tcBorders>
            <w:shd w:val="clear" w:color="auto" w:fill="auto"/>
            <w:vAlign w:val="center"/>
            <w:hideMark/>
          </w:tcPr>
          <w:p w14:paraId="774B9FDF" w14:textId="4C805D64" w:rsidR="00210C15" w:rsidRPr="001D0C10" w:rsidRDefault="00210C15" w:rsidP="001D0C10">
            <w:pPr>
              <w:spacing w:line="276" w:lineRule="auto"/>
              <w:jc w:val="both"/>
              <w:rPr>
                <w:rFonts w:ascii="Book Antiqua" w:eastAsia="Times New Roman" w:hAnsi="Book Antiqua" w:cs="Times New Roman"/>
                <w:lang w:eastAsia="es-CR"/>
              </w:rPr>
            </w:pPr>
            <w:r w:rsidRPr="001D0C10">
              <w:rPr>
                <w:rFonts w:ascii="Times New Roman" w:eastAsia="Times New Roman" w:hAnsi="Times New Roman" w:cs="Times New Roman"/>
                <w:lang w:eastAsia="ar-SA"/>
              </w:rPr>
              <w:t>₡</w:t>
            </w:r>
            <w:r w:rsidRPr="001D0C10">
              <w:rPr>
                <w:rFonts w:ascii="Book Antiqua" w:eastAsia="Times New Roman" w:hAnsi="Book Antiqua" w:cs="Times New Roman"/>
                <w:lang w:eastAsia="ar-SA"/>
              </w:rPr>
              <w:t>14.</w:t>
            </w:r>
            <w:r w:rsidR="00C319F8" w:rsidRPr="001D0C10">
              <w:rPr>
                <w:rFonts w:ascii="Book Antiqua" w:eastAsia="Times New Roman" w:hAnsi="Book Antiqua" w:cs="Times New Roman"/>
                <w:lang w:eastAsia="ar-SA"/>
              </w:rPr>
              <w:t>388</w:t>
            </w:r>
            <w:r w:rsidRPr="001D0C10">
              <w:rPr>
                <w:rFonts w:ascii="Book Antiqua" w:eastAsia="Times New Roman" w:hAnsi="Book Antiqua" w:cs="Times New Roman"/>
                <w:lang w:eastAsia="ar-SA"/>
              </w:rPr>
              <w:t>.000</w:t>
            </w:r>
          </w:p>
        </w:tc>
        <w:tc>
          <w:tcPr>
            <w:tcW w:w="995" w:type="pct"/>
            <w:tcBorders>
              <w:top w:val="single" w:sz="4" w:space="0" w:color="auto"/>
              <w:left w:val="nil"/>
              <w:bottom w:val="single" w:sz="4" w:space="0" w:color="auto"/>
              <w:right w:val="single" w:sz="4" w:space="0" w:color="auto"/>
            </w:tcBorders>
            <w:vAlign w:val="center"/>
          </w:tcPr>
          <w:p w14:paraId="2B412EE4" w14:textId="7D378E34" w:rsidR="00210C15" w:rsidRPr="001D0C10" w:rsidRDefault="00210C15" w:rsidP="001D0C10">
            <w:pPr>
              <w:spacing w:line="276" w:lineRule="auto"/>
              <w:jc w:val="both"/>
              <w:rPr>
                <w:rFonts w:ascii="Book Antiqua" w:eastAsia="Times New Roman" w:hAnsi="Book Antiqua" w:cs="Times New Roman"/>
                <w:lang w:eastAsia="ar-SA"/>
              </w:rPr>
            </w:pPr>
            <w:r w:rsidRPr="001D0C10">
              <w:rPr>
                <w:rFonts w:ascii="Times New Roman" w:eastAsia="Times New Roman" w:hAnsi="Times New Roman" w:cs="Times New Roman"/>
                <w:lang w:eastAsia="ar-SA"/>
              </w:rPr>
              <w:t>₡</w:t>
            </w:r>
            <w:r w:rsidRPr="001D0C10">
              <w:rPr>
                <w:rFonts w:ascii="Book Antiqua" w:eastAsia="Times New Roman" w:hAnsi="Book Antiqua" w:cs="Times New Roman"/>
                <w:lang w:eastAsia="ar-SA"/>
              </w:rPr>
              <w:t>14.</w:t>
            </w:r>
            <w:r w:rsidR="00C319F8" w:rsidRPr="001D0C10">
              <w:rPr>
                <w:rFonts w:ascii="Book Antiqua" w:eastAsia="Times New Roman" w:hAnsi="Book Antiqua" w:cs="Times New Roman"/>
                <w:lang w:eastAsia="ar-SA"/>
              </w:rPr>
              <w:t>388</w:t>
            </w:r>
            <w:r w:rsidRPr="001D0C10">
              <w:rPr>
                <w:rFonts w:ascii="Book Antiqua" w:eastAsia="Times New Roman" w:hAnsi="Book Antiqua" w:cs="Times New Roman"/>
                <w:lang w:eastAsia="ar-SA"/>
              </w:rPr>
              <w:t>.000</w:t>
            </w:r>
          </w:p>
        </w:tc>
      </w:tr>
    </w:tbl>
    <w:p w14:paraId="22EEE596" w14:textId="16958449" w:rsidR="00EF0E2A" w:rsidRPr="009D59D7" w:rsidRDefault="00210C15" w:rsidP="004823B4">
      <w:pPr>
        <w:spacing w:line="276" w:lineRule="auto"/>
        <w:jc w:val="both"/>
        <w:rPr>
          <w:rFonts w:ascii="Book Antiqua" w:eastAsia="Calibri" w:hAnsi="Book Antiqua" w:cs="Arial"/>
          <w:i/>
          <w:iCs/>
          <w:sz w:val="20"/>
          <w:szCs w:val="20"/>
        </w:rPr>
      </w:pPr>
      <w:r w:rsidRPr="009D59D7">
        <w:rPr>
          <w:rFonts w:ascii="Book Antiqua" w:eastAsia="Calibri" w:hAnsi="Book Antiqua" w:cs="Arial"/>
          <w:i/>
          <w:iCs/>
          <w:sz w:val="20"/>
          <w:szCs w:val="20"/>
        </w:rPr>
        <w:t>Fuente: Modernización Institucional de la Dirección de Planificación.</w:t>
      </w:r>
    </w:p>
    <w:p w14:paraId="143DECB1" w14:textId="4A38CC08" w:rsidR="00C319F8" w:rsidRDefault="00C319F8" w:rsidP="001D0C10">
      <w:pPr>
        <w:spacing w:line="276" w:lineRule="auto"/>
        <w:jc w:val="both"/>
        <w:rPr>
          <w:rFonts w:ascii="Book Antiqua" w:eastAsia="Calibri" w:hAnsi="Book Antiqua" w:cs="Times New Roman"/>
          <w:sz w:val="24"/>
          <w:szCs w:val="24"/>
        </w:rPr>
      </w:pPr>
      <w:r w:rsidRPr="009D59D7">
        <w:rPr>
          <w:rFonts w:ascii="Book Antiqua" w:eastAsia="Calibri" w:hAnsi="Book Antiqua" w:cs="Arial"/>
          <w:sz w:val="24"/>
          <w:szCs w:val="24"/>
        </w:rPr>
        <w:lastRenderedPageBreak/>
        <w:t xml:space="preserve">El costo anual para hacerle frente a la propuesta es de </w:t>
      </w:r>
      <w:r w:rsidRPr="009D59D7">
        <w:rPr>
          <w:rFonts w:ascii="Times New Roman" w:eastAsia="Calibri" w:hAnsi="Times New Roman" w:cs="Times New Roman"/>
          <w:sz w:val="24"/>
          <w:szCs w:val="24"/>
        </w:rPr>
        <w:t>₡</w:t>
      </w:r>
      <w:r w:rsidRPr="009D59D7">
        <w:rPr>
          <w:rFonts w:ascii="Book Antiqua" w:eastAsia="Calibri" w:hAnsi="Book Antiqua" w:cs="Times New Roman"/>
          <w:sz w:val="24"/>
          <w:szCs w:val="24"/>
        </w:rPr>
        <w:t>14.388.000.</w:t>
      </w:r>
    </w:p>
    <w:p w14:paraId="1CCBD26A" w14:textId="3DD2C8CA" w:rsidR="006C11D9" w:rsidRPr="004A3198" w:rsidRDefault="004D31DA"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 xml:space="preserve">Análisis de </w:t>
      </w:r>
      <w:r w:rsidR="006C11D9" w:rsidRPr="004A3198">
        <w:rPr>
          <w:rFonts w:ascii="Book Antiqua" w:eastAsia="Calibri" w:hAnsi="Book Antiqua" w:cs="Arial"/>
          <w:b/>
          <w:bCs/>
          <w:sz w:val="24"/>
          <w:szCs w:val="24"/>
        </w:rPr>
        <w:t>Juzgados Primero y Segundo de San José</w:t>
      </w:r>
    </w:p>
    <w:p w14:paraId="1CCB9C53" w14:textId="77777777" w:rsidR="004A3198" w:rsidRDefault="004A3198" w:rsidP="006C11D9">
      <w:pPr>
        <w:spacing w:after="0" w:line="276" w:lineRule="auto"/>
        <w:jc w:val="both"/>
        <w:rPr>
          <w:rFonts w:ascii="Book Antiqua" w:eastAsia="Calibri" w:hAnsi="Book Antiqua" w:cs="Arial"/>
          <w:sz w:val="24"/>
          <w:szCs w:val="24"/>
        </w:rPr>
      </w:pPr>
    </w:p>
    <w:p w14:paraId="7818DD0F" w14:textId="098DB7AA" w:rsidR="006C11D9" w:rsidRPr="006C11D9" w:rsidRDefault="006C11D9" w:rsidP="006C11D9">
      <w:pPr>
        <w:spacing w:after="0" w:line="276" w:lineRule="auto"/>
        <w:jc w:val="both"/>
        <w:rPr>
          <w:rFonts w:ascii="Book Antiqua" w:eastAsia="Calibri" w:hAnsi="Book Antiqua" w:cs="Arial"/>
          <w:sz w:val="24"/>
          <w:szCs w:val="24"/>
        </w:rPr>
      </w:pPr>
      <w:r w:rsidRPr="006C11D9">
        <w:rPr>
          <w:rFonts w:ascii="Book Antiqua" w:eastAsia="Calibri" w:hAnsi="Book Antiqua" w:cs="Arial"/>
          <w:sz w:val="24"/>
          <w:szCs w:val="24"/>
        </w:rPr>
        <w:t>En l</w:t>
      </w:r>
      <w:r w:rsidR="006E02D4">
        <w:rPr>
          <w:rFonts w:ascii="Book Antiqua" w:eastAsia="Calibri" w:hAnsi="Book Antiqua" w:cs="Arial"/>
          <w:sz w:val="24"/>
          <w:szCs w:val="24"/>
        </w:rPr>
        <w:t>os informes 656-PLA-RR-MI-2021 y 389-PLA-R</w:t>
      </w:r>
      <w:r w:rsidR="00A958BE">
        <w:rPr>
          <w:rFonts w:ascii="Book Antiqua" w:eastAsia="Calibri" w:hAnsi="Book Antiqua" w:cs="Arial"/>
          <w:sz w:val="24"/>
          <w:szCs w:val="24"/>
        </w:rPr>
        <w:t>H</w:t>
      </w:r>
      <w:r w:rsidR="006E02D4">
        <w:rPr>
          <w:rFonts w:ascii="Book Antiqua" w:eastAsia="Calibri" w:hAnsi="Book Antiqua" w:cs="Arial"/>
          <w:sz w:val="24"/>
          <w:szCs w:val="24"/>
        </w:rPr>
        <w:t>-M</w:t>
      </w:r>
      <w:r w:rsidR="007779FA">
        <w:rPr>
          <w:rFonts w:ascii="Book Antiqua" w:eastAsia="Calibri" w:hAnsi="Book Antiqua" w:cs="Arial"/>
          <w:sz w:val="24"/>
          <w:szCs w:val="24"/>
        </w:rPr>
        <w:t>I</w:t>
      </w:r>
      <w:r w:rsidR="006E02D4">
        <w:rPr>
          <w:rFonts w:ascii="Book Antiqua" w:eastAsia="Calibri" w:hAnsi="Book Antiqua" w:cs="Arial"/>
          <w:sz w:val="24"/>
          <w:szCs w:val="24"/>
        </w:rPr>
        <w:t>-2021</w:t>
      </w:r>
      <w:r w:rsidR="007779FA">
        <w:rPr>
          <w:rFonts w:ascii="Book Antiqua" w:eastAsia="Calibri" w:hAnsi="Book Antiqua" w:cs="Arial"/>
          <w:sz w:val="24"/>
          <w:szCs w:val="24"/>
        </w:rPr>
        <w:t>, se identificó que en los</w:t>
      </w:r>
      <w:r w:rsidRPr="006C11D9">
        <w:rPr>
          <w:rFonts w:ascii="Book Antiqua" w:eastAsia="Calibri" w:hAnsi="Book Antiqua" w:cs="Arial"/>
          <w:sz w:val="24"/>
          <w:szCs w:val="24"/>
        </w:rPr>
        <w:t xml:space="preserve"> caso</w:t>
      </w:r>
      <w:r w:rsidR="007779FA">
        <w:rPr>
          <w:rFonts w:ascii="Book Antiqua" w:eastAsia="Calibri" w:hAnsi="Book Antiqua" w:cs="Arial"/>
          <w:sz w:val="24"/>
          <w:szCs w:val="24"/>
        </w:rPr>
        <w:t>s</w:t>
      </w:r>
      <w:r w:rsidRPr="006C11D9">
        <w:rPr>
          <w:rFonts w:ascii="Book Antiqua" w:eastAsia="Calibri" w:hAnsi="Book Antiqua" w:cs="Arial"/>
          <w:sz w:val="24"/>
          <w:szCs w:val="24"/>
        </w:rPr>
        <w:t xml:space="preserve"> del Juzgado Primero y Segundo de Familia de San José</w:t>
      </w:r>
      <w:r>
        <w:rPr>
          <w:rFonts w:ascii="Book Antiqua" w:eastAsia="Calibri" w:hAnsi="Book Antiqua" w:cs="Arial"/>
          <w:sz w:val="24"/>
          <w:szCs w:val="24"/>
        </w:rPr>
        <w:t>,</w:t>
      </w:r>
      <w:r w:rsidRPr="006C11D9">
        <w:rPr>
          <w:rFonts w:ascii="Book Antiqua" w:eastAsia="Calibri" w:hAnsi="Book Antiqua" w:cs="Arial"/>
          <w:sz w:val="24"/>
          <w:szCs w:val="24"/>
        </w:rPr>
        <w:t xml:space="preserve"> según la carga de trabajo estimada por mes</w:t>
      </w:r>
      <w:r w:rsidR="00D970AF">
        <w:rPr>
          <w:rFonts w:ascii="Book Antiqua" w:eastAsia="Calibri" w:hAnsi="Book Antiqua" w:cs="Arial"/>
          <w:sz w:val="24"/>
          <w:szCs w:val="24"/>
        </w:rPr>
        <w:t xml:space="preserve">; </w:t>
      </w:r>
      <w:r w:rsidRPr="006C11D9">
        <w:rPr>
          <w:rFonts w:ascii="Book Antiqua" w:eastAsia="Calibri" w:hAnsi="Book Antiqua" w:cs="Arial"/>
          <w:sz w:val="24"/>
          <w:szCs w:val="24"/>
        </w:rPr>
        <w:t>se podría modificar la cantidad de personas juzgadoras con que cuenta cada uno de estos despachos, por lo que se analiza el comportamiento de estos para concluir sobre estas variaciones.</w:t>
      </w:r>
    </w:p>
    <w:p w14:paraId="68C6A287" w14:textId="77777777" w:rsidR="00D970AF" w:rsidRDefault="00D970AF" w:rsidP="006C11D9">
      <w:pPr>
        <w:spacing w:after="0" w:line="276" w:lineRule="auto"/>
        <w:jc w:val="both"/>
        <w:rPr>
          <w:rFonts w:ascii="Book Antiqua" w:eastAsia="Calibri" w:hAnsi="Book Antiqua" w:cs="Arial"/>
          <w:sz w:val="24"/>
          <w:szCs w:val="24"/>
        </w:rPr>
      </w:pPr>
    </w:p>
    <w:p w14:paraId="6CE58BDF" w14:textId="795C661F" w:rsidR="006C11D9" w:rsidRPr="006C11D9" w:rsidRDefault="006C11D9" w:rsidP="006C11D9">
      <w:pPr>
        <w:spacing w:after="0" w:line="276" w:lineRule="auto"/>
        <w:jc w:val="both"/>
        <w:rPr>
          <w:rFonts w:ascii="Book Antiqua" w:eastAsia="Calibri" w:hAnsi="Book Antiqua" w:cs="Arial"/>
          <w:sz w:val="24"/>
          <w:szCs w:val="24"/>
        </w:rPr>
      </w:pPr>
      <w:r w:rsidRPr="006C11D9">
        <w:rPr>
          <w:rFonts w:ascii="Book Antiqua" w:eastAsia="Calibri" w:hAnsi="Book Antiqua" w:cs="Arial"/>
          <w:sz w:val="24"/>
          <w:szCs w:val="24"/>
        </w:rPr>
        <w:t xml:space="preserve">Se compara la entrada mensual una vez que se desjudicialicen </w:t>
      </w:r>
      <w:r w:rsidR="007779FA">
        <w:rPr>
          <w:rFonts w:ascii="Book Antiqua" w:eastAsia="Calibri" w:hAnsi="Book Antiqua" w:cs="Arial"/>
          <w:sz w:val="24"/>
          <w:szCs w:val="24"/>
        </w:rPr>
        <w:t xml:space="preserve">los </w:t>
      </w:r>
      <w:r w:rsidRPr="006C11D9">
        <w:rPr>
          <w:rFonts w:ascii="Book Antiqua" w:eastAsia="Calibri" w:hAnsi="Book Antiqua" w:cs="Arial"/>
          <w:sz w:val="24"/>
          <w:szCs w:val="24"/>
        </w:rPr>
        <w:t xml:space="preserve">procesos y se divide contra </w:t>
      </w:r>
      <w:r w:rsidRPr="00962168">
        <w:rPr>
          <w:rFonts w:ascii="Book Antiqua" w:eastAsia="Calibri" w:hAnsi="Book Antiqua" w:cs="Arial"/>
          <w:sz w:val="24"/>
          <w:szCs w:val="24"/>
        </w:rPr>
        <w:t>7</w:t>
      </w:r>
      <w:r w:rsidR="00962168" w:rsidRPr="00962168">
        <w:rPr>
          <w:rFonts w:ascii="Book Antiqua" w:eastAsia="Calibri" w:hAnsi="Book Antiqua" w:cs="Arial"/>
          <w:sz w:val="24"/>
          <w:szCs w:val="24"/>
        </w:rPr>
        <w:t>6</w:t>
      </w:r>
      <w:r w:rsidRPr="00962168">
        <w:rPr>
          <w:rFonts w:ascii="Book Antiqua" w:eastAsia="Calibri" w:hAnsi="Book Antiqua" w:cs="Arial"/>
          <w:sz w:val="24"/>
          <w:szCs w:val="24"/>
        </w:rPr>
        <w:t xml:space="preserve"> asuntos por plaza de Judicatura y 4</w:t>
      </w:r>
      <w:r w:rsidR="00962168" w:rsidRPr="00962168">
        <w:rPr>
          <w:rFonts w:ascii="Book Antiqua" w:eastAsia="Calibri" w:hAnsi="Book Antiqua" w:cs="Arial"/>
          <w:sz w:val="24"/>
          <w:szCs w:val="24"/>
        </w:rPr>
        <w:t>8</w:t>
      </w:r>
      <w:r w:rsidRPr="00962168">
        <w:rPr>
          <w:rFonts w:ascii="Book Antiqua" w:eastAsia="Calibri" w:hAnsi="Book Antiqua" w:cs="Arial"/>
          <w:sz w:val="24"/>
          <w:szCs w:val="24"/>
        </w:rPr>
        <w:t xml:space="preserve"> por</w:t>
      </w:r>
      <w:r w:rsidRPr="006C11D9">
        <w:rPr>
          <w:rFonts w:ascii="Book Antiqua" w:eastAsia="Calibri" w:hAnsi="Book Antiqua" w:cs="Arial"/>
          <w:sz w:val="24"/>
          <w:szCs w:val="24"/>
        </w:rPr>
        <w:t xml:space="preserve"> persona Técnica Judicial, para obtener la cantidad de recurso humano que se necesita.</w:t>
      </w:r>
    </w:p>
    <w:p w14:paraId="218AF421" w14:textId="77777777" w:rsidR="006C11D9" w:rsidRDefault="006C11D9" w:rsidP="006C11D9">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5E9BDE95" w14:textId="743DBA62" w:rsidR="006C11D9" w:rsidRPr="006C11D9" w:rsidRDefault="006C11D9" w:rsidP="006C11D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C11D9">
        <w:rPr>
          <w:rFonts w:ascii="Book Antiqua" w:eastAsia="Calibri" w:hAnsi="Book Antiqua" w:cs="Arial"/>
          <w:b/>
          <w:bCs/>
          <w:color w:val="1F497D"/>
          <w:szCs w:val="24"/>
          <w:lang w:val="es-ES" w:eastAsia="es-ES"/>
        </w:rPr>
        <w:t xml:space="preserve">Cuadro </w:t>
      </w:r>
      <w:r w:rsidRPr="006C11D9">
        <w:rPr>
          <w:rFonts w:ascii="Book Antiqua" w:eastAsia="Calibri" w:hAnsi="Book Antiqua" w:cs="Arial"/>
          <w:b/>
          <w:bCs/>
          <w:color w:val="1F497D"/>
          <w:szCs w:val="24"/>
          <w:lang w:val="es-ES" w:eastAsia="es-ES"/>
        </w:rPr>
        <w:fldChar w:fldCharType="begin"/>
      </w:r>
      <w:r w:rsidRPr="006C11D9">
        <w:rPr>
          <w:rFonts w:ascii="Book Antiqua" w:eastAsia="Calibri" w:hAnsi="Book Antiqua" w:cs="Arial"/>
          <w:b/>
          <w:bCs/>
          <w:color w:val="1F497D"/>
          <w:szCs w:val="24"/>
          <w:lang w:val="es-ES" w:eastAsia="es-ES"/>
        </w:rPr>
        <w:instrText xml:space="preserve"> SEQ Cuadro \* ARABIC </w:instrText>
      </w:r>
      <w:r w:rsidRPr="006C11D9">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28</w:t>
      </w:r>
      <w:r w:rsidRPr="006C11D9">
        <w:rPr>
          <w:rFonts w:ascii="Book Antiqua" w:eastAsia="Calibri" w:hAnsi="Book Antiqua" w:cs="Arial"/>
          <w:b/>
          <w:bCs/>
          <w:color w:val="1F497D"/>
          <w:szCs w:val="24"/>
          <w:lang w:val="es-ES" w:eastAsia="es-ES"/>
        </w:rPr>
        <w:fldChar w:fldCharType="end"/>
      </w:r>
      <w:r w:rsidRPr="006C11D9">
        <w:rPr>
          <w:rFonts w:ascii="Book Antiqua" w:eastAsia="Calibri" w:hAnsi="Book Antiqua" w:cs="Arial"/>
          <w:b/>
          <w:bCs/>
          <w:color w:val="1F497D"/>
          <w:szCs w:val="24"/>
          <w:lang w:val="es-ES" w:eastAsia="es-ES"/>
        </w:rPr>
        <w:t xml:space="preserve"> </w:t>
      </w:r>
    </w:p>
    <w:p w14:paraId="1CB6E055" w14:textId="1067EE57" w:rsidR="006C11D9" w:rsidRDefault="006C11D9" w:rsidP="006C11D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C11D9">
        <w:rPr>
          <w:rFonts w:ascii="Book Antiqua" w:eastAsia="Calibri" w:hAnsi="Book Antiqua" w:cs="Arial"/>
          <w:b/>
          <w:bCs/>
          <w:color w:val="1F497D"/>
          <w:szCs w:val="24"/>
          <w:lang w:val="es-ES" w:eastAsia="es-ES"/>
        </w:rPr>
        <w:t>Análisis de carga de trabajo para el Juzgado Primero y Segundo de Familia de San José</w:t>
      </w:r>
    </w:p>
    <w:tbl>
      <w:tblPr>
        <w:tblW w:w="5000" w:type="pct"/>
        <w:tblCellMar>
          <w:left w:w="70" w:type="dxa"/>
          <w:right w:w="70" w:type="dxa"/>
        </w:tblCellMar>
        <w:tblLook w:val="04A0" w:firstRow="1" w:lastRow="0" w:firstColumn="1" w:lastColumn="0" w:noHBand="0" w:noVBand="1"/>
      </w:tblPr>
      <w:tblGrid>
        <w:gridCol w:w="3981"/>
        <w:gridCol w:w="1233"/>
        <w:gridCol w:w="1134"/>
        <w:gridCol w:w="1233"/>
        <w:gridCol w:w="1237"/>
      </w:tblGrid>
      <w:tr w:rsidR="00857B2D" w:rsidRPr="00857B2D" w14:paraId="2781A82E" w14:textId="77777777" w:rsidTr="00857B2D">
        <w:trPr>
          <w:trHeight w:val="580"/>
        </w:trPr>
        <w:tc>
          <w:tcPr>
            <w:tcW w:w="237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F5594ED"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Carga de trabajo</w:t>
            </w:r>
          </w:p>
        </w:tc>
        <w:tc>
          <w:tcPr>
            <w:tcW w:w="1287" w:type="pct"/>
            <w:gridSpan w:val="2"/>
            <w:tcBorders>
              <w:top w:val="single" w:sz="8" w:space="0" w:color="auto"/>
              <w:left w:val="nil"/>
              <w:bottom w:val="single" w:sz="8" w:space="0" w:color="auto"/>
              <w:right w:val="single" w:sz="8" w:space="0" w:color="000000"/>
            </w:tcBorders>
            <w:shd w:val="clear" w:color="000000" w:fill="002060"/>
            <w:vAlign w:val="center"/>
            <w:hideMark/>
          </w:tcPr>
          <w:p w14:paraId="613F12F3"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Juzgado Primero de San José</w:t>
            </w:r>
          </w:p>
        </w:tc>
        <w:tc>
          <w:tcPr>
            <w:tcW w:w="1334" w:type="pct"/>
            <w:gridSpan w:val="2"/>
            <w:tcBorders>
              <w:top w:val="single" w:sz="8" w:space="0" w:color="auto"/>
              <w:left w:val="nil"/>
              <w:bottom w:val="single" w:sz="8" w:space="0" w:color="auto"/>
              <w:right w:val="single" w:sz="8" w:space="0" w:color="000000"/>
            </w:tcBorders>
            <w:shd w:val="clear" w:color="000000" w:fill="002060"/>
            <w:vAlign w:val="center"/>
            <w:hideMark/>
          </w:tcPr>
          <w:p w14:paraId="4BC6DFB9"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Juzgado Segundo de San José</w:t>
            </w:r>
          </w:p>
        </w:tc>
      </w:tr>
      <w:tr w:rsidR="00857B2D" w:rsidRPr="00857B2D" w14:paraId="0BCAE895" w14:textId="77777777" w:rsidTr="00857B2D">
        <w:trPr>
          <w:trHeight w:val="1170"/>
        </w:trPr>
        <w:tc>
          <w:tcPr>
            <w:tcW w:w="2378" w:type="pct"/>
            <w:vMerge/>
            <w:tcBorders>
              <w:top w:val="single" w:sz="8" w:space="0" w:color="auto"/>
              <w:left w:val="single" w:sz="8" w:space="0" w:color="auto"/>
              <w:bottom w:val="single" w:sz="8" w:space="0" w:color="000000"/>
              <w:right w:val="single" w:sz="8" w:space="0" w:color="auto"/>
            </w:tcBorders>
            <w:vAlign w:val="center"/>
            <w:hideMark/>
          </w:tcPr>
          <w:p w14:paraId="341DBCBC" w14:textId="77777777" w:rsidR="00857B2D" w:rsidRPr="00857B2D" w:rsidRDefault="00857B2D" w:rsidP="00857B2D">
            <w:pPr>
              <w:spacing w:after="0" w:line="240" w:lineRule="auto"/>
              <w:rPr>
                <w:rFonts w:ascii="Book Antiqua" w:eastAsia="Times New Roman" w:hAnsi="Book Antiqua" w:cs="Calibri"/>
                <w:color w:val="FFFFFF"/>
                <w:lang w:eastAsia="es-CR"/>
              </w:rPr>
            </w:pPr>
          </w:p>
        </w:tc>
        <w:tc>
          <w:tcPr>
            <w:tcW w:w="523" w:type="pct"/>
            <w:tcBorders>
              <w:top w:val="nil"/>
              <w:left w:val="nil"/>
              <w:bottom w:val="single" w:sz="8" w:space="0" w:color="auto"/>
              <w:right w:val="single" w:sz="8" w:space="0" w:color="auto"/>
            </w:tcBorders>
            <w:shd w:val="clear" w:color="000000" w:fill="002060"/>
            <w:vAlign w:val="center"/>
            <w:hideMark/>
          </w:tcPr>
          <w:p w14:paraId="73DE51D5"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Personas Juzgadoras</w:t>
            </w:r>
          </w:p>
        </w:tc>
        <w:tc>
          <w:tcPr>
            <w:tcW w:w="764" w:type="pct"/>
            <w:tcBorders>
              <w:top w:val="nil"/>
              <w:left w:val="nil"/>
              <w:bottom w:val="single" w:sz="8" w:space="0" w:color="auto"/>
              <w:right w:val="single" w:sz="8" w:space="0" w:color="auto"/>
            </w:tcBorders>
            <w:shd w:val="clear" w:color="000000" w:fill="002060"/>
            <w:vAlign w:val="center"/>
            <w:hideMark/>
          </w:tcPr>
          <w:p w14:paraId="32F65AE8"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Personas Técnicas Judiciales de Trámite</w:t>
            </w:r>
          </w:p>
        </w:tc>
        <w:tc>
          <w:tcPr>
            <w:tcW w:w="512" w:type="pct"/>
            <w:tcBorders>
              <w:top w:val="nil"/>
              <w:left w:val="nil"/>
              <w:bottom w:val="single" w:sz="8" w:space="0" w:color="auto"/>
              <w:right w:val="single" w:sz="8" w:space="0" w:color="auto"/>
            </w:tcBorders>
            <w:shd w:val="clear" w:color="000000" w:fill="002060"/>
            <w:vAlign w:val="center"/>
            <w:hideMark/>
          </w:tcPr>
          <w:p w14:paraId="300A39F1"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Personas Juzgadoras</w:t>
            </w:r>
          </w:p>
        </w:tc>
        <w:tc>
          <w:tcPr>
            <w:tcW w:w="822" w:type="pct"/>
            <w:tcBorders>
              <w:top w:val="nil"/>
              <w:left w:val="nil"/>
              <w:bottom w:val="single" w:sz="8" w:space="0" w:color="auto"/>
              <w:right w:val="single" w:sz="8" w:space="0" w:color="auto"/>
            </w:tcBorders>
            <w:shd w:val="clear" w:color="000000" w:fill="002060"/>
            <w:vAlign w:val="center"/>
            <w:hideMark/>
          </w:tcPr>
          <w:p w14:paraId="135DAD38" w14:textId="77777777" w:rsidR="00857B2D" w:rsidRPr="00857B2D" w:rsidRDefault="00857B2D" w:rsidP="00857B2D">
            <w:pPr>
              <w:spacing w:after="0" w:line="240" w:lineRule="auto"/>
              <w:jc w:val="center"/>
              <w:rPr>
                <w:rFonts w:ascii="Book Antiqua" w:eastAsia="Times New Roman" w:hAnsi="Book Antiqua" w:cs="Calibri"/>
                <w:color w:val="FFFFFF"/>
                <w:lang w:eastAsia="es-CR"/>
              </w:rPr>
            </w:pPr>
            <w:r w:rsidRPr="00857B2D">
              <w:rPr>
                <w:rFonts w:ascii="Book Antiqua" w:eastAsia="Times New Roman" w:hAnsi="Book Antiqua" w:cs="Calibri"/>
                <w:color w:val="FFFFFF"/>
                <w:lang w:eastAsia="es-CR"/>
              </w:rPr>
              <w:t>Personas Técnicas Judiciales de Trámite</w:t>
            </w:r>
          </w:p>
        </w:tc>
      </w:tr>
      <w:tr w:rsidR="00857B2D" w:rsidRPr="00857B2D" w14:paraId="06EF9833"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02494831"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Promedio mensual de Entrada 2017-2021 (estimado con desjudicialización)</w:t>
            </w:r>
          </w:p>
        </w:tc>
        <w:tc>
          <w:tcPr>
            <w:tcW w:w="523" w:type="pct"/>
            <w:tcBorders>
              <w:top w:val="nil"/>
              <w:left w:val="nil"/>
              <w:bottom w:val="single" w:sz="8" w:space="0" w:color="auto"/>
              <w:right w:val="single" w:sz="8" w:space="0" w:color="auto"/>
            </w:tcBorders>
            <w:shd w:val="clear" w:color="auto" w:fill="auto"/>
            <w:vAlign w:val="center"/>
            <w:hideMark/>
          </w:tcPr>
          <w:p w14:paraId="50632BC8"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141/3=47</w:t>
            </w:r>
          </w:p>
        </w:tc>
        <w:tc>
          <w:tcPr>
            <w:tcW w:w="764" w:type="pct"/>
            <w:tcBorders>
              <w:top w:val="nil"/>
              <w:left w:val="nil"/>
              <w:bottom w:val="single" w:sz="8" w:space="0" w:color="auto"/>
              <w:right w:val="single" w:sz="8" w:space="0" w:color="auto"/>
            </w:tcBorders>
            <w:shd w:val="clear" w:color="auto" w:fill="auto"/>
            <w:vAlign w:val="center"/>
            <w:hideMark/>
          </w:tcPr>
          <w:p w14:paraId="07938967"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141/5=28</w:t>
            </w:r>
          </w:p>
        </w:tc>
        <w:tc>
          <w:tcPr>
            <w:tcW w:w="512" w:type="pct"/>
            <w:tcBorders>
              <w:top w:val="nil"/>
              <w:left w:val="nil"/>
              <w:bottom w:val="single" w:sz="8" w:space="0" w:color="auto"/>
              <w:right w:val="single" w:sz="8" w:space="0" w:color="auto"/>
            </w:tcBorders>
            <w:shd w:val="clear" w:color="auto" w:fill="auto"/>
            <w:vAlign w:val="center"/>
            <w:hideMark/>
          </w:tcPr>
          <w:p w14:paraId="420AF48F"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134/3=45</w:t>
            </w:r>
          </w:p>
        </w:tc>
        <w:tc>
          <w:tcPr>
            <w:tcW w:w="822" w:type="pct"/>
            <w:tcBorders>
              <w:top w:val="nil"/>
              <w:left w:val="nil"/>
              <w:bottom w:val="single" w:sz="8" w:space="0" w:color="auto"/>
              <w:right w:val="single" w:sz="8" w:space="0" w:color="auto"/>
            </w:tcBorders>
            <w:shd w:val="clear" w:color="auto" w:fill="auto"/>
            <w:vAlign w:val="center"/>
            <w:hideMark/>
          </w:tcPr>
          <w:p w14:paraId="3954D802"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134/5=27</w:t>
            </w:r>
          </w:p>
        </w:tc>
      </w:tr>
      <w:tr w:rsidR="00857B2D" w:rsidRPr="00857B2D" w14:paraId="19808748"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30AE9D57"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Promedio mensual de terminado</w:t>
            </w:r>
          </w:p>
        </w:tc>
        <w:tc>
          <w:tcPr>
            <w:tcW w:w="523" w:type="pct"/>
            <w:tcBorders>
              <w:top w:val="nil"/>
              <w:left w:val="nil"/>
              <w:bottom w:val="single" w:sz="8" w:space="0" w:color="auto"/>
              <w:right w:val="single" w:sz="8" w:space="0" w:color="auto"/>
            </w:tcBorders>
            <w:shd w:val="clear" w:color="auto" w:fill="auto"/>
            <w:vAlign w:val="center"/>
            <w:hideMark/>
          </w:tcPr>
          <w:p w14:paraId="35D6F104"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130/3=43</w:t>
            </w:r>
          </w:p>
        </w:tc>
        <w:tc>
          <w:tcPr>
            <w:tcW w:w="764" w:type="pct"/>
            <w:tcBorders>
              <w:top w:val="nil"/>
              <w:left w:val="nil"/>
              <w:bottom w:val="single" w:sz="8" w:space="0" w:color="auto"/>
              <w:right w:val="single" w:sz="8" w:space="0" w:color="auto"/>
            </w:tcBorders>
            <w:shd w:val="clear" w:color="auto" w:fill="auto"/>
            <w:vAlign w:val="center"/>
            <w:hideMark/>
          </w:tcPr>
          <w:p w14:paraId="11E8FB33"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130/5=26</w:t>
            </w:r>
          </w:p>
        </w:tc>
        <w:tc>
          <w:tcPr>
            <w:tcW w:w="512" w:type="pct"/>
            <w:tcBorders>
              <w:top w:val="nil"/>
              <w:left w:val="nil"/>
              <w:bottom w:val="single" w:sz="8" w:space="0" w:color="auto"/>
              <w:right w:val="single" w:sz="8" w:space="0" w:color="auto"/>
            </w:tcBorders>
            <w:shd w:val="clear" w:color="auto" w:fill="auto"/>
            <w:vAlign w:val="center"/>
            <w:hideMark/>
          </w:tcPr>
          <w:p w14:paraId="31F997B7"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137/3=46</w:t>
            </w:r>
          </w:p>
        </w:tc>
        <w:tc>
          <w:tcPr>
            <w:tcW w:w="822" w:type="pct"/>
            <w:tcBorders>
              <w:top w:val="nil"/>
              <w:left w:val="nil"/>
              <w:bottom w:val="single" w:sz="8" w:space="0" w:color="auto"/>
              <w:right w:val="single" w:sz="8" w:space="0" w:color="auto"/>
            </w:tcBorders>
            <w:shd w:val="clear" w:color="auto" w:fill="auto"/>
            <w:vAlign w:val="center"/>
            <w:hideMark/>
          </w:tcPr>
          <w:p w14:paraId="4F3E0632"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137/5=27</w:t>
            </w:r>
          </w:p>
        </w:tc>
      </w:tr>
      <w:tr w:rsidR="00857B2D" w:rsidRPr="00857B2D" w14:paraId="71802987"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72D283D5"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Circulante al finalizar el 2021</w:t>
            </w:r>
          </w:p>
        </w:tc>
        <w:tc>
          <w:tcPr>
            <w:tcW w:w="1287" w:type="pct"/>
            <w:gridSpan w:val="2"/>
            <w:tcBorders>
              <w:top w:val="single" w:sz="8" w:space="0" w:color="auto"/>
              <w:left w:val="nil"/>
              <w:bottom w:val="single" w:sz="8" w:space="0" w:color="auto"/>
              <w:right w:val="single" w:sz="8" w:space="0" w:color="000000"/>
            </w:tcBorders>
            <w:shd w:val="clear" w:color="auto" w:fill="auto"/>
            <w:vAlign w:val="center"/>
            <w:hideMark/>
          </w:tcPr>
          <w:p w14:paraId="111888CE"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838</w:t>
            </w:r>
          </w:p>
        </w:tc>
        <w:tc>
          <w:tcPr>
            <w:tcW w:w="1334" w:type="pct"/>
            <w:gridSpan w:val="2"/>
            <w:tcBorders>
              <w:top w:val="single" w:sz="8" w:space="0" w:color="auto"/>
              <w:left w:val="nil"/>
              <w:bottom w:val="single" w:sz="8" w:space="0" w:color="auto"/>
              <w:right w:val="single" w:sz="8" w:space="0" w:color="000000"/>
            </w:tcBorders>
            <w:shd w:val="clear" w:color="auto" w:fill="auto"/>
            <w:vAlign w:val="center"/>
            <w:hideMark/>
          </w:tcPr>
          <w:p w14:paraId="7544F537"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788</w:t>
            </w:r>
          </w:p>
        </w:tc>
      </w:tr>
      <w:tr w:rsidR="00857B2D" w:rsidRPr="00857B2D" w14:paraId="421FB5BA"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5CC60545"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Relación Salida Entrada</w:t>
            </w:r>
          </w:p>
        </w:tc>
        <w:tc>
          <w:tcPr>
            <w:tcW w:w="1287" w:type="pct"/>
            <w:gridSpan w:val="2"/>
            <w:tcBorders>
              <w:top w:val="single" w:sz="8" w:space="0" w:color="auto"/>
              <w:left w:val="nil"/>
              <w:bottom w:val="single" w:sz="8" w:space="0" w:color="auto"/>
              <w:right w:val="single" w:sz="8" w:space="0" w:color="000000"/>
            </w:tcBorders>
            <w:shd w:val="clear" w:color="auto" w:fill="auto"/>
            <w:vAlign w:val="center"/>
            <w:hideMark/>
          </w:tcPr>
          <w:p w14:paraId="33C51131"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92%</w:t>
            </w:r>
          </w:p>
        </w:tc>
        <w:tc>
          <w:tcPr>
            <w:tcW w:w="1334" w:type="pct"/>
            <w:gridSpan w:val="2"/>
            <w:tcBorders>
              <w:top w:val="single" w:sz="8" w:space="0" w:color="auto"/>
              <w:left w:val="nil"/>
              <w:bottom w:val="single" w:sz="8" w:space="0" w:color="auto"/>
              <w:right w:val="single" w:sz="8" w:space="0" w:color="000000"/>
            </w:tcBorders>
            <w:shd w:val="clear" w:color="auto" w:fill="auto"/>
            <w:vAlign w:val="center"/>
            <w:hideMark/>
          </w:tcPr>
          <w:p w14:paraId="2A315893"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102%</w:t>
            </w:r>
          </w:p>
        </w:tc>
      </w:tr>
      <w:tr w:rsidR="00857B2D" w:rsidRPr="00857B2D" w14:paraId="623BD616"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558B6E7F"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Cantidad de personas con que cuenta el despacho</w:t>
            </w:r>
          </w:p>
        </w:tc>
        <w:tc>
          <w:tcPr>
            <w:tcW w:w="523" w:type="pct"/>
            <w:tcBorders>
              <w:top w:val="nil"/>
              <w:left w:val="nil"/>
              <w:bottom w:val="single" w:sz="8" w:space="0" w:color="auto"/>
              <w:right w:val="single" w:sz="8" w:space="0" w:color="auto"/>
            </w:tcBorders>
            <w:shd w:val="clear" w:color="auto" w:fill="auto"/>
            <w:vAlign w:val="center"/>
            <w:hideMark/>
          </w:tcPr>
          <w:p w14:paraId="611AD461"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3</w:t>
            </w:r>
          </w:p>
        </w:tc>
        <w:tc>
          <w:tcPr>
            <w:tcW w:w="764" w:type="pct"/>
            <w:tcBorders>
              <w:top w:val="nil"/>
              <w:left w:val="nil"/>
              <w:bottom w:val="single" w:sz="8" w:space="0" w:color="auto"/>
              <w:right w:val="single" w:sz="8" w:space="0" w:color="auto"/>
            </w:tcBorders>
            <w:shd w:val="clear" w:color="auto" w:fill="auto"/>
            <w:vAlign w:val="center"/>
            <w:hideMark/>
          </w:tcPr>
          <w:p w14:paraId="5D5269B3"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5</w:t>
            </w:r>
          </w:p>
        </w:tc>
        <w:tc>
          <w:tcPr>
            <w:tcW w:w="512" w:type="pct"/>
            <w:tcBorders>
              <w:top w:val="nil"/>
              <w:left w:val="nil"/>
              <w:bottom w:val="single" w:sz="8" w:space="0" w:color="auto"/>
              <w:right w:val="single" w:sz="8" w:space="0" w:color="auto"/>
            </w:tcBorders>
            <w:shd w:val="clear" w:color="auto" w:fill="auto"/>
            <w:vAlign w:val="center"/>
            <w:hideMark/>
          </w:tcPr>
          <w:p w14:paraId="3DADD769"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3</w:t>
            </w:r>
          </w:p>
        </w:tc>
        <w:tc>
          <w:tcPr>
            <w:tcW w:w="822" w:type="pct"/>
            <w:tcBorders>
              <w:top w:val="nil"/>
              <w:left w:val="nil"/>
              <w:bottom w:val="single" w:sz="8" w:space="0" w:color="auto"/>
              <w:right w:val="single" w:sz="8" w:space="0" w:color="auto"/>
            </w:tcBorders>
            <w:shd w:val="clear" w:color="auto" w:fill="auto"/>
            <w:vAlign w:val="center"/>
            <w:hideMark/>
          </w:tcPr>
          <w:p w14:paraId="512DB9C0"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5</w:t>
            </w:r>
          </w:p>
        </w:tc>
      </w:tr>
      <w:tr w:rsidR="00857B2D" w:rsidRPr="00857B2D" w14:paraId="44777E3B"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2C90F3F1"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Cantidad requerida de personas</w:t>
            </w:r>
          </w:p>
        </w:tc>
        <w:tc>
          <w:tcPr>
            <w:tcW w:w="523" w:type="pct"/>
            <w:tcBorders>
              <w:top w:val="nil"/>
              <w:left w:val="nil"/>
              <w:bottom w:val="single" w:sz="8" w:space="0" w:color="auto"/>
              <w:right w:val="single" w:sz="8" w:space="0" w:color="auto"/>
            </w:tcBorders>
            <w:shd w:val="clear" w:color="auto" w:fill="auto"/>
            <w:vAlign w:val="center"/>
            <w:hideMark/>
          </w:tcPr>
          <w:p w14:paraId="4FEB383F"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2</w:t>
            </w:r>
          </w:p>
        </w:tc>
        <w:tc>
          <w:tcPr>
            <w:tcW w:w="764" w:type="pct"/>
            <w:tcBorders>
              <w:top w:val="nil"/>
              <w:left w:val="nil"/>
              <w:bottom w:val="single" w:sz="8" w:space="0" w:color="auto"/>
              <w:right w:val="single" w:sz="8" w:space="0" w:color="auto"/>
            </w:tcBorders>
            <w:shd w:val="clear" w:color="auto" w:fill="auto"/>
            <w:vAlign w:val="center"/>
            <w:hideMark/>
          </w:tcPr>
          <w:p w14:paraId="0DD99E9C"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3</w:t>
            </w:r>
          </w:p>
        </w:tc>
        <w:tc>
          <w:tcPr>
            <w:tcW w:w="512" w:type="pct"/>
            <w:tcBorders>
              <w:top w:val="nil"/>
              <w:left w:val="nil"/>
              <w:bottom w:val="single" w:sz="8" w:space="0" w:color="auto"/>
              <w:right w:val="single" w:sz="8" w:space="0" w:color="auto"/>
            </w:tcBorders>
            <w:shd w:val="clear" w:color="auto" w:fill="auto"/>
            <w:vAlign w:val="center"/>
            <w:hideMark/>
          </w:tcPr>
          <w:p w14:paraId="70A6725A"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2</w:t>
            </w:r>
          </w:p>
        </w:tc>
        <w:tc>
          <w:tcPr>
            <w:tcW w:w="822" w:type="pct"/>
            <w:tcBorders>
              <w:top w:val="nil"/>
              <w:left w:val="nil"/>
              <w:bottom w:val="single" w:sz="8" w:space="0" w:color="auto"/>
              <w:right w:val="single" w:sz="8" w:space="0" w:color="auto"/>
            </w:tcBorders>
            <w:shd w:val="clear" w:color="auto" w:fill="auto"/>
            <w:vAlign w:val="center"/>
            <w:hideMark/>
          </w:tcPr>
          <w:p w14:paraId="3C7DE2ED"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3</w:t>
            </w:r>
          </w:p>
        </w:tc>
      </w:tr>
      <w:tr w:rsidR="00857B2D" w:rsidRPr="00857B2D" w14:paraId="5F6FCBA8" w14:textId="77777777" w:rsidTr="00857B2D">
        <w:trPr>
          <w:trHeight w:val="540"/>
        </w:trPr>
        <w:tc>
          <w:tcPr>
            <w:tcW w:w="2378" w:type="pct"/>
            <w:tcBorders>
              <w:top w:val="nil"/>
              <w:left w:val="single" w:sz="8" w:space="0" w:color="auto"/>
              <w:bottom w:val="single" w:sz="8" w:space="0" w:color="auto"/>
              <w:right w:val="single" w:sz="8" w:space="0" w:color="auto"/>
            </w:tcBorders>
            <w:shd w:val="clear" w:color="000000" w:fill="BFBFBF"/>
            <w:vAlign w:val="center"/>
            <w:hideMark/>
          </w:tcPr>
          <w:p w14:paraId="373278FF" w14:textId="77777777" w:rsidR="00857B2D" w:rsidRPr="00857B2D" w:rsidRDefault="00857B2D" w:rsidP="00857B2D">
            <w:pPr>
              <w:spacing w:after="0" w:line="240" w:lineRule="auto"/>
              <w:rPr>
                <w:rFonts w:ascii="Book Antiqua" w:eastAsia="Times New Roman" w:hAnsi="Book Antiqua" w:cs="Calibri"/>
                <w:b/>
                <w:bCs/>
                <w:color w:val="000000"/>
                <w:lang w:eastAsia="es-CR"/>
              </w:rPr>
            </w:pPr>
            <w:r w:rsidRPr="00857B2D">
              <w:rPr>
                <w:rFonts w:ascii="Book Antiqua" w:eastAsia="Times New Roman" w:hAnsi="Book Antiqua" w:cs="Calibri"/>
                <w:b/>
                <w:bCs/>
                <w:color w:val="000000"/>
                <w:lang w:eastAsia="es-CR"/>
              </w:rPr>
              <w:t>Variación</w:t>
            </w:r>
          </w:p>
        </w:tc>
        <w:tc>
          <w:tcPr>
            <w:tcW w:w="523" w:type="pct"/>
            <w:tcBorders>
              <w:top w:val="nil"/>
              <w:left w:val="nil"/>
              <w:bottom w:val="single" w:sz="8" w:space="0" w:color="auto"/>
              <w:right w:val="single" w:sz="8" w:space="0" w:color="auto"/>
            </w:tcBorders>
            <w:shd w:val="clear" w:color="auto" w:fill="auto"/>
            <w:noWrap/>
            <w:vAlign w:val="center"/>
            <w:hideMark/>
          </w:tcPr>
          <w:p w14:paraId="2658A721"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w:t>
            </w:r>
          </w:p>
        </w:tc>
        <w:tc>
          <w:tcPr>
            <w:tcW w:w="764" w:type="pct"/>
            <w:tcBorders>
              <w:top w:val="nil"/>
              <w:left w:val="nil"/>
              <w:bottom w:val="single" w:sz="8" w:space="0" w:color="auto"/>
              <w:right w:val="single" w:sz="8" w:space="0" w:color="auto"/>
            </w:tcBorders>
            <w:shd w:val="clear" w:color="auto" w:fill="auto"/>
            <w:noWrap/>
            <w:vAlign w:val="center"/>
            <w:hideMark/>
          </w:tcPr>
          <w:p w14:paraId="32106452"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-2</w:t>
            </w:r>
          </w:p>
        </w:tc>
        <w:tc>
          <w:tcPr>
            <w:tcW w:w="512" w:type="pct"/>
            <w:tcBorders>
              <w:top w:val="nil"/>
              <w:left w:val="nil"/>
              <w:bottom w:val="single" w:sz="8" w:space="0" w:color="auto"/>
              <w:right w:val="single" w:sz="8" w:space="0" w:color="auto"/>
            </w:tcBorders>
            <w:shd w:val="clear" w:color="auto" w:fill="auto"/>
            <w:noWrap/>
            <w:vAlign w:val="center"/>
            <w:hideMark/>
          </w:tcPr>
          <w:p w14:paraId="39E574A2"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-1</w:t>
            </w:r>
          </w:p>
        </w:tc>
        <w:tc>
          <w:tcPr>
            <w:tcW w:w="822" w:type="pct"/>
            <w:tcBorders>
              <w:top w:val="nil"/>
              <w:left w:val="nil"/>
              <w:bottom w:val="single" w:sz="8" w:space="0" w:color="auto"/>
              <w:right w:val="single" w:sz="8" w:space="0" w:color="auto"/>
            </w:tcBorders>
            <w:shd w:val="clear" w:color="auto" w:fill="auto"/>
            <w:noWrap/>
            <w:vAlign w:val="center"/>
            <w:hideMark/>
          </w:tcPr>
          <w:p w14:paraId="32B83256" w14:textId="77777777" w:rsidR="00857B2D" w:rsidRPr="00857B2D" w:rsidRDefault="00857B2D" w:rsidP="00857B2D">
            <w:pPr>
              <w:spacing w:after="0" w:line="240" w:lineRule="auto"/>
              <w:jc w:val="center"/>
              <w:rPr>
                <w:rFonts w:ascii="Book Antiqua" w:eastAsia="Times New Roman" w:hAnsi="Book Antiqua" w:cs="Calibri"/>
                <w:color w:val="000000"/>
                <w:lang w:eastAsia="es-CR"/>
              </w:rPr>
            </w:pPr>
            <w:r w:rsidRPr="00857B2D">
              <w:rPr>
                <w:rFonts w:ascii="Book Antiqua" w:eastAsia="Times New Roman" w:hAnsi="Book Antiqua" w:cs="Calibri"/>
                <w:color w:val="000000"/>
                <w:lang w:eastAsia="es-CR"/>
              </w:rPr>
              <w:t>-2</w:t>
            </w:r>
          </w:p>
        </w:tc>
      </w:tr>
    </w:tbl>
    <w:p w14:paraId="0125E4A9" w14:textId="212824F3" w:rsidR="00C319F8" w:rsidRPr="00AA6DF1" w:rsidRDefault="00AA6DF1" w:rsidP="00CD33BA">
      <w:pPr>
        <w:spacing w:line="276" w:lineRule="auto"/>
        <w:jc w:val="both"/>
        <w:rPr>
          <w:rFonts w:ascii="Book Antiqua" w:eastAsia="Calibri" w:hAnsi="Book Antiqua" w:cs="Arial"/>
          <w:i/>
          <w:iCs/>
          <w:sz w:val="20"/>
          <w:szCs w:val="20"/>
        </w:rPr>
      </w:pPr>
      <w:r w:rsidRPr="00AA6DF1">
        <w:rPr>
          <w:rFonts w:ascii="Book Antiqua" w:eastAsia="Calibri" w:hAnsi="Book Antiqua" w:cs="Arial"/>
          <w:i/>
          <w:iCs/>
          <w:sz w:val="20"/>
          <w:szCs w:val="20"/>
        </w:rPr>
        <w:t>Fuente: Modernización Institucional de la Dirección de Planificación con base en datos de Cuadros Estadísticos del Subproceso de Estadística de la Dirección de Planificación.</w:t>
      </w:r>
    </w:p>
    <w:p w14:paraId="357EFA9D" w14:textId="4CCC0AB8" w:rsidR="00AA6DF1" w:rsidRPr="00AA6DF1" w:rsidRDefault="00AA6DF1" w:rsidP="00AA6DF1">
      <w:pPr>
        <w:spacing w:after="0" w:line="276" w:lineRule="auto"/>
        <w:jc w:val="both"/>
        <w:rPr>
          <w:rFonts w:ascii="Book Antiqua" w:eastAsia="Calibri" w:hAnsi="Book Antiqua" w:cs="Arial"/>
          <w:sz w:val="24"/>
          <w:szCs w:val="24"/>
        </w:rPr>
      </w:pPr>
      <w:r w:rsidRPr="00AA6DF1">
        <w:rPr>
          <w:rFonts w:ascii="Book Antiqua" w:eastAsia="Calibri" w:hAnsi="Book Antiqua" w:cs="Arial"/>
          <w:sz w:val="24"/>
          <w:szCs w:val="24"/>
        </w:rPr>
        <w:lastRenderedPageBreak/>
        <w:t xml:space="preserve">El Juzgado Primero de Familia de San José cuenta con un circulante de </w:t>
      </w:r>
      <w:r w:rsidR="00B1739F">
        <w:rPr>
          <w:rFonts w:ascii="Book Antiqua" w:eastAsia="Calibri" w:hAnsi="Book Antiqua" w:cs="Arial"/>
          <w:sz w:val="24"/>
          <w:szCs w:val="24"/>
        </w:rPr>
        <w:t>838</w:t>
      </w:r>
      <w:r w:rsidRPr="00AA6DF1">
        <w:rPr>
          <w:rFonts w:ascii="Book Antiqua" w:eastAsia="Calibri" w:hAnsi="Book Antiqua" w:cs="Arial"/>
          <w:sz w:val="24"/>
          <w:szCs w:val="24"/>
        </w:rPr>
        <w:t xml:space="preserve"> expedientes al finalizar el 20</w:t>
      </w:r>
      <w:r>
        <w:rPr>
          <w:rFonts w:ascii="Book Antiqua" w:eastAsia="Calibri" w:hAnsi="Book Antiqua" w:cs="Arial"/>
          <w:sz w:val="24"/>
          <w:szCs w:val="24"/>
        </w:rPr>
        <w:t>2</w:t>
      </w:r>
      <w:r w:rsidRPr="00AA6DF1">
        <w:rPr>
          <w:rFonts w:ascii="Book Antiqua" w:eastAsia="Calibri" w:hAnsi="Book Antiqua" w:cs="Arial"/>
          <w:sz w:val="24"/>
          <w:szCs w:val="24"/>
        </w:rPr>
        <w:t xml:space="preserve">1, además registra una entrada de </w:t>
      </w:r>
      <w:r w:rsidR="00836AE0">
        <w:rPr>
          <w:rFonts w:ascii="Book Antiqua" w:eastAsia="Calibri" w:hAnsi="Book Antiqua" w:cs="Arial"/>
          <w:sz w:val="24"/>
          <w:szCs w:val="24"/>
        </w:rPr>
        <w:t>47</w:t>
      </w:r>
      <w:r w:rsidRPr="00AA6DF1">
        <w:rPr>
          <w:rFonts w:ascii="Book Antiqua" w:eastAsia="Calibri" w:hAnsi="Book Antiqua" w:cs="Arial"/>
          <w:sz w:val="24"/>
          <w:szCs w:val="24"/>
        </w:rPr>
        <w:t xml:space="preserve"> asuntos, un </w:t>
      </w:r>
      <w:r w:rsidRPr="008F0C64">
        <w:rPr>
          <w:rFonts w:ascii="Book Antiqua" w:eastAsia="Calibri" w:hAnsi="Book Antiqua" w:cs="Arial"/>
          <w:sz w:val="24"/>
          <w:szCs w:val="24"/>
        </w:rPr>
        <w:t>3</w:t>
      </w:r>
      <w:r w:rsidR="0073424C">
        <w:rPr>
          <w:rFonts w:ascii="Book Antiqua" w:eastAsia="Calibri" w:hAnsi="Book Antiqua" w:cs="Arial"/>
          <w:sz w:val="24"/>
          <w:szCs w:val="24"/>
        </w:rPr>
        <w:t>1</w:t>
      </w:r>
      <w:r w:rsidRPr="008F0C64">
        <w:rPr>
          <w:rFonts w:ascii="Book Antiqua" w:eastAsia="Calibri" w:hAnsi="Book Antiqua" w:cs="Arial"/>
          <w:sz w:val="24"/>
          <w:szCs w:val="24"/>
        </w:rPr>
        <w:t>%</w:t>
      </w:r>
      <w:r w:rsidRPr="00AA6DF1">
        <w:rPr>
          <w:rFonts w:ascii="Book Antiqua" w:eastAsia="Calibri" w:hAnsi="Book Antiqua" w:cs="Arial"/>
          <w:sz w:val="24"/>
          <w:szCs w:val="24"/>
        </w:rPr>
        <w:t xml:space="preserve"> por debajo de la carga de trabajo promedio de </w:t>
      </w:r>
      <w:r w:rsidR="00661B2A">
        <w:rPr>
          <w:rFonts w:ascii="Book Antiqua" w:eastAsia="Calibri" w:hAnsi="Book Antiqua" w:cs="Arial"/>
          <w:sz w:val="24"/>
          <w:szCs w:val="24"/>
        </w:rPr>
        <w:t>65</w:t>
      </w:r>
      <w:r w:rsidRPr="00AA6DF1">
        <w:rPr>
          <w:rFonts w:ascii="Book Antiqua" w:eastAsia="Calibri" w:hAnsi="Book Antiqua" w:cs="Arial"/>
          <w:sz w:val="24"/>
          <w:szCs w:val="24"/>
        </w:rPr>
        <w:t xml:space="preserve"> asuntos al mes por persona juzgadora y de </w:t>
      </w:r>
      <w:r w:rsidR="00661B2A">
        <w:rPr>
          <w:rFonts w:ascii="Book Antiqua" w:eastAsia="Calibri" w:hAnsi="Book Antiqua" w:cs="Arial"/>
          <w:sz w:val="24"/>
          <w:szCs w:val="24"/>
        </w:rPr>
        <w:t>27</w:t>
      </w:r>
      <w:r w:rsidR="000460B6" w:rsidRPr="008F0C64">
        <w:rPr>
          <w:rFonts w:ascii="Book Antiqua" w:eastAsia="Calibri" w:hAnsi="Book Antiqua" w:cs="Arial"/>
          <w:sz w:val="24"/>
          <w:szCs w:val="24"/>
        </w:rPr>
        <w:t xml:space="preserve"> </w:t>
      </w:r>
      <w:r w:rsidRPr="008F0C64">
        <w:rPr>
          <w:rFonts w:ascii="Book Antiqua" w:eastAsia="Calibri" w:hAnsi="Book Antiqua" w:cs="Arial"/>
          <w:sz w:val="24"/>
          <w:szCs w:val="24"/>
        </w:rPr>
        <w:t xml:space="preserve">asuntos un </w:t>
      </w:r>
      <w:r w:rsidR="00A04172">
        <w:rPr>
          <w:rFonts w:ascii="Book Antiqua" w:eastAsia="Calibri" w:hAnsi="Book Antiqua" w:cs="Arial"/>
          <w:sz w:val="24"/>
          <w:szCs w:val="24"/>
        </w:rPr>
        <w:t>16</w:t>
      </w:r>
      <w:r w:rsidRPr="008F0C64">
        <w:rPr>
          <w:rFonts w:ascii="Book Antiqua" w:eastAsia="Calibri" w:hAnsi="Book Antiqua" w:cs="Arial"/>
          <w:sz w:val="24"/>
          <w:szCs w:val="24"/>
        </w:rPr>
        <w:t>%</w:t>
      </w:r>
      <w:r w:rsidRPr="00AA6DF1">
        <w:rPr>
          <w:rFonts w:ascii="Book Antiqua" w:eastAsia="Calibri" w:hAnsi="Book Antiqua" w:cs="Arial"/>
          <w:sz w:val="24"/>
          <w:szCs w:val="24"/>
        </w:rPr>
        <w:t xml:space="preserve"> menor de los </w:t>
      </w:r>
      <w:r w:rsidR="008F0C64">
        <w:rPr>
          <w:rFonts w:ascii="Book Antiqua" w:eastAsia="Calibri" w:hAnsi="Book Antiqua" w:cs="Arial"/>
          <w:sz w:val="24"/>
          <w:szCs w:val="24"/>
        </w:rPr>
        <w:t>4</w:t>
      </w:r>
      <w:r w:rsidR="00883733">
        <w:rPr>
          <w:rFonts w:ascii="Book Antiqua" w:eastAsia="Calibri" w:hAnsi="Book Antiqua" w:cs="Arial"/>
          <w:sz w:val="24"/>
          <w:szCs w:val="24"/>
        </w:rPr>
        <w:t>8</w:t>
      </w:r>
      <w:r w:rsidRPr="00AA6DF1">
        <w:rPr>
          <w:rFonts w:ascii="Book Antiqua" w:eastAsia="Calibri" w:hAnsi="Book Antiqua" w:cs="Arial"/>
          <w:sz w:val="24"/>
          <w:szCs w:val="24"/>
        </w:rPr>
        <w:t xml:space="preserve"> al mes por persona técnica judicial. En el caso del Juzgado Segundo </w:t>
      </w:r>
      <w:r w:rsidR="00B36E92">
        <w:rPr>
          <w:rFonts w:ascii="Book Antiqua" w:eastAsia="Calibri" w:hAnsi="Book Antiqua" w:cs="Arial"/>
          <w:sz w:val="24"/>
          <w:szCs w:val="24"/>
        </w:rPr>
        <w:t xml:space="preserve">de Familia </w:t>
      </w:r>
      <w:r w:rsidRPr="00AA6DF1">
        <w:rPr>
          <w:rFonts w:ascii="Book Antiqua" w:eastAsia="Calibri" w:hAnsi="Book Antiqua" w:cs="Arial"/>
          <w:sz w:val="24"/>
          <w:szCs w:val="24"/>
        </w:rPr>
        <w:t>de San José</w:t>
      </w:r>
      <w:r w:rsidR="00B36E92">
        <w:rPr>
          <w:rFonts w:ascii="Book Antiqua" w:eastAsia="Calibri" w:hAnsi="Book Antiqua" w:cs="Arial"/>
          <w:sz w:val="24"/>
          <w:szCs w:val="24"/>
        </w:rPr>
        <w:t>,</w:t>
      </w:r>
      <w:r w:rsidRPr="00AA6DF1">
        <w:rPr>
          <w:rFonts w:ascii="Book Antiqua" w:eastAsia="Calibri" w:hAnsi="Book Antiqua" w:cs="Arial"/>
          <w:sz w:val="24"/>
          <w:szCs w:val="24"/>
        </w:rPr>
        <w:t xml:space="preserve"> registra un circulante de </w:t>
      </w:r>
      <w:r w:rsidR="007779FA">
        <w:rPr>
          <w:rFonts w:ascii="Book Antiqua" w:eastAsia="Calibri" w:hAnsi="Book Antiqua" w:cs="Arial"/>
          <w:sz w:val="24"/>
          <w:szCs w:val="24"/>
        </w:rPr>
        <w:t>788</w:t>
      </w:r>
      <w:r w:rsidRPr="00AA6DF1">
        <w:rPr>
          <w:rFonts w:ascii="Book Antiqua" w:eastAsia="Calibri" w:hAnsi="Book Antiqua" w:cs="Arial"/>
          <w:sz w:val="24"/>
          <w:szCs w:val="24"/>
        </w:rPr>
        <w:t xml:space="preserve"> expedientes, registrando un </w:t>
      </w:r>
      <w:r w:rsidR="00661B2A">
        <w:rPr>
          <w:rFonts w:ascii="Book Antiqua" w:eastAsia="Calibri" w:hAnsi="Book Antiqua" w:cs="Arial"/>
          <w:sz w:val="24"/>
          <w:szCs w:val="24"/>
        </w:rPr>
        <w:t>28</w:t>
      </w:r>
      <w:r w:rsidRPr="008F0C64">
        <w:rPr>
          <w:rFonts w:ascii="Book Antiqua" w:eastAsia="Calibri" w:hAnsi="Book Antiqua" w:cs="Arial"/>
          <w:sz w:val="24"/>
          <w:szCs w:val="24"/>
        </w:rPr>
        <w:t xml:space="preserve">% debajo de la cuota de trabajo de las personas juzgadoras y un </w:t>
      </w:r>
      <w:r w:rsidR="000E2254" w:rsidRPr="008F0C64">
        <w:rPr>
          <w:rFonts w:ascii="Book Antiqua" w:eastAsia="Calibri" w:hAnsi="Book Antiqua" w:cs="Arial"/>
          <w:sz w:val="24"/>
          <w:szCs w:val="24"/>
        </w:rPr>
        <w:t>3</w:t>
      </w:r>
      <w:r w:rsidR="00A04172">
        <w:rPr>
          <w:rFonts w:ascii="Book Antiqua" w:eastAsia="Calibri" w:hAnsi="Book Antiqua" w:cs="Arial"/>
          <w:sz w:val="24"/>
          <w:szCs w:val="24"/>
        </w:rPr>
        <w:t>1</w:t>
      </w:r>
      <w:r w:rsidRPr="008F0C64">
        <w:rPr>
          <w:rFonts w:ascii="Book Antiqua" w:eastAsia="Calibri" w:hAnsi="Book Antiqua" w:cs="Arial"/>
          <w:sz w:val="24"/>
          <w:szCs w:val="24"/>
        </w:rPr>
        <w:t>% inferior en el caso</w:t>
      </w:r>
      <w:r w:rsidRPr="00AA6DF1">
        <w:rPr>
          <w:rFonts w:ascii="Book Antiqua" w:eastAsia="Calibri" w:hAnsi="Book Antiqua" w:cs="Arial"/>
          <w:sz w:val="24"/>
          <w:szCs w:val="24"/>
        </w:rPr>
        <w:t xml:space="preserve"> de los técnicas o técnicos judiciales de trámite. </w:t>
      </w:r>
    </w:p>
    <w:p w14:paraId="636122C3" w14:textId="77777777" w:rsidR="00AA6DF1" w:rsidRPr="00AA6DF1" w:rsidRDefault="00AA6DF1" w:rsidP="00AA6DF1">
      <w:pPr>
        <w:spacing w:after="0" w:line="276" w:lineRule="auto"/>
        <w:jc w:val="both"/>
        <w:rPr>
          <w:rFonts w:ascii="Book Antiqua" w:eastAsia="Calibri" w:hAnsi="Book Antiqua" w:cs="Arial"/>
          <w:sz w:val="24"/>
          <w:szCs w:val="24"/>
        </w:rPr>
      </w:pPr>
    </w:p>
    <w:p w14:paraId="207F88DB" w14:textId="1BADB2C7" w:rsidR="00AA6DF1" w:rsidRPr="00AA6DF1" w:rsidRDefault="00AA6DF1" w:rsidP="00AA6DF1">
      <w:pPr>
        <w:spacing w:after="0" w:line="276" w:lineRule="auto"/>
        <w:jc w:val="both"/>
        <w:rPr>
          <w:rFonts w:ascii="Book Antiqua" w:eastAsia="Calibri" w:hAnsi="Book Antiqua" w:cs="Arial"/>
          <w:sz w:val="24"/>
          <w:szCs w:val="24"/>
        </w:rPr>
      </w:pPr>
      <w:r w:rsidRPr="00AA6DF1">
        <w:rPr>
          <w:rFonts w:ascii="Book Antiqua" w:eastAsia="Calibri" w:hAnsi="Book Antiqua" w:cs="Arial"/>
          <w:sz w:val="24"/>
          <w:szCs w:val="24"/>
        </w:rPr>
        <w:t xml:space="preserve">Los resultados obtenidos con relación a la cuota de trabajo propuesta permiten identificar la posibilidad de </w:t>
      </w:r>
      <w:r w:rsidRPr="008F0C64">
        <w:rPr>
          <w:rFonts w:ascii="Book Antiqua" w:eastAsia="Calibri" w:hAnsi="Book Antiqua" w:cs="Arial"/>
          <w:sz w:val="24"/>
          <w:szCs w:val="24"/>
        </w:rPr>
        <w:t>reubicar 2 personas juzgadoras</w:t>
      </w:r>
      <w:r w:rsidR="00C2713E">
        <w:rPr>
          <w:rFonts w:ascii="Book Antiqua" w:eastAsia="Calibri" w:hAnsi="Book Antiqua" w:cs="Arial"/>
          <w:sz w:val="24"/>
          <w:szCs w:val="24"/>
        </w:rPr>
        <w:t>,</w:t>
      </w:r>
      <w:r w:rsidRPr="008F0C64">
        <w:rPr>
          <w:rFonts w:ascii="Book Antiqua" w:eastAsia="Calibri" w:hAnsi="Book Antiqua" w:cs="Arial"/>
          <w:sz w:val="24"/>
          <w:szCs w:val="24"/>
        </w:rPr>
        <w:t xml:space="preserve">  4 técnicas o técnicos judiciales</w:t>
      </w:r>
      <w:r w:rsidR="002058DC">
        <w:rPr>
          <w:rFonts w:ascii="Book Antiqua" w:eastAsia="Calibri" w:hAnsi="Book Antiqua" w:cs="Arial"/>
          <w:sz w:val="24"/>
          <w:szCs w:val="24"/>
        </w:rPr>
        <w:t>,</w:t>
      </w:r>
      <w:r w:rsidR="00B05BE6">
        <w:rPr>
          <w:rFonts w:ascii="Book Antiqua" w:eastAsia="Calibri" w:hAnsi="Book Antiqua" w:cs="Arial"/>
          <w:sz w:val="24"/>
          <w:szCs w:val="24"/>
        </w:rPr>
        <w:t xml:space="preserve">  1 persona Coordinadora Judicial</w:t>
      </w:r>
      <w:r w:rsidR="002058DC">
        <w:rPr>
          <w:rFonts w:ascii="Book Antiqua" w:eastAsia="Calibri" w:hAnsi="Book Antiqua" w:cs="Arial"/>
          <w:sz w:val="24"/>
          <w:szCs w:val="24"/>
        </w:rPr>
        <w:t xml:space="preserve"> y 1 Auxiliar de Servicios Generales</w:t>
      </w:r>
      <w:r w:rsidRPr="008F0C64">
        <w:rPr>
          <w:rFonts w:ascii="Book Antiqua" w:eastAsia="Calibri" w:hAnsi="Book Antiqua" w:cs="Arial"/>
          <w:sz w:val="24"/>
          <w:szCs w:val="24"/>
        </w:rPr>
        <w:t>, para ser trasladados a otras oficinas</w:t>
      </w:r>
      <w:r w:rsidR="00AD3B09">
        <w:rPr>
          <w:rFonts w:ascii="Book Antiqua" w:eastAsia="Calibri" w:hAnsi="Book Antiqua" w:cs="Arial"/>
          <w:sz w:val="24"/>
          <w:szCs w:val="24"/>
        </w:rPr>
        <w:t xml:space="preserve">; </w:t>
      </w:r>
      <w:r w:rsidR="00DE5183">
        <w:rPr>
          <w:rFonts w:ascii="Book Antiqua" w:eastAsia="Calibri" w:hAnsi="Book Antiqua" w:cs="Arial"/>
          <w:sz w:val="24"/>
          <w:szCs w:val="24"/>
        </w:rPr>
        <w:t>una vez actualizada la información</w:t>
      </w:r>
      <w:r w:rsidR="00B05BE6">
        <w:rPr>
          <w:rFonts w:ascii="Book Antiqua" w:eastAsia="Calibri" w:hAnsi="Book Antiqua" w:cs="Arial"/>
          <w:sz w:val="24"/>
          <w:szCs w:val="24"/>
        </w:rPr>
        <w:t xml:space="preserve"> y con el criterio previo de la Dirección de Gestión Humana.   Se analizan en este informe las propuestas contenidas en los informes anteriores números </w:t>
      </w:r>
      <w:r w:rsidR="00AD3B09" w:rsidRPr="00BE465F">
        <w:rPr>
          <w:rFonts w:ascii="Book Antiqua" w:eastAsia="Calibri" w:hAnsi="Book Antiqua" w:cs="Arial"/>
          <w:sz w:val="24"/>
          <w:szCs w:val="24"/>
        </w:rPr>
        <w:t>656-PLA-RR-MI-2020 y 389-PLA-R</w:t>
      </w:r>
      <w:r w:rsidR="007A2C6E">
        <w:rPr>
          <w:rFonts w:ascii="Book Antiqua" w:eastAsia="Calibri" w:hAnsi="Book Antiqua" w:cs="Arial"/>
          <w:sz w:val="24"/>
          <w:szCs w:val="24"/>
        </w:rPr>
        <w:t>H</w:t>
      </w:r>
      <w:r w:rsidR="00AD3B09" w:rsidRPr="00BE465F">
        <w:rPr>
          <w:rFonts w:ascii="Book Antiqua" w:eastAsia="Calibri" w:hAnsi="Book Antiqua" w:cs="Arial"/>
          <w:sz w:val="24"/>
          <w:szCs w:val="24"/>
        </w:rPr>
        <w:t>-MI-202</w:t>
      </w:r>
      <w:r w:rsidR="00B05BE6">
        <w:rPr>
          <w:rFonts w:ascii="Book Antiqua" w:eastAsia="Calibri" w:hAnsi="Book Antiqua" w:cs="Arial"/>
          <w:sz w:val="24"/>
          <w:szCs w:val="24"/>
        </w:rPr>
        <w:t xml:space="preserve">1, aprobados tanto por Consejo Superior como por Corte Plena, </w:t>
      </w:r>
      <w:r w:rsidR="00834B17">
        <w:rPr>
          <w:rFonts w:ascii="Book Antiqua" w:eastAsia="Calibri" w:hAnsi="Book Antiqua" w:cs="Arial"/>
          <w:sz w:val="24"/>
          <w:szCs w:val="24"/>
        </w:rPr>
        <w:t xml:space="preserve"> de </w:t>
      </w:r>
      <w:r w:rsidR="00B05BE6">
        <w:rPr>
          <w:rFonts w:ascii="Book Antiqua" w:eastAsia="Calibri" w:hAnsi="Book Antiqua" w:cs="Arial"/>
          <w:sz w:val="24"/>
          <w:szCs w:val="24"/>
        </w:rPr>
        <w:t>manera</w:t>
      </w:r>
      <w:r w:rsidR="00756646">
        <w:rPr>
          <w:rFonts w:ascii="Book Antiqua" w:eastAsia="Calibri" w:hAnsi="Book Antiqua" w:cs="Arial"/>
          <w:sz w:val="24"/>
          <w:szCs w:val="24"/>
        </w:rPr>
        <w:t xml:space="preserve"> </w:t>
      </w:r>
      <w:r w:rsidR="00B05BE6">
        <w:rPr>
          <w:rFonts w:ascii="Book Antiqua" w:eastAsia="Calibri" w:hAnsi="Book Antiqua" w:cs="Arial"/>
          <w:sz w:val="24"/>
          <w:szCs w:val="24"/>
        </w:rPr>
        <w:t>que</w:t>
      </w:r>
      <w:r w:rsidR="00834B17">
        <w:rPr>
          <w:rFonts w:ascii="Book Antiqua" w:eastAsia="Calibri" w:hAnsi="Book Antiqua" w:cs="Arial"/>
          <w:sz w:val="24"/>
          <w:szCs w:val="24"/>
        </w:rPr>
        <w:t xml:space="preserve"> ese recurso humano pued</w:t>
      </w:r>
      <w:r w:rsidR="00E579FB">
        <w:rPr>
          <w:rFonts w:ascii="Book Antiqua" w:eastAsia="Calibri" w:hAnsi="Book Antiqua" w:cs="Arial"/>
          <w:sz w:val="24"/>
          <w:szCs w:val="24"/>
        </w:rPr>
        <w:t>e</w:t>
      </w:r>
      <w:r w:rsidR="00834B17">
        <w:rPr>
          <w:rFonts w:ascii="Book Antiqua" w:eastAsia="Calibri" w:hAnsi="Book Antiqua" w:cs="Arial"/>
          <w:sz w:val="24"/>
          <w:szCs w:val="24"/>
        </w:rPr>
        <w:t xml:space="preserve"> ser aprovechado </w:t>
      </w:r>
      <w:r w:rsidR="00F64BE5">
        <w:rPr>
          <w:rFonts w:ascii="Book Antiqua" w:eastAsia="Calibri" w:hAnsi="Book Antiqua" w:cs="Arial"/>
          <w:sz w:val="24"/>
          <w:szCs w:val="24"/>
        </w:rPr>
        <w:t>temporalmente a</w:t>
      </w:r>
      <w:r w:rsidR="00834B17">
        <w:rPr>
          <w:rFonts w:ascii="Book Antiqua" w:eastAsia="Calibri" w:hAnsi="Book Antiqua" w:cs="Arial"/>
          <w:sz w:val="24"/>
          <w:szCs w:val="24"/>
        </w:rPr>
        <w:t xml:space="preserve"> bajar lo pendiente</w:t>
      </w:r>
      <w:r w:rsidR="00B05BE6">
        <w:rPr>
          <w:rFonts w:ascii="Book Antiqua" w:eastAsia="Calibri" w:hAnsi="Book Antiqua" w:cs="Arial"/>
          <w:sz w:val="24"/>
          <w:szCs w:val="24"/>
        </w:rPr>
        <w:t xml:space="preserve"> y pare reforzar alguna otra oficina prioritariamente de la misma jurisdicción:</w:t>
      </w:r>
    </w:p>
    <w:p w14:paraId="04897404" w14:textId="40A8E112" w:rsidR="00FD5AFF" w:rsidRDefault="00FD5AFF" w:rsidP="00FD5AFF">
      <w:pPr>
        <w:spacing w:after="0" w:line="276" w:lineRule="auto"/>
        <w:jc w:val="both"/>
        <w:rPr>
          <w:rFonts w:ascii="Book Antiqua" w:eastAsia="Calibri" w:hAnsi="Book Antiqua" w:cs="Arial"/>
          <w:b/>
          <w:bCs/>
          <w:sz w:val="24"/>
          <w:szCs w:val="24"/>
        </w:rPr>
      </w:pPr>
    </w:p>
    <w:p w14:paraId="29CF4D6D" w14:textId="0C531D92" w:rsidR="00B05BE6" w:rsidRPr="001D0C10" w:rsidRDefault="00B05BE6" w:rsidP="00FD5AFF">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El escenario 1 contempl</w:t>
      </w:r>
      <w:r w:rsidR="00AB3140">
        <w:rPr>
          <w:rFonts w:ascii="Book Antiqua" w:eastAsia="Calibri" w:hAnsi="Book Antiqua" w:cs="Arial"/>
          <w:sz w:val="24"/>
          <w:szCs w:val="24"/>
        </w:rPr>
        <w:t>ó</w:t>
      </w:r>
      <w:r w:rsidRPr="001D0C10">
        <w:rPr>
          <w:rFonts w:ascii="Book Antiqua" w:eastAsia="Calibri" w:hAnsi="Book Antiqua" w:cs="Arial"/>
          <w:sz w:val="24"/>
          <w:szCs w:val="24"/>
        </w:rPr>
        <w:t xml:space="preserve"> lo siguiente: </w:t>
      </w:r>
    </w:p>
    <w:p w14:paraId="35E3F298" w14:textId="77777777" w:rsidR="00B05BE6" w:rsidRDefault="00B05BE6" w:rsidP="00FD5AFF">
      <w:pPr>
        <w:spacing w:after="0" w:line="276" w:lineRule="auto"/>
        <w:jc w:val="both"/>
        <w:rPr>
          <w:rFonts w:ascii="Book Antiqua" w:eastAsia="Calibri" w:hAnsi="Book Antiqua" w:cs="Arial"/>
          <w:b/>
          <w:bCs/>
          <w:sz w:val="24"/>
          <w:szCs w:val="24"/>
        </w:rPr>
      </w:pPr>
    </w:p>
    <w:p w14:paraId="4A8F5910" w14:textId="0F717360" w:rsidR="00FD5AFF" w:rsidRPr="00D970AF" w:rsidRDefault="00B05BE6" w:rsidP="00D970AF">
      <w:pPr>
        <w:spacing w:after="0" w:line="276" w:lineRule="auto"/>
        <w:ind w:left="567" w:right="616"/>
        <w:jc w:val="both"/>
        <w:rPr>
          <w:rFonts w:ascii="Book Antiqua" w:eastAsia="Calibri" w:hAnsi="Book Antiqua" w:cs="Arial"/>
          <w:b/>
          <w:bCs/>
          <w:i/>
          <w:iCs/>
        </w:rPr>
      </w:pPr>
      <w:r w:rsidRPr="00D970AF">
        <w:rPr>
          <w:rFonts w:ascii="Book Antiqua" w:eastAsia="Calibri" w:hAnsi="Book Antiqua" w:cs="Arial"/>
          <w:b/>
          <w:bCs/>
          <w:i/>
          <w:iCs/>
        </w:rPr>
        <w:t>“</w:t>
      </w:r>
      <w:r w:rsidR="00FD5AFF" w:rsidRPr="00D970AF">
        <w:rPr>
          <w:rFonts w:ascii="Book Antiqua" w:eastAsia="Calibri" w:hAnsi="Book Antiqua" w:cs="Arial"/>
          <w:b/>
          <w:bCs/>
          <w:i/>
          <w:iCs/>
        </w:rPr>
        <w:t>Escenario 1: Unificación de estos despachos en el Juzgado de Familia de San José</w:t>
      </w:r>
    </w:p>
    <w:p w14:paraId="7858A356" w14:textId="77777777" w:rsidR="00FD5AFF" w:rsidRPr="00D970AF" w:rsidRDefault="00FD5AFF" w:rsidP="00D970AF">
      <w:pPr>
        <w:spacing w:after="0" w:line="276" w:lineRule="auto"/>
        <w:ind w:left="567" w:right="616"/>
        <w:jc w:val="both"/>
        <w:rPr>
          <w:rFonts w:ascii="Book Antiqua" w:eastAsia="Calibri" w:hAnsi="Book Antiqua" w:cs="Arial"/>
          <w:b/>
          <w:bCs/>
          <w:i/>
          <w:iCs/>
        </w:rPr>
      </w:pPr>
    </w:p>
    <w:p w14:paraId="16D51EEB" w14:textId="096170CC" w:rsidR="00200D8B" w:rsidRPr="00D970AF" w:rsidRDefault="00200D8B" w:rsidP="00D970AF">
      <w:pPr>
        <w:spacing w:after="0" w:line="276" w:lineRule="auto"/>
        <w:ind w:left="567" w:right="616"/>
        <w:jc w:val="both"/>
        <w:rPr>
          <w:rFonts w:ascii="Book Antiqua" w:eastAsia="Calibri" w:hAnsi="Book Antiqua" w:cs="Arial"/>
          <w:i/>
          <w:iCs/>
        </w:rPr>
      </w:pPr>
      <w:r w:rsidRPr="00D970AF">
        <w:rPr>
          <w:rFonts w:ascii="Book Antiqua" w:eastAsia="Calibri" w:hAnsi="Book Antiqua" w:cs="Arial"/>
          <w:i/>
          <w:iCs/>
        </w:rPr>
        <w:t xml:space="preserve">En la provincia de San José </w:t>
      </w:r>
      <w:r w:rsidR="00E579FB" w:rsidRPr="00D970AF">
        <w:rPr>
          <w:rFonts w:ascii="Book Antiqua" w:eastAsia="Calibri" w:hAnsi="Book Antiqua" w:cs="Arial"/>
          <w:i/>
          <w:iCs/>
        </w:rPr>
        <w:t>existen</w:t>
      </w:r>
      <w:r w:rsidRPr="00D970AF">
        <w:rPr>
          <w:rFonts w:ascii="Book Antiqua" w:eastAsia="Calibri" w:hAnsi="Book Antiqua" w:cs="Arial"/>
          <w:i/>
          <w:iCs/>
        </w:rPr>
        <w:t xml:space="preserve"> dos despachos de Familia con las mismas competencias territoriales y materiales (Juzgado Primero y Segundo de San José), por lo que se analiza la posibilidad de modificar esa situación y unificar estos despachos en un único Juzgado de Familia de San José.</w:t>
      </w:r>
    </w:p>
    <w:p w14:paraId="090FD652" w14:textId="77777777" w:rsidR="00200D8B" w:rsidRPr="00D970AF" w:rsidRDefault="00200D8B" w:rsidP="00D970AF">
      <w:pPr>
        <w:spacing w:after="0" w:line="276" w:lineRule="auto"/>
        <w:ind w:left="567" w:right="616"/>
        <w:jc w:val="both"/>
        <w:rPr>
          <w:rFonts w:ascii="Book Antiqua" w:eastAsia="Calibri" w:hAnsi="Book Antiqua" w:cs="Arial"/>
          <w:i/>
          <w:iCs/>
        </w:rPr>
      </w:pPr>
    </w:p>
    <w:p w14:paraId="14D450DF" w14:textId="1006BE13" w:rsidR="00C319F8" w:rsidRPr="00D970AF" w:rsidRDefault="00200D8B" w:rsidP="00D970AF">
      <w:pPr>
        <w:spacing w:line="276" w:lineRule="auto"/>
        <w:ind w:left="567" w:right="616"/>
        <w:jc w:val="both"/>
        <w:rPr>
          <w:rFonts w:ascii="Book Antiqua" w:eastAsia="Calibri" w:hAnsi="Book Antiqua" w:cs="Arial"/>
          <w:i/>
          <w:iCs/>
        </w:rPr>
      </w:pPr>
      <w:r w:rsidRPr="00D970AF">
        <w:rPr>
          <w:rFonts w:ascii="Book Antiqua" w:eastAsia="Calibri" w:hAnsi="Book Antiqua" w:cs="Arial"/>
          <w:i/>
          <w:iCs/>
        </w:rPr>
        <w:t>Se analiza la cantidad de personas requeridas bajo el supuesto del nuevo Juzgado de Familia de San José, tomando en cuenta el volumen total de ingreso de casos al mes de los Juzgados Primero y Segundo de Familia unificado, y se evalúa en relación con las cuotas de trabajo.</w:t>
      </w:r>
    </w:p>
    <w:p w14:paraId="5320BA2E" w14:textId="7F243237" w:rsidR="00200D8B" w:rsidRPr="00EF146D" w:rsidRDefault="00200D8B"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lastRenderedPageBreak/>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29</w:t>
      </w:r>
      <w:r w:rsidRPr="00EF146D">
        <w:rPr>
          <w:rFonts w:ascii="Book Antiqua" w:eastAsia="Calibri" w:hAnsi="Book Antiqua" w:cs="Arial"/>
          <w:b/>
          <w:bCs/>
          <w:color w:val="1F497D"/>
          <w:szCs w:val="24"/>
          <w:lang w:val="es-ES" w:eastAsia="es-ES"/>
        </w:rPr>
        <w:fldChar w:fldCharType="end"/>
      </w:r>
      <w:r w:rsidRPr="00EF146D">
        <w:rPr>
          <w:rFonts w:ascii="Book Antiqua" w:eastAsia="Calibri" w:hAnsi="Book Antiqua" w:cs="Arial"/>
          <w:b/>
          <w:bCs/>
          <w:color w:val="1F497D"/>
          <w:szCs w:val="24"/>
          <w:lang w:val="es-ES" w:eastAsia="es-ES"/>
        </w:rPr>
        <w:t xml:space="preserve"> </w:t>
      </w:r>
    </w:p>
    <w:p w14:paraId="29934E14" w14:textId="77777777" w:rsidR="00200D8B" w:rsidRPr="00D970AF" w:rsidRDefault="00200D8B" w:rsidP="00D970AF">
      <w:pPr>
        <w:keepNext/>
        <w:numPr>
          <w:ilvl w:val="12"/>
          <w:numId w:val="0"/>
        </w:numPr>
        <w:spacing w:after="0" w:line="276" w:lineRule="auto"/>
        <w:ind w:left="567" w:right="616"/>
        <w:jc w:val="center"/>
        <w:rPr>
          <w:rFonts w:ascii="Book Antiqua" w:eastAsia="Calibri" w:hAnsi="Book Antiqua" w:cs="Arial"/>
          <w:b/>
          <w:bCs/>
          <w:i/>
          <w:iCs/>
          <w:color w:val="1F497D"/>
          <w:lang w:val="es-ES" w:eastAsia="es-ES"/>
        </w:rPr>
      </w:pPr>
      <w:r w:rsidRPr="00D970AF">
        <w:rPr>
          <w:rFonts w:ascii="Book Antiqua" w:eastAsia="Calibri" w:hAnsi="Book Antiqua" w:cs="Arial"/>
          <w:b/>
          <w:bCs/>
          <w:i/>
          <w:iCs/>
          <w:color w:val="1F497D"/>
          <w:lang w:val="es-ES" w:eastAsia="es-ES"/>
        </w:rPr>
        <w:t>Cantidad de personas requeridas para el Juzgado de Familia de San José</w:t>
      </w:r>
    </w:p>
    <w:tbl>
      <w:tblPr>
        <w:tblW w:w="5000" w:type="pct"/>
        <w:tblCellMar>
          <w:left w:w="70" w:type="dxa"/>
          <w:right w:w="70" w:type="dxa"/>
        </w:tblCellMar>
        <w:tblLook w:val="04A0" w:firstRow="1" w:lastRow="0" w:firstColumn="1" w:lastColumn="0" w:noHBand="0" w:noVBand="1"/>
      </w:tblPr>
      <w:tblGrid>
        <w:gridCol w:w="3132"/>
        <w:gridCol w:w="2480"/>
        <w:gridCol w:w="1379"/>
        <w:gridCol w:w="1827"/>
      </w:tblGrid>
      <w:tr w:rsidR="0029474E" w:rsidRPr="00D970AF" w14:paraId="6F01FFFA" w14:textId="77777777" w:rsidTr="0029474E">
        <w:trPr>
          <w:trHeight w:val="860"/>
        </w:trPr>
        <w:tc>
          <w:tcPr>
            <w:tcW w:w="177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8DA1974" w14:textId="77777777" w:rsidR="0029474E" w:rsidRPr="00D970AF" w:rsidRDefault="0029474E" w:rsidP="00D970AF">
            <w:pPr>
              <w:spacing w:after="0" w:line="240" w:lineRule="auto"/>
              <w:ind w:left="66" w:right="19"/>
              <w:jc w:val="center"/>
              <w:rPr>
                <w:rFonts w:ascii="Book Antiqua" w:eastAsia="Times New Roman" w:hAnsi="Book Antiqua" w:cs="Calibri"/>
                <w:b/>
                <w:bCs/>
                <w:i/>
                <w:iCs/>
                <w:color w:val="FFFFFF"/>
                <w:lang w:eastAsia="es-CR"/>
              </w:rPr>
            </w:pPr>
            <w:r w:rsidRPr="00D970AF">
              <w:rPr>
                <w:rFonts w:ascii="Book Antiqua" w:eastAsia="Times New Roman" w:hAnsi="Book Antiqua" w:cs="Calibri"/>
                <w:b/>
                <w:bCs/>
                <w:i/>
                <w:iCs/>
                <w:color w:val="FFFFFF"/>
                <w:lang w:eastAsia="es-CR"/>
              </w:rPr>
              <w:t>Despacho</w:t>
            </w:r>
          </w:p>
        </w:tc>
        <w:tc>
          <w:tcPr>
            <w:tcW w:w="140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20F6E6E" w14:textId="77777777" w:rsidR="0029474E" w:rsidRPr="00D970AF" w:rsidRDefault="0029474E" w:rsidP="00D970AF">
            <w:pPr>
              <w:spacing w:after="0" w:line="240" w:lineRule="auto"/>
              <w:ind w:left="66" w:right="19"/>
              <w:jc w:val="center"/>
              <w:rPr>
                <w:rFonts w:ascii="Book Antiqua" w:eastAsia="Times New Roman" w:hAnsi="Book Antiqua" w:cs="Calibri"/>
                <w:b/>
                <w:bCs/>
                <w:i/>
                <w:iCs/>
                <w:color w:val="FFFFFF"/>
                <w:lang w:eastAsia="es-CR"/>
              </w:rPr>
            </w:pPr>
            <w:r w:rsidRPr="00D970AF">
              <w:rPr>
                <w:rFonts w:ascii="Book Antiqua" w:eastAsia="Times New Roman" w:hAnsi="Book Antiqua" w:cs="Calibri"/>
                <w:b/>
                <w:bCs/>
                <w:i/>
                <w:iCs/>
                <w:color w:val="FFFFFF"/>
                <w:lang w:eastAsia="es-CR"/>
              </w:rPr>
              <w:t>Promedio mensual de Entrada estimada con desjudicialización</w:t>
            </w:r>
          </w:p>
        </w:tc>
        <w:tc>
          <w:tcPr>
            <w:tcW w:w="1818" w:type="pct"/>
            <w:gridSpan w:val="2"/>
            <w:tcBorders>
              <w:top w:val="single" w:sz="8" w:space="0" w:color="auto"/>
              <w:left w:val="nil"/>
              <w:bottom w:val="single" w:sz="8" w:space="0" w:color="auto"/>
              <w:right w:val="single" w:sz="8" w:space="0" w:color="000000"/>
            </w:tcBorders>
            <w:shd w:val="clear" w:color="000000" w:fill="002060"/>
            <w:vAlign w:val="center"/>
            <w:hideMark/>
          </w:tcPr>
          <w:p w14:paraId="750C2C07" w14:textId="77777777" w:rsidR="0029474E" w:rsidRPr="00D970AF" w:rsidRDefault="0029474E" w:rsidP="00D970AF">
            <w:pPr>
              <w:spacing w:after="0" w:line="240" w:lineRule="auto"/>
              <w:ind w:left="66" w:right="19"/>
              <w:jc w:val="center"/>
              <w:rPr>
                <w:rFonts w:ascii="Book Antiqua" w:eastAsia="Times New Roman" w:hAnsi="Book Antiqua" w:cs="Calibri"/>
                <w:b/>
                <w:bCs/>
                <w:i/>
                <w:iCs/>
                <w:color w:val="FFFFFF"/>
                <w:lang w:eastAsia="es-CR"/>
              </w:rPr>
            </w:pPr>
            <w:r w:rsidRPr="00D970AF">
              <w:rPr>
                <w:rFonts w:ascii="Book Antiqua" w:eastAsia="Times New Roman" w:hAnsi="Book Antiqua" w:cs="Calibri"/>
                <w:b/>
                <w:bCs/>
                <w:i/>
                <w:iCs/>
                <w:color w:val="FFFFFF"/>
                <w:lang w:eastAsia="es-CR"/>
              </w:rPr>
              <w:t>Recurso humano requerido</w:t>
            </w:r>
          </w:p>
        </w:tc>
      </w:tr>
      <w:tr w:rsidR="0029474E" w:rsidRPr="00D970AF" w14:paraId="0B4DBCB8" w14:textId="77777777" w:rsidTr="0029474E">
        <w:trPr>
          <w:trHeight w:val="880"/>
        </w:trPr>
        <w:tc>
          <w:tcPr>
            <w:tcW w:w="1776" w:type="pct"/>
            <w:vMerge/>
            <w:tcBorders>
              <w:top w:val="single" w:sz="8" w:space="0" w:color="auto"/>
              <w:left w:val="single" w:sz="8" w:space="0" w:color="auto"/>
              <w:bottom w:val="single" w:sz="8" w:space="0" w:color="000000"/>
              <w:right w:val="single" w:sz="8" w:space="0" w:color="auto"/>
            </w:tcBorders>
            <w:vAlign w:val="center"/>
            <w:hideMark/>
          </w:tcPr>
          <w:p w14:paraId="3AC60857" w14:textId="77777777" w:rsidR="0029474E" w:rsidRPr="00D970AF" w:rsidRDefault="0029474E" w:rsidP="00D970AF">
            <w:pPr>
              <w:spacing w:after="0" w:line="240" w:lineRule="auto"/>
              <w:ind w:left="66" w:right="19"/>
              <w:rPr>
                <w:rFonts w:ascii="Book Antiqua" w:eastAsia="Times New Roman" w:hAnsi="Book Antiqua" w:cs="Calibri"/>
                <w:b/>
                <w:bCs/>
                <w:i/>
                <w:iCs/>
                <w:color w:val="FFFFFF"/>
                <w:lang w:eastAsia="es-CR"/>
              </w:rPr>
            </w:pPr>
          </w:p>
        </w:tc>
        <w:tc>
          <w:tcPr>
            <w:tcW w:w="1406" w:type="pct"/>
            <w:vMerge/>
            <w:tcBorders>
              <w:top w:val="single" w:sz="8" w:space="0" w:color="auto"/>
              <w:left w:val="single" w:sz="8" w:space="0" w:color="auto"/>
              <w:bottom w:val="single" w:sz="8" w:space="0" w:color="000000"/>
              <w:right w:val="single" w:sz="8" w:space="0" w:color="auto"/>
            </w:tcBorders>
            <w:vAlign w:val="center"/>
            <w:hideMark/>
          </w:tcPr>
          <w:p w14:paraId="5A3AC872" w14:textId="77777777" w:rsidR="0029474E" w:rsidRPr="00D970AF" w:rsidRDefault="0029474E" w:rsidP="00D970AF">
            <w:pPr>
              <w:spacing w:after="0" w:line="240" w:lineRule="auto"/>
              <w:ind w:left="66" w:right="19"/>
              <w:rPr>
                <w:rFonts w:ascii="Book Antiqua" w:eastAsia="Times New Roman" w:hAnsi="Book Antiqua" w:cs="Calibri"/>
                <w:b/>
                <w:bCs/>
                <w:i/>
                <w:iCs/>
                <w:color w:val="FFFFFF"/>
                <w:lang w:eastAsia="es-CR"/>
              </w:rPr>
            </w:pPr>
          </w:p>
        </w:tc>
        <w:tc>
          <w:tcPr>
            <w:tcW w:w="782" w:type="pct"/>
            <w:tcBorders>
              <w:top w:val="nil"/>
              <w:left w:val="nil"/>
              <w:bottom w:val="single" w:sz="8" w:space="0" w:color="auto"/>
              <w:right w:val="single" w:sz="8" w:space="0" w:color="auto"/>
            </w:tcBorders>
            <w:shd w:val="clear" w:color="000000" w:fill="002060"/>
            <w:vAlign w:val="center"/>
            <w:hideMark/>
          </w:tcPr>
          <w:p w14:paraId="1C28AB43" w14:textId="77777777" w:rsidR="0029474E" w:rsidRPr="00D970AF" w:rsidRDefault="0029474E" w:rsidP="00D970AF">
            <w:pPr>
              <w:spacing w:after="0" w:line="240" w:lineRule="auto"/>
              <w:ind w:left="66" w:right="19"/>
              <w:jc w:val="center"/>
              <w:rPr>
                <w:rFonts w:ascii="Book Antiqua" w:eastAsia="Times New Roman" w:hAnsi="Book Antiqua" w:cs="Calibri"/>
                <w:b/>
                <w:bCs/>
                <w:i/>
                <w:iCs/>
                <w:color w:val="FFFFFF"/>
                <w:lang w:eastAsia="es-CR"/>
              </w:rPr>
            </w:pPr>
            <w:r w:rsidRPr="00D970AF">
              <w:rPr>
                <w:rFonts w:ascii="Book Antiqua" w:eastAsia="Times New Roman" w:hAnsi="Book Antiqua" w:cs="Calibri"/>
                <w:b/>
                <w:bCs/>
                <w:i/>
                <w:iCs/>
                <w:color w:val="FFFFFF"/>
                <w:lang w:eastAsia="es-CR"/>
              </w:rPr>
              <w:t>Personas Juzgadoras</w:t>
            </w:r>
          </w:p>
        </w:tc>
        <w:tc>
          <w:tcPr>
            <w:tcW w:w="1036" w:type="pct"/>
            <w:tcBorders>
              <w:top w:val="nil"/>
              <w:left w:val="nil"/>
              <w:bottom w:val="single" w:sz="8" w:space="0" w:color="auto"/>
              <w:right w:val="single" w:sz="8" w:space="0" w:color="auto"/>
            </w:tcBorders>
            <w:shd w:val="clear" w:color="000000" w:fill="002060"/>
            <w:vAlign w:val="center"/>
            <w:hideMark/>
          </w:tcPr>
          <w:p w14:paraId="5F3EE7C1" w14:textId="77777777" w:rsidR="0029474E" w:rsidRPr="00D970AF" w:rsidRDefault="0029474E" w:rsidP="00D970AF">
            <w:pPr>
              <w:spacing w:after="0" w:line="240" w:lineRule="auto"/>
              <w:ind w:left="66" w:right="19"/>
              <w:jc w:val="center"/>
              <w:rPr>
                <w:rFonts w:ascii="Book Antiqua" w:eastAsia="Times New Roman" w:hAnsi="Book Antiqua" w:cs="Calibri"/>
                <w:b/>
                <w:bCs/>
                <w:i/>
                <w:iCs/>
                <w:color w:val="FFFFFF"/>
                <w:lang w:eastAsia="es-CR"/>
              </w:rPr>
            </w:pPr>
            <w:r w:rsidRPr="00D970AF">
              <w:rPr>
                <w:rFonts w:ascii="Book Antiqua" w:eastAsia="Times New Roman" w:hAnsi="Book Antiqua" w:cs="Calibri"/>
                <w:b/>
                <w:bCs/>
                <w:i/>
                <w:iCs/>
                <w:color w:val="FFFFFF"/>
                <w:lang w:eastAsia="es-CR"/>
              </w:rPr>
              <w:t>Personas Técnicas Judiciales de Trámite</w:t>
            </w:r>
          </w:p>
        </w:tc>
      </w:tr>
      <w:tr w:rsidR="0029474E" w:rsidRPr="00D970AF" w14:paraId="02CDDF15" w14:textId="77777777" w:rsidTr="0029474E">
        <w:trPr>
          <w:trHeight w:val="880"/>
        </w:trPr>
        <w:tc>
          <w:tcPr>
            <w:tcW w:w="1776" w:type="pct"/>
            <w:tcBorders>
              <w:top w:val="nil"/>
              <w:left w:val="single" w:sz="8" w:space="0" w:color="auto"/>
              <w:bottom w:val="single" w:sz="8" w:space="0" w:color="auto"/>
              <w:right w:val="single" w:sz="8" w:space="0" w:color="auto"/>
            </w:tcBorders>
            <w:shd w:val="clear" w:color="auto" w:fill="auto"/>
            <w:vAlign w:val="center"/>
            <w:hideMark/>
          </w:tcPr>
          <w:p w14:paraId="404D9E02" w14:textId="77777777" w:rsidR="0029474E" w:rsidRPr="00D970AF" w:rsidRDefault="0029474E" w:rsidP="00D970AF">
            <w:pPr>
              <w:spacing w:after="0" w:line="240" w:lineRule="auto"/>
              <w:ind w:left="66" w:right="19"/>
              <w:rPr>
                <w:rFonts w:ascii="Book Antiqua" w:eastAsia="Times New Roman" w:hAnsi="Book Antiqua" w:cs="Calibri"/>
                <w:b/>
                <w:bCs/>
                <w:i/>
                <w:iCs/>
                <w:color w:val="000000"/>
                <w:lang w:eastAsia="es-CR"/>
              </w:rPr>
            </w:pPr>
            <w:r w:rsidRPr="00D970AF">
              <w:rPr>
                <w:rFonts w:ascii="Book Antiqua" w:eastAsia="Times New Roman" w:hAnsi="Book Antiqua" w:cs="Calibri"/>
                <w:b/>
                <w:bCs/>
                <w:i/>
                <w:iCs/>
                <w:color w:val="000000"/>
                <w:lang w:eastAsia="es-CR"/>
              </w:rPr>
              <w:t>Juzgado de Familia de San José</w:t>
            </w:r>
          </w:p>
        </w:tc>
        <w:tc>
          <w:tcPr>
            <w:tcW w:w="1406" w:type="pct"/>
            <w:tcBorders>
              <w:top w:val="nil"/>
              <w:left w:val="nil"/>
              <w:bottom w:val="single" w:sz="8" w:space="0" w:color="auto"/>
              <w:right w:val="single" w:sz="8" w:space="0" w:color="auto"/>
            </w:tcBorders>
            <w:shd w:val="clear" w:color="auto" w:fill="auto"/>
            <w:noWrap/>
            <w:vAlign w:val="center"/>
            <w:hideMark/>
          </w:tcPr>
          <w:p w14:paraId="7CB39148" w14:textId="3E62E4ED" w:rsidR="0029474E" w:rsidRPr="00D970AF" w:rsidRDefault="0029474E" w:rsidP="00D970AF">
            <w:pPr>
              <w:spacing w:after="0" w:line="240" w:lineRule="auto"/>
              <w:ind w:left="66" w:right="19"/>
              <w:jc w:val="center"/>
              <w:rPr>
                <w:rFonts w:ascii="Book Antiqua" w:eastAsia="Times New Roman" w:hAnsi="Book Antiqua" w:cs="Calibri"/>
                <w:i/>
                <w:iCs/>
                <w:color w:val="000000"/>
                <w:lang w:eastAsia="es-CR"/>
              </w:rPr>
            </w:pPr>
            <w:r w:rsidRPr="00D970AF">
              <w:rPr>
                <w:rFonts w:ascii="Book Antiqua" w:eastAsia="Times New Roman" w:hAnsi="Book Antiqua" w:cs="Calibri"/>
                <w:i/>
                <w:iCs/>
                <w:color w:val="000000"/>
                <w:lang w:eastAsia="es-CR"/>
              </w:rPr>
              <w:t>2</w:t>
            </w:r>
            <w:r w:rsidR="00F24DFA" w:rsidRPr="00D970AF">
              <w:rPr>
                <w:rFonts w:ascii="Book Antiqua" w:eastAsia="Times New Roman" w:hAnsi="Book Antiqua" w:cs="Calibri"/>
                <w:i/>
                <w:iCs/>
                <w:color w:val="000000"/>
                <w:lang w:eastAsia="es-CR"/>
              </w:rPr>
              <w:t>7</w:t>
            </w:r>
            <w:r w:rsidR="00095F28" w:rsidRPr="00D970AF">
              <w:rPr>
                <w:rFonts w:ascii="Book Antiqua" w:eastAsia="Times New Roman" w:hAnsi="Book Antiqua" w:cs="Calibri"/>
                <w:i/>
                <w:iCs/>
                <w:color w:val="000000"/>
                <w:lang w:eastAsia="es-CR"/>
              </w:rPr>
              <w:t>5</w:t>
            </w:r>
          </w:p>
        </w:tc>
        <w:tc>
          <w:tcPr>
            <w:tcW w:w="782" w:type="pct"/>
            <w:tcBorders>
              <w:top w:val="nil"/>
              <w:left w:val="nil"/>
              <w:bottom w:val="single" w:sz="8" w:space="0" w:color="auto"/>
              <w:right w:val="single" w:sz="8" w:space="0" w:color="auto"/>
            </w:tcBorders>
            <w:shd w:val="clear" w:color="000000" w:fill="DBE5F1"/>
            <w:noWrap/>
            <w:vAlign w:val="center"/>
            <w:hideMark/>
          </w:tcPr>
          <w:p w14:paraId="0FD98034" w14:textId="5C8E6338" w:rsidR="0029474E" w:rsidRPr="00D970AF" w:rsidRDefault="00AF48C0" w:rsidP="00D970AF">
            <w:pPr>
              <w:spacing w:after="0" w:line="240" w:lineRule="auto"/>
              <w:ind w:left="66" w:right="19"/>
              <w:jc w:val="center"/>
              <w:rPr>
                <w:rFonts w:ascii="Book Antiqua" w:eastAsia="Times New Roman" w:hAnsi="Book Antiqua" w:cs="Calibri"/>
                <w:i/>
                <w:iCs/>
                <w:color w:val="000000"/>
                <w:lang w:eastAsia="es-CR"/>
              </w:rPr>
            </w:pPr>
            <w:r w:rsidRPr="00D970AF">
              <w:rPr>
                <w:rFonts w:ascii="Book Antiqua" w:eastAsia="Times New Roman" w:hAnsi="Book Antiqua" w:cs="Calibri"/>
                <w:i/>
                <w:iCs/>
                <w:color w:val="000000"/>
                <w:lang w:eastAsia="es-CR"/>
              </w:rPr>
              <w:t>4</w:t>
            </w:r>
          </w:p>
        </w:tc>
        <w:tc>
          <w:tcPr>
            <w:tcW w:w="1036" w:type="pct"/>
            <w:tcBorders>
              <w:top w:val="nil"/>
              <w:left w:val="nil"/>
              <w:bottom w:val="single" w:sz="8" w:space="0" w:color="auto"/>
              <w:right w:val="single" w:sz="8" w:space="0" w:color="auto"/>
            </w:tcBorders>
            <w:shd w:val="clear" w:color="000000" w:fill="DBE5F1"/>
            <w:noWrap/>
            <w:vAlign w:val="center"/>
            <w:hideMark/>
          </w:tcPr>
          <w:p w14:paraId="261806E9" w14:textId="77777777" w:rsidR="0029474E" w:rsidRPr="00D970AF" w:rsidRDefault="0029474E" w:rsidP="00D970AF">
            <w:pPr>
              <w:spacing w:after="0" w:line="240" w:lineRule="auto"/>
              <w:ind w:left="66" w:right="19"/>
              <w:jc w:val="center"/>
              <w:rPr>
                <w:rFonts w:ascii="Book Antiqua" w:eastAsia="Times New Roman" w:hAnsi="Book Antiqua" w:cs="Calibri"/>
                <w:i/>
                <w:iCs/>
                <w:color w:val="000000"/>
                <w:lang w:eastAsia="es-CR"/>
              </w:rPr>
            </w:pPr>
            <w:r w:rsidRPr="00D970AF">
              <w:rPr>
                <w:rFonts w:ascii="Book Antiqua" w:eastAsia="Times New Roman" w:hAnsi="Book Antiqua" w:cs="Calibri"/>
                <w:i/>
                <w:iCs/>
                <w:color w:val="000000"/>
                <w:lang w:eastAsia="es-CR"/>
              </w:rPr>
              <w:t>6</w:t>
            </w:r>
          </w:p>
        </w:tc>
      </w:tr>
    </w:tbl>
    <w:p w14:paraId="6DB688B6" w14:textId="3D2E9690" w:rsidR="00200D8B" w:rsidRPr="00D970AF" w:rsidRDefault="0029474E" w:rsidP="00D970AF">
      <w:pPr>
        <w:spacing w:line="276" w:lineRule="auto"/>
        <w:ind w:left="567" w:right="616"/>
        <w:jc w:val="both"/>
        <w:rPr>
          <w:rFonts w:ascii="Book Antiqua" w:eastAsia="Calibri" w:hAnsi="Book Antiqua" w:cs="Arial"/>
          <w:i/>
          <w:iCs/>
        </w:rPr>
      </w:pPr>
      <w:r w:rsidRPr="00D970AF">
        <w:rPr>
          <w:rFonts w:ascii="Book Antiqua" w:eastAsia="Calibri" w:hAnsi="Book Antiqua" w:cs="Arial"/>
          <w:i/>
          <w:iCs/>
        </w:rPr>
        <w:t>Fuente: Modernización Institucional de la Dirección de Planificación.</w:t>
      </w:r>
    </w:p>
    <w:p w14:paraId="00ACD52F" w14:textId="2CF50CBA" w:rsidR="0029474E" w:rsidRPr="00D970AF" w:rsidRDefault="0029474E" w:rsidP="00D970AF">
      <w:pPr>
        <w:spacing w:after="0" w:line="276" w:lineRule="auto"/>
        <w:ind w:left="567" w:right="616"/>
        <w:jc w:val="both"/>
        <w:rPr>
          <w:rFonts w:ascii="Book Antiqua" w:eastAsia="Calibri" w:hAnsi="Book Antiqua" w:cs="Arial"/>
          <w:i/>
          <w:iCs/>
        </w:rPr>
      </w:pPr>
      <w:r w:rsidRPr="00D970AF">
        <w:rPr>
          <w:rFonts w:ascii="Book Antiqua" w:eastAsia="Calibri" w:hAnsi="Book Antiqua" w:cs="Arial"/>
          <w:i/>
          <w:iCs/>
        </w:rPr>
        <w:t>Un Juzgado de Familia único en San José requeriría en su estructura ideal de al menos 4 personas juzgadoras y 6 técnicos judiciales de trámite, para asumir la entrada de casos mensuales promedio, adicional una persona técnica judicial para atender manifestación y una persona Auxiliar de servicios generales para atender la limpieza de este despacho, quedando para ser reubicados dos personas juzgadoras, un Coordinador</w:t>
      </w:r>
      <w:r w:rsidR="00F24DFA" w:rsidRPr="00D970AF">
        <w:rPr>
          <w:rFonts w:ascii="Book Antiqua" w:eastAsia="Calibri" w:hAnsi="Book Antiqua" w:cs="Arial"/>
          <w:i/>
          <w:iCs/>
        </w:rPr>
        <w:t xml:space="preserve"> </w:t>
      </w:r>
      <w:r w:rsidRPr="00D970AF">
        <w:rPr>
          <w:rFonts w:ascii="Book Antiqua" w:eastAsia="Calibri" w:hAnsi="Book Antiqua" w:cs="Arial"/>
          <w:i/>
          <w:iCs/>
        </w:rPr>
        <w:t>Judicial 2, cinco Técnicos Judiciales 2 y un Auxiliar de Servicios Generales</w:t>
      </w:r>
      <w:bookmarkStart w:id="29" w:name="_Hlk97325287"/>
      <w:r w:rsidRPr="00D970AF">
        <w:rPr>
          <w:rFonts w:ascii="Book Antiqua" w:eastAsia="Calibri" w:hAnsi="Book Antiqua" w:cs="Arial"/>
          <w:i/>
          <w:iCs/>
        </w:rPr>
        <w:t xml:space="preserve">. Continuando, bajo el criterio de que no se realizarán movimientos de personal, esto con </w:t>
      </w:r>
      <w:r w:rsidR="00F30375" w:rsidRPr="00D970AF">
        <w:rPr>
          <w:rFonts w:ascii="Book Antiqua" w:eastAsia="Calibri" w:hAnsi="Book Antiqua" w:cs="Arial"/>
          <w:i/>
          <w:iCs/>
        </w:rPr>
        <w:t xml:space="preserve">el </w:t>
      </w:r>
      <w:r w:rsidRPr="00D970AF">
        <w:rPr>
          <w:rFonts w:ascii="Book Antiqua" w:eastAsia="Calibri" w:hAnsi="Book Antiqua" w:cs="Arial"/>
          <w:i/>
          <w:iCs/>
        </w:rPr>
        <w:t>objetivo de fomentar la reducción del circulante e impactar en los tiempos de proceso de manera inmediata, es que se plantea no realizar reubicaciones de personal en este despacho</w:t>
      </w:r>
      <w:bookmarkEnd w:id="29"/>
      <w:r w:rsidRPr="00D970AF">
        <w:rPr>
          <w:rFonts w:ascii="Book Antiqua" w:eastAsia="Calibri" w:hAnsi="Book Antiqua" w:cs="Arial"/>
          <w:i/>
          <w:iCs/>
        </w:rPr>
        <w:t>,</w:t>
      </w:r>
      <w:r w:rsidR="00E85731" w:rsidRPr="00D970AF">
        <w:rPr>
          <w:rFonts w:ascii="Book Antiqua" w:eastAsia="Calibri" w:hAnsi="Book Antiqua" w:cs="Arial"/>
          <w:i/>
          <w:iCs/>
        </w:rPr>
        <w:t xml:space="preserve"> </w:t>
      </w:r>
      <w:r w:rsidRPr="00D970AF">
        <w:rPr>
          <w:rFonts w:ascii="Book Antiqua" w:eastAsia="Calibri" w:hAnsi="Book Antiqua" w:cs="Arial"/>
          <w:i/>
          <w:iCs/>
        </w:rPr>
        <w:t>de igual manera se plantea la estructura para este nuevo despacho, quedando de la siguiente forma:</w:t>
      </w:r>
    </w:p>
    <w:p w14:paraId="509699BC" w14:textId="01F420C0" w:rsidR="0029474E" w:rsidRPr="00D970AF" w:rsidRDefault="0029474E" w:rsidP="00D970AF">
      <w:pPr>
        <w:spacing w:line="276" w:lineRule="auto"/>
        <w:ind w:left="567" w:right="616"/>
        <w:jc w:val="both"/>
        <w:rPr>
          <w:rFonts w:ascii="Book Antiqua" w:eastAsia="Calibri" w:hAnsi="Book Antiqua" w:cs="Arial"/>
          <w:i/>
          <w:iCs/>
        </w:rPr>
      </w:pPr>
    </w:p>
    <w:p w14:paraId="296116DE" w14:textId="2AA7687C" w:rsidR="00F30375" w:rsidRPr="00EF146D" w:rsidRDefault="00F30375" w:rsidP="00EF146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F146D">
        <w:rPr>
          <w:rFonts w:ascii="Book Antiqua" w:eastAsia="Calibri" w:hAnsi="Book Antiqua" w:cs="Arial"/>
          <w:b/>
          <w:bCs/>
          <w:color w:val="1F497D"/>
          <w:szCs w:val="24"/>
          <w:lang w:val="es-ES" w:eastAsia="es-ES"/>
        </w:rPr>
        <w:t xml:space="preserve">Cuadro </w:t>
      </w:r>
      <w:r w:rsidRPr="00EF146D">
        <w:rPr>
          <w:rFonts w:ascii="Book Antiqua" w:eastAsia="Calibri" w:hAnsi="Book Antiqua" w:cs="Arial"/>
          <w:b/>
          <w:bCs/>
          <w:color w:val="1F497D"/>
          <w:szCs w:val="24"/>
          <w:lang w:val="es-ES" w:eastAsia="es-ES"/>
        </w:rPr>
        <w:fldChar w:fldCharType="begin"/>
      </w:r>
      <w:r w:rsidRPr="00EF146D">
        <w:rPr>
          <w:rFonts w:ascii="Book Antiqua" w:eastAsia="Calibri" w:hAnsi="Book Antiqua" w:cs="Arial"/>
          <w:b/>
          <w:bCs/>
          <w:color w:val="1F497D"/>
          <w:szCs w:val="24"/>
          <w:lang w:val="es-ES" w:eastAsia="es-ES"/>
        </w:rPr>
        <w:instrText xml:space="preserve"> SEQ Cuadro \* ARABIC </w:instrText>
      </w:r>
      <w:r w:rsidRPr="00EF146D">
        <w:rPr>
          <w:rFonts w:ascii="Book Antiqua" w:eastAsia="Calibri" w:hAnsi="Book Antiqua" w:cs="Arial"/>
          <w:b/>
          <w:bCs/>
          <w:color w:val="1F497D"/>
          <w:szCs w:val="24"/>
          <w:lang w:val="es-ES" w:eastAsia="es-ES"/>
        </w:rPr>
        <w:fldChar w:fldCharType="separate"/>
      </w:r>
      <w:r w:rsidR="009B739E" w:rsidRPr="00EF146D">
        <w:rPr>
          <w:rFonts w:ascii="Book Antiqua" w:eastAsia="Calibri" w:hAnsi="Book Antiqua" w:cs="Arial"/>
          <w:b/>
          <w:bCs/>
          <w:color w:val="1F497D"/>
          <w:szCs w:val="24"/>
          <w:lang w:val="es-ES" w:eastAsia="es-ES"/>
        </w:rPr>
        <w:t>30</w:t>
      </w:r>
      <w:r w:rsidRPr="00EF146D">
        <w:rPr>
          <w:rFonts w:ascii="Book Antiqua" w:eastAsia="Calibri" w:hAnsi="Book Antiqua" w:cs="Arial"/>
          <w:b/>
          <w:bCs/>
          <w:color w:val="1F497D"/>
          <w:szCs w:val="24"/>
          <w:lang w:val="es-ES" w:eastAsia="es-ES"/>
        </w:rPr>
        <w:fldChar w:fldCharType="end"/>
      </w:r>
      <w:r w:rsidRPr="00EF146D">
        <w:rPr>
          <w:rFonts w:ascii="Book Antiqua" w:eastAsia="Calibri" w:hAnsi="Book Antiqua" w:cs="Arial"/>
          <w:b/>
          <w:bCs/>
          <w:color w:val="1F497D"/>
          <w:szCs w:val="24"/>
          <w:lang w:val="es-ES" w:eastAsia="es-ES"/>
        </w:rPr>
        <w:t xml:space="preserve"> </w:t>
      </w:r>
    </w:p>
    <w:p w14:paraId="0CB6FE72" w14:textId="77777777" w:rsidR="00F30375" w:rsidRPr="00D970AF" w:rsidRDefault="00F30375" w:rsidP="00D970AF">
      <w:pPr>
        <w:keepNext/>
        <w:numPr>
          <w:ilvl w:val="12"/>
          <w:numId w:val="0"/>
        </w:numPr>
        <w:spacing w:after="0" w:line="276" w:lineRule="auto"/>
        <w:ind w:left="567" w:right="616"/>
        <w:jc w:val="center"/>
        <w:rPr>
          <w:rFonts w:ascii="Book Antiqua" w:eastAsia="Calibri" w:hAnsi="Book Antiqua" w:cs="Arial"/>
          <w:b/>
          <w:bCs/>
          <w:i/>
          <w:iCs/>
          <w:color w:val="1F497D"/>
          <w:lang w:val="es-ES" w:eastAsia="es-ES"/>
        </w:rPr>
      </w:pPr>
      <w:r w:rsidRPr="00D970AF">
        <w:rPr>
          <w:rFonts w:ascii="Book Antiqua" w:eastAsia="Calibri" w:hAnsi="Book Antiqua" w:cs="Arial"/>
          <w:b/>
          <w:bCs/>
          <w:i/>
          <w:iCs/>
          <w:color w:val="1F497D"/>
          <w:lang w:val="es-ES" w:eastAsia="es-ES"/>
        </w:rPr>
        <w:t>Estructura propuesta para un nuevo Juzgado de Familia de San José</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1"/>
        <w:gridCol w:w="2746"/>
        <w:gridCol w:w="3351"/>
      </w:tblGrid>
      <w:tr w:rsidR="00FE54CE" w:rsidRPr="00D970AF" w14:paraId="6932C88A" w14:textId="77777777" w:rsidTr="00FE54CE">
        <w:trPr>
          <w:trHeight w:val="283"/>
          <w:tblHeader/>
          <w:jc w:val="center"/>
        </w:trPr>
        <w:tc>
          <w:tcPr>
            <w:tcW w:w="1547" w:type="pct"/>
            <w:shd w:val="clear" w:color="auto" w:fill="002060"/>
            <w:vAlign w:val="center"/>
          </w:tcPr>
          <w:p w14:paraId="2629487B" w14:textId="77777777" w:rsidR="00FE54CE" w:rsidRPr="00D970AF" w:rsidRDefault="00FE54CE" w:rsidP="00D970AF">
            <w:pPr>
              <w:spacing w:after="0" w:line="276" w:lineRule="auto"/>
              <w:ind w:left="29" w:right="616"/>
              <w:jc w:val="center"/>
              <w:rPr>
                <w:rFonts w:ascii="Book Antiqua" w:eastAsia="Calibri" w:hAnsi="Book Antiqua" w:cs="Arial"/>
                <w:b/>
                <w:bCs/>
                <w:i/>
                <w:iCs/>
                <w:color w:val="FFFFFF"/>
              </w:rPr>
            </w:pPr>
            <w:r w:rsidRPr="00D970AF">
              <w:rPr>
                <w:rFonts w:ascii="Book Antiqua" w:eastAsia="Calibri" w:hAnsi="Book Antiqua" w:cs="Arial"/>
                <w:b/>
                <w:bCs/>
                <w:i/>
                <w:iCs/>
                <w:color w:val="FFFFFF"/>
              </w:rPr>
              <w:t>Juzgado</w:t>
            </w:r>
          </w:p>
        </w:tc>
        <w:tc>
          <w:tcPr>
            <w:tcW w:w="1555" w:type="pct"/>
            <w:shd w:val="clear" w:color="auto" w:fill="002060"/>
            <w:vAlign w:val="center"/>
          </w:tcPr>
          <w:p w14:paraId="18CE54CD" w14:textId="77777777" w:rsidR="00FE54CE" w:rsidRPr="00D970AF" w:rsidRDefault="00FE54CE" w:rsidP="00D970AF">
            <w:pPr>
              <w:spacing w:after="0" w:line="276" w:lineRule="auto"/>
              <w:ind w:left="29" w:right="616"/>
              <w:jc w:val="center"/>
              <w:rPr>
                <w:rFonts w:ascii="Book Antiqua" w:eastAsia="Calibri" w:hAnsi="Book Antiqua" w:cs="Arial"/>
                <w:b/>
                <w:bCs/>
                <w:i/>
                <w:iCs/>
                <w:color w:val="FFFFFF"/>
              </w:rPr>
            </w:pPr>
            <w:r w:rsidRPr="00D970AF">
              <w:rPr>
                <w:rFonts w:ascii="Book Antiqua" w:eastAsia="Calibri" w:hAnsi="Book Antiqua" w:cs="Arial"/>
                <w:b/>
                <w:bCs/>
                <w:i/>
                <w:iCs/>
                <w:color w:val="FFFFFF"/>
              </w:rPr>
              <w:t>Estructura orgánica funcional actual de los despachos</w:t>
            </w:r>
          </w:p>
        </w:tc>
        <w:tc>
          <w:tcPr>
            <w:tcW w:w="1898" w:type="pct"/>
            <w:shd w:val="clear" w:color="auto" w:fill="002060"/>
            <w:vAlign w:val="center"/>
          </w:tcPr>
          <w:p w14:paraId="3E980634" w14:textId="77777777" w:rsidR="00FE54CE" w:rsidRPr="00D970AF" w:rsidRDefault="00FE54CE" w:rsidP="00D970AF">
            <w:pPr>
              <w:spacing w:after="0" w:line="276" w:lineRule="auto"/>
              <w:ind w:left="29" w:right="616"/>
              <w:jc w:val="center"/>
              <w:rPr>
                <w:rFonts w:ascii="Book Antiqua" w:eastAsia="Calibri" w:hAnsi="Book Antiqua" w:cs="Arial"/>
                <w:b/>
                <w:i/>
                <w:iCs/>
                <w:color w:val="FFFFFF"/>
              </w:rPr>
            </w:pPr>
            <w:r w:rsidRPr="00D970AF">
              <w:rPr>
                <w:rFonts w:ascii="Book Antiqua" w:eastAsia="Calibri" w:hAnsi="Book Antiqua" w:cs="Arial"/>
                <w:b/>
                <w:i/>
                <w:iCs/>
                <w:color w:val="FFFFFF"/>
              </w:rPr>
              <w:t>Estructura Propuesta</w:t>
            </w:r>
          </w:p>
        </w:tc>
      </w:tr>
      <w:tr w:rsidR="00FE54CE" w:rsidRPr="00D970AF" w14:paraId="28CBE9C4" w14:textId="77777777" w:rsidTr="00FE54CE">
        <w:trPr>
          <w:jc w:val="center"/>
        </w:trPr>
        <w:tc>
          <w:tcPr>
            <w:tcW w:w="1547" w:type="pct"/>
            <w:shd w:val="clear" w:color="auto" w:fill="auto"/>
            <w:vAlign w:val="center"/>
          </w:tcPr>
          <w:p w14:paraId="5C443331" w14:textId="77777777" w:rsidR="00FE54CE" w:rsidRPr="00D970AF" w:rsidRDefault="00FE54CE" w:rsidP="00D970AF">
            <w:pPr>
              <w:spacing w:after="0" w:line="276" w:lineRule="auto"/>
              <w:ind w:left="29" w:right="78"/>
              <w:jc w:val="both"/>
              <w:rPr>
                <w:rFonts w:ascii="Book Antiqua" w:eastAsia="Calibri" w:hAnsi="Book Antiqua" w:cs="Arial"/>
                <w:i/>
                <w:iCs/>
              </w:rPr>
            </w:pPr>
            <w:r w:rsidRPr="00D970AF">
              <w:rPr>
                <w:rFonts w:ascii="Book Antiqua" w:eastAsia="Calibri" w:hAnsi="Book Antiqua" w:cs="Arial"/>
                <w:i/>
                <w:iCs/>
              </w:rPr>
              <w:t>Juzgados Primero de Familia de San José</w:t>
            </w:r>
          </w:p>
        </w:tc>
        <w:tc>
          <w:tcPr>
            <w:tcW w:w="1555" w:type="pct"/>
            <w:shd w:val="clear" w:color="auto" w:fill="auto"/>
            <w:vAlign w:val="center"/>
          </w:tcPr>
          <w:p w14:paraId="3F6CCF91" w14:textId="77777777" w:rsidR="00FE54CE" w:rsidRPr="00D970AF" w:rsidRDefault="00FE54CE" w:rsidP="00D970AF">
            <w:pPr>
              <w:spacing w:after="0" w:line="276" w:lineRule="auto"/>
              <w:ind w:left="29"/>
              <w:jc w:val="both"/>
              <w:rPr>
                <w:rFonts w:ascii="Book Antiqua" w:eastAsia="Calibri" w:hAnsi="Book Antiqua" w:cs="Arial"/>
                <w:i/>
                <w:iCs/>
              </w:rPr>
            </w:pPr>
            <w:r w:rsidRPr="00D970AF">
              <w:rPr>
                <w:rFonts w:ascii="Book Antiqua" w:eastAsia="Calibri" w:hAnsi="Book Antiqua" w:cs="Arial"/>
                <w:i/>
                <w:iCs/>
              </w:rPr>
              <w:t>3 Juezas/ces 3</w:t>
            </w:r>
          </w:p>
          <w:p w14:paraId="4C63D5AD" w14:textId="77777777" w:rsidR="00FE54CE" w:rsidRPr="00D970AF" w:rsidRDefault="00FE54CE" w:rsidP="00D970AF">
            <w:pPr>
              <w:spacing w:after="0" w:line="276" w:lineRule="auto"/>
              <w:ind w:left="29"/>
              <w:jc w:val="both"/>
              <w:rPr>
                <w:rFonts w:ascii="Book Antiqua" w:eastAsia="Calibri" w:hAnsi="Book Antiqua" w:cs="Arial"/>
                <w:i/>
                <w:iCs/>
              </w:rPr>
            </w:pPr>
            <w:r w:rsidRPr="00D970AF">
              <w:rPr>
                <w:rFonts w:ascii="Book Antiqua" w:eastAsia="Calibri" w:hAnsi="Book Antiqua" w:cs="Arial"/>
                <w:i/>
                <w:iCs/>
              </w:rPr>
              <w:t>1 Coordinadora/or Judicial 2</w:t>
            </w:r>
          </w:p>
          <w:p w14:paraId="2D092C2F" w14:textId="77777777" w:rsidR="00FE54CE" w:rsidRPr="00D970AF" w:rsidRDefault="00FE54CE" w:rsidP="00D970AF">
            <w:pPr>
              <w:spacing w:after="0" w:line="276" w:lineRule="auto"/>
              <w:ind w:left="29"/>
              <w:jc w:val="both"/>
              <w:rPr>
                <w:rFonts w:ascii="Book Antiqua" w:eastAsia="Calibri" w:hAnsi="Book Antiqua" w:cs="Arial"/>
                <w:i/>
                <w:iCs/>
              </w:rPr>
            </w:pPr>
            <w:r w:rsidRPr="00D970AF">
              <w:rPr>
                <w:rFonts w:ascii="Book Antiqua" w:eastAsia="Calibri" w:hAnsi="Book Antiqua" w:cs="Arial"/>
                <w:i/>
                <w:iCs/>
              </w:rPr>
              <w:t>6 Técnicas/os Judiciales 2</w:t>
            </w:r>
          </w:p>
          <w:p w14:paraId="53F0D4D9" w14:textId="77777777" w:rsidR="00FE54CE" w:rsidRPr="00D970AF" w:rsidRDefault="00FE54CE" w:rsidP="00D970AF">
            <w:pPr>
              <w:spacing w:after="0" w:line="276" w:lineRule="auto"/>
              <w:ind w:left="29"/>
              <w:jc w:val="both"/>
              <w:rPr>
                <w:rFonts w:ascii="Book Antiqua" w:eastAsia="Calibri" w:hAnsi="Book Antiqua" w:cs="Arial"/>
                <w:i/>
                <w:iCs/>
              </w:rPr>
            </w:pPr>
            <w:r w:rsidRPr="00D970AF">
              <w:rPr>
                <w:rFonts w:ascii="Book Antiqua" w:eastAsia="Calibri" w:hAnsi="Book Antiqua" w:cs="Arial"/>
                <w:i/>
                <w:iCs/>
              </w:rPr>
              <w:t>1 Auxiliar de Servicios Generales</w:t>
            </w:r>
          </w:p>
        </w:tc>
        <w:tc>
          <w:tcPr>
            <w:tcW w:w="1898" w:type="pct"/>
            <w:vMerge w:val="restart"/>
            <w:vAlign w:val="center"/>
          </w:tcPr>
          <w:p w14:paraId="59227780" w14:textId="77777777" w:rsidR="00FE54CE" w:rsidRPr="00D970AF" w:rsidRDefault="00FE54CE" w:rsidP="00D970AF">
            <w:pPr>
              <w:spacing w:after="0" w:line="276" w:lineRule="auto"/>
              <w:ind w:left="29" w:right="81"/>
              <w:jc w:val="both"/>
              <w:rPr>
                <w:rFonts w:ascii="Book Antiqua" w:eastAsia="Calibri" w:hAnsi="Book Antiqua" w:cs="Arial"/>
                <w:b/>
                <w:bCs/>
                <w:i/>
                <w:iCs/>
              </w:rPr>
            </w:pPr>
            <w:r w:rsidRPr="00D970AF">
              <w:rPr>
                <w:rFonts w:ascii="Book Antiqua" w:eastAsia="Calibri" w:hAnsi="Book Antiqua" w:cs="Arial"/>
                <w:b/>
                <w:bCs/>
                <w:i/>
                <w:iCs/>
              </w:rPr>
              <w:t>Nuevo Juzgado de Familia de San José</w:t>
            </w:r>
          </w:p>
          <w:p w14:paraId="1A4F4E35" w14:textId="77777777" w:rsidR="00FE54CE" w:rsidRPr="00D970AF" w:rsidRDefault="00FE54CE" w:rsidP="00D970AF">
            <w:pPr>
              <w:spacing w:after="0" w:line="276" w:lineRule="auto"/>
              <w:ind w:left="29" w:right="81"/>
              <w:jc w:val="both"/>
              <w:rPr>
                <w:rFonts w:ascii="Book Antiqua" w:eastAsia="Calibri" w:hAnsi="Book Antiqua" w:cs="Arial"/>
                <w:i/>
                <w:iCs/>
              </w:rPr>
            </w:pPr>
          </w:p>
          <w:p w14:paraId="6F77FF86" w14:textId="77777777" w:rsidR="00FE54CE" w:rsidRPr="00D970AF" w:rsidRDefault="00FE54CE" w:rsidP="00D970AF">
            <w:pPr>
              <w:spacing w:after="0" w:line="276" w:lineRule="auto"/>
              <w:ind w:left="29" w:right="81"/>
              <w:jc w:val="both"/>
              <w:rPr>
                <w:rFonts w:ascii="Book Antiqua" w:eastAsia="Calibri" w:hAnsi="Book Antiqua" w:cs="Arial"/>
                <w:i/>
                <w:iCs/>
              </w:rPr>
            </w:pPr>
            <w:r w:rsidRPr="00D970AF">
              <w:rPr>
                <w:rFonts w:ascii="Book Antiqua" w:eastAsia="Calibri" w:hAnsi="Book Antiqua" w:cs="Arial"/>
                <w:i/>
                <w:iCs/>
              </w:rPr>
              <w:t>6 Juezas/ces 3</w:t>
            </w:r>
          </w:p>
          <w:p w14:paraId="6992A154" w14:textId="77777777" w:rsidR="00FE54CE" w:rsidRPr="00D970AF" w:rsidRDefault="00FE54CE" w:rsidP="00D970AF">
            <w:pPr>
              <w:spacing w:after="0" w:line="276" w:lineRule="auto"/>
              <w:ind w:left="29" w:right="81"/>
              <w:jc w:val="both"/>
              <w:rPr>
                <w:rFonts w:ascii="Book Antiqua" w:eastAsia="Calibri" w:hAnsi="Book Antiqua" w:cs="Arial"/>
                <w:i/>
                <w:iCs/>
              </w:rPr>
            </w:pPr>
            <w:r w:rsidRPr="00D970AF">
              <w:rPr>
                <w:rFonts w:ascii="Book Antiqua" w:eastAsia="Calibri" w:hAnsi="Book Antiqua" w:cs="Arial"/>
                <w:i/>
                <w:iCs/>
              </w:rPr>
              <w:t>2 Coordinadores Judiciales 2</w:t>
            </w:r>
          </w:p>
          <w:p w14:paraId="3943F1DA" w14:textId="77777777" w:rsidR="00FE54CE" w:rsidRPr="00D970AF" w:rsidRDefault="00FE54CE" w:rsidP="00D970AF">
            <w:pPr>
              <w:spacing w:after="0" w:line="276" w:lineRule="auto"/>
              <w:ind w:left="29" w:right="81"/>
              <w:jc w:val="both"/>
              <w:rPr>
                <w:rFonts w:ascii="Book Antiqua" w:eastAsia="Calibri" w:hAnsi="Book Antiqua" w:cs="Arial"/>
                <w:i/>
                <w:iCs/>
              </w:rPr>
            </w:pPr>
            <w:r w:rsidRPr="00D970AF">
              <w:rPr>
                <w:rFonts w:ascii="Book Antiqua" w:eastAsia="Calibri" w:hAnsi="Book Antiqua" w:cs="Arial"/>
                <w:i/>
                <w:iCs/>
              </w:rPr>
              <w:t xml:space="preserve">12 Técnicas/os Judiciales 2 </w:t>
            </w:r>
          </w:p>
          <w:p w14:paraId="7EA205F8" w14:textId="77777777" w:rsidR="00FE54CE" w:rsidRPr="00D970AF" w:rsidRDefault="00FE54CE" w:rsidP="00D970AF">
            <w:pPr>
              <w:spacing w:after="0" w:line="276" w:lineRule="auto"/>
              <w:ind w:left="29" w:right="81"/>
              <w:jc w:val="both"/>
              <w:rPr>
                <w:rFonts w:ascii="Book Antiqua" w:eastAsia="Calibri" w:hAnsi="Book Antiqua" w:cs="Arial"/>
                <w:i/>
                <w:iCs/>
              </w:rPr>
            </w:pPr>
            <w:r w:rsidRPr="00D970AF">
              <w:rPr>
                <w:rFonts w:ascii="Book Antiqua" w:eastAsia="Calibri" w:hAnsi="Book Antiqua" w:cs="Arial"/>
                <w:i/>
                <w:iCs/>
              </w:rPr>
              <w:t>2 Auxiliar de Servicios Generales</w:t>
            </w:r>
          </w:p>
        </w:tc>
      </w:tr>
      <w:tr w:rsidR="00FE54CE" w:rsidRPr="00D970AF" w14:paraId="55F8EECA" w14:textId="77777777" w:rsidTr="00FE54CE">
        <w:trPr>
          <w:jc w:val="center"/>
        </w:trPr>
        <w:tc>
          <w:tcPr>
            <w:tcW w:w="1547" w:type="pct"/>
            <w:shd w:val="clear" w:color="auto" w:fill="auto"/>
            <w:vAlign w:val="center"/>
          </w:tcPr>
          <w:p w14:paraId="31D3C29F" w14:textId="77777777" w:rsidR="00FE54CE" w:rsidRPr="00D970AF" w:rsidRDefault="00FE54CE" w:rsidP="00D970AF">
            <w:pPr>
              <w:spacing w:after="0" w:line="276" w:lineRule="auto"/>
              <w:ind w:left="29" w:right="78"/>
              <w:jc w:val="both"/>
              <w:rPr>
                <w:rFonts w:ascii="Book Antiqua" w:eastAsia="Calibri" w:hAnsi="Book Antiqua" w:cs="Arial"/>
                <w:i/>
                <w:iCs/>
              </w:rPr>
            </w:pPr>
            <w:r w:rsidRPr="00D970AF">
              <w:rPr>
                <w:rFonts w:ascii="Book Antiqua" w:eastAsia="Calibri" w:hAnsi="Book Antiqua" w:cs="Arial"/>
                <w:i/>
                <w:iCs/>
              </w:rPr>
              <w:t>Juzgados Segundo de Familia de San José</w:t>
            </w:r>
          </w:p>
        </w:tc>
        <w:tc>
          <w:tcPr>
            <w:tcW w:w="1555" w:type="pct"/>
            <w:shd w:val="clear" w:color="auto" w:fill="auto"/>
            <w:vAlign w:val="center"/>
          </w:tcPr>
          <w:p w14:paraId="23DE0D01" w14:textId="77777777" w:rsidR="00FE54CE" w:rsidRPr="00D970AF" w:rsidRDefault="00FE54CE" w:rsidP="00D970AF">
            <w:pPr>
              <w:spacing w:after="0" w:line="276" w:lineRule="auto"/>
              <w:ind w:left="43"/>
              <w:jc w:val="both"/>
              <w:rPr>
                <w:rFonts w:ascii="Book Antiqua" w:eastAsia="Calibri" w:hAnsi="Book Antiqua" w:cs="Arial"/>
                <w:i/>
                <w:iCs/>
              </w:rPr>
            </w:pPr>
            <w:r w:rsidRPr="00D970AF">
              <w:rPr>
                <w:rFonts w:ascii="Book Antiqua" w:eastAsia="Calibri" w:hAnsi="Book Antiqua" w:cs="Arial"/>
                <w:i/>
                <w:iCs/>
              </w:rPr>
              <w:t>3 Juezas/ces 3</w:t>
            </w:r>
          </w:p>
          <w:p w14:paraId="18A59E88" w14:textId="77777777" w:rsidR="00FE54CE" w:rsidRPr="00D970AF" w:rsidRDefault="00FE54CE" w:rsidP="00D970AF">
            <w:pPr>
              <w:spacing w:after="0" w:line="276" w:lineRule="auto"/>
              <w:ind w:left="43" w:hanging="43"/>
              <w:jc w:val="both"/>
              <w:rPr>
                <w:rFonts w:ascii="Book Antiqua" w:eastAsia="Calibri" w:hAnsi="Book Antiqua" w:cs="Arial"/>
                <w:i/>
                <w:iCs/>
              </w:rPr>
            </w:pPr>
            <w:r w:rsidRPr="00D970AF">
              <w:rPr>
                <w:rFonts w:ascii="Book Antiqua" w:eastAsia="Calibri" w:hAnsi="Book Antiqua" w:cs="Arial"/>
                <w:i/>
                <w:iCs/>
              </w:rPr>
              <w:t>1 Coordinadora/or Judicial 2</w:t>
            </w:r>
          </w:p>
          <w:p w14:paraId="24BF7F9B" w14:textId="77777777" w:rsidR="00FE54CE" w:rsidRPr="00D970AF" w:rsidRDefault="00FE54CE" w:rsidP="00D970AF">
            <w:pPr>
              <w:spacing w:after="0" w:line="276" w:lineRule="auto"/>
              <w:ind w:left="43" w:hanging="43"/>
              <w:jc w:val="both"/>
              <w:rPr>
                <w:rFonts w:ascii="Book Antiqua" w:eastAsia="Calibri" w:hAnsi="Book Antiqua" w:cs="Arial"/>
                <w:i/>
                <w:iCs/>
              </w:rPr>
            </w:pPr>
            <w:r w:rsidRPr="00D970AF">
              <w:rPr>
                <w:rFonts w:ascii="Book Antiqua" w:eastAsia="Calibri" w:hAnsi="Book Antiqua" w:cs="Arial"/>
                <w:i/>
                <w:iCs/>
              </w:rPr>
              <w:t>6 Técnicas/os Judiciales 2</w:t>
            </w:r>
          </w:p>
          <w:p w14:paraId="618F19A0" w14:textId="77777777" w:rsidR="00FE54CE" w:rsidRPr="00D970AF" w:rsidRDefault="00FE54CE" w:rsidP="00D970AF">
            <w:pPr>
              <w:spacing w:after="0" w:line="276" w:lineRule="auto"/>
              <w:ind w:left="43"/>
              <w:jc w:val="both"/>
              <w:rPr>
                <w:rFonts w:ascii="Book Antiqua" w:eastAsia="Calibri" w:hAnsi="Book Antiqua" w:cs="Arial"/>
                <w:i/>
                <w:iCs/>
              </w:rPr>
            </w:pPr>
            <w:r w:rsidRPr="00D970AF">
              <w:rPr>
                <w:rFonts w:ascii="Book Antiqua" w:eastAsia="Calibri" w:hAnsi="Book Antiqua" w:cs="Arial"/>
                <w:i/>
                <w:iCs/>
              </w:rPr>
              <w:lastRenderedPageBreak/>
              <w:t>1 Auxiliar de Servicios Generales</w:t>
            </w:r>
          </w:p>
        </w:tc>
        <w:tc>
          <w:tcPr>
            <w:tcW w:w="1898" w:type="pct"/>
            <w:vMerge/>
          </w:tcPr>
          <w:p w14:paraId="49D6F16E" w14:textId="77777777" w:rsidR="00FE54CE" w:rsidRPr="00D970AF" w:rsidRDefault="00FE54CE" w:rsidP="00D970AF">
            <w:pPr>
              <w:spacing w:after="0" w:line="276" w:lineRule="auto"/>
              <w:ind w:left="567" w:right="616"/>
              <w:rPr>
                <w:rFonts w:ascii="Book Antiqua" w:eastAsia="Calibri" w:hAnsi="Book Antiqua" w:cs="Arial"/>
                <w:i/>
                <w:iCs/>
              </w:rPr>
            </w:pPr>
          </w:p>
        </w:tc>
      </w:tr>
    </w:tbl>
    <w:p w14:paraId="0D990B98" w14:textId="004BD430" w:rsidR="00F30375" w:rsidRPr="00D970AF" w:rsidRDefault="00FE54CE" w:rsidP="00D970AF">
      <w:pPr>
        <w:spacing w:line="276" w:lineRule="auto"/>
        <w:ind w:left="567" w:right="616"/>
        <w:jc w:val="both"/>
        <w:rPr>
          <w:rFonts w:ascii="Book Antiqua" w:eastAsia="Calibri" w:hAnsi="Book Antiqua" w:cs="Arial"/>
          <w:i/>
          <w:iCs/>
        </w:rPr>
      </w:pPr>
      <w:bookmarkStart w:id="30" w:name="_Hlk95728450"/>
      <w:r w:rsidRPr="00D970AF">
        <w:rPr>
          <w:rFonts w:ascii="Book Antiqua" w:eastAsia="Calibri" w:hAnsi="Book Antiqua" w:cs="Arial"/>
          <w:i/>
          <w:iCs/>
        </w:rPr>
        <w:t>Fuente: Modernización Institucional de la Dirección de Planificación.</w:t>
      </w:r>
    </w:p>
    <w:bookmarkEnd w:id="30"/>
    <w:p w14:paraId="5A91D4A8" w14:textId="77777777" w:rsidR="00FE54CE" w:rsidRPr="00D970AF" w:rsidRDefault="00FE54CE" w:rsidP="00D970AF">
      <w:pPr>
        <w:spacing w:after="0" w:line="276" w:lineRule="auto"/>
        <w:ind w:left="567" w:right="616"/>
        <w:jc w:val="both"/>
        <w:rPr>
          <w:rFonts w:ascii="Book Antiqua" w:eastAsia="Calibri" w:hAnsi="Book Antiqua" w:cs="Arial"/>
          <w:i/>
          <w:iCs/>
        </w:rPr>
      </w:pPr>
      <w:r w:rsidRPr="00D970AF">
        <w:rPr>
          <w:rFonts w:ascii="Book Antiqua" w:eastAsia="Calibri" w:hAnsi="Book Antiqua" w:cs="Arial"/>
          <w:i/>
          <w:iCs/>
        </w:rPr>
        <w:t>Este escenario permitiría aprovechar de mejor manera los recursos disponibles, y disponer de mayor cantidad de personas para cubrir necesidades en otras oficinas, si se decidiera reubicar las personas identificadas como fuera de la estructura ideal propuesta para este despacho. Es importante indicar que se planea dejar la figura de la persona Auxiliar de Servicios Generales para que atienda las necesidades de limpieza de este despacho, ya que si se considerara la recalificación o movimiento de estos puestos, se tendría que incluir el costo de contratación de Servicio de Limpieza, subpartida 1.04.06 “Servicios Generales”, la cual actualmente se encuentra restringida por el aumento del Impuesto Valor Agregado (IVA) en los servicios, ya que este despacho cuenta con la figura de Auxiliar de Servicios Generales para atender esta necesidad.</w:t>
      </w:r>
    </w:p>
    <w:p w14:paraId="279812AA" w14:textId="77777777" w:rsidR="00FE54CE" w:rsidRPr="00D970AF" w:rsidRDefault="00FE54CE" w:rsidP="00D970AF">
      <w:pPr>
        <w:spacing w:after="0" w:line="276" w:lineRule="auto"/>
        <w:ind w:left="567" w:right="616"/>
        <w:jc w:val="both"/>
        <w:rPr>
          <w:rFonts w:ascii="Book Antiqua" w:eastAsia="Calibri" w:hAnsi="Book Antiqua" w:cs="Arial"/>
          <w:i/>
          <w:iCs/>
        </w:rPr>
      </w:pPr>
    </w:p>
    <w:p w14:paraId="048C6623" w14:textId="6D7140DC" w:rsidR="00FE54CE" w:rsidRPr="00D970AF" w:rsidRDefault="00FE54CE" w:rsidP="00D970AF">
      <w:pPr>
        <w:tabs>
          <w:tab w:val="left" w:pos="2513"/>
        </w:tabs>
        <w:spacing w:after="0" w:line="276" w:lineRule="auto"/>
        <w:ind w:left="567" w:right="616"/>
        <w:jc w:val="both"/>
        <w:rPr>
          <w:rFonts w:ascii="Book Antiqua" w:eastAsia="Calibri" w:hAnsi="Book Antiqua" w:cs="Arial"/>
          <w:i/>
          <w:iCs/>
        </w:rPr>
      </w:pPr>
      <w:r w:rsidRPr="00D970AF">
        <w:rPr>
          <w:rFonts w:ascii="Book Antiqua" w:eastAsia="Calibri" w:hAnsi="Book Antiqua" w:cs="Arial"/>
          <w:i/>
          <w:iCs/>
        </w:rPr>
        <w:t>Como se indica en líneas anteriores, se propone no realizar movimientos de personas con la finalidad de fomentar la reducción del circulante e impactar en los tiempos de proceso de manera inmediata, lo cual es una medida que permite a la Institución dar respuesta a lo indicado por la Contraloría General de Repúblicas  en el oficio DFOE-PG-IF-00002-2020 relacionado con “Informe de la Auditoría Operativa sobre la Gestión del Poder Judicial en cuanto a la Oportunidad de la Prestación del Servicio Público de Administración de la Justicia de los Juzgados de Familia y de Pensiones Alimentarias” sobre “…la duración excesiva y no justificada de los procesos judiciales…”.</w:t>
      </w:r>
    </w:p>
    <w:p w14:paraId="18DFFC51" w14:textId="6641C4C9" w:rsidR="00F30375" w:rsidRDefault="00F30375" w:rsidP="00200D8B">
      <w:pPr>
        <w:spacing w:line="276" w:lineRule="auto"/>
        <w:jc w:val="both"/>
        <w:rPr>
          <w:rFonts w:ascii="Book Antiqua" w:eastAsia="Calibri" w:hAnsi="Book Antiqua" w:cs="Arial"/>
          <w:sz w:val="24"/>
          <w:szCs w:val="24"/>
        </w:rPr>
      </w:pPr>
    </w:p>
    <w:p w14:paraId="6F0A2C5B" w14:textId="62771FCA" w:rsidR="006B6242" w:rsidRDefault="00AB3140" w:rsidP="00D8308A">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Este escenario se sustenta a partir del seguimiento realizado como parte </w:t>
      </w:r>
      <w:r w:rsidR="00496ECC" w:rsidRPr="00496ECC">
        <w:rPr>
          <w:rFonts w:ascii="Book Antiqua" w:eastAsia="Calibri" w:hAnsi="Book Antiqua" w:cs="Arial"/>
          <w:sz w:val="24"/>
          <w:szCs w:val="24"/>
        </w:rPr>
        <w:t>del Modelo de Sostenibilidad y Seguimiento Institucional</w:t>
      </w:r>
      <w:r w:rsidR="00496ECC">
        <w:rPr>
          <w:rFonts w:ascii="Book Antiqua" w:eastAsia="Calibri" w:hAnsi="Book Antiqua" w:cs="Arial"/>
          <w:sz w:val="24"/>
          <w:szCs w:val="24"/>
        </w:rPr>
        <w:t xml:space="preserve">, </w:t>
      </w:r>
      <w:r>
        <w:rPr>
          <w:rFonts w:ascii="Book Antiqua" w:eastAsia="Calibri" w:hAnsi="Book Antiqua" w:cs="Arial"/>
          <w:sz w:val="24"/>
          <w:szCs w:val="24"/>
        </w:rPr>
        <w:t xml:space="preserve">aprovechando que desde el 2020 estos 2 despachos cuentan con matrices de indicadores de gestión, por lo que en el siguiente cuadro </w:t>
      </w:r>
      <w:r w:rsidR="00496ECC">
        <w:rPr>
          <w:rFonts w:ascii="Book Antiqua" w:eastAsia="Calibri" w:hAnsi="Book Antiqua" w:cs="Arial"/>
          <w:sz w:val="24"/>
          <w:szCs w:val="24"/>
        </w:rPr>
        <w:t xml:space="preserve">se analizan </w:t>
      </w:r>
      <w:r w:rsidR="00DE5183">
        <w:rPr>
          <w:rFonts w:ascii="Book Antiqua" w:eastAsia="Calibri" w:hAnsi="Book Antiqua" w:cs="Arial"/>
          <w:sz w:val="24"/>
          <w:szCs w:val="24"/>
        </w:rPr>
        <w:t xml:space="preserve">los resultados obtenidos </w:t>
      </w:r>
      <w:r w:rsidR="00850051">
        <w:rPr>
          <w:rFonts w:ascii="Book Antiqua" w:eastAsia="Calibri" w:hAnsi="Book Antiqua" w:cs="Arial"/>
          <w:sz w:val="24"/>
          <w:szCs w:val="24"/>
        </w:rPr>
        <w:t>del seguimiento realizado a estos despachos</w:t>
      </w:r>
      <w:r w:rsidR="00496ECC">
        <w:rPr>
          <w:rFonts w:ascii="Book Antiqua" w:eastAsia="Calibri" w:hAnsi="Book Antiqua" w:cs="Arial"/>
          <w:sz w:val="24"/>
          <w:szCs w:val="24"/>
        </w:rPr>
        <w:t xml:space="preserve"> durante el 2021</w:t>
      </w:r>
      <w:r w:rsidR="00850051">
        <w:rPr>
          <w:rFonts w:ascii="Book Antiqua" w:eastAsia="Calibri" w:hAnsi="Book Antiqua" w:cs="Arial"/>
          <w:sz w:val="24"/>
          <w:szCs w:val="24"/>
        </w:rPr>
        <w:t xml:space="preserve">, </w:t>
      </w:r>
      <w:r>
        <w:rPr>
          <w:rFonts w:ascii="Book Antiqua" w:eastAsia="Calibri" w:hAnsi="Book Antiqua" w:cs="Arial"/>
          <w:sz w:val="24"/>
          <w:szCs w:val="24"/>
        </w:rPr>
        <w:t>con</w:t>
      </w:r>
      <w:r w:rsidR="0051443C">
        <w:rPr>
          <w:rFonts w:ascii="Book Antiqua" w:eastAsia="Calibri" w:hAnsi="Book Antiqua" w:cs="Arial"/>
          <w:sz w:val="24"/>
          <w:szCs w:val="24"/>
        </w:rPr>
        <w:t xml:space="preserve"> </w:t>
      </w:r>
      <w:r w:rsidR="00424E09">
        <w:rPr>
          <w:rFonts w:ascii="Book Antiqua" w:eastAsia="Calibri" w:hAnsi="Book Antiqua" w:cs="Arial"/>
          <w:sz w:val="24"/>
          <w:szCs w:val="24"/>
        </w:rPr>
        <w:t xml:space="preserve">los datos promedio obtenidos </w:t>
      </w:r>
      <w:r w:rsidR="00BE465F" w:rsidRPr="00BE465F">
        <w:rPr>
          <w:rFonts w:ascii="Book Antiqua" w:eastAsia="Calibri" w:hAnsi="Book Antiqua" w:cs="Arial"/>
          <w:sz w:val="24"/>
          <w:szCs w:val="24"/>
        </w:rPr>
        <w:t>de la matriz</w:t>
      </w:r>
      <w:r w:rsidR="00BE465F">
        <w:rPr>
          <w:rFonts w:ascii="Book Antiqua" w:eastAsia="Calibri" w:hAnsi="Book Antiqua" w:cs="Arial"/>
          <w:sz w:val="24"/>
          <w:szCs w:val="24"/>
        </w:rPr>
        <w:t xml:space="preserve"> de indicadores de gestión de</w:t>
      </w:r>
      <w:r w:rsidR="006B6242">
        <w:rPr>
          <w:rFonts w:ascii="Book Antiqua" w:eastAsia="Calibri" w:hAnsi="Book Antiqua" w:cs="Arial"/>
          <w:sz w:val="24"/>
          <w:szCs w:val="24"/>
        </w:rPr>
        <w:t xml:space="preserve"> los despachos</w:t>
      </w:r>
      <w:r w:rsidR="00037B10">
        <w:rPr>
          <w:rFonts w:ascii="Book Antiqua" w:eastAsia="Calibri" w:hAnsi="Book Antiqua" w:cs="Arial"/>
          <w:sz w:val="24"/>
          <w:szCs w:val="24"/>
        </w:rPr>
        <w:t xml:space="preserve"> Primero y Segundo de Familia </w:t>
      </w:r>
      <w:r w:rsidR="00516E49">
        <w:rPr>
          <w:rFonts w:ascii="Book Antiqua" w:eastAsia="Calibri" w:hAnsi="Book Antiqua" w:cs="Arial"/>
          <w:sz w:val="24"/>
          <w:szCs w:val="24"/>
        </w:rPr>
        <w:t xml:space="preserve">de San José </w:t>
      </w:r>
      <w:r w:rsidR="004D0CBA">
        <w:rPr>
          <w:rFonts w:ascii="Book Antiqua" w:eastAsia="Calibri" w:hAnsi="Book Antiqua" w:cs="Arial"/>
          <w:sz w:val="24"/>
          <w:szCs w:val="24"/>
        </w:rPr>
        <w:t xml:space="preserve">durante </w:t>
      </w:r>
      <w:r>
        <w:rPr>
          <w:rFonts w:ascii="Book Antiqua" w:eastAsia="Calibri" w:hAnsi="Book Antiqua" w:cs="Arial"/>
          <w:sz w:val="24"/>
          <w:szCs w:val="24"/>
        </w:rPr>
        <w:t xml:space="preserve">enero a diciembre </w:t>
      </w:r>
      <w:r w:rsidR="004D0CBA">
        <w:rPr>
          <w:rFonts w:ascii="Book Antiqua" w:eastAsia="Calibri" w:hAnsi="Book Antiqua" w:cs="Arial"/>
          <w:sz w:val="24"/>
          <w:szCs w:val="24"/>
        </w:rPr>
        <w:t>2021</w:t>
      </w:r>
      <w:r w:rsidR="00037B10">
        <w:rPr>
          <w:rFonts w:ascii="Book Antiqua" w:eastAsia="Calibri" w:hAnsi="Book Antiqua" w:cs="Arial"/>
          <w:sz w:val="24"/>
          <w:szCs w:val="24"/>
        </w:rPr>
        <w:t>:</w:t>
      </w:r>
    </w:p>
    <w:p w14:paraId="2E427E75" w14:textId="77777777" w:rsidR="00516E49" w:rsidRDefault="00516E49" w:rsidP="00D8308A">
      <w:pPr>
        <w:spacing w:after="0" w:line="276" w:lineRule="auto"/>
        <w:jc w:val="both"/>
        <w:rPr>
          <w:rFonts w:ascii="Book Antiqua" w:eastAsia="Calibri" w:hAnsi="Book Antiqua" w:cs="Arial"/>
          <w:sz w:val="24"/>
          <w:szCs w:val="24"/>
        </w:rPr>
      </w:pPr>
    </w:p>
    <w:p w14:paraId="05E58AF8" w14:textId="7360244D" w:rsidR="009C3F67" w:rsidRPr="00F30375" w:rsidRDefault="009C3F67" w:rsidP="009C3F67">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31" w:name="_Hlk95816258"/>
      <w:bookmarkStart w:id="32" w:name="_Hlk95816283"/>
      <w:r w:rsidRPr="00F30375">
        <w:rPr>
          <w:rFonts w:ascii="Book Antiqua" w:eastAsia="Calibri" w:hAnsi="Book Antiqua" w:cs="Arial"/>
          <w:b/>
          <w:bCs/>
          <w:color w:val="1F497D"/>
          <w:szCs w:val="24"/>
          <w:lang w:val="es-ES" w:eastAsia="es-ES"/>
        </w:rPr>
        <w:lastRenderedPageBreak/>
        <w:t xml:space="preserve">Cuadro </w:t>
      </w:r>
      <w:r w:rsidRPr="00F30375">
        <w:rPr>
          <w:rFonts w:ascii="Book Antiqua" w:eastAsia="Calibri" w:hAnsi="Book Antiqua" w:cs="Arial"/>
          <w:b/>
          <w:bCs/>
          <w:color w:val="1F497D"/>
          <w:szCs w:val="24"/>
          <w:lang w:val="es-ES" w:eastAsia="es-ES"/>
        </w:rPr>
        <w:fldChar w:fldCharType="begin"/>
      </w:r>
      <w:r w:rsidRPr="00F30375">
        <w:rPr>
          <w:rFonts w:ascii="Book Antiqua" w:eastAsia="Calibri" w:hAnsi="Book Antiqua" w:cs="Arial"/>
          <w:b/>
          <w:bCs/>
          <w:color w:val="1F497D"/>
          <w:szCs w:val="24"/>
          <w:lang w:val="es-ES" w:eastAsia="es-ES"/>
        </w:rPr>
        <w:instrText xml:space="preserve"> SEQ Cuadro \* ARABIC </w:instrText>
      </w:r>
      <w:r w:rsidRPr="00F3037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31</w:t>
      </w:r>
      <w:r w:rsidRPr="00F30375">
        <w:rPr>
          <w:rFonts w:ascii="Book Antiqua" w:eastAsia="Calibri" w:hAnsi="Book Antiqua" w:cs="Arial"/>
          <w:b/>
          <w:bCs/>
          <w:color w:val="1F497D"/>
          <w:szCs w:val="24"/>
          <w:lang w:val="es-ES" w:eastAsia="es-ES"/>
        </w:rPr>
        <w:fldChar w:fldCharType="end"/>
      </w:r>
      <w:bookmarkEnd w:id="31"/>
      <w:r w:rsidRPr="00F30375">
        <w:rPr>
          <w:rFonts w:ascii="Book Antiqua" w:eastAsia="Calibri" w:hAnsi="Book Antiqua" w:cs="Arial"/>
          <w:b/>
          <w:bCs/>
          <w:color w:val="1F497D"/>
          <w:szCs w:val="24"/>
          <w:lang w:val="es-ES" w:eastAsia="es-ES"/>
        </w:rPr>
        <w:t xml:space="preserve"> </w:t>
      </w:r>
    </w:p>
    <w:p w14:paraId="544B6B41" w14:textId="77777777" w:rsidR="00424E09" w:rsidRDefault="00135A80" w:rsidP="009C3F67">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Datos </w:t>
      </w:r>
      <w:r w:rsidR="00424E09">
        <w:rPr>
          <w:rFonts w:ascii="Book Antiqua" w:eastAsia="Calibri" w:hAnsi="Book Antiqua" w:cs="Arial"/>
          <w:b/>
          <w:bCs/>
          <w:color w:val="1F497D"/>
          <w:szCs w:val="24"/>
          <w:lang w:val="es-ES" w:eastAsia="es-ES"/>
        </w:rPr>
        <w:t>promedios de la matriz</w:t>
      </w:r>
      <w:r w:rsidR="009C3F67">
        <w:rPr>
          <w:rFonts w:ascii="Book Antiqua" w:eastAsia="Calibri" w:hAnsi="Book Antiqua" w:cs="Arial"/>
          <w:b/>
          <w:bCs/>
          <w:color w:val="1F497D"/>
          <w:szCs w:val="24"/>
          <w:lang w:val="es-ES" w:eastAsia="es-ES"/>
        </w:rPr>
        <w:t xml:space="preserve"> de Indicadores </w:t>
      </w:r>
      <w:r>
        <w:rPr>
          <w:rFonts w:ascii="Book Antiqua" w:eastAsia="Calibri" w:hAnsi="Book Antiqua" w:cs="Arial"/>
          <w:b/>
          <w:bCs/>
          <w:color w:val="1F497D"/>
          <w:szCs w:val="24"/>
          <w:lang w:val="es-ES" w:eastAsia="es-ES"/>
        </w:rPr>
        <w:t>de Gestión de los</w:t>
      </w:r>
      <w:r w:rsidR="009C3F67" w:rsidRPr="00F30375">
        <w:rPr>
          <w:rFonts w:ascii="Book Antiqua" w:eastAsia="Calibri" w:hAnsi="Book Antiqua" w:cs="Arial"/>
          <w:b/>
          <w:bCs/>
          <w:color w:val="1F497D"/>
          <w:szCs w:val="24"/>
          <w:lang w:val="es-ES" w:eastAsia="es-ES"/>
        </w:rPr>
        <w:t xml:space="preserve"> Juzgado</w:t>
      </w:r>
      <w:r w:rsidR="00D67B7E">
        <w:rPr>
          <w:rFonts w:ascii="Book Antiqua" w:eastAsia="Calibri" w:hAnsi="Book Antiqua" w:cs="Arial"/>
          <w:b/>
          <w:bCs/>
          <w:color w:val="1F497D"/>
          <w:szCs w:val="24"/>
          <w:lang w:val="es-ES" w:eastAsia="es-ES"/>
        </w:rPr>
        <w:t>s</w:t>
      </w:r>
      <w:r w:rsidR="009C3F67" w:rsidRPr="00F30375">
        <w:rPr>
          <w:rFonts w:ascii="Book Antiqua" w:eastAsia="Calibri" w:hAnsi="Book Antiqua" w:cs="Arial"/>
          <w:b/>
          <w:bCs/>
          <w:color w:val="1F497D"/>
          <w:szCs w:val="24"/>
          <w:lang w:val="es-ES" w:eastAsia="es-ES"/>
        </w:rPr>
        <w:t xml:space="preserve"> </w:t>
      </w:r>
    </w:p>
    <w:p w14:paraId="521105B6" w14:textId="09065DDC" w:rsidR="009C3F67" w:rsidRDefault="00135A80" w:rsidP="009C3F67">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Primero y Segundo </w:t>
      </w:r>
      <w:r w:rsidR="009C3F67" w:rsidRPr="00F30375">
        <w:rPr>
          <w:rFonts w:ascii="Book Antiqua" w:eastAsia="Calibri" w:hAnsi="Book Antiqua" w:cs="Arial"/>
          <w:b/>
          <w:bCs/>
          <w:color w:val="1F497D"/>
          <w:szCs w:val="24"/>
          <w:lang w:val="es-ES" w:eastAsia="es-ES"/>
        </w:rPr>
        <w:t>de Familia de San José</w:t>
      </w:r>
      <w:r>
        <w:rPr>
          <w:rFonts w:ascii="Book Antiqua" w:eastAsia="Calibri" w:hAnsi="Book Antiqua" w:cs="Arial"/>
          <w:b/>
          <w:bCs/>
          <w:color w:val="1F497D"/>
          <w:szCs w:val="24"/>
          <w:lang w:val="es-ES" w:eastAsia="es-ES"/>
        </w:rPr>
        <w:t>, enero a diciembre 2021</w:t>
      </w:r>
    </w:p>
    <w:tbl>
      <w:tblPr>
        <w:tblW w:w="4814" w:type="pct"/>
        <w:tblCellMar>
          <w:left w:w="70" w:type="dxa"/>
          <w:right w:w="70" w:type="dxa"/>
        </w:tblCellMar>
        <w:tblLook w:val="04A0" w:firstRow="1" w:lastRow="0" w:firstColumn="1" w:lastColumn="0" w:noHBand="0" w:noVBand="1"/>
      </w:tblPr>
      <w:tblGrid>
        <w:gridCol w:w="1165"/>
        <w:gridCol w:w="3558"/>
        <w:gridCol w:w="1812"/>
        <w:gridCol w:w="1965"/>
      </w:tblGrid>
      <w:tr w:rsidR="00D67B7E" w:rsidRPr="00D67B7E" w14:paraId="445AE31A" w14:textId="77777777" w:rsidTr="00D67B7E">
        <w:trPr>
          <w:trHeight w:val="1310"/>
        </w:trPr>
        <w:tc>
          <w:tcPr>
            <w:tcW w:w="685" w:type="pct"/>
            <w:tcBorders>
              <w:top w:val="single" w:sz="4" w:space="0" w:color="auto"/>
              <w:left w:val="single" w:sz="4" w:space="0" w:color="auto"/>
              <w:bottom w:val="single" w:sz="4" w:space="0" w:color="auto"/>
              <w:right w:val="single" w:sz="4" w:space="0" w:color="auto"/>
            </w:tcBorders>
            <w:shd w:val="clear" w:color="FFFFCC" w:fill="0070C0"/>
            <w:vAlign w:val="center"/>
            <w:hideMark/>
          </w:tcPr>
          <w:bookmarkEnd w:id="32"/>
          <w:p w14:paraId="45ECA3FE" w14:textId="77777777" w:rsidR="00D67B7E" w:rsidRPr="00D67B7E" w:rsidRDefault="00D67B7E" w:rsidP="00D67B7E">
            <w:pPr>
              <w:spacing w:after="0" w:line="240" w:lineRule="auto"/>
              <w:jc w:val="center"/>
              <w:rPr>
                <w:rFonts w:ascii="Bookman Old Style" w:eastAsia="Times New Roman" w:hAnsi="Bookman Old Style" w:cs="Calibri"/>
                <w:b/>
                <w:bCs/>
                <w:color w:val="FFFFFF"/>
                <w:sz w:val="20"/>
                <w:szCs w:val="20"/>
                <w:lang w:eastAsia="es-CR"/>
              </w:rPr>
            </w:pPr>
            <w:r w:rsidRPr="00D67B7E">
              <w:rPr>
                <w:rFonts w:ascii="Bookman Old Style" w:eastAsia="Times New Roman" w:hAnsi="Bookman Old Style" w:cs="Calibri"/>
                <w:b/>
                <w:bCs/>
                <w:color w:val="FFFFFF"/>
                <w:sz w:val="20"/>
                <w:szCs w:val="20"/>
                <w:lang w:eastAsia="es-CR"/>
              </w:rPr>
              <w:t>N° Indicador</w:t>
            </w:r>
          </w:p>
        </w:tc>
        <w:tc>
          <w:tcPr>
            <w:tcW w:w="2093" w:type="pct"/>
            <w:tcBorders>
              <w:top w:val="single" w:sz="4" w:space="0" w:color="auto"/>
              <w:left w:val="nil"/>
              <w:bottom w:val="single" w:sz="4" w:space="0" w:color="auto"/>
              <w:right w:val="single" w:sz="4" w:space="0" w:color="auto"/>
              <w:tl2br w:val="single" w:sz="4" w:space="0" w:color="auto"/>
            </w:tcBorders>
            <w:shd w:val="clear" w:color="000000" w:fill="0070C0"/>
            <w:vAlign w:val="center"/>
            <w:hideMark/>
          </w:tcPr>
          <w:p w14:paraId="225C24C9" w14:textId="1D7F4336" w:rsidR="00D67B7E" w:rsidRPr="00D67B7E" w:rsidRDefault="00D67B7E" w:rsidP="00D67B7E">
            <w:pPr>
              <w:spacing w:after="0" w:line="240" w:lineRule="auto"/>
              <w:jc w:val="center"/>
              <w:rPr>
                <w:rFonts w:ascii="Bookman Old Style" w:eastAsia="Times New Roman" w:hAnsi="Bookman Old Style" w:cs="Calibri"/>
                <w:b/>
                <w:bCs/>
                <w:color w:val="FFFFFF"/>
                <w:sz w:val="20"/>
                <w:szCs w:val="20"/>
                <w:lang w:eastAsia="es-CR"/>
              </w:rPr>
            </w:pPr>
            <w:r w:rsidRPr="00D67B7E">
              <w:rPr>
                <w:rFonts w:ascii="Bookman Old Style" w:eastAsia="Times New Roman" w:hAnsi="Bookman Old Style" w:cs="Calibri"/>
                <w:b/>
                <w:bCs/>
                <w:color w:val="FFFFFF"/>
                <w:sz w:val="20"/>
                <w:szCs w:val="20"/>
                <w:lang w:eastAsia="es-CR"/>
              </w:rPr>
              <w:t xml:space="preserve">   </w:t>
            </w:r>
            <w:r>
              <w:rPr>
                <w:rFonts w:ascii="Bookman Old Style" w:eastAsia="Times New Roman" w:hAnsi="Bookman Old Style" w:cs="Calibri"/>
                <w:b/>
                <w:bCs/>
                <w:color w:val="FFFFFF"/>
                <w:sz w:val="20"/>
                <w:szCs w:val="20"/>
                <w:lang w:eastAsia="es-CR"/>
              </w:rPr>
              <w:t xml:space="preserve">       </w:t>
            </w:r>
            <w:r w:rsidRPr="00D67B7E">
              <w:rPr>
                <w:rFonts w:ascii="Bookman Old Style" w:eastAsia="Times New Roman" w:hAnsi="Bookman Old Style" w:cs="Calibri"/>
                <w:b/>
                <w:bCs/>
                <w:color w:val="FFFFFF"/>
                <w:sz w:val="20"/>
                <w:szCs w:val="20"/>
                <w:lang w:eastAsia="es-CR"/>
              </w:rPr>
              <w:t>Nombre del      Despacho</w:t>
            </w:r>
            <w:r w:rsidRPr="00D67B7E">
              <w:rPr>
                <w:rFonts w:ascii="Bookman Old Style" w:eastAsia="Times New Roman" w:hAnsi="Bookman Old Style" w:cs="Calibri"/>
                <w:b/>
                <w:bCs/>
                <w:color w:val="FFFFFF"/>
                <w:sz w:val="20"/>
                <w:szCs w:val="20"/>
                <w:lang w:eastAsia="es-CR"/>
              </w:rPr>
              <w:br/>
            </w:r>
            <w:r w:rsidRPr="00D67B7E">
              <w:rPr>
                <w:rFonts w:ascii="Bookman Old Style" w:eastAsia="Times New Roman" w:hAnsi="Bookman Old Style" w:cs="Calibri"/>
                <w:b/>
                <w:bCs/>
                <w:color w:val="FFFFFF"/>
                <w:sz w:val="20"/>
                <w:szCs w:val="20"/>
                <w:lang w:eastAsia="es-CR"/>
              </w:rPr>
              <w:br/>
            </w:r>
            <w:r w:rsidRPr="00D67B7E">
              <w:rPr>
                <w:rFonts w:ascii="Bookman Old Style" w:eastAsia="Times New Roman" w:hAnsi="Bookman Old Style" w:cs="Calibri"/>
                <w:b/>
                <w:bCs/>
                <w:color w:val="FFFFFF"/>
                <w:sz w:val="20"/>
                <w:szCs w:val="20"/>
                <w:lang w:eastAsia="es-CR"/>
              </w:rPr>
              <w:br/>
            </w:r>
            <w:r w:rsidRPr="00D67B7E">
              <w:rPr>
                <w:rFonts w:ascii="Bookman Old Style" w:eastAsia="Times New Roman" w:hAnsi="Bookman Old Style" w:cs="Calibri"/>
                <w:b/>
                <w:bCs/>
                <w:color w:val="FFFFFF"/>
                <w:sz w:val="20"/>
                <w:szCs w:val="20"/>
                <w:lang w:eastAsia="es-CR"/>
              </w:rPr>
              <w:br/>
              <w:t>Indicador</w:t>
            </w:r>
          </w:p>
        </w:tc>
        <w:tc>
          <w:tcPr>
            <w:tcW w:w="1066" w:type="pct"/>
            <w:tcBorders>
              <w:top w:val="single" w:sz="4" w:space="0" w:color="auto"/>
              <w:left w:val="nil"/>
              <w:bottom w:val="single" w:sz="4" w:space="0" w:color="auto"/>
              <w:right w:val="single" w:sz="4" w:space="0" w:color="auto"/>
            </w:tcBorders>
            <w:shd w:val="clear" w:color="000000" w:fill="0070C0"/>
            <w:vAlign w:val="center"/>
            <w:hideMark/>
          </w:tcPr>
          <w:p w14:paraId="43FC00DF" w14:textId="77777777" w:rsidR="00D67B7E" w:rsidRPr="00D67B7E" w:rsidRDefault="00D67B7E" w:rsidP="00D67B7E">
            <w:pPr>
              <w:spacing w:after="0" w:line="240" w:lineRule="auto"/>
              <w:jc w:val="center"/>
              <w:rPr>
                <w:rFonts w:ascii="Bookman Old Style" w:eastAsia="Times New Roman" w:hAnsi="Bookman Old Style" w:cs="Calibri"/>
                <w:b/>
                <w:bCs/>
                <w:color w:val="FFFFFF"/>
                <w:sz w:val="20"/>
                <w:szCs w:val="20"/>
                <w:lang w:eastAsia="es-CR"/>
              </w:rPr>
            </w:pPr>
            <w:r w:rsidRPr="00D67B7E">
              <w:rPr>
                <w:rFonts w:ascii="Bookman Old Style" w:eastAsia="Times New Roman" w:hAnsi="Bookman Old Style" w:cs="Calibri"/>
                <w:b/>
                <w:bCs/>
                <w:color w:val="FFFFFF"/>
                <w:sz w:val="20"/>
                <w:szCs w:val="20"/>
                <w:lang w:eastAsia="es-CR"/>
              </w:rPr>
              <w:t>Juzgado Primero de Familia San José</w:t>
            </w:r>
          </w:p>
        </w:tc>
        <w:tc>
          <w:tcPr>
            <w:tcW w:w="1156" w:type="pct"/>
            <w:tcBorders>
              <w:top w:val="single" w:sz="4" w:space="0" w:color="auto"/>
              <w:left w:val="nil"/>
              <w:bottom w:val="single" w:sz="4" w:space="0" w:color="auto"/>
              <w:right w:val="single" w:sz="4" w:space="0" w:color="auto"/>
            </w:tcBorders>
            <w:shd w:val="clear" w:color="000000" w:fill="0070C0"/>
            <w:vAlign w:val="center"/>
            <w:hideMark/>
          </w:tcPr>
          <w:p w14:paraId="35BA3A49" w14:textId="77777777" w:rsidR="00D67B7E" w:rsidRPr="00D67B7E" w:rsidRDefault="00D67B7E" w:rsidP="00D67B7E">
            <w:pPr>
              <w:spacing w:after="0" w:line="240" w:lineRule="auto"/>
              <w:jc w:val="center"/>
              <w:rPr>
                <w:rFonts w:ascii="Bookman Old Style" w:eastAsia="Times New Roman" w:hAnsi="Bookman Old Style" w:cs="Calibri"/>
                <w:b/>
                <w:bCs/>
                <w:color w:val="FFFFFF"/>
                <w:sz w:val="20"/>
                <w:szCs w:val="20"/>
                <w:lang w:eastAsia="es-CR"/>
              </w:rPr>
            </w:pPr>
            <w:r w:rsidRPr="00D67B7E">
              <w:rPr>
                <w:rFonts w:ascii="Bookman Old Style" w:eastAsia="Times New Roman" w:hAnsi="Bookman Old Style" w:cs="Calibri"/>
                <w:b/>
                <w:bCs/>
                <w:color w:val="FFFFFF"/>
                <w:sz w:val="20"/>
                <w:szCs w:val="20"/>
                <w:lang w:eastAsia="es-CR"/>
              </w:rPr>
              <w:t>Juzgado Segundo de Familia San José</w:t>
            </w:r>
          </w:p>
        </w:tc>
      </w:tr>
      <w:tr w:rsidR="00D67B7E" w:rsidRPr="00D67B7E" w14:paraId="640F75A5"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6DC73B74"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1</w:t>
            </w:r>
          </w:p>
        </w:tc>
        <w:tc>
          <w:tcPr>
            <w:tcW w:w="2093" w:type="pct"/>
            <w:tcBorders>
              <w:top w:val="nil"/>
              <w:left w:val="nil"/>
              <w:bottom w:val="single" w:sz="4" w:space="0" w:color="auto"/>
              <w:right w:val="single" w:sz="4" w:space="0" w:color="auto"/>
            </w:tcBorders>
            <w:shd w:val="clear" w:color="FFFFCC" w:fill="FFFFFF"/>
            <w:vAlign w:val="center"/>
            <w:hideMark/>
          </w:tcPr>
          <w:p w14:paraId="0F40B745" w14:textId="0BFAFDE0"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Promedio Entrada Total</w:t>
            </w:r>
          </w:p>
        </w:tc>
        <w:tc>
          <w:tcPr>
            <w:tcW w:w="1066" w:type="pct"/>
            <w:tcBorders>
              <w:top w:val="nil"/>
              <w:left w:val="nil"/>
              <w:bottom w:val="single" w:sz="4" w:space="0" w:color="auto"/>
              <w:right w:val="single" w:sz="4" w:space="0" w:color="auto"/>
            </w:tcBorders>
            <w:shd w:val="clear" w:color="auto" w:fill="auto"/>
            <w:noWrap/>
            <w:vAlign w:val="center"/>
            <w:hideMark/>
          </w:tcPr>
          <w:p w14:paraId="40C39BB9"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95</w:t>
            </w:r>
          </w:p>
        </w:tc>
        <w:tc>
          <w:tcPr>
            <w:tcW w:w="1156" w:type="pct"/>
            <w:tcBorders>
              <w:top w:val="nil"/>
              <w:left w:val="nil"/>
              <w:bottom w:val="single" w:sz="4" w:space="0" w:color="auto"/>
              <w:right w:val="single" w:sz="4" w:space="0" w:color="auto"/>
            </w:tcBorders>
            <w:shd w:val="clear" w:color="auto" w:fill="auto"/>
            <w:noWrap/>
            <w:vAlign w:val="center"/>
            <w:hideMark/>
          </w:tcPr>
          <w:p w14:paraId="2B39D0E4"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119</w:t>
            </w:r>
          </w:p>
        </w:tc>
      </w:tr>
      <w:tr w:rsidR="00D67B7E" w:rsidRPr="00D67B7E" w14:paraId="52CFF80C"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40212B56"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53884766" w14:textId="18FFDC72"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Casos Entrados Principales + Testimonio de Piezas</w:t>
            </w:r>
          </w:p>
        </w:tc>
        <w:tc>
          <w:tcPr>
            <w:tcW w:w="1066" w:type="pct"/>
            <w:tcBorders>
              <w:top w:val="nil"/>
              <w:left w:val="nil"/>
              <w:bottom w:val="single" w:sz="4" w:space="0" w:color="auto"/>
              <w:right w:val="single" w:sz="4" w:space="0" w:color="auto"/>
            </w:tcBorders>
            <w:shd w:val="clear" w:color="auto" w:fill="auto"/>
            <w:noWrap/>
            <w:vAlign w:val="center"/>
            <w:hideMark/>
          </w:tcPr>
          <w:p w14:paraId="2E2806FF"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105</w:t>
            </w:r>
          </w:p>
        </w:tc>
        <w:tc>
          <w:tcPr>
            <w:tcW w:w="1156" w:type="pct"/>
            <w:tcBorders>
              <w:top w:val="nil"/>
              <w:left w:val="nil"/>
              <w:bottom w:val="single" w:sz="4" w:space="0" w:color="auto"/>
              <w:right w:val="single" w:sz="4" w:space="0" w:color="auto"/>
            </w:tcBorders>
            <w:shd w:val="clear" w:color="auto" w:fill="auto"/>
            <w:noWrap/>
            <w:vAlign w:val="center"/>
            <w:hideMark/>
          </w:tcPr>
          <w:p w14:paraId="50A1308A"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104</w:t>
            </w:r>
          </w:p>
        </w:tc>
      </w:tr>
      <w:tr w:rsidR="00D67B7E" w:rsidRPr="00D67B7E" w14:paraId="4EA3A56E"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0F6BBD01"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333E7E45" w14:textId="29B5E3D9"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Casos Reentrados</w:t>
            </w:r>
          </w:p>
        </w:tc>
        <w:tc>
          <w:tcPr>
            <w:tcW w:w="1066" w:type="pct"/>
            <w:tcBorders>
              <w:top w:val="nil"/>
              <w:left w:val="nil"/>
              <w:bottom w:val="single" w:sz="4" w:space="0" w:color="auto"/>
              <w:right w:val="single" w:sz="4" w:space="0" w:color="auto"/>
            </w:tcBorders>
            <w:shd w:val="clear" w:color="auto" w:fill="auto"/>
            <w:noWrap/>
            <w:vAlign w:val="center"/>
            <w:hideMark/>
          </w:tcPr>
          <w:p w14:paraId="7F7EEBAA"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9</w:t>
            </w:r>
          </w:p>
        </w:tc>
        <w:tc>
          <w:tcPr>
            <w:tcW w:w="1156" w:type="pct"/>
            <w:tcBorders>
              <w:top w:val="nil"/>
              <w:left w:val="nil"/>
              <w:bottom w:val="single" w:sz="4" w:space="0" w:color="auto"/>
              <w:right w:val="single" w:sz="4" w:space="0" w:color="auto"/>
            </w:tcBorders>
            <w:shd w:val="clear" w:color="auto" w:fill="auto"/>
            <w:noWrap/>
            <w:vAlign w:val="center"/>
            <w:hideMark/>
          </w:tcPr>
          <w:p w14:paraId="4323C75A"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15</w:t>
            </w:r>
          </w:p>
        </w:tc>
      </w:tr>
      <w:tr w:rsidR="00D67B7E" w:rsidRPr="00D67B7E" w14:paraId="0CA5FDD0"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770E4FB7"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w:t>
            </w:r>
          </w:p>
        </w:tc>
        <w:tc>
          <w:tcPr>
            <w:tcW w:w="2093" w:type="pct"/>
            <w:tcBorders>
              <w:top w:val="nil"/>
              <w:left w:val="nil"/>
              <w:bottom w:val="single" w:sz="4" w:space="0" w:color="auto"/>
              <w:right w:val="single" w:sz="4" w:space="0" w:color="auto"/>
            </w:tcBorders>
            <w:shd w:val="clear" w:color="FFFFCC" w:fill="FFFFFF"/>
            <w:vAlign w:val="center"/>
            <w:hideMark/>
          </w:tcPr>
          <w:p w14:paraId="7B1508C0" w14:textId="64E064EF"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Promedio Salida Total</w:t>
            </w:r>
          </w:p>
        </w:tc>
        <w:tc>
          <w:tcPr>
            <w:tcW w:w="1066" w:type="pct"/>
            <w:tcBorders>
              <w:top w:val="nil"/>
              <w:left w:val="nil"/>
              <w:bottom w:val="single" w:sz="4" w:space="0" w:color="auto"/>
              <w:right w:val="single" w:sz="4" w:space="0" w:color="auto"/>
            </w:tcBorders>
            <w:shd w:val="clear" w:color="auto" w:fill="auto"/>
            <w:noWrap/>
            <w:vAlign w:val="center"/>
            <w:hideMark/>
          </w:tcPr>
          <w:p w14:paraId="70FDB5E4"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126</w:t>
            </w:r>
          </w:p>
        </w:tc>
        <w:tc>
          <w:tcPr>
            <w:tcW w:w="1156" w:type="pct"/>
            <w:tcBorders>
              <w:top w:val="nil"/>
              <w:left w:val="nil"/>
              <w:bottom w:val="single" w:sz="4" w:space="0" w:color="auto"/>
              <w:right w:val="single" w:sz="4" w:space="0" w:color="auto"/>
            </w:tcBorders>
            <w:shd w:val="clear" w:color="auto" w:fill="auto"/>
            <w:noWrap/>
            <w:vAlign w:val="center"/>
            <w:hideMark/>
          </w:tcPr>
          <w:p w14:paraId="5037EDAE"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147</w:t>
            </w:r>
          </w:p>
        </w:tc>
      </w:tr>
      <w:tr w:rsidR="00D67B7E" w:rsidRPr="00D67B7E" w14:paraId="4D665B68"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5706C09F"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3918661C" w14:textId="2A9907E5"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Casos Terminados</w:t>
            </w:r>
          </w:p>
        </w:tc>
        <w:tc>
          <w:tcPr>
            <w:tcW w:w="1066" w:type="pct"/>
            <w:tcBorders>
              <w:top w:val="nil"/>
              <w:left w:val="nil"/>
              <w:bottom w:val="single" w:sz="4" w:space="0" w:color="auto"/>
              <w:right w:val="single" w:sz="4" w:space="0" w:color="auto"/>
            </w:tcBorders>
            <w:shd w:val="clear" w:color="auto" w:fill="auto"/>
            <w:noWrap/>
            <w:vAlign w:val="center"/>
            <w:hideMark/>
          </w:tcPr>
          <w:p w14:paraId="78120B8C"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152</w:t>
            </w:r>
          </w:p>
        </w:tc>
        <w:tc>
          <w:tcPr>
            <w:tcW w:w="1156" w:type="pct"/>
            <w:tcBorders>
              <w:top w:val="nil"/>
              <w:left w:val="nil"/>
              <w:bottom w:val="single" w:sz="4" w:space="0" w:color="auto"/>
              <w:right w:val="single" w:sz="4" w:space="0" w:color="auto"/>
            </w:tcBorders>
            <w:shd w:val="clear" w:color="auto" w:fill="auto"/>
            <w:noWrap/>
            <w:vAlign w:val="center"/>
            <w:hideMark/>
          </w:tcPr>
          <w:p w14:paraId="6751EFB8"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142</w:t>
            </w:r>
          </w:p>
        </w:tc>
      </w:tr>
      <w:tr w:rsidR="00D67B7E" w:rsidRPr="00D67B7E" w14:paraId="65CE8B4A"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6ACD7E65"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6876CBD2" w14:textId="4F90F75E"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Casos Inactivos</w:t>
            </w:r>
          </w:p>
        </w:tc>
        <w:tc>
          <w:tcPr>
            <w:tcW w:w="1066" w:type="pct"/>
            <w:tcBorders>
              <w:top w:val="nil"/>
              <w:left w:val="nil"/>
              <w:bottom w:val="single" w:sz="4" w:space="0" w:color="auto"/>
              <w:right w:val="single" w:sz="4" w:space="0" w:color="auto"/>
            </w:tcBorders>
            <w:shd w:val="clear" w:color="auto" w:fill="auto"/>
            <w:noWrap/>
            <w:vAlign w:val="center"/>
            <w:hideMark/>
          </w:tcPr>
          <w:p w14:paraId="30761D1E"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13</w:t>
            </w:r>
          </w:p>
        </w:tc>
        <w:tc>
          <w:tcPr>
            <w:tcW w:w="1156" w:type="pct"/>
            <w:tcBorders>
              <w:top w:val="nil"/>
              <w:left w:val="nil"/>
              <w:bottom w:val="single" w:sz="4" w:space="0" w:color="auto"/>
              <w:right w:val="single" w:sz="4" w:space="0" w:color="auto"/>
            </w:tcBorders>
            <w:shd w:val="clear" w:color="auto" w:fill="auto"/>
            <w:noWrap/>
            <w:vAlign w:val="center"/>
            <w:hideMark/>
          </w:tcPr>
          <w:p w14:paraId="3E47DBF8"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w:t>
            </w:r>
          </w:p>
        </w:tc>
      </w:tr>
      <w:tr w:rsidR="00D67B7E" w:rsidRPr="00D67B7E" w14:paraId="0634D7D0"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3FC279B0" w14:textId="08196FC9"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w:t>
            </w:r>
            <w:r w:rsidR="00496ECC">
              <w:rPr>
                <w:rFonts w:ascii="Bookman Old Style" w:eastAsia="Times New Roman" w:hAnsi="Bookman Old Style" w:cs="Calibri"/>
                <w:sz w:val="20"/>
                <w:szCs w:val="20"/>
                <w:lang w:eastAsia="es-CR"/>
              </w:rPr>
              <w:t>.</w:t>
            </w:r>
            <w:r w:rsidRPr="00D67B7E">
              <w:rPr>
                <w:rFonts w:ascii="Bookman Old Style" w:eastAsia="Times New Roman" w:hAnsi="Bookman Old Style" w:cs="Calibri"/>
                <w:sz w:val="20"/>
                <w:szCs w:val="20"/>
                <w:lang w:eastAsia="es-CR"/>
              </w:rPr>
              <w:t>1</w:t>
            </w:r>
          </w:p>
        </w:tc>
        <w:tc>
          <w:tcPr>
            <w:tcW w:w="2093" w:type="pct"/>
            <w:tcBorders>
              <w:top w:val="nil"/>
              <w:left w:val="nil"/>
              <w:bottom w:val="single" w:sz="4" w:space="0" w:color="auto"/>
              <w:right w:val="single" w:sz="4" w:space="0" w:color="auto"/>
            </w:tcBorders>
            <w:shd w:val="clear" w:color="FFFFCC" w:fill="FFFFFF"/>
            <w:vAlign w:val="center"/>
            <w:hideMark/>
          </w:tcPr>
          <w:p w14:paraId="22C32CAE" w14:textId="5529F879"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Cantidad de casos terminados por juez o jueza</w:t>
            </w:r>
          </w:p>
        </w:tc>
        <w:tc>
          <w:tcPr>
            <w:tcW w:w="1066" w:type="pct"/>
            <w:tcBorders>
              <w:top w:val="nil"/>
              <w:left w:val="nil"/>
              <w:bottom w:val="single" w:sz="4" w:space="0" w:color="auto"/>
              <w:right w:val="single" w:sz="4" w:space="0" w:color="auto"/>
            </w:tcBorders>
            <w:shd w:val="clear" w:color="auto" w:fill="auto"/>
            <w:noWrap/>
            <w:vAlign w:val="center"/>
            <w:hideMark/>
          </w:tcPr>
          <w:p w14:paraId="3495DD96"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39</w:t>
            </w:r>
          </w:p>
        </w:tc>
        <w:tc>
          <w:tcPr>
            <w:tcW w:w="1156" w:type="pct"/>
            <w:tcBorders>
              <w:top w:val="nil"/>
              <w:left w:val="nil"/>
              <w:bottom w:val="single" w:sz="4" w:space="0" w:color="auto"/>
              <w:right w:val="single" w:sz="4" w:space="0" w:color="auto"/>
            </w:tcBorders>
            <w:shd w:val="clear" w:color="auto" w:fill="auto"/>
            <w:noWrap/>
            <w:vAlign w:val="center"/>
            <w:hideMark/>
          </w:tcPr>
          <w:p w14:paraId="74629D2E"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41</w:t>
            </w:r>
          </w:p>
        </w:tc>
      </w:tr>
      <w:tr w:rsidR="00D67B7E" w:rsidRPr="00D67B7E" w14:paraId="2C48F53D"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344801D5"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3</w:t>
            </w:r>
          </w:p>
        </w:tc>
        <w:tc>
          <w:tcPr>
            <w:tcW w:w="2093" w:type="pct"/>
            <w:tcBorders>
              <w:top w:val="nil"/>
              <w:left w:val="nil"/>
              <w:bottom w:val="single" w:sz="4" w:space="0" w:color="auto"/>
              <w:right w:val="single" w:sz="4" w:space="0" w:color="auto"/>
            </w:tcBorders>
            <w:shd w:val="clear" w:color="FFFFCC" w:fill="FFFFFF"/>
            <w:vAlign w:val="center"/>
            <w:hideMark/>
          </w:tcPr>
          <w:p w14:paraId="497B15DB" w14:textId="62B742BD" w:rsidR="00D67B7E" w:rsidRPr="00D67B7E" w:rsidRDefault="000D1E1E"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Salida de casos por Conciliación</w:t>
            </w:r>
          </w:p>
        </w:tc>
        <w:tc>
          <w:tcPr>
            <w:tcW w:w="1066" w:type="pct"/>
            <w:tcBorders>
              <w:top w:val="nil"/>
              <w:left w:val="nil"/>
              <w:bottom w:val="single" w:sz="4" w:space="0" w:color="auto"/>
              <w:right w:val="single" w:sz="4" w:space="0" w:color="auto"/>
            </w:tcBorders>
            <w:shd w:val="clear" w:color="auto" w:fill="auto"/>
            <w:noWrap/>
            <w:vAlign w:val="center"/>
            <w:hideMark/>
          </w:tcPr>
          <w:p w14:paraId="1202455C"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55</w:t>
            </w:r>
          </w:p>
        </w:tc>
        <w:tc>
          <w:tcPr>
            <w:tcW w:w="1156" w:type="pct"/>
            <w:tcBorders>
              <w:top w:val="nil"/>
              <w:left w:val="nil"/>
              <w:bottom w:val="single" w:sz="4" w:space="0" w:color="auto"/>
              <w:right w:val="single" w:sz="4" w:space="0" w:color="auto"/>
            </w:tcBorders>
            <w:shd w:val="clear" w:color="auto" w:fill="auto"/>
            <w:noWrap/>
            <w:vAlign w:val="center"/>
            <w:hideMark/>
          </w:tcPr>
          <w:p w14:paraId="7C2B82E1"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58</w:t>
            </w:r>
          </w:p>
        </w:tc>
      </w:tr>
      <w:tr w:rsidR="00D67B7E" w:rsidRPr="00D67B7E" w14:paraId="09934460" w14:textId="77777777" w:rsidTr="00D67B7E">
        <w:trPr>
          <w:trHeight w:val="78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05F4F69C"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4</w:t>
            </w:r>
          </w:p>
        </w:tc>
        <w:tc>
          <w:tcPr>
            <w:tcW w:w="2093" w:type="pct"/>
            <w:tcBorders>
              <w:top w:val="nil"/>
              <w:left w:val="nil"/>
              <w:bottom w:val="single" w:sz="4" w:space="0" w:color="auto"/>
              <w:right w:val="single" w:sz="4" w:space="0" w:color="auto"/>
            </w:tcBorders>
            <w:shd w:val="clear" w:color="FFFFCC" w:fill="FFFFFF"/>
            <w:vAlign w:val="center"/>
            <w:hideMark/>
          </w:tcPr>
          <w:p w14:paraId="21A58329" w14:textId="4773FC8D"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Total Circulante</w:t>
            </w:r>
            <w:r w:rsidR="005677D9">
              <w:rPr>
                <w:rFonts w:ascii="Bookman Old Style" w:eastAsia="Times New Roman" w:hAnsi="Bookman Old Style" w:cs="Calibri"/>
                <w:sz w:val="20"/>
                <w:szCs w:val="20"/>
                <w:lang w:eastAsia="es-CR"/>
              </w:rPr>
              <w:t xml:space="preserve"> </w:t>
            </w:r>
            <w:r w:rsidRPr="00D67B7E">
              <w:rPr>
                <w:rFonts w:ascii="Bookman Old Style" w:eastAsia="Times New Roman" w:hAnsi="Bookman Old Style" w:cs="Calibri"/>
                <w:sz w:val="20"/>
                <w:szCs w:val="20"/>
                <w:lang w:eastAsia="es-CR"/>
              </w:rPr>
              <w:t>(Circulante Inicial + Entradas</w:t>
            </w:r>
            <w:r w:rsidR="005677D9">
              <w:rPr>
                <w:rFonts w:ascii="Bookman Old Style" w:eastAsia="Times New Roman" w:hAnsi="Bookman Old Style" w:cs="Calibri"/>
                <w:sz w:val="20"/>
                <w:szCs w:val="20"/>
                <w:lang w:eastAsia="es-CR"/>
              </w:rPr>
              <w:t xml:space="preserve"> </w:t>
            </w:r>
            <w:r w:rsidRPr="00D67B7E">
              <w:rPr>
                <w:rFonts w:ascii="Bookman Old Style" w:eastAsia="Times New Roman" w:hAnsi="Bookman Old Style" w:cs="Calibri"/>
                <w:sz w:val="20"/>
                <w:szCs w:val="20"/>
                <w:lang w:eastAsia="es-CR"/>
              </w:rPr>
              <w:t>+</w:t>
            </w:r>
            <w:r w:rsidR="005677D9">
              <w:rPr>
                <w:rFonts w:ascii="Bookman Old Style" w:eastAsia="Times New Roman" w:hAnsi="Bookman Old Style" w:cs="Calibri"/>
                <w:sz w:val="20"/>
                <w:szCs w:val="20"/>
                <w:lang w:eastAsia="es-CR"/>
              </w:rPr>
              <w:t xml:space="preserve"> </w:t>
            </w:r>
            <w:r w:rsidRPr="00D67B7E">
              <w:rPr>
                <w:rFonts w:ascii="Bookman Old Style" w:eastAsia="Times New Roman" w:hAnsi="Bookman Old Style" w:cs="Calibri"/>
                <w:sz w:val="20"/>
                <w:szCs w:val="20"/>
                <w:lang w:eastAsia="es-CR"/>
              </w:rPr>
              <w:t xml:space="preserve">Reentrados) </w:t>
            </w:r>
            <w:r w:rsidR="005677D9">
              <w:rPr>
                <w:rFonts w:ascii="Bookman Old Style" w:eastAsia="Times New Roman" w:hAnsi="Bookman Old Style" w:cs="Calibri"/>
                <w:sz w:val="20"/>
                <w:szCs w:val="20"/>
                <w:lang w:eastAsia="es-CR"/>
              </w:rPr>
              <w:t>–</w:t>
            </w:r>
            <w:r w:rsidRPr="00D67B7E">
              <w:rPr>
                <w:rFonts w:ascii="Bookman Old Style" w:eastAsia="Times New Roman" w:hAnsi="Bookman Old Style" w:cs="Calibri"/>
                <w:sz w:val="20"/>
                <w:szCs w:val="20"/>
                <w:lang w:eastAsia="es-CR"/>
              </w:rPr>
              <w:t xml:space="preserve"> Terminados</w:t>
            </w:r>
            <w:r w:rsidR="005677D9">
              <w:rPr>
                <w:rFonts w:ascii="Bookman Old Style" w:eastAsia="Times New Roman" w:hAnsi="Bookman Old Style" w:cs="Calibri"/>
                <w:sz w:val="20"/>
                <w:szCs w:val="20"/>
                <w:lang w:eastAsia="es-CR"/>
              </w:rPr>
              <w:t xml:space="preserve"> </w:t>
            </w:r>
            <w:r w:rsidRPr="00D67B7E">
              <w:rPr>
                <w:rFonts w:ascii="Bookman Old Style" w:eastAsia="Times New Roman" w:hAnsi="Bookman Old Style" w:cs="Calibri"/>
                <w:sz w:val="20"/>
                <w:szCs w:val="20"/>
                <w:lang w:eastAsia="es-CR"/>
              </w:rPr>
              <w:t>-Inactivos</w:t>
            </w:r>
            <w:r w:rsidR="005677D9">
              <w:rPr>
                <w:rFonts w:ascii="Bookman Old Style" w:eastAsia="Times New Roman" w:hAnsi="Bookman Old Style" w:cs="Calibri"/>
                <w:sz w:val="20"/>
                <w:szCs w:val="20"/>
                <w:lang w:eastAsia="es-CR"/>
              </w:rPr>
              <w:t xml:space="preserve"> (diciembre 2021)</w:t>
            </w:r>
          </w:p>
        </w:tc>
        <w:tc>
          <w:tcPr>
            <w:tcW w:w="1066" w:type="pct"/>
            <w:tcBorders>
              <w:top w:val="nil"/>
              <w:left w:val="nil"/>
              <w:bottom w:val="single" w:sz="4" w:space="0" w:color="auto"/>
              <w:right w:val="single" w:sz="4" w:space="0" w:color="auto"/>
            </w:tcBorders>
            <w:shd w:val="clear" w:color="auto" w:fill="auto"/>
            <w:noWrap/>
            <w:vAlign w:val="center"/>
            <w:hideMark/>
          </w:tcPr>
          <w:p w14:paraId="65A5701E"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838</w:t>
            </w:r>
          </w:p>
        </w:tc>
        <w:tc>
          <w:tcPr>
            <w:tcW w:w="1156" w:type="pct"/>
            <w:tcBorders>
              <w:top w:val="nil"/>
              <w:left w:val="nil"/>
              <w:bottom w:val="single" w:sz="4" w:space="0" w:color="auto"/>
              <w:right w:val="single" w:sz="4" w:space="0" w:color="auto"/>
            </w:tcBorders>
            <w:shd w:val="clear" w:color="auto" w:fill="auto"/>
            <w:noWrap/>
            <w:vAlign w:val="center"/>
            <w:hideMark/>
          </w:tcPr>
          <w:p w14:paraId="16CB1FE5"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798</w:t>
            </w:r>
          </w:p>
        </w:tc>
      </w:tr>
      <w:tr w:rsidR="00D67B7E" w:rsidRPr="00D67B7E" w14:paraId="0146AC32" w14:textId="77777777" w:rsidTr="00D67B7E">
        <w:trPr>
          <w:trHeight w:val="29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71B2C27B"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71DBDDF2" w14:textId="1E82FAB9"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Circulante en Trámite</w:t>
            </w:r>
            <w:r w:rsidR="005677D9">
              <w:rPr>
                <w:rFonts w:ascii="Bookman Old Style" w:eastAsia="Times New Roman" w:hAnsi="Bookman Old Style" w:cs="Calibri"/>
                <w:sz w:val="20"/>
                <w:szCs w:val="20"/>
                <w:lang w:eastAsia="es-CR"/>
              </w:rPr>
              <w:t xml:space="preserve"> (diciembre 2021)</w:t>
            </w:r>
          </w:p>
        </w:tc>
        <w:tc>
          <w:tcPr>
            <w:tcW w:w="1066" w:type="pct"/>
            <w:tcBorders>
              <w:top w:val="nil"/>
              <w:left w:val="nil"/>
              <w:bottom w:val="single" w:sz="4" w:space="0" w:color="auto"/>
              <w:right w:val="single" w:sz="4" w:space="0" w:color="auto"/>
            </w:tcBorders>
            <w:shd w:val="clear" w:color="auto" w:fill="auto"/>
            <w:noWrap/>
            <w:vAlign w:val="center"/>
            <w:hideMark/>
          </w:tcPr>
          <w:p w14:paraId="1ADE7119"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819</w:t>
            </w:r>
          </w:p>
        </w:tc>
        <w:tc>
          <w:tcPr>
            <w:tcW w:w="1156" w:type="pct"/>
            <w:tcBorders>
              <w:top w:val="nil"/>
              <w:left w:val="nil"/>
              <w:bottom w:val="single" w:sz="4" w:space="0" w:color="auto"/>
              <w:right w:val="single" w:sz="4" w:space="0" w:color="auto"/>
            </w:tcBorders>
            <w:shd w:val="clear" w:color="auto" w:fill="auto"/>
            <w:noWrap/>
            <w:vAlign w:val="center"/>
            <w:hideMark/>
          </w:tcPr>
          <w:p w14:paraId="62A57A03"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787</w:t>
            </w:r>
          </w:p>
        </w:tc>
      </w:tr>
      <w:tr w:rsidR="00D67B7E" w:rsidRPr="00D67B7E" w14:paraId="0A28EFE2" w14:textId="77777777" w:rsidTr="00D67B7E">
        <w:trPr>
          <w:trHeight w:val="29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0F48AB3F"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w:t>
            </w:r>
          </w:p>
        </w:tc>
        <w:tc>
          <w:tcPr>
            <w:tcW w:w="2093" w:type="pct"/>
            <w:tcBorders>
              <w:top w:val="nil"/>
              <w:left w:val="nil"/>
              <w:bottom w:val="single" w:sz="4" w:space="0" w:color="auto"/>
              <w:right w:val="single" w:sz="4" w:space="0" w:color="auto"/>
            </w:tcBorders>
            <w:shd w:val="clear" w:color="FFFFCC" w:fill="FFFFFF"/>
            <w:vAlign w:val="center"/>
            <w:hideMark/>
          </w:tcPr>
          <w:p w14:paraId="71DE4263" w14:textId="24FC0836"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xml:space="preserve">Circulante en Ejecución </w:t>
            </w:r>
            <w:r w:rsidR="005677D9">
              <w:rPr>
                <w:rFonts w:ascii="Bookman Old Style" w:eastAsia="Times New Roman" w:hAnsi="Bookman Old Style" w:cs="Calibri"/>
                <w:sz w:val="20"/>
                <w:szCs w:val="20"/>
                <w:lang w:eastAsia="es-CR"/>
              </w:rPr>
              <w:t>(diciembre 2021)</w:t>
            </w:r>
          </w:p>
        </w:tc>
        <w:tc>
          <w:tcPr>
            <w:tcW w:w="1066" w:type="pct"/>
            <w:tcBorders>
              <w:top w:val="nil"/>
              <w:left w:val="nil"/>
              <w:bottom w:val="single" w:sz="4" w:space="0" w:color="auto"/>
              <w:right w:val="single" w:sz="4" w:space="0" w:color="auto"/>
            </w:tcBorders>
            <w:shd w:val="clear" w:color="auto" w:fill="auto"/>
            <w:noWrap/>
            <w:vAlign w:val="center"/>
            <w:hideMark/>
          </w:tcPr>
          <w:p w14:paraId="76A5C5A3"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19</w:t>
            </w:r>
          </w:p>
        </w:tc>
        <w:tc>
          <w:tcPr>
            <w:tcW w:w="1156" w:type="pct"/>
            <w:tcBorders>
              <w:top w:val="nil"/>
              <w:left w:val="nil"/>
              <w:bottom w:val="single" w:sz="4" w:space="0" w:color="auto"/>
              <w:right w:val="single" w:sz="4" w:space="0" w:color="auto"/>
            </w:tcBorders>
            <w:shd w:val="clear" w:color="auto" w:fill="auto"/>
            <w:noWrap/>
            <w:vAlign w:val="center"/>
            <w:hideMark/>
          </w:tcPr>
          <w:p w14:paraId="509BF593"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11</w:t>
            </w:r>
          </w:p>
        </w:tc>
      </w:tr>
      <w:tr w:rsidR="00D67B7E" w:rsidRPr="00D67B7E" w14:paraId="48328160"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5F875EA8"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5</w:t>
            </w:r>
          </w:p>
        </w:tc>
        <w:tc>
          <w:tcPr>
            <w:tcW w:w="2093" w:type="pct"/>
            <w:tcBorders>
              <w:top w:val="nil"/>
              <w:left w:val="nil"/>
              <w:bottom w:val="single" w:sz="4" w:space="0" w:color="auto"/>
              <w:right w:val="single" w:sz="4" w:space="0" w:color="auto"/>
            </w:tcBorders>
            <w:shd w:val="clear" w:color="FFFFCC" w:fill="FFFFFF"/>
            <w:vAlign w:val="center"/>
            <w:hideMark/>
          </w:tcPr>
          <w:p w14:paraId="67473DA7" w14:textId="474ACF8B"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 xml:space="preserve">Relación salida Total / entrada total </w:t>
            </w:r>
          </w:p>
        </w:tc>
        <w:tc>
          <w:tcPr>
            <w:tcW w:w="1066" w:type="pct"/>
            <w:tcBorders>
              <w:top w:val="nil"/>
              <w:left w:val="nil"/>
              <w:bottom w:val="single" w:sz="4" w:space="0" w:color="auto"/>
              <w:right w:val="single" w:sz="4" w:space="0" w:color="auto"/>
            </w:tcBorders>
            <w:shd w:val="clear" w:color="auto" w:fill="auto"/>
            <w:noWrap/>
            <w:vAlign w:val="center"/>
            <w:hideMark/>
          </w:tcPr>
          <w:p w14:paraId="33151BB7"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112%</w:t>
            </w:r>
          </w:p>
        </w:tc>
        <w:tc>
          <w:tcPr>
            <w:tcW w:w="1156" w:type="pct"/>
            <w:tcBorders>
              <w:top w:val="nil"/>
              <w:left w:val="nil"/>
              <w:bottom w:val="single" w:sz="4" w:space="0" w:color="auto"/>
              <w:right w:val="single" w:sz="4" w:space="0" w:color="auto"/>
            </w:tcBorders>
            <w:shd w:val="clear" w:color="auto" w:fill="auto"/>
            <w:noWrap/>
            <w:vAlign w:val="center"/>
            <w:hideMark/>
          </w:tcPr>
          <w:p w14:paraId="4BD51279"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126%</w:t>
            </w:r>
          </w:p>
        </w:tc>
      </w:tr>
      <w:tr w:rsidR="00D67B7E" w:rsidRPr="00D67B7E" w14:paraId="5B7A3762" w14:textId="77777777" w:rsidTr="00D67B7E">
        <w:trPr>
          <w:trHeight w:val="520"/>
        </w:trPr>
        <w:tc>
          <w:tcPr>
            <w:tcW w:w="685" w:type="pct"/>
            <w:tcBorders>
              <w:top w:val="single" w:sz="4" w:space="0" w:color="auto"/>
              <w:left w:val="single" w:sz="4" w:space="0" w:color="auto"/>
              <w:bottom w:val="single" w:sz="4" w:space="0" w:color="auto"/>
              <w:right w:val="single" w:sz="4" w:space="0" w:color="auto"/>
            </w:tcBorders>
            <w:shd w:val="clear" w:color="FFFFCC" w:fill="FFFFFF"/>
            <w:vAlign w:val="center"/>
            <w:hideMark/>
          </w:tcPr>
          <w:p w14:paraId="549A1C69"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24</w:t>
            </w:r>
          </w:p>
        </w:tc>
        <w:tc>
          <w:tcPr>
            <w:tcW w:w="2093" w:type="pct"/>
            <w:tcBorders>
              <w:top w:val="single" w:sz="4" w:space="0" w:color="auto"/>
              <w:left w:val="nil"/>
              <w:bottom w:val="single" w:sz="4" w:space="0" w:color="auto"/>
              <w:right w:val="single" w:sz="4" w:space="0" w:color="auto"/>
            </w:tcBorders>
            <w:shd w:val="clear" w:color="FFFFCC" w:fill="FFFFFF"/>
            <w:vAlign w:val="center"/>
            <w:hideMark/>
          </w:tcPr>
          <w:p w14:paraId="3740CE7F" w14:textId="0E8CB6BB"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 xml:space="preserve">Porcentaje de efectividad de realización audiencias </w:t>
            </w:r>
          </w:p>
        </w:tc>
        <w:tc>
          <w:tcPr>
            <w:tcW w:w="1066" w:type="pct"/>
            <w:tcBorders>
              <w:top w:val="single" w:sz="4" w:space="0" w:color="auto"/>
              <w:left w:val="nil"/>
              <w:bottom w:val="single" w:sz="4" w:space="0" w:color="auto"/>
              <w:right w:val="single" w:sz="4" w:space="0" w:color="auto"/>
            </w:tcBorders>
            <w:shd w:val="clear" w:color="auto" w:fill="auto"/>
            <w:noWrap/>
            <w:vAlign w:val="center"/>
            <w:hideMark/>
          </w:tcPr>
          <w:p w14:paraId="4C3EBC9F"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51%</w:t>
            </w:r>
          </w:p>
        </w:tc>
        <w:tc>
          <w:tcPr>
            <w:tcW w:w="1156" w:type="pct"/>
            <w:tcBorders>
              <w:top w:val="single" w:sz="4" w:space="0" w:color="auto"/>
              <w:left w:val="nil"/>
              <w:bottom w:val="single" w:sz="4" w:space="0" w:color="auto"/>
              <w:right w:val="single" w:sz="4" w:space="0" w:color="auto"/>
            </w:tcBorders>
            <w:shd w:val="clear" w:color="auto" w:fill="auto"/>
            <w:noWrap/>
            <w:vAlign w:val="center"/>
            <w:hideMark/>
          </w:tcPr>
          <w:p w14:paraId="1DD6FB7A"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61%</w:t>
            </w:r>
          </w:p>
        </w:tc>
      </w:tr>
      <w:tr w:rsidR="00D67B7E" w:rsidRPr="00D67B7E" w14:paraId="18EDB60A"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7AAB900D"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25</w:t>
            </w:r>
          </w:p>
        </w:tc>
        <w:tc>
          <w:tcPr>
            <w:tcW w:w="2093" w:type="pct"/>
            <w:tcBorders>
              <w:top w:val="nil"/>
              <w:left w:val="nil"/>
              <w:bottom w:val="single" w:sz="4" w:space="0" w:color="auto"/>
              <w:right w:val="single" w:sz="4" w:space="0" w:color="auto"/>
            </w:tcBorders>
            <w:shd w:val="clear" w:color="FFFFCC" w:fill="FFFFFF"/>
            <w:vAlign w:val="center"/>
            <w:hideMark/>
          </w:tcPr>
          <w:p w14:paraId="22C240AE" w14:textId="69ABFD06"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 xml:space="preserve">Porcentaje de efectividad de realización audiencias de conciliación </w:t>
            </w:r>
          </w:p>
        </w:tc>
        <w:tc>
          <w:tcPr>
            <w:tcW w:w="1066" w:type="pct"/>
            <w:tcBorders>
              <w:top w:val="nil"/>
              <w:left w:val="nil"/>
              <w:bottom w:val="single" w:sz="4" w:space="0" w:color="auto"/>
              <w:right w:val="single" w:sz="4" w:space="0" w:color="auto"/>
            </w:tcBorders>
            <w:shd w:val="clear" w:color="auto" w:fill="auto"/>
            <w:noWrap/>
            <w:vAlign w:val="center"/>
            <w:hideMark/>
          </w:tcPr>
          <w:p w14:paraId="113813BA"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45%</w:t>
            </w:r>
          </w:p>
        </w:tc>
        <w:tc>
          <w:tcPr>
            <w:tcW w:w="1156" w:type="pct"/>
            <w:tcBorders>
              <w:top w:val="nil"/>
              <w:left w:val="nil"/>
              <w:bottom w:val="single" w:sz="4" w:space="0" w:color="auto"/>
              <w:right w:val="single" w:sz="4" w:space="0" w:color="auto"/>
            </w:tcBorders>
            <w:shd w:val="clear" w:color="auto" w:fill="auto"/>
            <w:noWrap/>
            <w:vAlign w:val="center"/>
            <w:hideMark/>
          </w:tcPr>
          <w:p w14:paraId="2F59891C"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63%</w:t>
            </w:r>
          </w:p>
        </w:tc>
      </w:tr>
      <w:tr w:rsidR="00D67B7E" w:rsidRPr="00D67B7E" w14:paraId="0886FC5C"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726D6051"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27</w:t>
            </w:r>
          </w:p>
        </w:tc>
        <w:tc>
          <w:tcPr>
            <w:tcW w:w="2093" w:type="pct"/>
            <w:tcBorders>
              <w:top w:val="nil"/>
              <w:left w:val="nil"/>
              <w:bottom w:val="single" w:sz="4" w:space="0" w:color="auto"/>
              <w:right w:val="single" w:sz="4" w:space="0" w:color="auto"/>
            </w:tcBorders>
            <w:shd w:val="clear" w:color="FFFFCC" w:fill="FFFFFF"/>
            <w:vAlign w:val="center"/>
            <w:hideMark/>
          </w:tcPr>
          <w:p w14:paraId="6914F697" w14:textId="1545DE3D"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xml:space="preserve">Cantidad de audiencias pendientes de realización </w:t>
            </w:r>
            <w:r w:rsidR="005677D9">
              <w:rPr>
                <w:rFonts w:ascii="Bookman Old Style" w:eastAsia="Times New Roman" w:hAnsi="Bookman Old Style" w:cs="Calibri"/>
                <w:sz w:val="20"/>
                <w:szCs w:val="20"/>
                <w:lang w:eastAsia="es-CR"/>
              </w:rPr>
              <w:t>(diciembre 2021)</w:t>
            </w:r>
          </w:p>
        </w:tc>
        <w:tc>
          <w:tcPr>
            <w:tcW w:w="1066" w:type="pct"/>
            <w:tcBorders>
              <w:top w:val="nil"/>
              <w:left w:val="nil"/>
              <w:bottom w:val="single" w:sz="4" w:space="0" w:color="auto"/>
              <w:right w:val="single" w:sz="4" w:space="0" w:color="auto"/>
            </w:tcBorders>
            <w:shd w:val="clear" w:color="auto" w:fill="auto"/>
            <w:noWrap/>
            <w:vAlign w:val="center"/>
            <w:hideMark/>
          </w:tcPr>
          <w:p w14:paraId="6444DFBC"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121</w:t>
            </w:r>
          </w:p>
        </w:tc>
        <w:tc>
          <w:tcPr>
            <w:tcW w:w="1156" w:type="pct"/>
            <w:tcBorders>
              <w:top w:val="nil"/>
              <w:left w:val="nil"/>
              <w:bottom w:val="single" w:sz="4" w:space="0" w:color="auto"/>
              <w:right w:val="single" w:sz="4" w:space="0" w:color="auto"/>
            </w:tcBorders>
            <w:shd w:val="clear" w:color="auto" w:fill="auto"/>
            <w:noWrap/>
            <w:vAlign w:val="center"/>
            <w:hideMark/>
          </w:tcPr>
          <w:p w14:paraId="41482A2E" w14:textId="77777777" w:rsidR="00D67B7E" w:rsidRPr="00D67B7E" w:rsidRDefault="00D67B7E" w:rsidP="00D67B7E">
            <w:pPr>
              <w:spacing w:after="0" w:line="240" w:lineRule="auto"/>
              <w:jc w:val="center"/>
              <w:rPr>
                <w:rFonts w:ascii="Calibri" w:eastAsia="Times New Roman" w:hAnsi="Calibri" w:cs="Calibri"/>
                <w:color w:val="000000"/>
                <w:lang w:eastAsia="es-CR"/>
              </w:rPr>
            </w:pPr>
            <w:r w:rsidRPr="00D67B7E">
              <w:rPr>
                <w:rFonts w:ascii="Calibri" w:eastAsia="Times New Roman" w:hAnsi="Calibri" w:cs="Calibri"/>
                <w:color w:val="000000"/>
                <w:lang w:eastAsia="es-CR"/>
              </w:rPr>
              <w:t>206</w:t>
            </w:r>
          </w:p>
        </w:tc>
      </w:tr>
      <w:tr w:rsidR="00D67B7E" w:rsidRPr="00D67B7E" w14:paraId="3D3660C8"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3D8BFA23"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28</w:t>
            </w:r>
          </w:p>
        </w:tc>
        <w:tc>
          <w:tcPr>
            <w:tcW w:w="2093" w:type="pct"/>
            <w:tcBorders>
              <w:top w:val="nil"/>
              <w:left w:val="nil"/>
              <w:bottom w:val="single" w:sz="4" w:space="0" w:color="auto"/>
              <w:right w:val="single" w:sz="4" w:space="0" w:color="auto"/>
            </w:tcBorders>
            <w:shd w:val="clear" w:color="FFFFCC" w:fill="FFFFFF"/>
            <w:vAlign w:val="center"/>
            <w:hideMark/>
          </w:tcPr>
          <w:p w14:paraId="3E07EAB4" w14:textId="38558059"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 xml:space="preserve">Cantidad de expedientes pendientes de fallo </w:t>
            </w:r>
            <w:r w:rsidR="005677D9">
              <w:rPr>
                <w:rFonts w:ascii="Bookman Old Style" w:eastAsia="Times New Roman" w:hAnsi="Bookman Old Style" w:cs="Calibri"/>
                <w:sz w:val="20"/>
                <w:szCs w:val="20"/>
                <w:lang w:eastAsia="es-CR"/>
              </w:rPr>
              <w:t>(diciembre 2021)</w:t>
            </w:r>
          </w:p>
        </w:tc>
        <w:tc>
          <w:tcPr>
            <w:tcW w:w="1066" w:type="pct"/>
            <w:tcBorders>
              <w:top w:val="nil"/>
              <w:left w:val="nil"/>
              <w:bottom w:val="single" w:sz="4" w:space="0" w:color="auto"/>
              <w:right w:val="single" w:sz="4" w:space="0" w:color="auto"/>
            </w:tcBorders>
            <w:shd w:val="clear" w:color="auto" w:fill="auto"/>
            <w:noWrap/>
            <w:vAlign w:val="center"/>
            <w:hideMark/>
          </w:tcPr>
          <w:p w14:paraId="50C3DB00"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99</w:t>
            </w:r>
          </w:p>
        </w:tc>
        <w:tc>
          <w:tcPr>
            <w:tcW w:w="1156" w:type="pct"/>
            <w:tcBorders>
              <w:top w:val="nil"/>
              <w:left w:val="nil"/>
              <w:bottom w:val="single" w:sz="4" w:space="0" w:color="auto"/>
              <w:right w:val="single" w:sz="4" w:space="0" w:color="auto"/>
            </w:tcBorders>
            <w:shd w:val="clear" w:color="auto" w:fill="auto"/>
            <w:noWrap/>
            <w:vAlign w:val="center"/>
            <w:hideMark/>
          </w:tcPr>
          <w:p w14:paraId="04B56027"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144</w:t>
            </w:r>
          </w:p>
        </w:tc>
      </w:tr>
      <w:tr w:rsidR="00D67B7E" w:rsidRPr="00D67B7E" w14:paraId="0D04E354"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6A2B9D5D"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lastRenderedPageBreak/>
              <w:t>29</w:t>
            </w:r>
          </w:p>
        </w:tc>
        <w:tc>
          <w:tcPr>
            <w:tcW w:w="2093" w:type="pct"/>
            <w:tcBorders>
              <w:top w:val="nil"/>
              <w:left w:val="nil"/>
              <w:bottom w:val="single" w:sz="4" w:space="0" w:color="auto"/>
              <w:right w:val="single" w:sz="4" w:space="0" w:color="auto"/>
            </w:tcBorders>
            <w:shd w:val="clear" w:color="FFFFCC" w:fill="FFFFFF"/>
            <w:vAlign w:val="center"/>
            <w:hideMark/>
          </w:tcPr>
          <w:p w14:paraId="2640E848" w14:textId="545B6348"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 xml:space="preserve">Cantidad de Expedientes pasados a firmar por Técnico o Técnica </w:t>
            </w:r>
          </w:p>
        </w:tc>
        <w:tc>
          <w:tcPr>
            <w:tcW w:w="1066" w:type="pct"/>
            <w:tcBorders>
              <w:top w:val="nil"/>
              <w:left w:val="nil"/>
              <w:bottom w:val="single" w:sz="4" w:space="0" w:color="auto"/>
              <w:right w:val="single" w:sz="4" w:space="0" w:color="auto"/>
            </w:tcBorders>
            <w:shd w:val="clear" w:color="auto" w:fill="auto"/>
            <w:noWrap/>
            <w:vAlign w:val="center"/>
            <w:hideMark/>
          </w:tcPr>
          <w:p w14:paraId="231BD06C"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546</w:t>
            </w:r>
          </w:p>
        </w:tc>
        <w:tc>
          <w:tcPr>
            <w:tcW w:w="1156" w:type="pct"/>
            <w:tcBorders>
              <w:top w:val="nil"/>
              <w:left w:val="nil"/>
              <w:bottom w:val="single" w:sz="4" w:space="0" w:color="auto"/>
              <w:right w:val="single" w:sz="4" w:space="0" w:color="auto"/>
            </w:tcBorders>
            <w:shd w:val="clear" w:color="auto" w:fill="auto"/>
            <w:noWrap/>
            <w:vAlign w:val="center"/>
            <w:hideMark/>
          </w:tcPr>
          <w:p w14:paraId="7D1796E6"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900</w:t>
            </w:r>
          </w:p>
        </w:tc>
      </w:tr>
      <w:tr w:rsidR="00D67B7E" w:rsidRPr="00D67B7E" w14:paraId="4FA67DFD" w14:textId="77777777" w:rsidTr="00D67B7E">
        <w:trPr>
          <w:trHeight w:val="52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0F91C50A"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30</w:t>
            </w:r>
          </w:p>
        </w:tc>
        <w:tc>
          <w:tcPr>
            <w:tcW w:w="2093" w:type="pct"/>
            <w:tcBorders>
              <w:top w:val="nil"/>
              <w:left w:val="nil"/>
              <w:bottom w:val="single" w:sz="4" w:space="0" w:color="auto"/>
              <w:right w:val="single" w:sz="4" w:space="0" w:color="auto"/>
            </w:tcBorders>
            <w:shd w:val="clear" w:color="FFFFCC" w:fill="FFFFFF"/>
            <w:vAlign w:val="center"/>
            <w:hideMark/>
          </w:tcPr>
          <w:p w14:paraId="6640DAF6" w14:textId="4AA95C8B"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Porcentaje de rendimiento por persona técnica judicial</w:t>
            </w:r>
          </w:p>
        </w:tc>
        <w:tc>
          <w:tcPr>
            <w:tcW w:w="1066" w:type="pct"/>
            <w:tcBorders>
              <w:top w:val="nil"/>
              <w:left w:val="nil"/>
              <w:bottom w:val="single" w:sz="4" w:space="0" w:color="auto"/>
              <w:right w:val="single" w:sz="4" w:space="0" w:color="auto"/>
            </w:tcBorders>
            <w:shd w:val="clear" w:color="auto" w:fill="auto"/>
            <w:noWrap/>
            <w:vAlign w:val="center"/>
            <w:hideMark/>
          </w:tcPr>
          <w:p w14:paraId="611CF066"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52%</w:t>
            </w:r>
          </w:p>
        </w:tc>
        <w:tc>
          <w:tcPr>
            <w:tcW w:w="1156" w:type="pct"/>
            <w:tcBorders>
              <w:top w:val="nil"/>
              <w:left w:val="nil"/>
              <w:bottom w:val="single" w:sz="4" w:space="0" w:color="auto"/>
              <w:right w:val="single" w:sz="4" w:space="0" w:color="auto"/>
            </w:tcBorders>
            <w:shd w:val="clear" w:color="auto" w:fill="auto"/>
            <w:noWrap/>
            <w:vAlign w:val="center"/>
            <w:hideMark/>
          </w:tcPr>
          <w:p w14:paraId="2E3F5B83"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61%</w:t>
            </w:r>
          </w:p>
        </w:tc>
      </w:tr>
      <w:tr w:rsidR="00D67B7E" w:rsidRPr="00D67B7E" w14:paraId="7AA7825E" w14:textId="77777777" w:rsidTr="00D67B7E">
        <w:trPr>
          <w:trHeight w:val="58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413C451A"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35</w:t>
            </w:r>
          </w:p>
        </w:tc>
        <w:tc>
          <w:tcPr>
            <w:tcW w:w="2093" w:type="pct"/>
            <w:tcBorders>
              <w:top w:val="nil"/>
              <w:left w:val="nil"/>
              <w:bottom w:val="single" w:sz="4" w:space="0" w:color="auto"/>
              <w:right w:val="single" w:sz="4" w:space="0" w:color="auto"/>
            </w:tcBorders>
            <w:shd w:val="clear" w:color="FFFFCC" w:fill="FFFFFF"/>
            <w:vAlign w:val="center"/>
            <w:hideMark/>
          </w:tcPr>
          <w:p w14:paraId="4033C964" w14:textId="11142D19"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 xml:space="preserve">Cantidad de sentencias dictadas por persona juzgadora </w:t>
            </w:r>
          </w:p>
        </w:tc>
        <w:tc>
          <w:tcPr>
            <w:tcW w:w="1066" w:type="pct"/>
            <w:tcBorders>
              <w:top w:val="nil"/>
              <w:left w:val="nil"/>
              <w:bottom w:val="single" w:sz="4" w:space="0" w:color="auto"/>
              <w:right w:val="single" w:sz="4" w:space="0" w:color="auto"/>
            </w:tcBorders>
            <w:shd w:val="clear" w:color="auto" w:fill="auto"/>
            <w:noWrap/>
            <w:vAlign w:val="center"/>
            <w:hideMark/>
          </w:tcPr>
          <w:p w14:paraId="1DC1DE17"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101</w:t>
            </w:r>
          </w:p>
        </w:tc>
        <w:tc>
          <w:tcPr>
            <w:tcW w:w="1156" w:type="pct"/>
            <w:tcBorders>
              <w:top w:val="nil"/>
              <w:left w:val="nil"/>
              <w:bottom w:val="single" w:sz="4" w:space="0" w:color="auto"/>
              <w:right w:val="single" w:sz="4" w:space="0" w:color="auto"/>
            </w:tcBorders>
            <w:shd w:val="clear" w:color="auto" w:fill="auto"/>
            <w:noWrap/>
            <w:vAlign w:val="center"/>
            <w:hideMark/>
          </w:tcPr>
          <w:p w14:paraId="3171ED40"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93</w:t>
            </w:r>
          </w:p>
        </w:tc>
      </w:tr>
      <w:tr w:rsidR="00D67B7E" w:rsidRPr="00D67B7E" w14:paraId="08AED4E2" w14:textId="77777777" w:rsidTr="00D67B7E">
        <w:trPr>
          <w:trHeight w:val="530"/>
        </w:trPr>
        <w:tc>
          <w:tcPr>
            <w:tcW w:w="685" w:type="pct"/>
            <w:tcBorders>
              <w:top w:val="nil"/>
              <w:left w:val="single" w:sz="4" w:space="0" w:color="auto"/>
              <w:bottom w:val="single" w:sz="4" w:space="0" w:color="auto"/>
              <w:right w:val="single" w:sz="4" w:space="0" w:color="auto"/>
            </w:tcBorders>
            <w:shd w:val="clear" w:color="FFFFCC" w:fill="FFFFFF"/>
            <w:vAlign w:val="center"/>
            <w:hideMark/>
          </w:tcPr>
          <w:p w14:paraId="0741535A" w14:textId="77777777" w:rsidR="00D67B7E" w:rsidRPr="00D67B7E" w:rsidRDefault="00D67B7E" w:rsidP="00D67B7E">
            <w:pPr>
              <w:spacing w:after="0" w:line="240" w:lineRule="auto"/>
              <w:jc w:val="center"/>
              <w:rPr>
                <w:rFonts w:ascii="Bookman Old Style" w:eastAsia="Times New Roman" w:hAnsi="Bookman Old Style" w:cs="Calibri"/>
                <w:sz w:val="20"/>
                <w:szCs w:val="20"/>
                <w:lang w:eastAsia="es-CR"/>
              </w:rPr>
            </w:pPr>
            <w:r w:rsidRPr="00D67B7E">
              <w:rPr>
                <w:rFonts w:ascii="Bookman Old Style" w:eastAsia="Times New Roman" w:hAnsi="Bookman Old Style" w:cs="Calibri"/>
                <w:sz w:val="20"/>
                <w:szCs w:val="20"/>
                <w:lang w:eastAsia="es-CR"/>
              </w:rPr>
              <w:t>37</w:t>
            </w:r>
          </w:p>
        </w:tc>
        <w:tc>
          <w:tcPr>
            <w:tcW w:w="2093" w:type="pct"/>
            <w:tcBorders>
              <w:top w:val="nil"/>
              <w:left w:val="nil"/>
              <w:bottom w:val="single" w:sz="4" w:space="0" w:color="auto"/>
              <w:right w:val="single" w:sz="4" w:space="0" w:color="auto"/>
            </w:tcBorders>
            <w:shd w:val="clear" w:color="FFFFCC" w:fill="FFFFFF"/>
            <w:vAlign w:val="center"/>
            <w:hideMark/>
          </w:tcPr>
          <w:p w14:paraId="70275944" w14:textId="459173CC" w:rsidR="00D67B7E" w:rsidRPr="00D67B7E" w:rsidRDefault="005677D9" w:rsidP="00D67B7E">
            <w:pPr>
              <w:spacing w:after="0" w:line="240" w:lineRule="auto"/>
              <w:jc w:val="center"/>
              <w:rPr>
                <w:rFonts w:ascii="Bookman Old Style" w:eastAsia="Times New Roman" w:hAnsi="Bookman Old Style" w:cs="Calibri"/>
                <w:sz w:val="20"/>
                <w:szCs w:val="20"/>
                <w:lang w:eastAsia="es-CR"/>
              </w:rPr>
            </w:pPr>
            <w:r>
              <w:rPr>
                <w:rFonts w:ascii="Bookman Old Style" w:eastAsia="Times New Roman" w:hAnsi="Bookman Old Style" w:cs="Calibri"/>
                <w:sz w:val="20"/>
                <w:szCs w:val="20"/>
                <w:lang w:eastAsia="es-CR"/>
              </w:rPr>
              <w:t xml:space="preserve">Promedio </w:t>
            </w:r>
            <w:r w:rsidR="00D67B7E" w:rsidRPr="00D67B7E">
              <w:rPr>
                <w:rFonts w:ascii="Bookman Old Style" w:eastAsia="Times New Roman" w:hAnsi="Bookman Old Style" w:cs="Calibri"/>
                <w:sz w:val="20"/>
                <w:szCs w:val="20"/>
                <w:lang w:eastAsia="es-CR"/>
              </w:rPr>
              <w:t>Porcentaje de rendimiento por persona juzgadora</w:t>
            </w:r>
          </w:p>
        </w:tc>
        <w:tc>
          <w:tcPr>
            <w:tcW w:w="1066" w:type="pct"/>
            <w:tcBorders>
              <w:top w:val="nil"/>
              <w:left w:val="nil"/>
              <w:bottom w:val="single" w:sz="4" w:space="0" w:color="auto"/>
              <w:right w:val="single" w:sz="4" w:space="0" w:color="auto"/>
            </w:tcBorders>
            <w:shd w:val="clear" w:color="auto" w:fill="auto"/>
            <w:noWrap/>
            <w:vAlign w:val="center"/>
            <w:hideMark/>
          </w:tcPr>
          <w:p w14:paraId="30988109"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45%</w:t>
            </w:r>
          </w:p>
        </w:tc>
        <w:tc>
          <w:tcPr>
            <w:tcW w:w="1156" w:type="pct"/>
            <w:tcBorders>
              <w:top w:val="nil"/>
              <w:left w:val="nil"/>
              <w:bottom w:val="single" w:sz="4" w:space="0" w:color="auto"/>
              <w:right w:val="single" w:sz="4" w:space="0" w:color="auto"/>
            </w:tcBorders>
            <w:shd w:val="clear" w:color="auto" w:fill="auto"/>
            <w:noWrap/>
            <w:vAlign w:val="center"/>
            <w:hideMark/>
          </w:tcPr>
          <w:p w14:paraId="659B0F82" w14:textId="77777777" w:rsidR="00D67B7E" w:rsidRPr="00D67B7E" w:rsidRDefault="00D67B7E" w:rsidP="00D67B7E">
            <w:pPr>
              <w:spacing w:after="0" w:line="240" w:lineRule="auto"/>
              <w:jc w:val="center"/>
              <w:rPr>
                <w:rFonts w:ascii="Bookman Old Style" w:eastAsia="Times New Roman" w:hAnsi="Bookman Old Style" w:cs="Calibri"/>
                <w:color w:val="000000"/>
                <w:sz w:val="20"/>
                <w:szCs w:val="20"/>
                <w:lang w:eastAsia="es-CR"/>
              </w:rPr>
            </w:pPr>
            <w:r w:rsidRPr="00D67B7E">
              <w:rPr>
                <w:rFonts w:ascii="Bookman Old Style" w:eastAsia="Times New Roman" w:hAnsi="Bookman Old Style" w:cs="Calibri"/>
                <w:color w:val="000000"/>
                <w:sz w:val="20"/>
                <w:szCs w:val="20"/>
                <w:lang w:eastAsia="es-CR"/>
              </w:rPr>
              <w:t>47%</w:t>
            </w:r>
          </w:p>
        </w:tc>
      </w:tr>
    </w:tbl>
    <w:p w14:paraId="45A6D3A9" w14:textId="6F9802B8" w:rsidR="00135A80" w:rsidRDefault="00135A80" w:rsidP="000D1E1E">
      <w:pPr>
        <w:spacing w:after="0" w:line="276" w:lineRule="auto"/>
        <w:jc w:val="both"/>
        <w:rPr>
          <w:rFonts w:ascii="Book Antiqua" w:eastAsia="Calibri" w:hAnsi="Book Antiqua" w:cs="Arial"/>
          <w:i/>
          <w:iCs/>
          <w:sz w:val="20"/>
          <w:szCs w:val="20"/>
        </w:rPr>
      </w:pPr>
      <w:bookmarkStart w:id="33" w:name="_Hlk95816425"/>
      <w:r w:rsidRPr="00FE54CE">
        <w:rPr>
          <w:rFonts w:ascii="Book Antiqua" w:eastAsia="Calibri" w:hAnsi="Book Antiqua" w:cs="Arial"/>
          <w:i/>
          <w:iCs/>
          <w:sz w:val="20"/>
          <w:szCs w:val="20"/>
        </w:rPr>
        <w:t>Fuente: Modernización Institucional de la Dirección de Planificación</w:t>
      </w:r>
      <w:r w:rsidR="00424E09">
        <w:rPr>
          <w:rFonts w:ascii="Book Antiqua" w:eastAsia="Calibri" w:hAnsi="Book Antiqua" w:cs="Arial"/>
          <w:i/>
          <w:iCs/>
          <w:sz w:val="20"/>
          <w:szCs w:val="20"/>
        </w:rPr>
        <w:t xml:space="preserve"> con datos de la matriz de Indicadores de Gestión de los Juzgados Primero y Segundo de Familia del I Circuito Judicial de San José.</w:t>
      </w:r>
    </w:p>
    <w:bookmarkEnd w:id="33"/>
    <w:p w14:paraId="4A363623" w14:textId="77777777" w:rsidR="007668DC" w:rsidRDefault="00D67B7E" w:rsidP="000D1E1E">
      <w:pPr>
        <w:spacing w:after="0" w:line="276" w:lineRule="auto"/>
        <w:jc w:val="both"/>
        <w:rPr>
          <w:rFonts w:ascii="Book Antiqua" w:eastAsia="Calibri" w:hAnsi="Book Antiqua" w:cs="Arial"/>
          <w:i/>
          <w:iCs/>
          <w:sz w:val="20"/>
          <w:szCs w:val="20"/>
        </w:rPr>
      </w:pPr>
      <w:r>
        <w:rPr>
          <w:rFonts w:ascii="Book Antiqua" w:eastAsia="Calibri" w:hAnsi="Book Antiqua" w:cs="Arial"/>
          <w:i/>
          <w:iCs/>
          <w:sz w:val="20"/>
          <w:szCs w:val="20"/>
        </w:rPr>
        <w:t xml:space="preserve">Nota: </w:t>
      </w:r>
      <w:r w:rsidR="007668DC">
        <w:rPr>
          <w:rFonts w:ascii="Book Antiqua" w:eastAsia="Calibri" w:hAnsi="Book Antiqua" w:cs="Arial"/>
          <w:i/>
          <w:iCs/>
          <w:sz w:val="20"/>
          <w:szCs w:val="20"/>
        </w:rPr>
        <w:t xml:space="preserve">La </w:t>
      </w:r>
      <w:r w:rsidR="007668DC" w:rsidRPr="007668DC">
        <w:rPr>
          <w:rFonts w:ascii="Book Antiqua" w:eastAsia="Calibri" w:hAnsi="Book Antiqua" w:cs="Arial"/>
          <w:i/>
          <w:iCs/>
          <w:sz w:val="20"/>
          <w:szCs w:val="20"/>
        </w:rPr>
        <w:t>Cantidad de casos terminados por juez o jueza, se recopila a partir de octubre de 2021</w:t>
      </w:r>
      <w:r w:rsidR="007668DC">
        <w:rPr>
          <w:rFonts w:ascii="Book Antiqua" w:eastAsia="Calibri" w:hAnsi="Book Antiqua" w:cs="Arial"/>
          <w:i/>
          <w:iCs/>
          <w:sz w:val="20"/>
          <w:szCs w:val="20"/>
        </w:rPr>
        <w:t xml:space="preserve">. </w:t>
      </w:r>
    </w:p>
    <w:p w14:paraId="7F3A0105" w14:textId="77777777" w:rsidR="000D1E1E" w:rsidRDefault="000D1E1E" w:rsidP="00FE54CE">
      <w:pPr>
        <w:spacing w:after="0" w:line="276" w:lineRule="auto"/>
        <w:jc w:val="both"/>
        <w:rPr>
          <w:rFonts w:ascii="Book Antiqua" w:eastAsia="Calibri" w:hAnsi="Book Antiqua" w:cs="Arial"/>
          <w:sz w:val="24"/>
          <w:szCs w:val="24"/>
        </w:rPr>
      </w:pPr>
    </w:p>
    <w:p w14:paraId="330783D8" w14:textId="22A4B2AD" w:rsidR="00D67B7E" w:rsidRDefault="00C87A04" w:rsidP="00FE54C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se observa en el cuadro anterior, </w:t>
      </w:r>
      <w:r w:rsidR="00D67B7E">
        <w:rPr>
          <w:rFonts w:ascii="Book Antiqua" w:eastAsia="Calibri" w:hAnsi="Book Antiqua" w:cs="Arial"/>
          <w:sz w:val="24"/>
          <w:szCs w:val="24"/>
        </w:rPr>
        <w:t xml:space="preserve">para el periodo de enero a diciembre 2021, </w:t>
      </w:r>
      <w:r w:rsidR="00B23BB0">
        <w:rPr>
          <w:rFonts w:ascii="Book Antiqua" w:eastAsia="Calibri" w:hAnsi="Book Antiqua" w:cs="Arial"/>
          <w:sz w:val="24"/>
          <w:szCs w:val="24"/>
        </w:rPr>
        <w:t xml:space="preserve">se tiene </w:t>
      </w:r>
      <w:r w:rsidR="0092709F">
        <w:rPr>
          <w:rFonts w:ascii="Book Antiqua" w:eastAsia="Calibri" w:hAnsi="Book Antiqua" w:cs="Arial"/>
          <w:sz w:val="24"/>
          <w:szCs w:val="24"/>
        </w:rPr>
        <w:t>una</w:t>
      </w:r>
      <w:r w:rsidR="00B23BB0">
        <w:rPr>
          <w:rFonts w:ascii="Book Antiqua" w:eastAsia="Calibri" w:hAnsi="Book Antiqua" w:cs="Arial"/>
          <w:sz w:val="24"/>
          <w:szCs w:val="24"/>
        </w:rPr>
        <w:t xml:space="preserve"> </w:t>
      </w:r>
      <w:r w:rsidR="0092709F">
        <w:rPr>
          <w:rFonts w:ascii="Book Antiqua" w:eastAsia="Calibri" w:hAnsi="Book Antiqua" w:cs="Arial"/>
          <w:sz w:val="24"/>
          <w:szCs w:val="24"/>
        </w:rPr>
        <w:t xml:space="preserve">diferencia en la </w:t>
      </w:r>
      <w:r w:rsidR="00B23BB0">
        <w:rPr>
          <w:rFonts w:ascii="Book Antiqua" w:eastAsia="Calibri" w:hAnsi="Book Antiqua" w:cs="Arial"/>
          <w:sz w:val="24"/>
          <w:szCs w:val="24"/>
        </w:rPr>
        <w:t xml:space="preserve">entrada </w:t>
      </w:r>
      <w:r w:rsidR="006845CB">
        <w:rPr>
          <w:rFonts w:ascii="Book Antiqua" w:eastAsia="Calibri" w:hAnsi="Book Antiqua" w:cs="Arial"/>
          <w:sz w:val="24"/>
          <w:szCs w:val="24"/>
        </w:rPr>
        <w:t>(no incluye los reentrados)</w:t>
      </w:r>
      <w:r w:rsidR="0092709F">
        <w:rPr>
          <w:rFonts w:ascii="Book Antiqua" w:eastAsia="Calibri" w:hAnsi="Book Antiqua" w:cs="Arial"/>
          <w:sz w:val="24"/>
          <w:szCs w:val="24"/>
        </w:rPr>
        <w:t>, equiva</w:t>
      </w:r>
      <w:r w:rsidR="00A06E71">
        <w:rPr>
          <w:rFonts w:ascii="Book Antiqua" w:eastAsia="Calibri" w:hAnsi="Book Antiqua" w:cs="Arial"/>
          <w:sz w:val="24"/>
          <w:szCs w:val="24"/>
        </w:rPr>
        <w:t>lente</w:t>
      </w:r>
      <w:r w:rsidR="0092709F">
        <w:rPr>
          <w:rFonts w:ascii="Book Antiqua" w:eastAsia="Calibri" w:hAnsi="Book Antiqua" w:cs="Arial"/>
          <w:sz w:val="24"/>
          <w:szCs w:val="24"/>
        </w:rPr>
        <w:t xml:space="preserve"> a</w:t>
      </w:r>
      <w:r w:rsidR="00B23BB0">
        <w:rPr>
          <w:rFonts w:ascii="Book Antiqua" w:eastAsia="Calibri" w:hAnsi="Book Antiqua" w:cs="Arial"/>
          <w:sz w:val="24"/>
          <w:szCs w:val="24"/>
        </w:rPr>
        <w:t xml:space="preserve"> un asunto más en el Juzgado Primero </w:t>
      </w:r>
      <w:r w:rsidR="0092709F">
        <w:rPr>
          <w:rFonts w:ascii="Book Antiqua" w:eastAsia="Calibri" w:hAnsi="Book Antiqua" w:cs="Arial"/>
          <w:sz w:val="24"/>
          <w:szCs w:val="24"/>
        </w:rPr>
        <w:t xml:space="preserve">de Familia </w:t>
      </w:r>
      <w:r w:rsidR="00B23BB0">
        <w:rPr>
          <w:rFonts w:ascii="Book Antiqua" w:eastAsia="Calibri" w:hAnsi="Book Antiqua" w:cs="Arial"/>
          <w:sz w:val="24"/>
          <w:szCs w:val="24"/>
        </w:rPr>
        <w:t xml:space="preserve">(105) que su homólogo el Juzgado Segundo </w:t>
      </w:r>
      <w:r w:rsidR="0092709F">
        <w:rPr>
          <w:rFonts w:ascii="Book Antiqua" w:eastAsia="Calibri" w:hAnsi="Book Antiqua" w:cs="Arial"/>
          <w:sz w:val="24"/>
          <w:szCs w:val="24"/>
        </w:rPr>
        <w:t xml:space="preserve">de Familia </w:t>
      </w:r>
      <w:r w:rsidR="00B23BB0">
        <w:rPr>
          <w:rFonts w:ascii="Book Antiqua" w:eastAsia="Calibri" w:hAnsi="Book Antiqua" w:cs="Arial"/>
          <w:sz w:val="24"/>
          <w:szCs w:val="24"/>
        </w:rPr>
        <w:t xml:space="preserve">(104), en cuanto a los casos terminados, </w:t>
      </w:r>
      <w:r w:rsidR="00AF3D12">
        <w:rPr>
          <w:rFonts w:ascii="Book Antiqua" w:eastAsia="Calibri" w:hAnsi="Book Antiqua" w:cs="Arial"/>
          <w:sz w:val="24"/>
          <w:szCs w:val="24"/>
        </w:rPr>
        <w:t xml:space="preserve">el Primero de Familia finalizó 152 expedientes y el Segundo de Familia 142, </w:t>
      </w:r>
      <w:r w:rsidR="0092709F">
        <w:rPr>
          <w:rFonts w:ascii="Book Antiqua" w:eastAsia="Calibri" w:hAnsi="Book Antiqua" w:cs="Arial"/>
          <w:sz w:val="24"/>
          <w:szCs w:val="24"/>
        </w:rPr>
        <w:t xml:space="preserve">para una diferencia de </w:t>
      </w:r>
      <w:r w:rsidR="00AF3D12">
        <w:rPr>
          <w:rFonts w:ascii="Book Antiqua" w:eastAsia="Calibri" w:hAnsi="Book Antiqua" w:cs="Arial"/>
          <w:sz w:val="24"/>
          <w:szCs w:val="24"/>
        </w:rPr>
        <w:t>10 expedientes más</w:t>
      </w:r>
      <w:r w:rsidR="0092709F">
        <w:rPr>
          <w:rFonts w:ascii="Book Antiqua" w:eastAsia="Calibri" w:hAnsi="Book Antiqua" w:cs="Arial"/>
          <w:sz w:val="24"/>
          <w:szCs w:val="24"/>
        </w:rPr>
        <w:t xml:space="preserve"> en el </w:t>
      </w:r>
      <w:r w:rsidR="00A06E71">
        <w:rPr>
          <w:rFonts w:ascii="Book Antiqua" w:eastAsia="Calibri" w:hAnsi="Book Antiqua" w:cs="Arial"/>
          <w:sz w:val="24"/>
          <w:szCs w:val="24"/>
        </w:rPr>
        <w:t xml:space="preserve">Juzgado </w:t>
      </w:r>
      <w:r w:rsidR="0092709F">
        <w:rPr>
          <w:rFonts w:ascii="Book Antiqua" w:eastAsia="Calibri" w:hAnsi="Book Antiqua" w:cs="Arial"/>
          <w:sz w:val="24"/>
          <w:szCs w:val="24"/>
        </w:rPr>
        <w:t>Primero</w:t>
      </w:r>
      <w:r w:rsidR="00AF3D12">
        <w:rPr>
          <w:rFonts w:ascii="Book Antiqua" w:eastAsia="Calibri" w:hAnsi="Book Antiqua" w:cs="Arial"/>
          <w:sz w:val="24"/>
          <w:szCs w:val="24"/>
        </w:rPr>
        <w:t xml:space="preserve">, </w:t>
      </w:r>
      <w:r w:rsidR="0064710D">
        <w:rPr>
          <w:rFonts w:ascii="Book Antiqua" w:eastAsia="Calibri" w:hAnsi="Book Antiqua" w:cs="Arial"/>
          <w:sz w:val="24"/>
          <w:szCs w:val="24"/>
        </w:rPr>
        <w:t xml:space="preserve">al analizar el circulante </w:t>
      </w:r>
      <w:r w:rsidR="0092709F">
        <w:rPr>
          <w:rFonts w:ascii="Book Antiqua" w:eastAsia="Calibri" w:hAnsi="Book Antiqua" w:cs="Arial"/>
          <w:sz w:val="24"/>
          <w:szCs w:val="24"/>
        </w:rPr>
        <w:t>el Juzgado Segundo presenta la menor cantidad 798</w:t>
      </w:r>
      <w:r w:rsidR="002905F8">
        <w:rPr>
          <w:rFonts w:ascii="Book Antiqua" w:eastAsia="Calibri" w:hAnsi="Book Antiqua" w:cs="Arial"/>
          <w:sz w:val="24"/>
          <w:szCs w:val="24"/>
        </w:rPr>
        <w:t xml:space="preserve"> asuntos, </w:t>
      </w:r>
      <w:r w:rsidR="0092709F">
        <w:rPr>
          <w:rFonts w:ascii="Book Antiqua" w:eastAsia="Calibri" w:hAnsi="Book Antiqua" w:cs="Arial"/>
          <w:sz w:val="24"/>
          <w:szCs w:val="24"/>
        </w:rPr>
        <w:t xml:space="preserve">40 asuntos menos que su homólogo el Juzgado Primero con 838; mientras que el promedio de la relación de la salida entre la entrada es un </w:t>
      </w:r>
      <w:r w:rsidR="001D78D2">
        <w:rPr>
          <w:rFonts w:ascii="Book Antiqua" w:eastAsia="Calibri" w:hAnsi="Book Antiqua" w:cs="Arial"/>
          <w:sz w:val="24"/>
          <w:szCs w:val="24"/>
        </w:rPr>
        <w:t xml:space="preserve">14% más en el </w:t>
      </w:r>
      <w:r w:rsidR="00A06E71">
        <w:rPr>
          <w:rFonts w:ascii="Book Antiqua" w:eastAsia="Calibri" w:hAnsi="Book Antiqua" w:cs="Arial"/>
          <w:sz w:val="24"/>
          <w:szCs w:val="24"/>
        </w:rPr>
        <w:t xml:space="preserve">Juzgado </w:t>
      </w:r>
      <w:r w:rsidR="001D78D2">
        <w:rPr>
          <w:rFonts w:ascii="Book Antiqua" w:eastAsia="Calibri" w:hAnsi="Book Antiqua" w:cs="Arial"/>
          <w:sz w:val="24"/>
          <w:szCs w:val="24"/>
        </w:rPr>
        <w:t xml:space="preserve">Segundo (126%) que </w:t>
      </w:r>
      <w:r w:rsidR="00A06E71">
        <w:rPr>
          <w:rFonts w:ascii="Book Antiqua" w:eastAsia="Calibri" w:hAnsi="Book Antiqua" w:cs="Arial"/>
          <w:sz w:val="24"/>
          <w:szCs w:val="24"/>
        </w:rPr>
        <w:t xml:space="preserve">su homólogo </w:t>
      </w:r>
      <w:r w:rsidR="001D78D2">
        <w:rPr>
          <w:rFonts w:ascii="Book Antiqua" w:eastAsia="Calibri" w:hAnsi="Book Antiqua" w:cs="Arial"/>
          <w:sz w:val="24"/>
          <w:szCs w:val="24"/>
        </w:rPr>
        <w:t xml:space="preserve">el </w:t>
      </w:r>
      <w:r w:rsidR="00A06E71">
        <w:rPr>
          <w:rFonts w:ascii="Book Antiqua" w:eastAsia="Calibri" w:hAnsi="Book Antiqua" w:cs="Arial"/>
          <w:sz w:val="24"/>
          <w:szCs w:val="24"/>
        </w:rPr>
        <w:t xml:space="preserve">Juzgado </w:t>
      </w:r>
      <w:r w:rsidR="001D78D2">
        <w:rPr>
          <w:rFonts w:ascii="Book Antiqua" w:eastAsia="Calibri" w:hAnsi="Book Antiqua" w:cs="Arial"/>
          <w:sz w:val="24"/>
          <w:szCs w:val="24"/>
        </w:rPr>
        <w:t xml:space="preserve">Primero con un 112%. Por otra parte, el porcentaje de efectividad de </w:t>
      </w:r>
      <w:r w:rsidR="00966C98">
        <w:rPr>
          <w:rFonts w:ascii="Book Antiqua" w:eastAsia="Calibri" w:hAnsi="Book Antiqua" w:cs="Arial"/>
          <w:sz w:val="24"/>
          <w:szCs w:val="24"/>
        </w:rPr>
        <w:t xml:space="preserve">realización de </w:t>
      </w:r>
      <w:r w:rsidR="001D78D2">
        <w:rPr>
          <w:rFonts w:ascii="Book Antiqua" w:eastAsia="Calibri" w:hAnsi="Book Antiqua" w:cs="Arial"/>
          <w:sz w:val="24"/>
          <w:szCs w:val="24"/>
        </w:rPr>
        <w:t xml:space="preserve">las audiencias fue de un 61% en el Juzgado Segundo y un 51% para el Juzgado Primero, lo que equivale a un 10% más </w:t>
      </w:r>
      <w:r w:rsidR="00A06E71">
        <w:rPr>
          <w:rFonts w:ascii="Book Antiqua" w:eastAsia="Calibri" w:hAnsi="Book Antiqua" w:cs="Arial"/>
          <w:sz w:val="24"/>
          <w:szCs w:val="24"/>
        </w:rPr>
        <w:t xml:space="preserve">en el </w:t>
      </w:r>
      <w:r w:rsidR="00966C98">
        <w:rPr>
          <w:rFonts w:ascii="Book Antiqua" w:eastAsia="Calibri" w:hAnsi="Book Antiqua" w:cs="Arial"/>
          <w:sz w:val="24"/>
          <w:szCs w:val="24"/>
        </w:rPr>
        <w:t xml:space="preserve">Juzgado </w:t>
      </w:r>
      <w:r w:rsidR="00A06E71">
        <w:rPr>
          <w:rFonts w:ascii="Book Antiqua" w:eastAsia="Calibri" w:hAnsi="Book Antiqua" w:cs="Arial"/>
          <w:sz w:val="24"/>
          <w:szCs w:val="24"/>
        </w:rPr>
        <w:t xml:space="preserve">Segundo, un comportamiento similar se tiene </w:t>
      </w:r>
      <w:r w:rsidR="00966C98">
        <w:rPr>
          <w:rFonts w:ascii="Book Antiqua" w:eastAsia="Calibri" w:hAnsi="Book Antiqua" w:cs="Arial"/>
          <w:sz w:val="24"/>
          <w:szCs w:val="24"/>
        </w:rPr>
        <w:t xml:space="preserve">en el porcentaje de efectividad de realización de las audiencias de conciliación 63% para el Juzgado Segundo y un 45% para el Juzgado Primero; sin embargo, la cantidad de audiencias pendientes de realización es menor en el Juzgado Primero con 121, equivalentes a 85 menos que el Juzgado Segundo con 206 señalamientos pendientes de realizar, en cuanto a los expedientes pendientes de fallo, se observa que </w:t>
      </w:r>
      <w:r w:rsidR="00C92A4C">
        <w:rPr>
          <w:rFonts w:ascii="Book Antiqua" w:eastAsia="Calibri" w:hAnsi="Book Antiqua" w:cs="Arial"/>
          <w:sz w:val="24"/>
          <w:szCs w:val="24"/>
        </w:rPr>
        <w:t xml:space="preserve">el Juzgado Segundo a diciembre de 2021 tenía 144 asuntos, mientras que el Juzgado Primero 99 expedientes, para una diferencia de 45 expedientes menos que el Juzgado Segundo. </w:t>
      </w:r>
    </w:p>
    <w:p w14:paraId="236766A6" w14:textId="77777777" w:rsidR="0036617F" w:rsidRDefault="0036617F" w:rsidP="00FE54CE">
      <w:pPr>
        <w:spacing w:after="0" w:line="276" w:lineRule="auto"/>
        <w:jc w:val="both"/>
        <w:rPr>
          <w:rFonts w:ascii="Book Antiqua" w:eastAsia="Calibri" w:hAnsi="Book Antiqua" w:cs="Arial"/>
          <w:sz w:val="24"/>
          <w:szCs w:val="24"/>
        </w:rPr>
      </w:pPr>
    </w:p>
    <w:p w14:paraId="7A4DC7B5" w14:textId="50D9B2F0" w:rsidR="007A3DAF" w:rsidRDefault="00A02661" w:rsidP="00FE54C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Por otro lado, la cantidad de expedientes pasados a firmar </w:t>
      </w:r>
      <w:r w:rsidR="00560C81">
        <w:rPr>
          <w:rFonts w:ascii="Book Antiqua" w:eastAsia="Calibri" w:hAnsi="Book Antiqua" w:cs="Arial"/>
          <w:sz w:val="24"/>
          <w:szCs w:val="24"/>
        </w:rPr>
        <w:t xml:space="preserve">por las personas técnicas, se visualiza el Juzgado Segundo pasó 900 expedientes, lo que representa 354 más </w:t>
      </w:r>
      <w:r w:rsidR="00560C81">
        <w:rPr>
          <w:rFonts w:ascii="Book Antiqua" w:eastAsia="Calibri" w:hAnsi="Book Antiqua" w:cs="Arial"/>
          <w:sz w:val="24"/>
          <w:szCs w:val="24"/>
        </w:rPr>
        <w:lastRenderedPageBreak/>
        <w:t xml:space="preserve">que su homólogo el Juzgado Primero con 546 expedientes, y un porcentaje de rendimiento de un 61% y un 52% respectivamente; por último, la cantidad de sentencias dictadas para el Juzgado Primero fue de 101 y 93 para el Juzgado Segundo, para una diferencia de 8 sentencias más en el Juzgado Primero, y un porcentaje de rendimiento de 45% y </w:t>
      </w:r>
      <w:r w:rsidR="00823D34">
        <w:rPr>
          <w:rFonts w:ascii="Book Antiqua" w:eastAsia="Calibri" w:hAnsi="Book Antiqua" w:cs="Arial"/>
          <w:sz w:val="24"/>
          <w:szCs w:val="24"/>
        </w:rPr>
        <w:t xml:space="preserve">47%; es importante indicar que el Juzgado Primero de Familia, </w:t>
      </w:r>
      <w:r w:rsidR="00315D17">
        <w:rPr>
          <w:rFonts w:ascii="Book Antiqua" w:eastAsia="Calibri" w:hAnsi="Book Antiqua" w:cs="Arial"/>
          <w:sz w:val="24"/>
          <w:szCs w:val="24"/>
        </w:rPr>
        <w:t xml:space="preserve">al no contar con la figura de la persona Coordinadora Judicial </w:t>
      </w:r>
      <w:r w:rsidR="00823D34">
        <w:rPr>
          <w:rFonts w:ascii="Book Antiqua" w:eastAsia="Calibri" w:hAnsi="Book Antiqua" w:cs="Arial"/>
          <w:sz w:val="24"/>
          <w:szCs w:val="24"/>
        </w:rPr>
        <w:t>durante los meses de julio y agosto de 2021</w:t>
      </w:r>
      <w:r w:rsidR="00315D17">
        <w:rPr>
          <w:rFonts w:ascii="Book Antiqua" w:eastAsia="Calibri" w:hAnsi="Book Antiqua" w:cs="Arial"/>
          <w:sz w:val="24"/>
          <w:szCs w:val="24"/>
        </w:rPr>
        <w:t>,</w:t>
      </w:r>
      <w:r w:rsidR="00823D34">
        <w:rPr>
          <w:rFonts w:ascii="Book Antiqua" w:eastAsia="Calibri" w:hAnsi="Book Antiqua" w:cs="Arial"/>
          <w:sz w:val="24"/>
          <w:szCs w:val="24"/>
        </w:rPr>
        <w:t xml:space="preserve"> no remitió la información de los indicadores de gestión, </w:t>
      </w:r>
      <w:r w:rsidR="007A3DAF">
        <w:rPr>
          <w:rFonts w:ascii="Book Antiqua" w:eastAsia="Calibri" w:hAnsi="Book Antiqua" w:cs="Arial"/>
          <w:sz w:val="24"/>
          <w:szCs w:val="24"/>
        </w:rPr>
        <w:t xml:space="preserve">por lo que </w:t>
      </w:r>
      <w:r w:rsidR="00315D17">
        <w:rPr>
          <w:rFonts w:ascii="Book Antiqua" w:eastAsia="Calibri" w:hAnsi="Book Antiqua" w:cs="Arial"/>
          <w:sz w:val="24"/>
          <w:szCs w:val="24"/>
        </w:rPr>
        <w:t xml:space="preserve">se considera que </w:t>
      </w:r>
      <w:r w:rsidR="00823D34">
        <w:rPr>
          <w:rFonts w:ascii="Book Antiqua" w:eastAsia="Calibri" w:hAnsi="Book Antiqua" w:cs="Arial"/>
          <w:sz w:val="24"/>
          <w:szCs w:val="24"/>
        </w:rPr>
        <w:t xml:space="preserve">esta situación afecta los resultados </w:t>
      </w:r>
      <w:r w:rsidR="007A3DAF">
        <w:rPr>
          <w:rFonts w:ascii="Book Antiqua" w:eastAsia="Calibri" w:hAnsi="Book Antiqua" w:cs="Arial"/>
          <w:sz w:val="24"/>
          <w:szCs w:val="24"/>
        </w:rPr>
        <w:t>de</w:t>
      </w:r>
      <w:r w:rsidR="00823D34">
        <w:rPr>
          <w:rFonts w:ascii="Book Antiqua" w:eastAsia="Calibri" w:hAnsi="Book Antiqua" w:cs="Arial"/>
          <w:sz w:val="24"/>
          <w:szCs w:val="24"/>
        </w:rPr>
        <w:t>l despacho</w:t>
      </w:r>
      <w:r w:rsidR="00315D17">
        <w:rPr>
          <w:rFonts w:ascii="Book Antiqua" w:eastAsia="Calibri" w:hAnsi="Book Antiqua" w:cs="Arial"/>
          <w:sz w:val="24"/>
          <w:szCs w:val="24"/>
        </w:rPr>
        <w:t>,</w:t>
      </w:r>
      <w:r w:rsidR="007A3DAF">
        <w:rPr>
          <w:rFonts w:ascii="Book Antiqua" w:eastAsia="Calibri" w:hAnsi="Book Antiqua" w:cs="Arial"/>
          <w:sz w:val="24"/>
          <w:szCs w:val="24"/>
        </w:rPr>
        <w:t xml:space="preserve"> </w:t>
      </w:r>
      <w:r w:rsidR="00315D17">
        <w:rPr>
          <w:rFonts w:ascii="Book Antiqua" w:eastAsia="Calibri" w:hAnsi="Book Antiqua" w:cs="Arial"/>
          <w:sz w:val="24"/>
          <w:szCs w:val="24"/>
        </w:rPr>
        <w:t xml:space="preserve">obteniéndose resultados </w:t>
      </w:r>
      <w:r w:rsidR="007A3DAF">
        <w:rPr>
          <w:rFonts w:ascii="Book Antiqua" w:eastAsia="Calibri" w:hAnsi="Book Antiqua" w:cs="Arial"/>
          <w:sz w:val="24"/>
          <w:szCs w:val="24"/>
        </w:rPr>
        <w:t xml:space="preserve">mayores o menores a </w:t>
      </w:r>
      <w:r w:rsidR="00315D17">
        <w:rPr>
          <w:rFonts w:ascii="Book Antiqua" w:eastAsia="Calibri" w:hAnsi="Book Antiqua" w:cs="Arial"/>
          <w:sz w:val="24"/>
          <w:szCs w:val="24"/>
        </w:rPr>
        <w:t>los</w:t>
      </w:r>
      <w:r w:rsidR="007A3DAF">
        <w:rPr>
          <w:rFonts w:ascii="Book Antiqua" w:eastAsia="Calibri" w:hAnsi="Book Antiqua" w:cs="Arial"/>
          <w:sz w:val="24"/>
          <w:szCs w:val="24"/>
        </w:rPr>
        <w:t xml:space="preserve"> indicad</w:t>
      </w:r>
      <w:r w:rsidR="00315D17">
        <w:rPr>
          <w:rFonts w:ascii="Book Antiqua" w:eastAsia="Calibri" w:hAnsi="Book Antiqua" w:cs="Arial"/>
          <w:sz w:val="24"/>
          <w:szCs w:val="24"/>
        </w:rPr>
        <w:t>os.</w:t>
      </w:r>
    </w:p>
    <w:p w14:paraId="4AB289B6" w14:textId="77777777" w:rsidR="0036617F" w:rsidRDefault="0036617F" w:rsidP="00FE54CE">
      <w:pPr>
        <w:spacing w:after="0" w:line="276" w:lineRule="auto"/>
        <w:jc w:val="both"/>
        <w:rPr>
          <w:rFonts w:ascii="Book Antiqua" w:eastAsia="Calibri" w:hAnsi="Book Antiqua" w:cs="Arial"/>
          <w:sz w:val="24"/>
          <w:szCs w:val="24"/>
        </w:rPr>
      </w:pPr>
    </w:p>
    <w:p w14:paraId="22FDB747" w14:textId="4E1D4B90" w:rsidR="00471A4D" w:rsidRPr="00471A4D" w:rsidRDefault="00D970AF" w:rsidP="00471A4D">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S</w:t>
      </w:r>
      <w:r w:rsidR="00F64205">
        <w:rPr>
          <w:rFonts w:ascii="Book Antiqua" w:eastAsia="Calibri" w:hAnsi="Book Antiqua" w:cs="Arial"/>
          <w:sz w:val="24"/>
          <w:szCs w:val="24"/>
        </w:rPr>
        <w:t xml:space="preserve">egún la relación de Puestos 2022 de la Dirección de Gestión Humana, los despachos analizados tienen adscritas </w:t>
      </w:r>
      <w:r w:rsidR="00471A4D">
        <w:rPr>
          <w:rFonts w:ascii="Book Antiqua" w:eastAsia="Calibri" w:hAnsi="Book Antiqua" w:cs="Arial"/>
          <w:sz w:val="24"/>
          <w:szCs w:val="24"/>
        </w:rPr>
        <w:t>cad</w:t>
      </w:r>
      <w:r w:rsidR="00315D17">
        <w:rPr>
          <w:rFonts w:ascii="Book Antiqua" w:eastAsia="Calibri" w:hAnsi="Book Antiqua" w:cs="Arial"/>
          <w:sz w:val="24"/>
          <w:szCs w:val="24"/>
        </w:rPr>
        <w:t>o</w:t>
      </w:r>
      <w:r w:rsidR="00471A4D">
        <w:rPr>
          <w:rFonts w:ascii="Book Antiqua" w:eastAsia="Calibri" w:hAnsi="Book Antiqua" w:cs="Arial"/>
          <w:sz w:val="24"/>
          <w:szCs w:val="24"/>
        </w:rPr>
        <w:t xml:space="preserve"> uno 11 plazas, </w:t>
      </w:r>
      <w:r w:rsidR="00471A4D" w:rsidRPr="00471A4D">
        <w:rPr>
          <w:rFonts w:ascii="Book Antiqua" w:eastAsia="Calibri" w:hAnsi="Book Antiqua" w:cs="Arial"/>
          <w:sz w:val="24"/>
          <w:szCs w:val="24"/>
        </w:rPr>
        <w:t xml:space="preserve">de las cuales </w:t>
      </w:r>
      <w:r w:rsidR="00471A4D">
        <w:rPr>
          <w:rFonts w:ascii="Book Antiqua" w:eastAsia="Calibri" w:hAnsi="Book Antiqua" w:cs="Arial"/>
          <w:sz w:val="24"/>
          <w:szCs w:val="24"/>
        </w:rPr>
        <w:t>tres son</w:t>
      </w:r>
      <w:r w:rsidR="00471A4D" w:rsidRPr="00471A4D">
        <w:rPr>
          <w:rFonts w:ascii="Book Antiqua" w:eastAsia="Calibri" w:hAnsi="Book Antiqua" w:cs="Arial"/>
          <w:sz w:val="24"/>
          <w:szCs w:val="24"/>
        </w:rPr>
        <w:t xml:space="preserve"> de personas juzgadoras, </w:t>
      </w:r>
      <w:r w:rsidR="00471A4D">
        <w:rPr>
          <w:rFonts w:ascii="Book Antiqua" w:eastAsia="Calibri" w:hAnsi="Book Antiqua" w:cs="Arial"/>
          <w:sz w:val="24"/>
          <w:szCs w:val="24"/>
        </w:rPr>
        <w:t xml:space="preserve">una de coordinador o coordinadora judicial, </w:t>
      </w:r>
      <w:r w:rsidR="00471A4D" w:rsidRPr="00471A4D">
        <w:rPr>
          <w:rFonts w:ascii="Book Antiqua" w:eastAsia="Calibri" w:hAnsi="Book Antiqua" w:cs="Arial"/>
          <w:sz w:val="24"/>
          <w:szCs w:val="24"/>
        </w:rPr>
        <w:t xml:space="preserve">seis </w:t>
      </w:r>
      <w:r w:rsidR="00471A4D">
        <w:rPr>
          <w:rFonts w:ascii="Book Antiqua" w:eastAsia="Calibri" w:hAnsi="Book Antiqua" w:cs="Arial"/>
          <w:sz w:val="24"/>
          <w:szCs w:val="24"/>
        </w:rPr>
        <w:t xml:space="preserve">de </w:t>
      </w:r>
      <w:r w:rsidR="00471A4D" w:rsidRPr="00471A4D">
        <w:rPr>
          <w:rFonts w:ascii="Book Antiqua" w:eastAsia="Calibri" w:hAnsi="Book Antiqua" w:cs="Arial"/>
          <w:sz w:val="24"/>
          <w:szCs w:val="24"/>
        </w:rPr>
        <w:t xml:space="preserve">técnicos </w:t>
      </w:r>
      <w:r w:rsidR="00471A4D">
        <w:rPr>
          <w:rFonts w:ascii="Book Antiqua" w:eastAsia="Calibri" w:hAnsi="Book Antiqua" w:cs="Arial"/>
          <w:sz w:val="24"/>
          <w:szCs w:val="24"/>
        </w:rPr>
        <w:t xml:space="preserve">o técnicas </w:t>
      </w:r>
      <w:r w:rsidR="00471A4D" w:rsidRPr="00471A4D">
        <w:rPr>
          <w:rFonts w:ascii="Book Antiqua" w:eastAsia="Calibri" w:hAnsi="Book Antiqua" w:cs="Arial"/>
          <w:sz w:val="24"/>
          <w:szCs w:val="24"/>
        </w:rPr>
        <w:t>judiciales</w:t>
      </w:r>
      <w:r w:rsidR="00471A4D">
        <w:rPr>
          <w:rFonts w:ascii="Book Antiqua" w:eastAsia="Calibri" w:hAnsi="Book Antiqua" w:cs="Arial"/>
          <w:sz w:val="24"/>
          <w:szCs w:val="24"/>
        </w:rPr>
        <w:t xml:space="preserve"> y una de auxiliar de </w:t>
      </w:r>
      <w:r w:rsidR="00471A4D" w:rsidRPr="00471A4D">
        <w:rPr>
          <w:rFonts w:ascii="Book Antiqua" w:eastAsia="Calibri" w:hAnsi="Book Antiqua" w:cs="Arial"/>
          <w:sz w:val="24"/>
          <w:szCs w:val="24"/>
        </w:rPr>
        <w:t>servicios</w:t>
      </w:r>
      <w:r w:rsidR="00471A4D">
        <w:rPr>
          <w:rFonts w:ascii="Book Antiqua" w:eastAsia="Calibri" w:hAnsi="Book Antiqua" w:cs="Arial"/>
          <w:sz w:val="24"/>
          <w:szCs w:val="24"/>
        </w:rPr>
        <w:t xml:space="preserve"> generales.</w:t>
      </w:r>
    </w:p>
    <w:p w14:paraId="7A6CE752" w14:textId="77777777" w:rsidR="00471A4D" w:rsidRPr="00471A4D" w:rsidRDefault="00471A4D" w:rsidP="00471A4D">
      <w:pPr>
        <w:spacing w:after="0" w:line="276" w:lineRule="auto"/>
        <w:jc w:val="both"/>
        <w:rPr>
          <w:rFonts w:ascii="Book Antiqua" w:eastAsia="Calibri" w:hAnsi="Book Antiqua" w:cs="Arial"/>
          <w:sz w:val="24"/>
          <w:szCs w:val="24"/>
        </w:rPr>
      </w:pPr>
    </w:p>
    <w:p w14:paraId="381982C1" w14:textId="6621D3A5" w:rsidR="00A02661" w:rsidRDefault="00471A4D" w:rsidP="00471A4D">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 continuación</w:t>
      </w:r>
      <w:r w:rsidRPr="00471A4D">
        <w:rPr>
          <w:rFonts w:ascii="Book Antiqua" w:eastAsia="Calibri" w:hAnsi="Book Antiqua" w:cs="Arial"/>
          <w:sz w:val="24"/>
          <w:szCs w:val="24"/>
        </w:rPr>
        <w:t xml:space="preserve">, se </w:t>
      </w:r>
      <w:r>
        <w:rPr>
          <w:rFonts w:ascii="Book Antiqua" w:eastAsia="Calibri" w:hAnsi="Book Antiqua" w:cs="Arial"/>
          <w:sz w:val="24"/>
          <w:szCs w:val="24"/>
        </w:rPr>
        <w:t>detalla en el siguiente</w:t>
      </w:r>
      <w:r w:rsidRPr="00471A4D">
        <w:rPr>
          <w:rFonts w:ascii="Book Antiqua" w:eastAsia="Calibri" w:hAnsi="Book Antiqua" w:cs="Arial"/>
          <w:sz w:val="24"/>
          <w:szCs w:val="24"/>
        </w:rPr>
        <w:t xml:space="preserve"> cuadro el estado actual de las plazas adscritas a</w:t>
      </w:r>
      <w:r>
        <w:rPr>
          <w:rFonts w:ascii="Book Antiqua" w:eastAsia="Calibri" w:hAnsi="Book Antiqua" w:cs="Arial"/>
          <w:sz w:val="24"/>
          <w:szCs w:val="24"/>
        </w:rPr>
        <w:t xml:space="preserve"> </w:t>
      </w:r>
      <w:r w:rsidRPr="00471A4D">
        <w:rPr>
          <w:rFonts w:ascii="Book Antiqua" w:eastAsia="Calibri" w:hAnsi="Book Antiqua" w:cs="Arial"/>
          <w:sz w:val="24"/>
          <w:szCs w:val="24"/>
        </w:rPr>
        <w:t>l</w:t>
      </w:r>
      <w:r>
        <w:rPr>
          <w:rFonts w:ascii="Book Antiqua" w:eastAsia="Calibri" w:hAnsi="Book Antiqua" w:cs="Arial"/>
          <w:sz w:val="24"/>
          <w:szCs w:val="24"/>
        </w:rPr>
        <w:t>os</w:t>
      </w:r>
      <w:r w:rsidRPr="00471A4D">
        <w:rPr>
          <w:rFonts w:ascii="Book Antiqua" w:eastAsia="Calibri" w:hAnsi="Book Antiqua" w:cs="Arial"/>
          <w:sz w:val="24"/>
          <w:szCs w:val="24"/>
        </w:rPr>
        <w:t xml:space="preserve"> despacho</w:t>
      </w:r>
      <w:r>
        <w:rPr>
          <w:rFonts w:ascii="Book Antiqua" w:eastAsia="Calibri" w:hAnsi="Book Antiqua" w:cs="Arial"/>
          <w:sz w:val="24"/>
          <w:szCs w:val="24"/>
        </w:rPr>
        <w:t>s</w:t>
      </w:r>
      <w:r w:rsidRPr="00471A4D">
        <w:rPr>
          <w:rFonts w:ascii="Book Antiqua" w:eastAsia="Calibri" w:hAnsi="Book Antiqua" w:cs="Arial"/>
          <w:sz w:val="24"/>
          <w:szCs w:val="24"/>
        </w:rPr>
        <w:t xml:space="preserve"> en estudio.</w:t>
      </w:r>
    </w:p>
    <w:p w14:paraId="3AC1445F" w14:textId="2183D65E" w:rsidR="00471A4D" w:rsidRDefault="00471A4D" w:rsidP="00471A4D">
      <w:pPr>
        <w:spacing w:after="0" w:line="276" w:lineRule="auto"/>
        <w:jc w:val="both"/>
        <w:rPr>
          <w:rFonts w:ascii="Book Antiqua" w:eastAsia="Calibri" w:hAnsi="Book Antiqua" w:cs="Arial"/>
          <w:sz w:val="24"/>
          <w:szCs w:val="24"/>
        </w:rPr>
      </w:pPr>
    </w:p>
    <w:p w14:paraId="479C086F" w14:textId="7236ED9E" w:rsidR="002C193F" w:rsidRPr="00F30375" w:rsidRDefault="002C193F" w:rsidP="002C193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30375">
        <w:rPr>
          <w:rFonts w:ascii="Book Antiqua" w:eastAsia="Calibri" w:hAnsi="Book Antiqua" w:cs="Arial"/>
          <w:b/>
          <w:bCs/>
          <w:color w:val="1F497D"/>
          <w:szCs w:val="24"/>
          <w:lang w:val="es-ES" w:eastAsia="es-ES"/>
        </w:rPr>
        <w:t xml:space="preserve">Cuadro </w:t>
      </w:r>
      <w:r w:rsidRPr="00F30375">
        <w:rPr>
          <w:rFonts w:ascii="Book Antiqua" w:eastAsia="Calibri" w:hAnsi="Book Antiqua" w:cs="Arial"/>
          <w:b/>
          <w:bCs/>
          <w:color w:val="1F497D"/>
          <w:szCs w:val="24"/>
          <w:lang w:val="es-ES" w:eastAsia="es-ES"/>
        </w:rPr>
        <w:fldChar w:fldCharType="begin"/>
      </w:r>
      <w:r w:rsidRPr="00F30375">
        <w:rPr>
          <w:rFonts w:ascii="Book Antiqua" w:eastAsia="Calibri" w:hAnsi="Book Antiqua" w:cs="Arial"/>
          <w:b/>
          <w:bCs/>
          <w:color w:val="1F497D"/>
          <w:szCs w:val="24"/>
          <w:lang w:val="es-ES" w:eastAsia="es-ES"/>
        </w:rPr>
        <w:instrText xml:space="preserve"> SEQ Cuadro \* ARABIC </w:instrText>
      </w:r>
      <w:r w:rsidRPr="00F3037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32</w:t>
      </w:r>
      <w:r w:rsidRPr="00F30375">
        <w:rPr>
          <w:rFonts w:ascii="Book Antiqua" w:eastAsia="Calibri" w:hAnsi="Book Antiqua" w:cs="Arial"/>
          <w:b/>
          <w:bCs/>
          <w:color w:val="1F497D"/>
          <w:szCs w:val="24"/>
          <w:lang w:val="es-ES" w:eastAsia="es-ES"/>
        </w:rPr>
        <w:fldChar w:fldCharType="end"/>
      </w:r>
      <w:r w:rsidRPr="00F30375">
        <w:rPr>
          <w:rFonts w:ascii="Book Antiqua" w:eastAsia="Calibri" w:hAnsi="Book Antiqua" w:cs="Arial"/>
          <w:b/>
          <w:bCs/>
          <w:color w:val="1F497D"/>
          <w:szCs w:val="24"/>
          <w:lang w:val="es-ES" w:eastAsia="es-ES"/>
        </w:rPr>
        <w:t xml:space="preserve"> </w:t>
      </w:r>
    </w:p>
    <w:p w14:paraId="5F783AE8" w14:textId="77777777" w:rsidR="00315D17" w:rsidRDefault="00315D17" w:rsidP="002C193F">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Estado de los puestos adscritos a los J</w:t>
      </w:r>
      <w:r w:rsidR="002C193F" w:rsidRPr="00F30375">
        <w:rPr>
          <w:rFonts w:ascii="Book Antiqua" w:eastAsia="Calibri" w:hAnsi="Book Antiqua" w:cs="Arial"/>
          <w:b/>
          <w:bCs/>
          <w:color w:val="1F497D"/>
          <w:szCs w:val="24"/>
          <w:lang w:val="es-ES" w:eastAsia="es-ES"/>
        </w:rPr>
        <w:t>uzgado</w:t>
      </w:r>
      <w:r w:rsidR="002C193F">
        <w:rPr>
          <w:rFonts w:ascii="Book Antiqua" w:eastAsia="Calibri" w:hAnsi="Book Antiqua" w:cs="Arial"/>
          <w:b/>
          <w:bCs/>
          <w:color w:val="1F497D"/>
          <w:szCs w:val="24"/>
          <w:lang w:val="es-ES" w:eastAsia="es-ES"/>
        </w:rPr>
        <w:t>s</w:t>
      </w:r>
      <w:r w:rsidR="002C193F" w:rsidRPr="00F30375">
        <w:rPr>
          <w:rFonts w:ascii="Book Antiqua" w:eastAsia="Calibri" w:hAnsi="Book Antiqua" w:cs="Arial"/>
          <w:b/>
          <w:bCs/>
          <w:color w:val="1F497D"/>
          <w:szCs w:val="24"/>
          <w:lang w:val="es-ES" w:eastAsia="es-ES"/>
        </w:rPr>
        <w:t xml:space="preserve"> </w:t>
      </w:r>
      <w:r w:rsidR="002C193F">
        <w:rPr>
          <w:rFonts w:ascii="Book Antiqua" w:eastAsia="Calibri" w:hAnsi="Book Antiqua" w:cs="Arial"/>
          <w:b/>
          <w:bCs/>
          <w:color w:val="1F497D"/>
          <w:szCs w:val="24"/>
          <w:lang w:val="es-ES" w:eastAsia="es-ES"/>
        </w:rPr>
        <w:t xml:space="preserve">Primero y Segundo </w:t>
      </w:r>
    </w:p>
    <w:p w14:paraId="47FC686F" w14:textId="2278BF1C" w:rsidR="002C193F" w:rsidRDefault="002C193F" w:rsidP="002C193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30375">
        <w:rPr>
          <w:rFonts w:ascii="Book Antiqua" w:eastAsia="Calibri" w:hAnsi="Book Antiqua" w:cs="Arial"/>
          <w:b/>
          <w:bCs/>
          <w:color w:val="1F497D"/>
          <w:szCs w:val="24"/>
          <w:lang w:val="es-ES" w:eastAsia="es-ES"/>
        </w:rPr>
        <w:t>de Familia de San José</w:t>
      </w:r>
      <w:r>
        <w:rPr>
          <w:rFonts w:ascii="Book Antiqua" w:eastAsia="Calibri" w:hAnsi="Book Antiqua" w:cs="Arial"/>
          <w:b/>
          <w:bCs/>
          <w:color w:val="1F497D"/>
          <w:szCs w:val="24"/>
          <w:lang w:val="es-ES" w:eastAsia="es-ES"/>
        </w:rPr>
        <w:t xml:space="preserve">, </w:t>
      </w:r>
      <w:r w:rsidR="00315D17">
        <w:rPr>
          <w:rFonts w:ascii="Book Antiqua" w:eastAsia="Calibri" w:hAnsi="Book Antiqua" w:cs="Arial"/>
          <w:b/>
          <w:bCs/>
          <w:color w:val="1F497D"/>
          <w:szCs w:val="24"/>
          <w:lang w:val="es-ES" w:eastAsia="es-ES"/>
        </w:rPr>
        <w:t>relación de puestos 2022</w:t>
      </w:r>
    </w:p>
    <w:tbl>
      <w:tblPr>
        <w:tblW w:w="5000" w:type="pct"/>
        <w:tblCellMar>
          <w:left w:w="70" w:type="dxa"/>
          <w:right w:w="70" w:type="dxa"/>
        </w:tblCellMar>
        <w:tblLook w:val="04A0" w:firstRow="1" w:lastRow="0" w:firstColumn="1" w:lastColumn="0" w:noHBand="0" w:noVBand="1"/>
      </w:tblPr>
      <w:tblGrid>
        <w:gridCol w:w="2839"/>
        <w:gridCol w:w="2583"/>
        <w:gridCol w:w="1273"/>
        <w:gridCol w:w="2133"/>
      </w:tblGrid>
      <w:tr w:rsidR="002C193F" w:rsidRPr="002C193F" w14:paraId="3FD25796" w14:textId="77777777" w:rsidTr="002C193F">
        <w:trPr>
          <w:trHeight w:val="570"/>
        </w:trPr>
        <w:tc>
          <w:tcPr>
            <w:tcW w:w="1608"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2C50E22C" w14:textId="77777777" w:rsidR="002C193F" w:rsidRPr="002C193F" w:rsidRDefault="002C193F" w:rsidP="002C193F">
            <w:pPr>
              <w:spacing w:after="0" w:line="240" w:lineRule="auto"/>
              <w:jc w:val="center"/>
              <w:rPr>
                <w:rFonts w:ascii="Book Antiqua" w:eastAsia="Times New Roman" w:hAnsi="Book Antiqua" w:cs="Calibri"/>
                <w:b/>
                <w:bCs/>
                <w:color w:val="FFFFFF"/>
                <w:lang w:eastAsia="es-CR"/>
              </w:rPr>
            </w:pPr>
            <w:r w:rsidRPr="002C193F">
              <w:rPr>
                <w:rFonts w:ascii="Book Antiqua" w:eastAsia="Times New Roman" w:hAnsi="Book Antiqua" w:cs="Calibri"/>
                <w:b/>
                <w:bCs/>
                <w:color w:val="FFFFFF"/>
                <w:lang w:eastAsia="es-CR"/>
              </w:rPr>
              <w:t>Oficina</w:t>
            </w:r>
          </w:p>
        </w:tc>
        <w:tc>
          <w:tcPr>
            <w:tcW w:w="1463" w:type="pct"/>
            <w:tcBorders>
              <w:top w:val="single" w:sz="4" w:space="0" w:color="auto"/>
              <w:left w:val="nil"/>
              <w:bottom w:val="single" w:sz="4" w:space="0" w:color="auto"/>
              <w:right w:val="single" w:sz="4" w:space="0" w:color="auto"/>
            </w:tcBorders>
            <w:shd w:val="clear" w:color="000000" w:fill="002060"/>
            <w:vAlign w:val="center"/>
            <w:hideMark/>
          </w:tcPr>
          <w:p w14:paraId="36017D5D" w14:textId="77777777" w:rsidR="002C193F" w:rsidRPr="002C193F" w:rsidRDefault="002C193F" w:rsidP="002C193F">
            <w:pPr>
              <w:spacing w:after="0" w:line="240" w:lineRule="auto"/>
              <w:jc w:val="center"/>
              <w:rPr>
                <w:rFonts w:ascii="Book Antiqua" w:eastAsia="Times New Roman" w:hAnsi="Book Antiqua" w:cs="Calibri"/>
                <w:b/>
                <w:bCs/>
                <w:color w:val="FFFFFF"/>
                <w:lang w:eastAsia="es-CR"/>
              </w:rPr>
            </w:pPr>
            <w:r w:rsidRPr="002C193F">
              <w:rPr>
                <w:rFonts w:ascii="Book Antiqua" w:eastAsia="Times New Roman" w:hAnsi="Book Antiqua" w:cs="Calibri"/>
                <w:b/>
                <w:bCs/>
                <w:color w:val="FFFFFF"/>
                <w:lang w:eastAsia="es-CR"/>
              </w:rPr>
              <w:t>Clase</w:t>
            </w:r>
          </w:p>
        </w:tc>
        <w:tc>
          <w:tcPr>
            <w:tcW w:w="721" w:type="pct"/>
            <w:tcBorders>
              <w:top w:val="single" w:sz="4" w:space="0" w:color="auto"/>
              <w:left w:val="nil"/>
              <w:bottom w:val="single" w:sz="4" w:space="0" w:color="auto"/>
              <w:right w:val="single" w:sz="4" w:space="0" w:color="auto"/>
            </w:tcBorders>
            <w:shd w:val="clear" w:color="000000" w:fill="002060"/>
            <w:vAlign w:val="center"/>
            <w:hideMark/>
          </w:tcPr>
          <w:p w14:paraId="72332848" w14:textId="77777777" w:rsidR="002C193F" w:rsidRPr="002C193F" w:rsidRDefault="002C193F" w:rsidP="002C193F">
            <w:pPr>
              <w:spacing w:after="0" w:line="240" w:lineRule="auto"/>
              <w:jc w:val="center"/>
              <w:rPr>
                <w:rFonts w:ascii="Book Antiqua" w:eastAsia="Times New Roman" w:hAnsi="Book Antiqua" w:cs="Calibri"/>
                <w:b/>
                <w:bCs/>
                <w:color w:val="FFFFFF"/>
                <w:lang w:eastAsia="es-CR"/>
              </w:rPr>
            </w:pPr>
            <w:r w:rsidRPr="002C193F">
              <w:rPr>
                <w:rFonts w:ascii="Book Antiqua" w:eastAsia="Times New Roman" w:hAnsi="Book Antiqua" w:cs="Calibri"/>
                <w:b/>
                <w:bCs/>
                <w:color w:val="FFFFFF"/>
                <w:lang w:eastAsia="es-CR"/>
              </w:rPr>
              <w:t>Número Puesto</w:t>
            </w:r>
          </w:p>
        </w:tc>
        <w:tc>
          <w:tcPr>
            <w:tcW w:w="1208" w:type="pct"/>
            <w:tcBorders>
              <w:top w:val="single" w:sz="4" w:space="0" w:color="auto"/>
              <w:left w:val="nil"/>
              <w:bottom w:val="single" w:sz="4" w:space="0" w:color="auto"/>
              <w:right w:val="single" w:sz="4" w:space="0" w:color="auto"/>
            </w:tcBorders>
            <w:shd w:val="clear" w:color="000000" w:fill="002060"/>
            <w:vAlign w:val="center"/>
            <w:hideMark/>
          </w:tcPr>
          <w:p w14:paraId="2F9D47A5" w14:textId="77777777" w:rsidR="002C193F" w:rsidRPr="002C193F" w:rsidRDefault="002C193F" w:rsidP="002C193F">
            <w:pPr>
              <w:spacing w:after="0" w:line="240" w:lineRule="auto"/>
              <w:jc w:val="center"/>
              <w:rPr>
                <w:rFonts w:ascii="Book Antiqua" w:eastAsia="Times New Roman" w:hAnsi="Book Antiqua" w:cs="Calibri"/>
                <w:b/>
                <w:bCs/>
                <w:color w:val="FFFFFF"/>
                <w:lang w:eastAsia="es-CR"/>
              </w:rPr>
            </w:pPr>
            <w:r w:rsidRPr="002C193F">
              <w:rPr>
                <w:rFonts w:ascii="Book Antiqua" w:eastAsia="Times New Roman" w:hAnsi="Book Antiqua" w:cs="Calibri"/>
                <w:b/>
                <w:bCs/>
                <w:color w:val="FFFFFF"/>
                <w:lang w:eastAsia="es-CR"/>
              </w:rPr>
              <w:t>Estado Puesto</w:t>
            </w:r>
          </w:p>
        </w:tc>
      </w:tr>
      <w:tr w:rsidR="002C193F" w:rsidRPr="002C193F" w14:paraId="7E4F7D24" w14:textId="77777777" w:rsidTr="002C193F">
        <w:trPr>
          <w:trHeight w:val="270"/>
        </w:trPr>
        <w:tc>
          <w:tcPr>
            <w:tcW w:w="1608" w:type="pct"/>
            <w:vMerge w:val="restart"/>
            <w:tcBorders>
              <w:top w:val="nil"/>
              <w:left w:val="single" w:sz="4" w:space="0" w:color="auto"/>
              <w:bottom w:val="single" w:sz="4" w:space="0" w:color="auto"/>
              <w:right w:val="single" w:sz="4" w:space="0" w:color="auto"/>
            </w:tcBorders>
            <w:shd w:val="clear" w:color="auto" w:fill="auto"/>
            <w:vAlign w:val="center"/>
            <w:hideMark/>
          </w:tcPr>
          <w:p w14:paraId="0376FCBF" w14:textId="55927FFD"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Juzgado Primero de Familia de San José</w:t>
            </w:r>
          </w:p>
        </w:tc>
        <w:tc>
          <w:tcPr>
            <w:tcW w:w="1463" w:type="pct"/>
            <w:tcBorders>
              <w:top w:val="nil"/>
              <w:left w:val="nil"/>
              <w:bottom w:val="single" w:sz="4" w:space="0" w:color="auto"/>
              <w:right w:val="single" w:sz="4" w:space="0" w:color="auto"/>
            </w:tcBorders>
            <w:shd w:val="clear" w:color="auto" w:fill="auto"/>
            <w:vAlign w:val="center"/>
            <w:hideMark/>
          </w:tcPr>
          <w:p w14:paraId="06CAEA68" w14:textId="6BD8C734" w:rsidR="002C193F" w:rsidRPr="002C193F" w:rsidRDefault="002C193F" w:rsidP="002C193F">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318F420B"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43875</w:t>
            </w:r>
          </w:p>
        </w:tc>
        <w:tc>
          <w:tcPr>
            <w:tcW w:w="1208" w:type="pct"/>
            <w:tcBorders>
              <w:top w:val="nil"/>
              <w:left w:val="nil"/>
              <w:bottom w:val="single" w:sz="4" w:space="0" w:color="auto"/>
              <w:right w:val="single" w:sz="4" w:space="0" w:color="auto"/>
            </w:tcBorders>
            <w:shd w:val="clear" w:color="auto" w:fill="auto"/>
            <w:vAlign w:val="center"/>
            <w:hideMark/>
          </w:tcPr>
          <w:p w14:paraId="5FE5648E"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48AEF27B" w14:textId="77777777" w:rsidTr="00306313">
        <w:trPr>
          <w:trHeight w:val="270"/>
        </w:trPr>
        <w:tc>
          <w:tcPr>
            <w:tcW w:w="1608" w:type="pct"/>
            <w:vMerge/>
            <w:tcBorders>
              <w:top w:val="nil"/>
              <w:left w:val="single" w:sz="4" w:space="0" w:color="auto"/>
              <w:bottom w:val="single" w:sz="4" w:space="0" w:color="auto"/>
              <w:right w:val="single" w:sz="4" w:space="0" w:color="auto"/>
            </w:tcBorders>
            <w:vAlign w:val="center"/>
            <w:hideMark/>
          </w:tcPr>
          <w:p w14:paraId="4A80BAF3"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hideMark/>
          </w:tcPr>
          <w:p w14:paraId="4790D345" w14:textId="7A58D2F5" w:rsidR="002C193F" w:rsidRPr="002C193F" w:rsidRDefault="002C193F" w:rsidP="002C193F">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sidRPr="00086D78">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1A05D37D"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43876</w:t>
            </w:r>
          </w:p>
        </w:tc>
        <w:tc>
          <w:tcPr>
            <w:tcW w:w="1208" w:type="pct"/>
            <w:tcBorders>
              <w:top w:val="nil"/>
              <w:left w:val="nil"/>
              <w:bottom w:val="single" w:sz="4" w:space="0" w:color="auto"/>
              <w:right w:val="single" w:sz="4" w:space="0" w:color="auto"/>
            </w:tcBorders>
            <w:shd w:val="clear" w:color="auto" w:fill="auto"/>
            <w:vAlign w:val="center"/>
            <w:hideMark/>
          </w:tcPr>
          <w:p w14:paraId="6C8F1895"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033D237F" w14:textId="77777777" w:rsidTr="00306313">
        <w:trPr>
          <w:trHeight w:val="270"/>
        </w:trPr>
        <w:tc>
          <w:tcPr>
            <w:tcW w:w="1608" w:type="pct"/>
            <w:vMerge/>
            <w:tcBorders>
              <w:top w:val="nil"/>
              <w:left w:val="single" w:sz="4" w:space="0" w:color="auto"/>
              <w:bottom w:val="single" w:sz="4" w:space="0" w:color="auto"/>
              <w:right w:val="single" w:sz="4" w:space="0" w:color="auto"/>
            </w:tcBorders>
            <w:vAlign w:val="center"/>
            <w:hideMark/>
          </w:tcPr>
          <w:p w14:paraId="7A993751"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hideMark/>
          </w:tcPr>
          <w:p w14:paraId="62EC0813" w14:textId="2F31B346" w:rsidR="002C193F" w:rsidRPr="002C193F" w:rsidRDefault="002C193F" w:rsidP="002C193F">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sidRPr="00086D78">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13FE9F3D"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43877</w:t>
            </w:r>
          </w:p>
        </w:tc>
        <w:tc>
          <w:tcPr>
            <w:tcW w:w="1208" w:type="pct"/>
            <w:tcBorders>
              <w:top w:val="nil"/>
              <w:left w:val="nil"/>
              <w:bottom w:val="single" w:sz="4" w:space="0" w:color="auto"/>
              <w:right w:val="single" w:sz="4" w:space="0" w:color="auto"/>
            </w:tcBorders>
            <w:shd w:val="clear" w:color="auto" w:fill="auto"/>
            <w:vAlign w:val="center"/>
            <w:hideMark/>
          </w:tcPr>
          <w:p w14:paraId="2A2FB4F0"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32B3E4AF" w14:textId="77777777" w:rsidTr="001D0C10">
        <w:trPr>
          <w:trHeight w:val="290"/>
        </w:trPr>
        <w:tc>
          <w:tcPr>
            <w:tcW w:w="1608" w:type="pct"/>
            <w:vMerge/>
            <w:tcBorders>
              <w:top w:val="nil"/>
              <w:left w:val="single" w:sz="4" w:space="0" w:color="auto"/>
              <w:bottom w:val="single" w:sz="4" w:space="0" w:color="auto"/>
              <w:right w:val="single" w:sz="4" w:space="0" w:color="auto"/>
            </w:tcBorders>
            <w:vAlign w:val="center"/>
            <w:hideMark/>
          </w:tcPr>
          <w:p w14:paraId="5B877D7A"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77E58FF4"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Coordinador Judicial 2</w:t>
            </w:r>
          </w:p>
        </w:tc>
        <w:tc>
          <w:tcPr>
            <w:tcW w:w="721" w:type="pct"/>
            <w:tcBorders>
              <w:top w:val="nil"/>
              <w:left w:val="nil"/>
              <w:bottom w:val="single" w:sz="4" w:space="0" w:color="auto"/>
              <w:right w:val="single" w:sz="4" w:space="0" w:color="auto"/>
            </w:tcBorders>
            <w:shd w:val="clear" w:color="auto" w:fill="auto"/>
            <w:vAlign w:val="center"/>
            <w:hideMark/>
          </w:tcPr>
          <w:p w14:paraId="3CD0844B"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43879</w:t>
            </w:r>
          </w:p>
        </w:tc>
        <w:tc>
          <w:tcPr>
            <w:tcW w:w="1208" w:type="pct"/>
            <w:tcBorders>
              <w:top w:val="nil"/>
              <w:left w:val="nil"/>
              <w:bottom w:val="single" w:sz="4" w:space="0" w:color="auto"/>
              <w:right w:val="single" w:sz="4" w:space="0" w:color="auto"/>
            </w:tcBorders>
            <w:shd w:val="clear" w:color="auto" w:fill="auto"/>
            <w:vAlign w:val="center"/>
            <w:hideMark/>
          </w:tcPr>
          <w:p w14:paraId="26700671" w14:textId="678C78EA" w:rsidR="002C193F" w:rsidRPr="002C193F" w:rsidRDefault="00BE7829" w:rsidP="002C193F">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Propiedad</w:t>
            </w:r>
          </w:p>
        </w:tc>
      </w:tr>
      <w:tr w:rsidR="002C193F" w:rsidRPr="002C193F" w14:paraId="713053C3" w14:textId="77777777" w:rsidTr="002C193F">
        <w:trPr>
          <w:trHeight w:val="310"/>
        </w:trPr>
        <w:tc>
          <w:tcPr>
            <w:tcW w:w="1608" w:type="pct"/>
            <w:vMerge/>
            <w:tcBorders>
              <w:top w:val="nil"/>
              <w:left w:val="single" w:sz="4" w:space="0" w:color="auto"/>
              <w:bottom w:val="single" w:sz="4" w:space="0" w:color="auto"/>
              <w:right w:val="single" w:sz="4" w:space="0" w:color="auto"/>
            </w:tcBorders>
            <w:vAlign w:val="center"/>
            <w:hideMark/>
          </w:tcPr>
          <w:p w14:paraId="3A58D9ED"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7DAD3674"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790F0CC7"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43878</w:t>
            </w:r>
          </w:p>
        </w:tc>
        <w:tc>
          <w:tcPr>
            <w:tcW w:w="1208" w:type="pct"/>
            <w:tcBorders>
              <w:top w:val="nil"/>
              <w:left w:val="nil"/>
              <w:bottom w:val="single" w:sz="4" w:space="0" w:color="auto"/>
              <w:right w:val="single" w:sz="4" w:space="0" w:color="auto"/>
            </w:tcBorders>
            <w:shd w:val="clear" w:color="auto" w:fill="auto"/>
            <w:vAlign w:val="center"/>
            <w:hideMark/>
          </w:tcPr>
          <w:p w14:paraId="516A2C3F"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1CEB80EC" w14:textId="77777777" w:rsidTr="002C193F">
        <w:trPr>
          <w:trHeight w:val="290"/>
        </w:trPr>
        <w:tc>
          <w:tcPr>
            <w:tcW w:w="1608" w:type="pct"/>
            <w:vMerge/>
            <w:tcBorders>
              <w:top w:val="nil"/>
              <w:left w:val="single" w:sz="4" w:space="0" w:color="auto"/>
              <w:bottom w:val="single" w:sz="4" w:space="0" w:color="auto"/>
              <w:right w:val="single" w:sz="4" w:space="0" w:color="auto"/>
            </w:tcBorders>
            <w:vAlign w:val="center"/>
            <w:hideMark/>
          </w:tcPr>
          <w:p w14:paraId="660A48BD"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33955FE4"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048C7085"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43880</w:t>
            </w:r>
          </w:p>
        </w:tc>
        <w:tc>
          <w:tcPr>
            <w:tcW w:w="1208" w:type="pct"/>
            <w:tcBorders>
              <w:top w:val="nil"/>
              <w:left w:val="nil"/>
              <w:bottom w:val="single" w:sz="4" w:space="0" w:color="auto"/>
              <w:right w:val="single" w:sz="4" w:space="0" w:color="auto"/>
            </w:tcBorders>
            <w:shd w:val="clear" w:color="auto" w:fill="auto"/>
            <w:vAlign w:val="center"/>
            <w:hideMark/>
          </w:tcPr>
          <w:p w14:paraId="1AC544C2"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35E95A32" w14:textId="77777777" w:rsidTr="002C193F">
        <w:trPr>
          <w:trHeight w:val="310"/>
        </w:trPr>
        <w:tc>
          <w:tcPr>
            <w:tcW w:w="1608" w:type="pct"/>
            <w:vMerge/>
            <w:tcBorders>
              <w:top w:val="nil"/>
              <w:left w:val="single" w:sz="4" w:space="0" w:color="auto"/>
              <w:bottom w:val="single" w:sz="4" w:space="0" w:color="auto"/>
              <w:right w:val="single" w:sz="4" w:space="0" w:color="auto"/>
            </w:tcBorders>
            <w:vAlign w:val="center"/>
            <w:hideMark/>
          </w:tcPr>
          <w:p w14:paraId="11BDAB4A"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3460E949"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04E2603A"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43882</w:t>
            </w:r>
          </w:p>
        </w:tc>
        <w:tc>
          <w:tcPr>
            <w:tcW w:w="1208" w:type="pct"/>
            <w:tcBorders>
              <w:top w:val="nil"/>
              <w:left w:val="nil"/>
              <w:bottom w:val="single" w:sz="4" w:space="0" w:color="auto"/>
              <w:right w:val="single" w:sz="4" w:space="0" w:color="auto"/>
            </w:tcBorders>
            <w:shd w:val="clear" w:color="auto" w:fill="auto"/>
            <w:vAlign w:val="center"/>
            <w:hideMark/>
          </w:tcPr>
          <w:p w14:paraId="7B924837"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572318DB" w14:textId="77777777" w:rsidTr="001D0C10">
        <w:trPr>
          <w:trHeight w:val="290"/>
        </w:trPr>
        <w:tc>
          <w:tcPr>
            <w:tcW w:w="1608" w:type="pct"/>
            <w:vMerge/>
            <w:tcBorders>
              <w:top w:val="nil"/>
              <w:left w:val="single" w:sz="4" w:space="0" w:color="auto"/>
              <w:bottom w:val="single" w:sz="4" w:space="0" w:color="auto"/>
              <w:right w:val="single" w:sz="4" w:space="0" w:color="auto"/>
            </w:tcBorders>
            <w:vAlign w:val="center"/>
            <w:hideMark/>
          </w:tcPr>
          <w:p w14:paraId="5435FF83"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36982C24" w14:textId="77777777" w:rsidR="002C193F" w:rsidRPr="00BE7829" w:rsidRDefault="002C193F" w:rsidP="002C193F">
            <w:pPr>
              <w:spacing w:after="0" w:line="240" w:lineRule="auto"/>
              <w:jc w:val="both"/>
              <w:rPr>
                <w:rFonts w:ascii="Book Antiqua" w:eastAsia="Times New Roman" w:hAnsi="Book Antiqua" w:cs="Calibri"/>
                <w:color w:val="000000"/>
                <w:lang w:eastAsia="es-CR"/>
              </w:rPr>
            </w:pPr>
            <w:r w:rsidRPr="00BE7829">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06E23BF8" w14:textId="77777777" w:rsidR="002C193F" w:rsidRPr="00BE7829" w:rsidRDefault="002C193F" w:rsidP="002C193F">
            <w:pPr>
              <w:spacing w:after="0" w:line="240" w:lineRule="auto"/>
              <w:jc w:val="center"/>
              <w:rPr>
                <w:rFonts w:ascii="Book Antiqua" w:eastAsia="Times New Roman" w:hAnsi="Book Antiqua" w:cs="Calibri"/>
                <w:color w:val="000000"/>
                <w:lang w:eastAsia="es-CR"/>
              </w:rPr>
            </w:pPr>
            <w:r w:rsidRPr="00BE7829">
              <w:rPr>
                <w:rFonts w:ascii="Book Antiqua" w:eastAsia="Times New Roman" w:hAnsi="Book Antiqua" w:cs="Calibri"/>
                <w:color w:val="000000"/>
                <w:lang w:eastAsia="es-CR"/>
              </w:rPr>
              <w:t>43883</w:t>
            </w:r>
          </w:p>
        </w:tc>
        <w:tc>
          <w:tcPr>
            <w:tcW w:w="1208" w:type="pct"/>
            <w:tcBorders>
              <w:top w:val="nil"/>
              <w:left w:val="nil"/>
              <w:bottom w:val="single" w:sz="4" w:space="0" w:color="auto"/>
              <w:right w:val="single" w:sz="4" w:space="0" w:color="auto"/>
            </w:tcBorders>
            <w:shd w:val="clear" w:color="auto" w:fill="auto"/>
            <w:vAlign w:val="center"/>
            <w:hideMark/>
          </w:tcPr>
          <w:p w14:paraId="3023593C" w14:textId="77777777" w:rsidR="002C193F" w:rsidRPr="00BE7829" w:rsidRDefault="002C193F" w:rsidP="002C193F">
            <w:pPr>
              <w:spacing w:after="0" w:line="240" w:lineRule="auto"/>
              <w:jc w:val="center"/>
              <w:rPr>
                <w:rFonts w:ascii="Book Antiqua" w:eastAsia="Times New Roman" w:hAnsi="Book Antiqua" w:cs="Calibri"/>
                <w:color w:val="000000"/>
                <w:lang w:eastAsia="es-CR"/>
              </w:rPr>
            </w:pPr>
            <w:r w:rsidRPr="00BE7829">
              <w:rPr>
                <w:rFonts w:ascii="Book Antiqua" w:eastAsia="Times New Roman" w:hAnsi="Book Antiqua" w:cs="Calibri"/>
                <w:color w:val="000000"/>
                <w:lang w:eastAsia="es-CR"/>
              </w:rPr>
              <w:t>Vacante</w:t>
            </w:r>
          </w:p>
        </w:tc>
      </w:tr>
      <w:tr w:rsidR="002C193F" w:rsidRPr="002C193F" w14:paraId="5C52465E" w14:textId="77777777" w:rsidTr="002C193F">
        <w:trPr>
          <w:trHeight w:val="310"/>
        </w:trPr>
        <w:tc>
          <w:tcPr>
            <w:tcW w:w="1608" w:type="pct"/>
            <w:vMerge/>
            <w:tcBorders>
              <w:top w:val="nil"/>
              <w:left w:val="single" w:sz="4" w:space="0" w:color="auto"/>
              <w:bottom w:val="single" w:sz="4" w:space="0" w:color="auto"/>
              <w:right w:val="single" w:sz="4" w:space="0" w:color="auto"/>
            </w:tcBorders>
            <w:vAlign w:val="center"/>
            <w:hideMark/>
          </w:tcPr>
          <w:p w14:paraId="787D5D07"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7C66BCB7"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0C62BD55"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43884</w:t>
            </w:r>
          </w:p>
        </w:tc>
        <w:tc>
          <w:tcPr>
            <w:tcW w:w="1208" w:type="pct"/>
            <w:tcBorders>
              <w:top w:val="nil"/>
              <w:left w:val="nil"/>
              <w:bottom w:val="single" w:sz="4" w:space="0" w:color="auto"/>
              <w:right w:val="single" w:sz="4" w:space="0" w:color="auto"/>
            </w:tcBorders>
            <w:shd w:val="clear" w:color="auto" w:fill="auto"/>
            <w:vAlign w:val="center"/>
            <w:hideMark/>
          </w:tcPr>
          <w:p w14:paraId="43061B4E"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5C67F626" w14:textId="77777777" w:rsidTr="002C193F">
        <w:trPr>
          <w:trHeight w:val="290"/>
        </w:trPr>
        <w:tc>
          <w:tcPr>
            <w:tcW w:w="1608" w:type="pct"/>
            <w:vMerge/>
            <w:tcBorders>
              <w:top w:val="nil"/>
              <w:left w:val="single" w:sz="4" w:space="0" w:color="auto"/>
              <w:bottom w:val="single" w:sz="4" w:space="0" w:color="auto"/>
              <w:right w:val="single" w:sz="4" w:space="0" w:color="auto"/>
            </w:tcBorders>
            <w:vAlign w:val="center"/>
            <w:hideMark/>
          </w:tcPr>
          <w:p w14:paraId="5B62657B"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68DBF7A6"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single" w:sz="4" w:space="0" w:color="D3D3D3"/>
              <w:left w:val="single" w:sz="4" w:space="0" w:color="D3D3D3"/>
              <w:bottom w:val="single" w:sz="4" w:space="0" w:color="D3D3D3"/>
              <w:right w:val="single" w:sz="4" w:space="0" w:color="D3D3D3"/>
            </w:tcBorders>
            <w:shd w:val="clear" w:color="auto" w:fill="auto"/>
            <w:vAlign w:val="center"/>
            <w:hideMark/>
          </w:tcPr>
          <w:p w14:paraId="59B87E95" w14:textId="77777777" w:rsidR="002C193F" w:rsidRPr="002C193F" w:rsidRDefault="002C193F" w:rsidP="002C193F">
            <w:pPr>
              <w:spacing w:after="0" w:line="240" w:lineRule="auto"/>
              <w:jc w:val="center"/>
              <w:rPr>
                <w:rFonts w:ascii="Arial" w:eastAsia="Times New Roman" w:hAnsi="Arial" w:cs="Arial"/>
                <w:color w:val="000000"/>
                <w:sz w:val="20"/>
                <w:szCs w:val="20"/>
                <w:lang w:eastAsia="es-CR"/>
              </w:rPr>
            </w:pPr>
            <w:r w:rsidRPr="002C193F">
              <w:rPr>
                <w:rFonts w:ascii="Arial" w:eastAsia="Times New Roman" w:hAnsi="Arial" w:cs="Arial"/>
                <w:color w:val="000000"/>
                <w:sz w:val="20"/>
                <w:szCs w:val="20"/>
                <w:lang w:eastAsia="es-CR"/>
              </w:rPr>
              <w:t>92757</w:t>
            </w:r>
          </w:p>
        </w:tc>
        <w:tc>
          <w:tcPr>
            <w:tcW w:w="1208" w:type="pct"/>
            <w:tcBorders>
              <w:top w:val="nil"/>
              <w:left w:val="single" w:sz="4" w:space="0" w:color="auto"/>
              <w:bottom w:val="single" w:sz="4" w:space="0" w:color="auto"/>
              <w:right w:val="single" w:sz="4" w:space="0" w:color="auto"/>
            </w:tcBorders>
            <w:shd w:val="clear" w:color="auto" w:fill="auto"/>
            <w:vAlign w:val="center"/>
            <w:hideMark/>
          </w:tcPr>
          <w:p w14:paraId="15DD0DD2" w14:textId="4B7E73FD" w:rsidR="002C193F" w:rsidRPr="002C193F" w:rsidRDefault="00BE7829" w:rsidP="002C193F">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Vacante</w:t>
            </w:r>
          </w:p>
        </w:tc>
      </w:tr>
      <w:tr w:rsidR="002C193F" w:rsidRPr="002C193F" w14:paraId="136F50C1" w14:textId="77777777" w:rsidTr="002C193F">
        <w:trPr>
          <w:trHeight w:val="310"/>
        </w:trPr>
        <w:tc>
          <w:tcPr>
            <w:tcW w:w="1608" w:type="pct"/>
            <w:vMerge/>
            <w:tcBorders>
              <w:top w:val="nil"/>
              <w:left w:val="single" w:sz="4" w:space="0" w:color="auto"/>
              <w:bottom w:val="single" w:sz="4" w:space="0" w:color="auto"/>
              <w:right w:val="single" w:sz="4" w:space="0" w:color="auto"/>
            </w:tcBorders>
            <w:vAlign w:val="center"/>
            <w:hideMark/>
          </w:tcPr>
          <w:p w14:paraId="1B5AE6E0"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0957D567"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Aux. Serv. Generales</w:t>
            </w:r>
          </w:p>
        </w:tc>
        <w:tc>
          <w:tcPr>
            <w:tcW w:w="721" w:type="pct"/>
            <w:tcBorders>
              <w:top w:val="single" w:sz="4" w:space="0" w:color="auto"/>
              <w:left w:val="nil"/>
              <w:bottom w:val="single" w:sz="4" w:space="0" w:color="auto"/>
              <w:right w:val="single" w:sz="4" w:space="0" w:color="auto"/>
            </w:tcBorders>
            <w:shd w:val="clear" w:color="auto" w:fill="auto"/>
            <w:vAlign w:val="center"/>
            <w:hideMark/>
          </w:tcPr>
          <w:p w14:paraId="09A28279"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43887</w:t>
            </w:r>
          </w:p>
        </w:tc>
        <w:tc>
          <w:tcPr>
            <w:tcW w:w="1208" w:type="pct"/>
            <w:tcBorders>
              <w:top w:val="nil"/>
              <w:left w:val="nil"/>
              <w:bottom w:val="single" w:sz="4" w:space="0" w:color="auto"/>
              <w:right w:val="single" w:sz="4" w:space="0" w:color="auto"/>
            </w:tcBorders>
            <w:shd w:val="clear" w:color="auto" w:fill="auto"/>
            <w:vAlign w:val="center"/>
            <w:hideMark/>
          </w:tcPr>
          <w:p w14:paraId="3A741C52"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FB6652" w:rsidRPr="002C193F" w14:paraId="584ED4A7" w14:textId="77777777" w:rsidTr="002C193F">
        <w:trPr>
          <w:trHeight w:val="300"/>
        </w:trPr>
        <w:tc>
          <w:tcPr>
            <w:tcW w:w="1608" w:type="pct"/>
            <w:vMerge w:val="restart"/>
            <w:tcBorders>
              <w:top w:val="nil"/>
              <w:left w:val="single" w:sz="4" w:space="0" w:color="auto"/>
              <w:bottom w:val="single" w:sz="4" w:space="0" w:color="auto"/>
              <w:right w:val="single" w:sz="4" w:space="0" w:color="auto"/>
            </w:tcBorders>
            <w:shd w:val="clear" w:color="auto" w:fill="auto"/>
            <w:vAlign w:val="center"/>
            <w:hideMark/>
          </w:tcPr>
          <w:p w14:paraId="3079C339" w14:textId="3C9E6AED"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Juzgado Segundo de Familia de San José</w:t>
            </w:r>
          </w:p>
        </w:tc>
        <w:tc>
          <w:tcPr>
            <w:tcW w:w="1463" w:type="pct"/>
            <w:tcBorders>
              <w:top w:val="nil"/>
              <w:left w:val="nil"/>
              <w:bottom w:val="single" w:sz="4" w:space="0" w:color="auto"/>
              <w:right w:val="single" w:sz="4" w:space="0" w:color="auto"/>
            </w:tcBorders>
            <w:shd w:val="clear" w:color="auto" w:fill="auto"/>
            <w:vAlign w:val="center"/>
            <w:hideMark/>
          </w:tcPr>
          <w:p w14:paraId="4A4323A5" w14:textId="2153F68D" w:rsidR="00FB6652" w:rsidRPr="002C193F" w:rsidRDefault="00FB6652" w:rsidP="00FB6652">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0CBB44CA"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60190</w:t>
            </w:r>
          </w:p>
        </w:tc>
        <w:tc>
          <w:tcPr>
            <w:tcW w:w="1208" w:type="pct"/>
            <w:tcBorders>
              <w:top w:val="nil"/>
              <w:left w:val="nil"/>
              <w:bottom w:val="single" w:sz="4" w:space="0" w:color="auto"/>
              <w:right w:val="single" w:sz="4" w:space="0" w:color="auto"/>
            </w:tcBorders>
            <w:shd w:val="clear" w:color="auto" w:fill="auto"/>
            <w:vAlign w:val="center"/>
            <w:hideMark/>
          </w:tcPr>
          <w:p w14:paraId="074AB6AE"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FB6652" w:rsidRPr="002C193F" w14:paraId="287AFDF7" w14:textId="77777777" w:rsidTr="00306313">
        <w:trPr>
          <w:trHeight w:val="300"/>
        </w:trPr>
        <w:tc>
          <w:tcPr>
            <w:tcW w:w="1608" w:type="pct"/>
            <w:vMerge/>
            <w:tcBorders>
              <w:top w:val="nil"/>
              <w:left w:val="single" w:sz="4" w:space="0" w:color="auto"/>
              <w:bottom w:val="single" w:sz="4" w:space="0" w:color="auto"/>
              <w:right w:val="single" w:sz="4" w:space="0" w:color="auto"/>
            </w:tcBorders>
            <w:vAlign w:val="center"/>
            <w:hideMark/>
          </w:tcPr>
          <w:p w14:paraId="6340E149" w14:textId="77777777" w:rsidR="00FB6652" w:rsidRPr="002C193F" w:rsidRDefault="00FB6652" w:rsidP="00FB6652">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hideMark/>
          </w:tcPr>
          <w:p w14:paraId="4B0F8676" w14:textId="2DA1CCA2" w:rsidR="00FB6652" w:rsidRPr="002C193F" w:rsidRDefault="00FB6652" w:rsidP="00FB6652">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sidRPr="00086D78">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2DA627A6"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60191</w:t>
            </w:r>
          </w:p>
        </w:tc>
        <w:tc>
          <w:tcPr>
            <w:tcW w:w="1208" w:type="pct"/>
            <w:tcBorders>
              <w:top w:val="nil"/>
              <w:left w:val="nil"/>
              <w:bottom w:val="single" w:sz="4" w:space="0" w:color="auto"/>
              <w:right w:val="single" w:sz="4" w:space="0" w:color="auto"/>
            </w:tcBorders>
            <w:shd w:val="clear" w:color="auto" w:fill="auto"/>
            <w:vAlign w:val="center"/>
            <w:hideMark/>
          </w:tcPr>
          <w:p w14:paraId="5A4BC96B"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FB6652" w:rsidRPr="002C193F" w14:paraId="4BA5BFB6" w14:textId="77777777" w:rsidTr="00306313">
        <w:trPr>
          <w:trHeight w:val="300"/>
        </w:trPr>
        <w:tc>
          <w:tcPr>
            <w:tcW w:w="1608" w:type="pct"/>
            <w:vMerge/>
            <w:tcBorders>
              <w:top w:val="nil"/>
              <w:left w:val="single" w:sz="4" w:space="0" w:color="auto"/>
              <w:bottom w:val="single" w:sz="4" w:space="0" w:color="auto"/>
              <w:right w:val="single" w:sz="4" w:space="0" w:color="auto"/>
            </w:tcBorders>
            <w:vAlign w:val="center"/>
            <w:hideMark/>
          </w:tcPr>
          <w:p w14:paraId="116DBC62" w14:textId="77777777" w:rsidR="00FB6652" w:rsidRPr="002C193F" w:rsidRDefault="00FB6652" w:rsidP="00FB6652">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hideMark/>
          </w:tcPr>
          <w:p w14:paraId="39E0B24D" w14:textId="71D61456" w:rsidR="00FB6652" w:rsidRPr="002C193F" w:rsidRDefault="00FB6652" w:rsidP="00FB6652">
            <w:pPr>
              <w:spacing w:after="0" w:line="240" w:lineRule="auto"/>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J</w:t>
            </w:r>
            <w:r w:rsidRPr="00086D78">
              <w:rPr>
                <w:rFonts w:ascii="Book Antiqua" w:eastAsia="Times New Roman" w:hAnsi="Book Antiqua" w:cs="Calibri"/>
                <w:color w:val="000000"/>
                <w:lang w:eastAsia="es-CR"/>
              </w:rPr>
              <w:t>uez</w:t>
            </w:r>
            <w:r w:rsidRPr="002C193F">
              <w:rPr>
                <w:rFonts w:ascii="Book Antiqua" w:eastAsia="Times New Roman" w:hAnsi="Book Antiqua" w:cs="Calibri"/>
                <w:color w:val="000000"/>
                <w:lang w:eastAsia="es-CR"/>
              </w:rPr>
              <w:t xml:space="preserve"> 3</w:t>
            </w:r>
          </w:p>
        </w:tc>
        <w:tc>
          <w:tcPr>
            <w:tcW w:w="721" w:type="pct"/>
            <w:tcBorders>
              <w:top w:val="nil"/>
              <w:left w:val="nil"/>
              <w:bottom w:val="single" w:sz="4" w:space="0" w:color="auto"/>
              <w:right w:val="single" w:sz="4" w:space="0" w:color="auto"/>
            </w:tcBorders>
            <w:shd w:val="clear" w:color="auto" w:fill="auto"/>
            <w:vAlign w:val="center"/>
            <w:hideMark/>
          </w:tcPr>
          <w:p w14:paraId="7C24FE60"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19699</w:t>
            </w:r>
          </w:p>
        </w:tc>
        <w:tc>
          <w:tcPr>
            <w:tcW w:w="1208" w:type="pct"/>
            <w:tcBorders>
              <w:top w:val="nil"/>
              <w:left w:val="nil"/>
              <w:bottom w:val="single" w:sz="4" w:space="0" w:color="auto"/>
              <w:right w:val="single" w:sz="4" w:space="0" w:color="auto"/>
            </w:tcBorders>
            <w:shd w:val="clear" w:color="auto" w:fill="auto"/>
            <w:vAlign w:val="center"/>
            <w:hideMark/>
          </w:tcPr>
          <w:p w14:paraId="323F90E0" w14:textId="77777777" w:rsidR="00FB6652" w:rsidRPr="002C193F" w:rsidRDefault="00FB6652" w:rsidP="00FB6652">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49A05962"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30B876E5"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2FB5F780"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Coordinador Judicial 2</w:t>
            </w:r>
          </w:p>
        </w:tc>
        <w:tc>
          <w:tcPr>
            <w:tcW w:w="721" w:type="pct"/>
            <w:tcBorders>
              <w:top w:val="nil"/>
              <w:left w:val="nil"/>
              <w:bottom w:val="single" w:sz="4" w:space="0" w:color="auto"/>
              <w:right w:val="single" w:sz="4" w:space="0" w:color="auto"/>
            </w:tcBorders>
            <w:shd w:val="clear" w:color="auto" w:fill="auto"/>
            <w:vAlign w:val="center"/>
            <w:hideMark/>
          </w:tcPr>
          <w:p w14:paraId="72E4A7D6"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60194</w:t>
            </w:r>
          </w:p>
        </w:tc>
        <w:tc>
          <w:tcPr>
            <w:tcW w:w="1208" w:type="pct"/>
            <w:tcBorders>
              <w:top w:val="nil"/>
              <w:left w:val="nil"/>
              <w:bottom w:val="single" w:sz="4" w:space="0" w:color="auto"/>
              <w:right w:val="single" w:sz="4" w:space="0" w:color="auto"/>
            </w:tcBorders>
            <w:shd w:val="clear" w:color="auto" w:fill="auto"/>
            <w:vAlign w:val="center"/>
            <w:hideMark/>
          </w:tcPr>
          <w:p w14:paraId="4907C1BD" w14:textId="03958DF9" w:rsidR="002C193F" w:rsidRPr="002C193F" w:rsidRDefault="000507C8" w:rsidP="002C193F">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Vacante</w:t>
            </w:r>
          </w:p>
        </w:tc>
      </w:tr>
      <w:tr w:rsidR="002C193F" w:rsidRPr="002C193F" w14:paraId="266968AC"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2791E9C2"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23C17332"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4F6D1616"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43881</w:t>
            </w:r>
          </w:p>
        </w:tc>
        <w:tc>
          <w:tcPr>
            <w:tcW w:w="1208" w:type="pct"/>
            <w:tcBorders>
              <w:top w:val="nil"/>
              <w:left w:val="nil"/>
              <w:bottom w:val="single" w:sz="4" w:space="0" w:color="auto"/>
              <w:right w:val="single" w:sz="4" w:space="0" w:color="auto"/>
            </w:tcBorders>
            <w:shd w:val="clear" w:color="auto" w:fill="auto"/>
            <w:vAlign w:val="center"/>
            <w:hideMark/>
          </w:tcPr>
          <w:p w14:paraId="26F52A6D"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4FABA5A3"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34E1567E"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43BFE89B"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344B4B11"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60192</w:t>
            </w:r>
          </w:p>
        </w:tc>
        <w:tc>
          <w:tcPr>
            <w:tcW w:w="1208" w:type="pct"/>
            <w:tcBorders>
              <w:top w:val="nil"/>
              <w:left w:val="nil"/>
              <w:bottom w:val="single" w:sz="4" w:space="0" w:color="auto"/>
              <w:right w:val="single" w:sz="4" w:space="0" w:color="auto"/>
            </w:tcBorders>
            <w:shd w:val="clear" w:color="auto" w:fill="auto"/>
            <w:vAlign w:val="center"/>
            <w:hideMark/>
          </w:tcPr>
          <w:p w14:paraId="478B8CF6"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34987422"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06FE4A1E"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646E0397"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6B8C9583"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60193</w:t>
            </w:r>
          </w:p>
        </w:tc>
        <w:tc>
          <w:tcPr>
            <w:tcW w:w="1208" w:type="pct"/>
            <w:tcBorders>
              <w:top w:val="nil"/>
              <w:left w:val="nil"/>
              <w:bottom w:val="single" w:sz="4" w:space="0" w:color="auto"/>
              <w:right w:val="single" w:sz="4" w:space="0" w:color="auto"/>
            </w:tcBorders>
            <w:shd w:val="clear" w:color="auto" w:fill="auto"/>
            <w:vAlign w:val="center"/>
            <w:hideMark/>
          </w:tcPr>
          <w:p w14:paraId="0B50C4BE"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24F984BC"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57ABFE4A"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7C4730B9"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52253339"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60195</w:t>
            </w:r>
          </w:p>
        </w:tc>
        <w:tc>
          <w:tcPr>
            <w:tcW w:w="1208" w:type="pct"/>
            <w:tcBorders>
              <w:top w:val="nil"/>
              <w:left w:val="nil"/>
              <w:bottom w:val="single" w:sz="4" w:space="0" w:color="auto"/>
              <w:right w:val="single" w:sz="4" w:space="0" w:color="auto"/>
            </w:tcBorders>
            <w:shd w:val="clear" w:color="auto" w:fill="auto"/>
            <w:vAlign w:val="center"/>
            <w:hideMark/>
          </w:tcPr>
          <w:p w14:paraId="782B0205" w14:textId="14F15855" w:rsidR="002C193F" w:rsidRPr="002C193F" w:rsidRDefault="00AF5A5B" w:rsidP="002C193F">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Vacante</w:t>
            </w:r>
          </w:p>
        </w:tc>
      </w:tr>
      <w:tr w:rsidR="002C193F" w:rsidRPr="002C193F" w14:paraId="00B4A5FF"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1365F126"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48E0F1E8"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78AD2679"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60197</w:t>
            </w:r>
          </w:p>
        </w:tc>
        <w:tc>
          <w:tcPr>
            <w:tcW w:w="1208" w:type="pct"/>
            <w:tcBorders>
              <w:top w:val="nil"/>
              <w:left w:val="nil"/>
              <w:bottom w:val="single" w:sz="4" w:space="0" w:color="auto"/>
              <w:right w:val="single" w:sz="4" w:space="0" w:color="auto"/>
            </w:tcBorders>
            <w:shd w:val="clear" w:color="auto" w:fill="auto"/>
            <w:vAlign w:val="center"/>
            <w:hideMark/>
          </w:tcPr>
          <w:p w14:paraId="25A9DDF4"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r w:rsidR="002C193F" w:rsidRPr="002C193F" w14:paraId="285FE4F9" w14:textId="77777777" w:rsidTr="001D0C10">
        <w:trPr>
          <w:trHeight w:val="330"/>
        </w:trPr>
        <w:tc>
          <w:tcPr>
            <w:tcW w:w="1608" w:type="pct"/>
            <w:vMerge/>
            <w:tcBorders>
              <w:top w:val="nil"/>
              <w:left w:val="single" w:sz="4" w:space="0" w:color="auto"/>
              <w:bottom w:val="single" w:sz="4" w:space="0" w:color="auto"/>
              <w:right w:val="single" w:sz="4" w:space="0" w:color="auto"/>
            </w:tcBorders>
            <w:vAlign w:val="center"/>
            <w:hideMark/>
          </w:tcPr>
          <w:p w14:paraId="2D50DEA3"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1279D322"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Técnico Judicial 2</w:t>
            </w:r>
          </w:p>
        </w:tc>
        <w:tc>
          <w:tcPr>
            <w:tcW w:w="721" w:type="pct"/>
            <w:tcBorders>
              <w:top w:val="nil"/>
              <w:left w:val="nil"/>
              <w:bottom w:val="single" w:sz="4" w:space="0" w:color="auto"/>
              <w:right w:val="single" w:sz="4" w:space="0" w:color="auto"/>
            </w:tcBorders>
            <w:shd w:val="clear" w:color="auto" w:fill="auto"/>
            <w:vAlign w:val="center"/>
            <w:hideMark/>
          </w:tcPr>
          <w:p w14:paraId="66A57C01"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92758</w:t>
            </w:r>
          </w:p>
        </w:tc>
        <w:tc>
          <w:tcPr>
            <w:tcW w:w="1208" w:type="pct"/>
            <w:tcBorders>
              <w:top w:val="nil"/>
              <w:left w:val="nil"/>
              <w:bottom w:val="single" w:sz="4" w:space="0" w:color="auto"/>
              <w:right w:val="single" w:sz="4" w:space="0" w:color="auto"/>
            </w:tcBorders>
            <w:shd w:val="clear" w:color="auto" w:fill="auto"/>
            <w:vAlign w:val="center"/>
            <w:hideMark/>
          </w:tcPr>
          <w:p w14:paraId="759320D8" w14:textId="738B1134" w:rsidR="002C193F" w:rsidRPr="002C193F" w:rsidRDefault="00AF5A5B" w:rsidP="002C193F">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Propiedad</w:t>
            </w:r>
          </w:p>
        </w:tc>
      </w:tr>
      <w:tr w:rsidR="002C193F" w:rsidRPr="002C193F" w14:paraId="049781A8" w14:textId="77777777" w:rsidTr="002C193F">
        <w:trPr>
          <w:trHeight w:val="330"/>
        </w:trPr>
        <w:tc>
          <w:tcPr>
            <w:tcW w:w="1608" w:type="pct"/>
            <w:vMerge/>
            <w:tcBorders>
              <w:top w:val="nil"/>
              <w:left w:val="single" w:sz="4" w:space="0" w:color="auto"/>
              <w:bottom w:val="single" w:sz="4" w:space="0" w:color="auto"/>
              <w:right w:val="single" w:sz="4" w:space="0" w:color="auto"/>
            </w:tcBorders>
            <w:vAlign w:val="center"/>
            <w:hideMark/>
          </w:tcPr>
          <w:p w14:paraId="01DFEA85" w14:textId="77777777" w:rsidR="002C193F" w:rsidRPr="002C193F" w:rsidRDefault="002C193F" w:rsidP="002C193F">
            <w:pPr>
              <w:spacing w:after="0" w:line="240" w:lineRule="auto"/>
              <w:rPr>
                <w:rFonts w:ascii="Book Antiqua" w:eastAsia="Times New Roman" w:hAnsi="Book Antiqua" w:cs="Calibri"/>
                <w:color w:val="000000"/>
                <w:lang w:eastAsia="es-CR"/>
              </w:rPr>
            </w:pPr>
          </w:p>
        </w:tc>
        <w:tc>
          <w:tcPr>
            <w:tcW w:w="1463" w:type="pct"/>
            <w:tcBorders>
              <w:top w:val="nil"/>
              <w:left w:val="nil"/>
              <w:bottom w:val="single" w:sz="4" w:space="0" w:color="auto"/>
              <w:right w:val="single" w:sz="4" w:space="0" w:color="auto"/>
            </w:tcBorders>
            <w:shd w:val="clear" w:color="auto" w:fill="auto"/>
            <w:vAlign w:val="center"/>
            <w:hideMark/>
          </w:tcPr>
          <w:p w14:paraId="06349D6D" w14:textId="77777777" w:rsidR="002C193F" w:rsidRPr="002C193F" w:rsidRDefault="002C193F" w:rsidP="002C193F">
            <w:pPr>
              <w:spacing w:after="0" w:line="240" w:lineRule="auto"/>
              <w:jc w:val="both"/>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Aux. Serv. Generales</w:t>
            </w:r>
          </w:p>
        </w:tc>
        <w:tc>
          <w:tcPr>
            <w:tcW w:w="721" w:type="pct"/>
            <w:tcBorders>
              <w:top w:val="nil"/>
              <w:left w:val="nil"/>
              <w:bottom w:val="single" w:sz="4" w:space="0" w:color="auto"/>
              <w:right w:val="single" w:sz="4" w:space="0" w:color="auto"/>
            </w:tcBorders>
            <w:shd w:val="clear" w:color="auto" w:fill="auto"/>
            <w:vAlign w:val="center"/>
            <w:hideMark/>
          </w:tcPr>
          <w:p w14:paraId="2B881F6A"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60200</w:t>
            </w:r>
          </w:p>
        </w:tc>
        <w:tc>
          <w:tcPr>
            <w:tcW w:w="1208" w:type="pct"/>
            <w:tcBorders>
              <w:top w:val="nil"/>
              <w:left w:val="nil"/>
              <w:bottom w:val="single" w:sz="4" w:space="0" w:color="auto"/>
              <w:right w:val="single" w:sz="4" w:space="0" w:color="auto"/>
            </w:tcBorders>
            <w:shd w:val="clear" w:color="auto" w:fill="auto"/>
            <w:vAlign w:val="center"/>
            <w:hideMark/>
          </w:tcPr>
          <w:p w14:paraId="2029F48D" w14:textId="77777777" w:rsidR="002C193F" w:rsidRPr="002C193F" w:rsidRDefault="002C193F" w:rsidP="002C193F">
            <w:pPr>
              <w:spacing w:after="0" w:line="240" w:lineRule="auto"/>
              <w:jc w:val="center"/>
              <w:rPr>
                <w:rFonts w:ascii="Book Antiqua" w:eastAsia="Times New Roman" w:hAnsi="Book Antiqua" w:cs="Calibri"/>
                <w:color w:val="000000"/>
                <w:lang w:eastAsia="es-CR"/>
              </w:rPr>
            </w:pPr>
            <w:r w:rsidRPr="002C193F">
              <w:rPr>
                <w:rFonts w:ascii="Book Antiqua" w:eastAsia="Times New Roman" w:hAnsi="Book Antiqua" w:cs="Calibri"/>
                <w:color w:val="000000"/>
                <w:lang w:eastAsia="es-CR"/>
              </w:rPr>
              <w:t>Propiedad</w:t>
            </w:r>
          </w:p>
        </w:tc>
      </w:tr>
    </w:tbl>
    <w:p w14:paraId="7B78CBBF" w14:textId="67D90F1C" w:rsidR="00FB6652" w:rsidRDefault="00FB6652" w:rsidP="00FB6652">
      <w:pPr>
        <w:spacing w:after="0" w:line="276" w:lineRule="auto"/>
        <w:jc w:val="both"/>
        <w:rPr>
          <w:rFonts w:ascii="Book Antiqua" w:eastAsia="Calibri" w:hAnsi="Book Antiqua" w:cs="Arial"/>
          <w:i/>
          <w:iCs/>
          <w:sz w:val="20"/>
          <w:szCs w:val="20"/>
        </w:rPr>
      </w:pPr>
      <w:r w:rsidRPr="00FE54CE">
        <w:rPr>
          <w:rFonts w:ascii="Book Antiqua" w:eastAsia="Calibri" w:hAnsi="Book Antiqua" w:cs="Arial"/>
          <w:i/>
          <w:iCs/>
          <w:sz w:val="20"/>
          <w:szCs w:val="20"/>
        </w:rPr>
        <w:t>Fuente</w:t>
      </w:r>
      <w:r>
        <w:rPr>
          <w:rFonts w:ascii="Book Antiqua" w:eastAsia="Calibri" w:hAnsi="Book Antiqua" w:cs="Arial"/>
          <w:i/>
          <w:iCs/>
          <w:sz w:val="20"/>
          <w:szCs w:val="20"/>
        </w:rPr>
        <w:t>: Relación de Puestos 2022 de la Dirección de Gestión Humana</w:t>
      </w:r>
      <w:r w:rsidRPr="00FE54CE">
        <w:rPr>
          <w:rFonts w:ascii="Book Antiqua" w:eastAsia="Calibri" w:hAnsi="Book Antiqua" w:cs="Arial"/>
          <w:i/>
          <w:iCs/>
          <w:sz w:val="20"/>
          <w:szCs w:val="20"/>
        </w:rPr>
        <w:t>.</w:t>
      </w:r>
    </w:p>
    <w:p w14:paraId="065E4DEA" w14:textId="77777777" w:rsidR="00471A4D" w:rsidRDefault="00471A4D" w:rsidP="00471A4D">
      <w:pPr>
        <w:spacing w:after="0" w:line="276" w:lineRule="auto"/>
        <w:jc w:val="both"/>
        <w:rPr>
          <w:rFonts w:ascii="Book Antiqua" w:eastAsia="Calibri" w:hAnsi="Book Antiqua" w:cs="Arial"/>
          <w:sz w:val="24"/>
          <w:szCs w:val="24"/>
        </w:rPr>
      </w:pPr>
    </w:p>
    <w:p w14:paraId="4C7EFA11" w14:textId="54E2D44E" w:rsidR="00DD7C95" w:rsidRPr="00DD7C95" w:rsidRDefault="00DD7C95" w:rsidP="00DD7C9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De la i</w:t>
      </w:r>
      <w:r w:rsidRPr="00DD7C95">
        <w:rPr>
          <w:rFonts w:ascii="Book Antiqua" w:eastAsia="Calibri" w:hAnsi="Book Antiqua" w:cs="Arial"/>
          <w:sz w:val="24"/>
          <w:szCs w:val="24"/>
        </w:rPr>
        <w:t>n</w:t>
      </w:r>
      <w:r>
        <w:rPr>
          <w:rFonts w:ascii="Book Antiqua" w:eastAsia="Calibri" w:hAnsi="Book Antiqua" w:cs="Arial"/>
          <w:sz w:val="24"/>
          <w:szCs w:val="24"/>
        </w:rPr>
        <w:t>formación del cuadro</w:t>
      </w:r>
      <w:r w:rsidR="00D970AF">
        <w:rPr>
          <w:rFonts w:ascii="Book Antiqua" w:eastAsia="Calibri" w:hAnsi="Book Antiqua" w:cs="Arial"/>
          <w:sz w:val="24"/>
          <w:szCs w:val="24"/>
        </w:rPr>
        <w:t xml:space="preserve"> anterior</w:t>
      </w:r>
      <w:r w:rsidRPr="00DD7C95">
        <w:rPr>
          <w:rFonts w:ascii="Book Antiqua" w:eastAsia="Calibri" w:hAnsi="Book Antiqua" w:cs="Arial"/>
          <w:sz w:val="24"/>
          <w:szCs w:val="24"/>
        </w:rPr>
        <w:t xml:space="preserve"> se desprende </w:t>
      </w:r>
      <w:r w:rsidR="00991EC2">
        <w:rPr>
          <w:rFonts w:ascii="Book Antiqua" w:eastAsia="Calibri" w:hAnsi="Book Antiqua" w:cs="Arial"/>
          <w:sz w:val="24"/>
          <w:szCs w:val="24"/>
        </w:rPr>
        <w:t xml:space="preserve">que en el Juzgado Primero de Familia </w:t>
      </w:r>
      <w:r w:rsidRPr="00DD7C95">
        <w:rPr>
          <w:rFonts w:ascii="Book Antiqua" w:eastAsia="Calibri" w:hAnsi="Book Antiqua" w:cs="Arial"/>
          <w:sz w:val="24"/>
          <w:szCs w:val="24"/>
        </w:rPr>
        <w:t xml:space="preserve">existe una plaza </w:t>
      </w:r>
      <w:r w:rsidR="00991EC2">
        <w:rPr>
          <w:rFonts w:ascii="Book Antiqua" w:eastAsia="Calibri" w:hAnsi="Book Antiqua" w:cs="Arial"/>
          <w:sz w:val="24"/>
          <w:szCs w:val="24"/>
        </w:rPr>
        <w:t xml:space="preserve">vacante </w:t>
      </w:r>
      <w:r w:rsidRPr="00DD7C95">
        <w:rPr>
          <w:rFonts w:ascii="Book Antiqua" w:eastAsia="Calibri" w:hAnsi="Book Antiqua" w:cs="Arial"/>
          <w:sz w:val="24"/>
          <w:szCs w:val="24"/>
        </w:rPr>
        <w:t xml:space="preserve">de Técnico </w:t>
      </w:r>
      <w:r w:rsidR="00991EC2">
        <w:rPr>
          <w:rFonts w:ascii="Book Antiqua" w:eastAsia="Calibri" w:hAnsi="Book Antiqua" w:cs="Arial"/>
          <w:sz w:val="24"/>
          <w:szCs w:val="24"/>
        </w:rPr>
        <w:t xml:space="preserve">o Técnica </w:t>
      </w:r>
      <w:r w:rsidRPr="00DD7C95">
        <w:rPr>
          <w:rFonts w:ascii="Book Antiqua" w:eastAsia="Calibri" w:hAnsi="Book Antiqua" w:cs="Arial"/>
          <w:sz w:val="24"/>
          <w:szCs w:val="24"/>
        </w:rPr>
        <w:t xml:space="preserve">Judicial </w:t>
      </w:r>
      <w:r w:rsidR="00991EC2">
        <w:rPr>
          <w:rFonts w:ascii="Book Antiqua" w:eastAsia="Calibri" w:hAnsi="Book Antiqua" w:cs="Arial"/>
          <w:sz w:val="24"/>
          <w:szCs w:val="24"/>
        </w:rPr>
        <w:t xml:space="preserve">2 y en el Juzgado Segundo de Familia, actualmente se tiene el puesto de la persona Coordinadora Judicial 2 y un puesto de </w:t>
      </w:r>
      <w:r w:rsidR="00991EC2" w:rsidRPr="00991EC2">
        <w:rPr>
          <w:rFonts w:ascii="Book Antiqua" w:eastAsia="Calibri" w:hAnsi="Book Antiqua" w:cs="Arial"/>
          <w:sz w:val="24"/>
          <w:szCs w:val="24"/>
        </w:rPr>
        <w:t>Técnico o Técnica Judicial 2</w:t>
      </w:r>
      <w:r w:rsidRPr="00DD7C95">
        <w:rPr>
          <w:rFonts w:ascii="Book Antiqua" w:eastAsia="Calibri" w:hAnsi="Book Antiqua" w:cs="Arial"/>
          <w:sz w:val="24"/>
          <w:szCs w:val="24"/>
        </w:rPr>
        <w:t xml:space="preserve">, </w:t>
      </w:r>
      <w:r w:rsidR="00991EC2" w:rsidRPr="00DD7C95">
        <w:rPr>
          <w:rFonts w:ascii="Book Antiqua" w:eastAsia="Calibri" w:hAnsi="Book Antiqua" w:cs="Arial"/>
          <w:sz w:val="24"/>
          <w:szCs w:val="24"/>
        </w:rPr>
        <w:t>vacante</w:t>
      </w:r>
      <w:r w:rsidR="00991EC2">
        <w:rPr>
          <w:rFonts w:ascii="Book Antiqua" w:eastAsia="Calibri" w:hAnsi="Book Antiqua" w:cs="Arial"/>
          <w:sz w:val="24"/>
          <w:szCs w:val="24"/>
        </w:rPr>
        <w:t xml:space="preserve">s, </w:t>
      </w:r>
      <w:r w:rsidRPr="00DD7C95">
        <w:rPr>
          <w:rFonts w:ascii="Book Antiqua" w:eastAsia="Calibri" w:hAnsi="Book Antiqua" w:cs="Arial"/>
          <w:sz w:val="24"/>
          <w:szCs w:val="24"/>
        </w:rPr>
        <w:t>el resto de personal se encuentra nombrado en propiedad en las plazas adscritas a</w:t>
      </w:r>
      <w:r w:rsidR="00991EC2">
        <w:rPr>
          <w:rFonts w:ascii="Book Antiqua" w:eastAsia="Calibri" w:hAnsi="Book Antiqua" w:cs="Arial"/>
          <w:sz w:val="24"/>
          <w:szCs w:val="24"/>
        </w:rPr>
        <w:t xml:space="preserve"> cada </w:t>
      </w:r>
      <w:r w:rsidRPr="00DD7C95">
        <w:rPr>
          <w:rFonts w:ascii="Book Antiqua" w:eastAsia="Calibri" w:hAnsi="Book Antiqua" w:cs="Arial"/>
          <w:sz w:val="24"/>
          <w:szCs w:val="24"/>
        </w:rPr>
        <w:t>despacho</w:t>
      </w:r>
      <w:r w:rsidR="00C45641">
        <w:rPr>
          <w:rFonts w:ascii="Book Antiqua" w:eastAsia="Calibri" w:hAnsi="Book Antiqua" w:cs="Arial"/>
          <w:sz w:val="24"/>
          <w:szCs w:val="24"/>
        </w:rPr>
        <w:t>.</w:t>
      </w:r>
    </w:p>
    <w:p w14:paraId="3E4C2E3D" w14:textId="77777777" w:rsidR="00DD7C95" w:rsidRPr="00DD7C95" w:rsidRDefault="00DD7C95" w:rsidP="00DD7C95">
      <w:pPr>
        <w:spacing w:after="0" w:line="276" w:lineRule="auto"/>
        <w:jc w:val="both"/>
        <w:rPr>
          <w:rFonts w:ascii="Book Antiqua" w:eastAsia="Calibri" w:hAnsi="Book Antiqua" w:cs="Arial"/>
          <w:sz w:val="24"/>
          <w:szCs w:val="24"/>
        </w:rPr>
      </w:pPr>
    </w:p>
    <w:p w14:paraId="1B3E07D9" w14:textId="0544CE48" w:rsidR="00B34252" w:rsidRDefault="00637508" w:rsidP="00FE54C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En c</w:t>
      </w:r>
      <w:r w:rsidR="00FE783F">
        <w:rPr>
          <w:rFonts w:ascii="Book Antiqua" w:eastAsia="Calibri" w:hAnsi="Book Antiqua" w:cs="Arial"/>
          <w:sz w:val="24"/>
          <w:szCs w:val="24"/>
        </w:rPr>
        <w:t>on</w:t>
      </w:r>
      <w:r>
        <w:rPr>
          <w:rFonts w:ascii="Book Antiqua" w:eastAsia="Calibri" w:hAnsi="Book Antiqua" w:cs="Arial"/>
          <w:sz w:val="24"/>
          <w:szCs w:val="24"/>
        </w:rPr>
        <w:t xml:space="preserve">clusión, de </w:t>
      </w:r>
      <w:r w:rsidR="00FE783F">
        <w:rPr>
          <w:rFonts w:ascii="Book Antiqua" w:eastAsia="Calibri" w:hAnsi="Book Antiqua" w:cs="Arial"/>
          <w:sz w:val="24"/>
          <w:szCs w:val="24"/>
        </w:rPr>
        <w:t>l</w:t>
      </w:r>
      <w:r w:rsidR="00703951">
        <w:rPr>
          <w:rFonts w:ascii="Book Antiqua" w:eastAsia="Calibri" w:hAnsi="Book Antiqua" w:cs="Arial"/>
          <w:sz w:val="24"/>
          <w:szCs w:val="24"/>
        </w:rPr>
        <w:t xml:space="preserve">os resultados obtenidos </w:t>
      </w:r>
      <w:r w:rsidR="00084CB8">
        <w:rPr>
          <w:rFonts w:ascii="Book Antiqua" w:eastAsia="Calibri" w:hAnsi="Book Antiqua" w:cs="Arial"/>
          <w:sz w:val="24"/>
          <w:szCs w:val="24"/>
        </w:rPr>
        <w:t>de</w:t>
      </w:r>
      <w:r w:rsidR="00703951">
        <w:rPr>
          <w:rFonts w:ascii="Book Antiqua" w:eastAsia="Calibri" w:hAnsi="Book Antiqua" w:cs="Arial"/>
          <w:sz w:val="24"/>
          <w:szCs w:val="24"/>
        </w:rPr>
        <w:t xml:space="preserve"> la </w:t>
      </w:r>
      <w:r w:rsidR="003C0F52">
        <w:rPr>
          <w:rFonts w:ascii="Book Antiqua" w:eastAsia="Calibri" w:hAnsi="Book Antiqua" w:cs="Arial"/>
          <w:sz w:val="24"/>
          <w:szCs w:val="24"/>
        </w:rPr>
        <w:t xml:space="preserve">carga de trabajo y el seguimiento realizado </w:t>
      </w:r>
      <w:r w:rsidR="00C45641">
        <w:rPr>
          <w:rFonts w:ascii="Book Antiqua" w:eastAsia="Calibri" w:hAnsi="Book Antiqua" w:cs="Arial"/>
          <w:sz w:val="24"/>
          <w:szCs w:val="24"/>
        </w:rPr>
        <w:t>a</w:t>
      </w:r>
      <w:r w:rsidR="00703951">
        <w:rPr>
          <w:rFonts w:ascii="Book Antiqua" w:eastAsia="Calibri" w:hAnsi="Book Antiqua" w:cs="Arial"/>
          <w:sz w:val="24"/>
          <w:szCs w:val="24"/>
        </w:rPr>
        <w:t xml:space="preserve"> </w:t>
      </w:r>
      <w:r w:rsidR="003C0F52">
        <w:rPr>
          <w:rFonts w:ascii="Book Antiqua" w:eastAsia="Calibri" w:hAnsi="Book Antiqua" w:cs="Arial"/>
          <w:sz w:val="24"/>
          <w:szCs w:val="24"/>
        </w:rPr>
        <w:t xml:space="preserve">los Juzgados Primero y Segundo de Familia de San José, </w:t>
      </w:r>
      <w:r>
        <w:rPr>
          <w:rFonts w:ascii="Book Antiqua" w:eastAsia="Calibri" w:hAnsi="Book Antiqua" w:cs="Arial"/>
          <w:sz w:val="24"/>
          <w:szCs w:val="24"/>
        </w:rPr>
        <w:t xml:space="preserve">se </w:t>
      </w:r>
      <w:r w:rsidR="00C45641">
        <w:rPr>
          <w:rFonts w:ascii="Book Antiqua" w:eastAsia="Calibri" w:hAnsi="Book Antiqua" w:cs="Arial"/>
          <w:sz w:val="24"/>
          <w:szCs w:val="24"/>
        </w:rPr>
        <w:t>recomienda</w:t>
      </w:r>
      <w:r>
        <w:rPr>
          <w:rFonts w:ascii="Book Antiqua" w:eastAsia="Calibri" w:hAnsi="Book Antiqua" w:cs="Arial"/>
          <w:sz w:val="24"/>
          <w:szCs w:val="24"/>
        </w:rPr>
        <w:t xml:space="preserve"> </w:t>
      </w:r>
      <w:r w:rsidR="00FE783F">
        <w:rPr>
          <w:rFonts w:ascii="Book Antiqua" w:eastAsia="Calibri" w:hAnsi="Book Antiqua" w:cs="Arial"/>
          <w:sz w:val="24"/>
          <w:szCs w:val="24"/>
        </w:rPr>
        <w:t xml:space="preserve">la </w:t>
      </w:r>
      <w:r w:rsidR="00E61236">
        <w:rPr>
          <w:rFonts w:ascii="Book Antiqua" w:eastAsia="Calibri" w:hAnsi="Book Antiqua" w:cs="Arial"/>
          <w:sz w:val="24"/>
          <w:szCs w:val="24"/>
        </w:rPr>
        <w:t xml:space="preserve">propuesta del </w:t>
      </w:r>
      <w:r w:rsidR="00FE783F">
        <w:rPr>
          <w:rFonts w:ascii="Book Antiqua" w:eastAsia="Calibri" w:hAnsi="Book Antiqua" w:cs="Arial"/>
          <w:sz w:val="24"/>
          <w:szCs w:val="24"/>
        </w:rPr>
        <w:t>“</w:t>
      </w:r>
      <w:r w:rsidR="00FE783F" w:rsidRPr="001D0C10">
        <w:rPr>
          <w:rFonts w:ascii="Book Antiqua" w:eastAsia="Calibri" w:hAnsi="Book Antiqua" w:cs="Arial"/>
          <w:i/>
          <w:iCs/>
          <w:sz w:val="24"/>
          <w:szCs w:val="24"/>
        </w:rPr>
        <w:t>E</w:t>
      </w:r>
      <w:r w:rsidR="00E61236" w:rsidRPr="001D0C10">
        <w:rPr>
          <w:rFonts w:ascii="Book Antiqua" w:eastAsia="Calibri" w:hAnsi="Book Antiqua" w:cs="Arial"/>
          <w:i/>
          <w:iCs/>
          <w:sz w:val="24"/>
          <w:szCs w:val="24"/>
        </w:rPr>
        <w:t>s</w:t>
      </w:r>
      <w:r w:rsidR="003C0F52" w:rsidRPr="001D0C10">
        <w:rPr>
          <w:rFonts w:ascii="Book Antiqua" w:eastAsia="Calibri" w:hAnsi="Book Antiqua" w:cs="Arial"/>
          <w:i/>
          <w:iCs/>
          <w:sz w:val="24"/>
          <w:szCs w:val="24"/>
        </w:rPr>
        <w:t>cenario 1</w:t>
      </w:r>
      <w:r w:rsidR="00FE783F" w:rsidRPr="001D0C10">
        <w:rPr>
          <w:rFonts w:ascii="Book Antiqua" w:eastAsia="Calibri" w:hAnsi="Book Antiqua" w:cs="Arial"/>
          <w:i/>
          <w:iCs/>
          <w:sz w:val="24"/>
          <w:szCs w:val="24"/>
        </w:rPr>
        <w:t>: Unificación de estos despachos en el Juzgado de Familia de San José</w:t>
      </w:r>
      <w:r w:rsidR="00FE783F">
        <w:rPr>
          <w:rFonts w:ascii="Book Antiqua" w:eastAsia="Calibri" w:hAnsi="Book Antiqua" w:cs="Arial"/>
          <w:sz w:val="24"/>
          <w:szCs w:val="24"/>
        </w:rPr>
        <w:t>”, plantead</w:t>
      </w:r>
      <w:r w:rsidR="00AF48C0">
        <w:rPr>
          <w:rFonts w:ascii="Book Antiqua" w:eastAsia="Calibri" w:hAnsi="Book Antiqua" w:cs="Arial"/>
          <w:sz w:val="24"/>
          <w:szCs w:val="24"/>
        </w:rPr>
        <w:t>a</w:t>
      </w:r>
      <w:r w:rsidR="00AB3140">
        <w:rPr>
          <w:rFonts w:ascii="Book Antiqua" w:eastAsia="Calibri" w:hAnsi="Book Antiqua" w:cs="Arial"/>
          <w:sz w:val="24"/>
          <w:szCs w:val="24"/>
        </w:rPr>
        <w:t xml:space="preserve"> desde el 2020,</w:t>
      </w:r>
      <w:r w:rsidR="00FE783F">
        <w:rPr>
          <w:rFonts w:ascii="Book Antiqua" w:eastAsia="Calibri" w:hAnsi="Book Antiqua" w:cs="Arial"/>
          <w:sz w:val="24"/>
          <w:szCs w:val="24"/>
        </w:rPr>
        <w:t xml:space="preserve"> en los informes 656-PLA-R</w:t>
      </w:r>
      <w:r w:rsidR="00014F41">
        <w:rPr>
          <w:rFonts w:ascii="Book Antiqua" w:eastAsia="Calibri" w:hAnsi="Book Antiqua" w:cs="Arial"/>
          <w:sz w:val="24"/>
          <w:szCs w:val="24"/>
        </w:rPr>
        <w:t>H</w:t>
      </w:r>
      <w:r w:rsidR="00FE783F">
        <w:rPr>
          <w:rFonts w:ascii="Book Antiqua" w:eastAsia="Calibri" w:hAnsi="Book Antiqua" w:cs="Arial"/>
          <w:sz w:val="24"/>
          <w:szCs w:val="24"/>
        </w:rPr>
        <w:t>-MI-2020 y 389-PLA-R</w:t>
      </w:r>
      <w:r w:rsidR="00014F41">
        <w:rPr>
          <w:rFonts w:ascii="Book Antiqua" w:eastAsia="Calibri" w:hAnsi="Book Antiqua" w:cs="Arial"/>
          <w:sz w:val="24"/>
          <w:szCs w:val="24"/>
        </w:rPr>
        <w:t>H</w:t>
      </w:r>
      <w:r w:rsidR="00FE783F">
        <w:rPr>
          <w:rFonts w:ascii="Book Antiqua" w:eastAsia="Calibri" w:hAnsi="Book Antiqua" w:cs="Arial"/>
          <w:sz w:val="24"/>
          <w:szCs w:val="24"/>
        </w:rPr>
        <w:t>-</w:t>
      </w:r>
      <w:r w:rsidR="00014F41">
        <w:rPr>
          <w:rFonts w:ascii="Book Antiqua" w:eastAsia="Calibri" w:hAnsi="Book Antiqua" w:cs="Arial"/>
          <w:sz w:val="24"/>
          <w:szCs w:val="24"/>
        </w:rPr>
        <w:t>MI-</w:t>
      </w:r>
      <w:r w:rsidR="00FE783F">
        <w:rPr>
          <w:rFonts w:ascii="Book Antiqua" w:eastAsia="Calibri" w:hAnsi="Book Antiqua" w:cs="Arial"/>
          <w:sz w:val="24"/>
          <w:szCs w:val="24"/>
        </w:rPr>
        <w:t xml:space="preserve">2021, </w:t>
      </w:r>
      <w:r w:rsidR="00C45641">
        <w:rPr>
          <w:rFonts w:ascii="Book Antiqua" w:eastAsia="Calibri" w:hAnsi="Book Antiqua" w:cs="Arial"/>
          <w:sz w:val="24"/>
          <w:szCs w:val="24"/>
        </w:rPr>
        <w:t xml:space="preserve">como </w:t>
      </w:r>
      <w:r w:rsidR="00084CB8">
        <w:rPr>
          <w:rFonts w:ascii="Book Antiqua" w:eastAsia="Calibri" w:hAnsi="Book Antiqua" w:cs="Arial"/>
          <w:sz w:val="24"/>
          <w:szCs w:val="24"/>
        </w:rPr>
        <w:t xml:space="preserve">la idónea para aplicar en estos juzgados, </w:t>
      </w:r>
      <w:r w:rsidR="00C45641">
        <w:rPr>
          <w:rFonts w:ascii="Book Antiqua" w:eastAsia="Calibri" w:hAnsi="Book Antiqua" w:cs="Arial"/>
          <w:sz w:val="24"/>
          <w:szCs w:val="24"/>
        </w:rPr>
        <w:t xml:space="preserve">ya </w:t>
      </w:r>
      <w:r w:rsidR="007245BE">
        <w:rPr>
          <w:rFonts w:ascii="Book Antiqua" w:eastAsia="Calibri" w:hAnsi="Book Antiqua" w:cs="Arial"/>
          <w:sz w:val="24"/>
          <w:szCs w:val="24"/>
        </w:rPr>
        <w:t xml:space="preserve">que permite la maximización del </w:t>
      </w:r>
      <w:r w:rsidR="00C45641">
        <w:rPr>
          <w:rFonts w:ascii="Book Antiqua" w:eastAsia="Calibri" w:hAnsi="Book Antiqua" w:cs="Arial"/>
          <w:sz w:val="24"/>
          <w:szCs w:val="24"/>
        </w:rPr>
        <w:t>recurso humano</w:t>
      </w:r>
      <w:r w:rsidR="00515CD4">
        <w:rPr>
          <w:rFonts w:ascii="Book Antiqua" w:eastAsia="Calibri" w:hAnsi="Book Antiqua" w:cs="Arial"/>
          <w:sz w:val="24"/>
          <w:szCs w:val="24"/>
        </w:rPr>
        <w:t>.</w:t>
      </w:r>
      <w:r w:rsidR="009B6214">
        <w:rPr>
          <w:rFonts w:ascii="Book Antiqua" w:eastAsia="Calibri" w:hAnsi="Book Antiqua" w:cs="Arial"/>
          <w:sz w:val="24"/>
          <w:szCs w:val="24"/>
        </w:rPr>
        <w:t xml:space="preserve"> En atención también lo solicitado por la Comisión de Familia en el oficio 4-CJF-2022.</w:t>
      </w:r>
    </w:p>
    <w:p w14:paraId="1841848C" w14:textId="77777777" w:rsidR="00B34252" w:rsidRDefault="00B34252" w:rsidP="00FE54CE">
      <w:pPr>
        <w:spacing w:after="0" w:line="276" w:lineRule="auto"/>
        <w:jc w:val="both"/>
        <w:rPr>
          <w:rFonts w:ascii="Book Antiqua" w:eastAsia="Calibri" w:hAnsi="Book Antiqua" w:cs="Arial"/>
          <w:sz w:val="24"/>
          <w:szCs w:val="24"/>
        </w:rPr>
      </w:pPr>
    </w:p>
    <w:p w14:paraId="3374417B" w14:textId="635ACA09" w:rsidR="00D8308A" w:rsidRPr="00AB3140" w:rsidRDefault="00AB3140" w:rsidP="00FE54C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ello se cre</w:t>
      </w:r>
      <w:r w:rsidR="009B6214">
        <w:rPr>
          <w:rFonts w:ascii="Book Antiqua" w:eastAsia="Calibri" w:hAnsi="Book Antiqua" w:cs="Arial"/>
          <w:sz w:val="24"/>
          <w:szCs w:val="24"/>
        </w:rPr>
        <w:t>ó</w:t>
      </w:r>
      <w:r>
        <w:rPr>
          <w:rFonts w:ascii="Book Antiqua" w:eastAsia="Calibri" w:hAnsi="Book Antiqua" w:cs="Arial"/>
          <w:sz w:val="24"/>
          <w:szCs w:val="24"/>
        </w:rPr>
        <w:t xml:space="preserve"> la</w:t>
      </w:r>
      <w:r w:rsidR="006B6242" w:rsidRPr="006B6242">
        <w:rPr>
          <w:rFonts w:ascii="Book Antiqua" w:eastAsia="Calibri" w:hAnsi="Book Antiqua" w:cs="Arial"/>
          <w:sz w:val="24"/>
          <w:szCs w:val="24"/>
        </w:rPr>
        <w:t xml:space="preserve"> referencia interna </w:t>
      </w:r>
      <w:r w:rsidR="006B6242" w:rsidRPr="00D970AF">
        <w:rPr>
          <w:rFonts w:ascii="Book Antiqua" w:eastAsia="Calibri" w:hAnsi="Book Antiqua" w:cs="Arial"/>
          <w:b/>
          <w:bCs/>
          <w:sz w:val="24"/>
          <w:szCs w:val="24"/>
        </w:rPr>
        <w:t>1679-</w:t>
      </w:r>
      <w:r w:rsidR="00866B87" w:rsidRPr="00D970AF">
        <w:rPr>
          <w:rFonts w:ascii="Book Antiqua" w:eastAsia="Calibri" w:hAnsi="Book Antiqua" w:cs="Arial"/>
          <w:b/>
          <w:bCs/>
          <w:sz w:val="24"/>
          <w:szCs w:val="24"/>
        </w:rPr>
        <w:t>2021</w:t>
      </w:r>
      <w:r w:rsidR="00866B87">
        <w:rPr>
          <w:rFonts w:ascii="Book Antiqua" w:eastAsia="Calibri" w:hAnsi="Book Antiqua" w:cs="Arial"/>
          <w:sz w:val="24"/>
          <w:szCs w:val="24"/>
        </w:rPr>
        <w:t>, r</w:t>
      </w:r>
      <w:r w:rsidR="00866B87" w:rsidRPr="00866B87">
        <w:rPr>
          <w:rFonts w:ascii="Book Antiqua" w:eastAsia="Calibri" w:hAnsi="Book Antiqua" w:cs="Arial"/>
          <w:sz w:val="24"/>
          <w:szCs w:val="24"/>
        </w:rPr>
        <w:t>elacionad</w:t>
      </w:r>
      <w:r w:rsidR="00866B87">
        <w:rPr>
          <w:rFonts w:ascii="Book Antiqua" w:eastAsia="Calibri" w:hAnsi="Book Antiqua" w:cs="Arial"/>
          <w:sz w:val="24"/>
          <w:szCs w:val="24"/>
        </w:rPr>
        <w:t>a</w:t>
      </w:r>
      <w:r w:rsidR="00866B87" w:rsidRPr="00866B87">
        <w:rPr>
          <w:rFonts w:ascii="Book Antiqua" w:eastAsia="Calibri" w:hAnsi="Book Antiqua" w:cs="Arial"/>
          <w:sz w:val="24"/>
          <w:szCs w:val="24"/>
        </w:rPr>
        <w:t xml:space="preserve"> con </w:t>
      </w:r>
      <w:r w:rsidR="00515CD4">
        <w:rPr>
          <w:rFonts w:ascii="Book Antiqua" w:eastAsia="Calibri" w:hAnsi="Book Antiqua" w:cs="Arial"/>
          <w:sz w:val="24"/>
          <w:szCs w:val="24"/>
        </w:rPr>
        <w:t>el “</w:t>
      </w:r>
      <w:r w:rsidR="00515CD4" w:rsidRPr="001D0C10">
        <w:rPr>
          <w:rFonts w:ascii="Book Antiqua" w:eastAsia="Calibri" w:hAnsi="Book Antiqua" w:cs="Arial"/>
          <w:i/>
          <w:iCs/>
          <w:sz w:val="24"/>
          <w:szCs w:val="24"/>
        </w:rPr>
        <w:t>A</w:t>
      </w:r>
      <w:r w:rsidR="00866B87" w:rsidRPr="001D0C10">
        <w:rPr>
          <w:rFonts w:ascii="Book Antiqua" w:eastAsia="Calibri" w:hAnsi="Book Antiqua" w:cs="Arial"/>
          <w:i/>
          <w:iCs/>
          <w:sz w:val="24"/>
          <w:szCs w:val="24"/>
        </w:rPr>
        <w:t>nálisis de carga de trabajo de los Juzgados de Familia del Primer Circuito Judicial de San José</w:t>
      </w:r>
      <w:r w:rsidR="00515CD4" w:rsidRPr="001D0C10">
        <w:rPr>
          <w:rFonts w:ascii="Book Antiqua" w:eastAsia="Calibri" w:hAnsi="Book Antiqua" w:cs="Arial"/>
          <w:i/>
          <w:iCs/>
          <w:sz w:val="24"/>
          <w:szCs w:val="24"/>
        </w:rPr>
        <w:t>”</w:t>
      </w:r>
      <w:r>
        <w:rPr>
          <w:rFonts w:ascii="Book Antiqua" w:eastAsia="Calibri" w:hAnsi="Book Antiqua" w:cs="Arial"/>
          <w:i/>
          <w:iCs/>
          <w:sz w:val="24"/>
          <w:szCs w:val="24"/>
        </w:rPr>
        <w:t xml:space="preserve">, </w:t>
      </w:r>
      <w:r w:rsidRPr="001D0C10">
        <w:rPr>
          <w:rFonts w:ascii="Book Antiqua" w:eastAsia="Calibri" w:hAnsi="Book Antiqua" w:cs="Arial"/>
          <w:sz w:val="24"/>
          <w:szCs w:val="24"/>
        </w:rPr>
        <w:t xml:space="preserve">a fin de presentar una propuesta </w:t>
      </w:r>
      <w:r>
        <w:rPr>
          <w:rFonts w:ascii="Book Antiqua" w:eastAsia="Calibri" w:hAnsi="Book Antiqua" w:cs="Arial"/>
          <w:sz w:val="24"/>
          <w:szCs w:val="24"/>
        </w:rPr>
        <w:t xml:space="preserve">detallada en un oficio adicional, para socializarla </w:t>
      </w:r>
      <w:r w:rsidRPr="001D0C10">
        <w:rPr>
          <w:rFonts w:ascii="Book Antiqua" w:eastAsia="Calibri" w:hAnsi="Book Antiqua" w:cs="Arial"/>
          <w:sz w:val="24"/>
          <w:szCs w:val="24"/>
        </w:rPr>
        <w:t xml:space="preserve">con las oficinas, la Comisión </w:t>
      </w:r>
      <w:r w:rsidRPr="00AB3140">
        <w:rPr>
          <w:rFonts w:ascii="Book Antiqua" w:eastAsia="Calibri" w:hAnsi="Book Antiqua" w:cs="Arial"/>
          <w:sz w:val="24"/>
          <w:szCs w:val="24"/>
        </w:rPr>
        <w:t>Jurisdiccional</w:t>
      </w:r>
      <w:r>
        <w:rPr>
          <w:rFonts w:ascii="Book Antiqua" w:eastAsia="Calibri" w:hAnsi="Book Antiqua" w:cs="Arial"/>
          <w:sz w:val="24"/>
          <w:szCs w:val="24"/>
        </w:rPr>
        <w:t xml:space="preserve"> previo a remitirla a conocimiento </w:t>
      </w:r>
      <w:r w:rsidR="005750D6">
        <w:rPr>
          <w:rFonts w:ascii="Book Antiqua" w:eastAsia="Calibri" w:hAnsi="Book Antiqua" w:cs="Arial"/>
          <w:sz w:val="24"/>
          <w:szCs w:val="24"/>
        </w:rPr>
        <w:t>de la Secretaría General de la Corte</w:t>
      </w:r>
      <w:r>
        <w:rPr>
          <w:rFonts w:ascii="Book Antiqua" w:eastAsia="Calibri" w:hAnsi="Book Antiqua" w:cs="Arial"/>
          <w:sz w:val="24"/>
          <w:szCs w:val="24"/>
        </w:rPr>
        <w:t xml:space="preserve">, </w:t>
      </w:r>
      <w:r w:rsidR="009B6214">
        <w:rPr>
          <w:rFonts w:ascii="Book Antiqua" w:eastAsia="Calibri" w:hAnsi="Book Antiqua" w:cs="Arial"/>
          <w:sz w:val="24"/>
          <w:szCs w:val="24"/>
        </w:rPr>
        <w:t>antes de</w:t>
      </w:r>
      <w:r>
        <w:rPr>
          <w:rFonts w:ascii="Book Antiqua" w:eastAsia="Calibri" w:hAnsi="Book Antiqua" w:cs="Arial"/>
          <w:sz w:val="24"/>
          <w:szCs w:val="24"/>
        </w:rPr>
        <w:t xml:space="preserve"> octubre 2022</w:t>
      </w:r>
      <w:r w:rsidR="006E1777">
        <w:rPr>
          <w:rFonts w:ascii="Book Antiqua" w:eastAsia="Calibri" w:hAnsi="Book Antiqua" w:cs="Arial"/>
          <w:sz w:val="24"/>
          <w:szCs w:val="24"/>
        </w:rPr>
        <w:t>; y que incluya incluso la propuesta de traslado de recursos que se considere más adecuada</w:t>
      </w:r>
      <w:r w:rsidR="005750D6">
        <w:rPr>
          <w:rFonts w:ascii="Book Antiqua" w:eastAsia="Calibri" w:hAnsi="Book Antiqua" w:cs="Arial"/>
          <w:sz w:val="24"/>
          <w:szCs w:val="24"/>
        </w:rPr>
        <w:t>, que</w:t>
      </w:r>
      <w:r w:rsidR="006E1777">
        <w:rPr>
          <w:rFonts w:ascii="Book Antiqua" w:eastAsia="Calibri" w:hAnsi="Book Antiqua" w:cs="Arial"/>
          <w:sz w:val="24"/>
          <w:szCs w:val="24"/>
        </w:rPr>
        <w:t xml:space="preserve"> respete los derechos de estas plazas</w:t>
      </w:r>
      <w:r w:rsidR="005750D6">
        <w:rPr>
          <w:rFonts w:ascii="Book Antiqua" w:eastAsia="Calibri" w:hAnsi="Book Antiqua" w:cs="Arial"/>
          <w:sz w:val="24"/>
          <w:szCs w:val="24"/>
        </w:rPr>
        <w:t xml:space="preserve"> y considere además el impacto esperado por la perdida de competencias a partir de octubre 2022 (apelaciones en pensiones provisionales que en 2021 fue de 103 recursos en el Juzgado Segundo y 81 en el Primero de Familia) y el impacto en </w:t>
      </w:r>
      <w:r w:rsidR="005750D6">
        <w:rPr>
          <w:rFonts w:ascii="Book Antiqua" w:eastAsia="Calibri" w:hAnsi="Book Antiqua" w:cs="Arial"/>
          <w:sz w:val="24"/>
          <w:szCs w:val="24"/>
        </w:rPr>
        <w:lastRenderedPageBreak/>
        <w:t xml:space="preserve">caso de aprobarse la creación de un juzgado que conozca la segunda instancia en materia de Pensiones Alimentarias. </w:t>
      </w:r>
    </w:p>
    <w:p w14:paraId="2C822D9D" w14:textId="75B5054F" w:rsidR="007245BE" w:rsidRDefault="007245BE" w:rsidP="00FE54CE">
      <w:pPr>
        <w:spacing w:after="0" w:line="276" w:lineRule="auto"/>
        <w:jc w:val="both"/>
        <w:rPr>
          <w:rFonts w:ascii="Book Antiqua" w:eastAsia="Calibri" w:hAnsi="Book Antiqua" w:cs="Arial"/>
          <w:sz w:val="24"/>
          <w:szCs w:val="24"/>
        </w:rPr>
      </w:pPr>
    </w:p>
    <w:p w14:paraId="577367C0" w14:textId="1C11A6C4" w:rsidR="004F137B" w:rsidRPr="004A3198" w:rsidRDefault="004F137B"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Análisis Juzgado de Familia, Niñez y Adolescencia</w:t>
      </w:r>
    </w:p>
    <w:p w14:paraId="27F9274F" w14:textId="77777777" w:rsidR="004A3198" w:rsidRDefault="004A3198" w:rsidP="00D07F56">
      <w:pPr>
        <w:spacing w:after="0" w:line="276" w:lineRule="auto"/>
        <w:jc w:val="both"/>
        <w:rPr>
          <w:rFonts w:ascii="Book Antiqua" w:eastAsia="Calibri" w:hAnsi="Book Antiqua" w:cs="Arial"/>
          <w:sz w:val="24"/>
          <w:szCs w:val="24"/>
        </w:rPr>
      </w:pPr>
    </w:p>
    <w:p w14:paraId="6D3559C1" w14:textId="32BA1660" w:rsidR="00D07F56" w:rsidRPr="00D07F56" w:rsidRDefault="00D07F56" w:rsidP="00D07F56">
      <w:pPr>
        <w:spacing w:after="0" w:line="276" w:lineRule="auto"/>
        <w:jc w:val="both"/>
        <w:rPr>
          <w:rFonts w:ascii="Book Antiqua" w:eastAsia="Calibri" w:hAnsi="Book Antiqua" w:cs="Arial"/>
          <w:sz w:val="24"/>
          <w:szCs w:val="24"/>
        </w:rPr>
      </w:pPr>
      <w:r w:rsidRPr="00D07F56">
        <w:rPr>
          <w:rFonts w:ascii="Book Antiqua" w:eastAsia="Calibri" w:hAnsi="Book Antiqua" w:cs="Arial"/>
          <w:sz w:val="24"/>
          <w:szCs w:val="24"/>
        </w:rPr>
        <w:t>Un caso especial de los juzgados especializados es el de Familia, de Niñez y Adolescencia, el cual con el CPF se adiciona a la Ley 7333, Ley Orgánica del Poder Judicial el artículo 106 bis</w:t>
      </w:r>
      <w:r w:rsidR="004F137B">
        <w:rPr>
          <w:rFonts w:ascii="Book Antiqua" w:eastAsia="Calibri" w:hAnsi="Book Antiqua" w:cs="Arial"/>
          <w:sz w:val="24"/>
          <w:szCs w:val="24"/>
        </w:rPr>
        <w:t xml:space="preserve"> donde se modifica el nombre a Juzgado de Niñez y Adolescencia únicamente y dispone</w:t>
      </w:r>
      <w:r w:rsidRPr="00D07F56">
        <w:rPr>
          <w:rFonts w:ascii="Book Antiqua" w:eastAsia="Calibri" w:hAnsi="Book Antiqua" w:cs="Arial"/>
          <w:sz w:val="24"/>
          <w:szCs w:val="24"/>
        </w:rPr>
        <w:t>:</w:t>
      </w:r>
    </w:p>
    <w:p w14:paraId="1890EE0F" w14:textId="1858411D" w:rsidR="00FE54CE" w:rsidRDefault="00FE54CE" w:rsidP="00200D8B">
      <w:pPr>
        <w:spacing w:line="276" w:lineRule="auto"/>
        <w:jc w:val="both"/>
        <w:rPr>
          <w:rFonts w:ascii="Book Antiqua" w:eastAsia="Calibri" w:hAnsi="Book Antiqua" w:cs="Arial"/>
          <w:sz w:val="24"/>
          <w:szCs w:val="24"/>
        </w:rPr>
      </w:pPr>
    </w:p>
    <w:p w14:paraId="72A9EA39"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“Artículo 106 bis- Juzgados de Niñez y Adolescencia</w:t>
      </w:r>
    </w:p>
    <w:p w14:paraId="7B8B7E98"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Los juzgados de Niñez y Adolescencia conocerán de:</w:t>
      </w:r>
    </w:p>
    <w:p w14:paraId="31849105"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45BC33C6"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391382">
        <w:rPr>
          <w:rFonts w:ascii="Book Antiqua" w:eastAsia="Calibri" w:hAnsi="Book Antiqua" w:cs="Arial"/>
          <w:i/>
          <w:iCs/>
          <w:sz w:val="24"/>
          <w:szCs w:val="24"/>
        </w:rPr>
        <w:t>2) Las diligencias de protección cautelar referidas a personas menores de edad.</w:t>
      </w:r>
    </w:p>
    <w:p w14:paraId="601B0D4B"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3) Los procesos relativos a la adopción de personas menores de edad y su oposición.</w:t>
      </w:r>
    </w:p>
    <w:p w14:paraId="08D9D256"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4) Los asuntos de petición unilateral de nombramiento de personas depositarias para personas menores de edad y de nombramiento de personas tutoras para personas menores de edad.</w:t>
      </w:r>
    </w:p>
    <w:p w14:paraId="2766E9C9"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5) La diligencia de comunicación que establece el artículo 32 de la Ley N.º 7739, Código de la Niñez y la Adolescencia, de 6 de enero de 1998.</w:t>
      </w:r>
    </w:p>
    <w:p w14:paraId="322394DE"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6) Los procedimientos de restitución internacional de personas menores de edad, de adopción internacional y los demás de aplicación de convenios internacionales relativos a materia de niñez y adolescencia.</w:t>
      </w:r>
    </w:p>
    <w:p w14:paraId="1A12E21E" w14:textId="77777777" w:rsidR="00D07F56" w:rsidRPr="00D07F56" w:rsidRDefault="00D07F56" w:rsidP="00D07F56">
      <w:pPr>
        <w:spacing w:after="0" w:line="276" w:lineRule="auto"/>
        <w:ind w:left="567" w:right="616"/>
        <w:jc w:val="both"/>
        <w:rPr>
          <w:rFonts w:ascii="Book Antiqua" w:eastAsia="Calibri" w:hAnsi="Book Antiqua" w:cs="Arial"/>
          <w:i/>
          <w:iCs/>
          <w:sz w:val="24"/>
          <w:szCs w:val="24"/>
        </w:rPr>
      </w:pPr>
      <w:r w:rsidRPr="00D07F56">
        <w:rPr>
          <w:rFonts w:ascii="Book Antiqua" w:eastAsia="Calibri" w:hAnsi="Book Antiqua" w:cs="Arial"/>
          <w:i/>
          <w:iCs/>
          <w:sz w:val="24"/>
          <w:szCs w:val="24"/>
        </w:rPr>
        <w:t>Los procedimientos establecidos en el inciso 6) deberán ser conocidos, exclusivamente, en los juzgados de Niñez y Adolescencia del Primer Circuito Judicial de San José.</w:t>
      </w:r>
    </w:p>
    <w:p w14:paraId="617947BA" w14:textId="77777777" w:rsidR="00D07F56" w:rsidRPr="00D07F56" w:rsidRDefault="00D07F56" w:rsidP="00D07F56">
      <w:pPr>
        <w:spacing w:after="0" w:line="276" w:lineRule="auto"/>
        <w:ind w:left="567" w:right="616"/>
        <w:jc w:val="both"/>
        <w:rPr>
          <w:rFonts w:ascii="Book Antiqua" w:eastAsia="Calibri" w:hAnsi="Book Antiqua" w:cs="Arial"/>
          <w:sz w:val="24"/>
          <w:szCs w:val="24"/>
        </w:rPr>
      </w:pPr>
      <w:r w:rsidRPr="00D07F56">
        <w:rPr>
          <w:rFonts w:ascii="Book Antiqua" w:eastAsia="Calibri" w:hAnsi="Book Antiqua" w:cs="Arial"/>
          <w:i/>
          <w:iCs/>
          <w:sz w:val="24"/>
          <w:szCs w:val="24"/>
        </w:rPr>
        <w:t>En los lugares en los cuales no exista este despacho, la competencia de estas materias corresponderá al Juzgado de Familia.”.</w:t>
      </w:r>
    </w:p>
    <w:p w14:paraId="0D454A04" w14:textId="77777777" w:rsidR="00EB6D85" w:rsidRDefault="00EB6D85" w:rsidP="00D07F56">
      <w:pPr>
        <w:spacing w:after="0" w:line="276" w:lineRule="auto"/>
        <w:jc w:val="both"/>
        <w:rPr>
          <w:rFonts w:ascii="Book Antiqua" w:eastAsia="Calibri" w:hAnsi="Book Antiqua" w:cs="Arial"/>
          <w:sz w:val="24"/>
          <w:szCs w:val="24"/>
        </w:rPr>
      </w:pPr>
    </w:p>
    <w:p w14:paraId="29F16159" w14:textId="582136EF" w:rsidR="00D07F56" w:rsidRPr="00D07F56" w:rsidRDefault="00D07F56" w:rsidP="00D07F56">
      <w:pPr>
        <w:spacing w:after="0" w:line="276" w:lineRule="auto"/>
        <w:jc w:val="both"/>
        <w:rPr>
          <w:rFonts w:ascii="Book Antiqua" w:eastAsia="Calibri" w:hAnsi="Book Antiqua" w:cs="Arial"/>
          <w:sz w:val="24"/>
          <w:szCs w:val="24"/>
        </w:rPr>
      </w:pPr>
      <w:r w:rsidRPr="00D07F56">
        <w:rPr>
          <w:rFonts w:ascii="Book Antiqua" w:eastAsia="Calibri" w:hAnsi="Book Antiqua" w:cs="Arial"/>
          <w:sz w:val="24"/>
          <w:szCs w:val="24"/>
        </w:rPr>
        <w:lastRenderedPageBreak/>
        <w:t>El impacto directo esperado del CPF, en el Juzgado de Familia, de Niñez y Adolescencia se espera que sea mínimo, ya que este despacho a diferencia de los demás despachos especializados no tendría casos que se estarían desjudicializando, a excepción de las adopciones de personas mayores de edad, pero que actualmente no se registran específicamente en los datos estadísticos diferenciando el tipo de persona involucrada (mayor o menor de edad), lo que limita la posibilidad de utilizar datos específicos de ese segmento de población para estimar el impacto.</w:t>
      </w:r>
    </w:p>
    <w:p w14:paraId="2C30593E" w14:textId="77777777" w:rsidR="00D07F56" w:rsidRPr="00D07F56" w:rsidRDefault="00D07F56" w:rsidP="00D07F56">
      <w:pPr>
        <w:spacing w:after="0" w:line="276" w:lineRule="auto"/>
        <w:jc w:val="both"/>
        <w:rPr>
          <w:rFonts w:ascii="Book Antiqua" w:eastAsia="Calibri" w:hAnsi="Book Antiqua" w:cs="Arial"/>
          <w:sz w:val="24"/>
          <w:szCs w:val="24"/>
        </w:rPr>
      </w:pPr>
    </w:p>
    <w:p w14:paraId="55DC650E" w14:textId="7E93B8AC" w:rsidR="00D07F56" w:rsidRPr="00D07F56" w:rsidRDefault="00D07F56" w:rsidP="00D07F56">
      <w:pPr>
        <w:spacing w:after="0" w:line="276" w:lineRule="auto"/>
        <w:jc w:val="both"/>
        <w:rPr>
          <w:rFonts w:ascii="Book Antiqua" w:eastAsia="Calibri" w:hAnsi="Book Antiqua" w:cs="Arial"/>
          <w:sz w:val="24"/>
          <w:szCs w:val="24"/>
        </w:rPr>
      </w:pPr>
      <w:r w:rsidRPr="00A620B5">
        <w:rPr>
          <w:rFonts w:ascii="Book Antiqua" w:eastAsia="Calibri" w:hAnsi="Book Antiqua" w:cs="Arial"/>
          <w:sz w:val="24"/>
          <w:szCs w:val="24"/>
        </w:rPr>
        <w:t>En el siguiente gráfico se detalla el</w:t>
      </w:r>
      <w:r w:rsidRPr="00D07F56">
        <w:rPr>
          <w:rFonts w:ascii="Book Antiqua" w:eastAsia="Calibri" w:hAnsi="Book Antiqua" w:cs="Arial"/>
          <w:sz w:val="24"/>
          <w:szCs w:val="24"/>
        </w:rPr>
        <w:t xml:space="preserve"> circulante por fase en asuntos principales del Juzgado de Familia, </w:t>
      </w:r>
      <w:r w:rsidR="00EB6D85">
        <w:rPr>
          <w:rFonts w:ascii="Book Antiqua" w:eastAsia="Calibri" w:hAnsi="Book Antiqua" w:cs="Arial"/>
          <w:sz w:val="24"/>
          <w:szCs w:val="24"/>
        </w:rPr>
        <w:t xml:space="preserve">de </w:t>
      </w:r>
      <w:r w:rsidRPr="00D07F56">
        <w:rPr>
          <w:rFonts w:ascii="Book Antiqua" w:eastAsia="Calibri" w:hAnsi="Book Antiqua" w:cs="Arial"/>
          <w:sz w:val="24"/>
          <w:szCs w:val="24"/>
        </w:rPr>
        <w:t>Niñez y Adolescencia, durante el periodo del 201</w:t>
      </w:r>
      <w:r w:rsidR="00EB6D85">
        <w:rPr>
          <w:rFonts w:ascii="Book Antiqua" w:eastAsia="Calibri" w:hAnsi="Book Antiqua" w:cs="Arial"/>
          <w:sz w:val="24"/>
          <w:szCs w:val="24"/>
        </w:rPr>
        <w:t>7</w:t>
      </w:r>
      <w:r w:rsidRPr="00D07F56">
        <w:rPr>
          <w:rFonts w:ascii="Book Antiqua" w:eastAsia="Calibri" w:hAnsi="Book Antiqua" w:cs="Arial"/>
          <w:sz w:val="24"/>
          <w:szCs w:val="24"/>
        </w:rPr>
        <w:t xml:space="preserve"> al 20</w:t>
      </w:r>
      <w:r w:rsidR="00EB6D85">
        <w:rPr>
          <w:rFonts w:ascii="Book Antiqua" w:eastAsia="Calibri" w:hAnsi="Book Antiqua" w:cs="Arial"/>
          <w:sz w:val="24"/>
          <w:szCs w:val="24"/>
        </w:rPr>
        <w:t>2</w:t>
      </w:r>
      <w:r w:rsidRPr="00D07F56">
        <w:rPr>
          <w:rFonts w:ascii="Book Antiqua" w:eastAsia="Calibri" w:hAnsi="Book Antiqua" w:cs="Arial"/>
          <w:sz w:val="24"/>
          <w:szCs w:val="24"/>
        </w:rPr>
        <w:t>1.</w:t>
      </w:r>
    </w:p>
    <w:p w14:paraId="0CC6ADA9" w14:textId="77777777" w:rsidR="00D07F56" w:rsidRDefault="00D07F56" w:rsidP="00200D8B">
      <w:pPr>
        <w:spacing w:line="276" w:lineRule="auto"/>
        <w:jc w:val="both"/>
        <w:rPr>
          <w:rFonts w:ascii="Book Antiqua" w:eastAsia="Calibri" w:hAnsi="Book Antiqua" w:cs="Arial"/>
          <w:sz w:val="24"/>
          <w:szCs w:val="24"/>
        </w:rPr>
      </w:pPr>
    </w:p>
    <w:p w14:paraId="7274BE2D" w14:textId="4046CBEC" w:rsidR="00EB6D85" w:rsidRPr="00EB6D85" w:rsidRDefault="00EB6D85" w:rsidP="00EB6D8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B6D85">
        <w:rPr>
          <w:rFonts w:ascii="Book Antiqua" w:eastAsia="Calibri" w:hAnsi="Book Antiqua" w:cs="Arial"/>
          <w:b/>
          <w:bCs/>
          <w:color w:val="1F497D"/>
          <w:szCs w:val="24"/>
          <w:lang w:val="es-ES" w:eastAsia="es-ES"/>
        </w:rPr>
        <w:t xml:space="preserve">Cuadro </w:t>
      </w:r>
      <w:r w:rsidRPr="00EB6D85">
        <w:rPr>
          <w:rFonts w:ascii="Book Antiqua" w:eastAsia="Calibri" w:hAnsi="Book Antiqua" w:cs="Arial"/>
          <w:b/>
          <w:bCs/>
          <w:color w:val="1F497D"/>
          <w:szCs w:val="24"/>
          <w:lang w:val="es-ES" w:eastAsia="es-ES"/>
        </w:rPr>
        <w:fldChar w:fldCharType="begin"/>
      </w:r>
      <w:r w:rsidRPr="00EB6D85">
        <w:rPr>
          <w:rFonts w:ascii="Book Antiqua" w:eastAsia="Calibri" w:hAnsi="Book Antiqua" w:cs="Arial"/>
          <w:b/>
          <w:bCs/>
          <w:color w:val="1F497D"/>
          <w:szCs w:val="24"/>
          <w:lang w:val="es-ES" w:eastAsia="es-ES"/>
        </w:rPr>
        <w:instrText xml:space="preserve"> SEQ Cuadro \* ARABIC </w:instrText>
      </w:r>
      <w:r w:rsidRPr="00EB6D8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33</w:t>
      </w:r>
      <w:r w:rsidRPr="00EB6D85">
        <w:rPr>
          <w:rFonts w:ascii="Book Antiqua" w:eastAsia="Calibri" w:hAnsi="Book Antiqua" w:cs="Arial"/>
          <w:b/>
          <w:bCs/>
          <w:color w:val="1F497D"/>
          <w:szCs w:val="24"/>
          <w:lang w:val="es-ES" w:eastAsia="es-ES"/>
        </w:rPr>
        <w:fldChar w:fldCharType="end"/>
      </w:r>
      <w:r w:rsidRPr="00EB6D85">
        <w:rPr>
          <w:rFonts w:ascii="Book Antiqua" w:eastAsia="Calibri" w:hAnsi="Book Antiqua" w:cs="Arial"/>
          <w:b/>
          <w:bCs/>
          <w:color w:val="1F497D"/>
          <w:szCs w:val="24"/>
          <w:lang w:val="es-ES" w:eastAsia="es-ES"/>
        </w:rPr>
        <w:t xml:space="preserve"> </w:t>
      </w:r>
    </w:p>
    <w:p w14:paraId="03B0B365" w14:textId="77777777" w:rsidR="00EB6D85" w:rsidRPr="00EB6D85" w:rsidRDefault="00EB6D85" w:rsidP="00EB6D8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B6D85">
        <w:rPr>
          <w:rFonts w:ascii="Book Antiqua" w:eastAsia="Calibri" w:hAnsi="Book Antiqua" w:cs="Arial"/>
          <w:b/>
          <w:bCs/>
          <w:color w:val="1F497D"/>
          <w:szCs w:val="24"/>
          <w:lang w:val="es-ES" w:eastAsia="es-ES"/>
        </w:rPr>
        <w:t xml:space="preserve">Movimiento histórico del circulante por fase en el </w:t>
      </w:r>
    </w:p>
    <w:p w14:paraId="2CDEE4A9" w14:textId="79A24402" w:rsidR="00EB6D85" w:rsidRPr="00EB6D85" w:rsidRDefault="00EB6D85" w:rsidP="00EB6D8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B6D85">
        <w:rPr>
          <w:rFonts w:ascii="Book Antiqua" w:eastAsia="Calibri" w:hAnsi="Book Antiqua" w:cs="Arial"/>
          <w:b/>
          <w:bCs/>
          <w:color w:val="1F497D"/>
          <w:szCs w:val="24"/>
          <w:lang w:val="es-ES" w:eastAsia="es-ES"/>
        </w:rPr>
        <w:t>Juzgado de Familia, Niñez y Adolescencia, del 201</w:t>
      </w:r>
      <w:r>
        <w:rPr>
          <w:rFonts w:ascii="Book Antiqua" w:eastAsia="Calibri" w:hAnsi="Book Antiqua" w:cs="Arial"/>
          <w:b/>
          <w:bCs/>
          <w:color w:val="1F497D"/>
          <w:szCs w:val="24"/>
          <w:lang w:val="es-ES" w:eastAsia="es-ES"/>
        </w:rPr>
        <w:t>7</w:t>
      </w:r>
      <w:r w:rsidRPr="00EB6D85">
        <w:rPr>
          <w:rFonts w:ascii="Book Antiqua" w:eastAsia="Calibri" w:hAnsi="Book Antiqua" w:cs="Arial"/>
          <w:b/>
          <w:bCs/>
          <w:color w:val="1F497D"/>
          <w:szCs w:val="24"/>
          <w:lang w:val="es-ES" w:eastAsia="es-ES"/>
        </w:rPr>
        <w:t xml:space="preserve"> al 20</w:t>
      </w:r>
      <w:r>
        <w:rPr>
          <w:rFonts w:ascii="Book Antiqua" w:eastAsia="Calibri" w:hAnsi="Book Antiqua" w:cs="Arial"/>
          <w:b/>
          <w:bCs/>
          <w:color w:val="1F497D"/>
          <w:szCs w:val="24"/>
          <w:lang w:val="es-ES" w:eastAsia="es-ES"/>
        </w:rPr>
        <w:t>2</w:t>
      </w:r>
      <w:r w:rsidRPr="00EB6D85">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1803"/>
        <w:gridCol w:w="1164"/>
        <w:gridCol w:w="1164"/>
        <w:gridCol w:w="1164"/>
        <w:gridCol w:w="1166"/>
        <w:gridCol w:w="1166"/>
        <w:gridCol w:w="1191"/>
      </w:tblGrid>
      <w:tr w:rsidR="00ED239D" w:rsidRPr="00ED239D" w14:paraId="259B7D68" w14:textId="77777777" w:rsidTr="00ED239D">
        <w:trPr>
          <w:trHeight w:val="300"/>
        </w:trPr>
        <w:tc>
          <w:tcPr>
            <w:tcW w:w="1023"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6A9513B7"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Fase</w:t>
            </w:r>
          </w:p>
        </w:tc>
        <w:tc>
          <w:tcPr>
            <w:tcW w:w="660" w:type="pct"/>
            <w:tcBorders>
              <w:top w:val="single" w:sz="8" w:space="0" w:color="auto"/>
              <w:left w:val="nil"/>
              <w:bottom w:val="single" w:sz="8" w:space="0" w:color="auto"/>
              <w:right w:val="single" w:sz="8" w:space="0" w:color="auto"/>
            </w:tcBorders>
            <w:shd w:val="clear" w:color="000000" w:fill="002060"/>
            <w:vAlign w:val="center"/>
            <w:hideMark/>
          </w:tcPr>
          <w:p w14:paraId="74225481"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2017</w:t>
            </w:r>
          </w:p>
        </w:tc>
        <w:tc>
          <w:tcPr>
            <w:tcW w:w="660" w:type="pct"/>
            <w:tcBorders>
              <w:top w:val="single" w:sz="8" w:space="0" w:color="auto"/>
              <w:left w:val="nil"/>
              <w:bottom w:val="single" w:sz="8" w:space="0" w:color="auto"/>
              <w:right w:val="single" w:sz="8" w:space="0" w:color="auto"/>
            </w:tcBorders>
            <w:shd w:val="clear" w:color="000000" w:fill="002060"/>
            <w:vAlign w:val="center"/>
            <w:hideMark/>
          </w:tcPr>
          <w:p w14:paraId="6410D0D2"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2018</w:t>
            </w:r>
          </w:p>
        </w:tc>
        <w:tc>
          <w:tcPr>
            <w:tcW w:w="660" w:type="pct"/>
            <w:tcBorders>
              <w:top w:val="single" w:sz="8" w:space="0" w:color="auto"/>
              <w:left w:val="nil"/>
              <w:bottom w:val="single" w:sz="8" w:space="0" w:color="auto"/>
              <w:right w:val="single" w:sz="8" w:space="0" w:color="auto"/>
            </w:tcBorders>
            <w:shd w:val="clear" w:color="000000" w:fill="002060"/>
            <w:vAlign w:val="center"/>
            <w:hideMark/>
          </w:tcPr>
          <w:p w14:paraId="74280125"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2019</w:t>
            </w:r>
          </w:p>
        </w:tc>
        <w:tc>
          <w:tcPr>
            <w:tcW w:w="661" w:type="pct"/>
            <w:tcBorders>
              <w:top w:val="single" w:sz="8" w:space="0" w:color="auto"/>
              <w:left w:val="nil"/>
              <w:bottom w:val="single" w:sz="8" w:space="0" w:color="auto"/>
              <w:right w:val="single" w:sz="8" w:space="0" w:color="auto"/>
            </w:tcBorders>
            <w:shd w:val="clear" w:color="000000" w:fill="002060"/>
            <w:vAlign w:val="center"/>
            <w:hideMark/>
          </w:tcPr>
          <w:p w14:paraId="3DC0E81F"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2020</w:t>
            </w:r>
          </w:p>
        </w:tc>
        <w:tc>
          <w:tcPr>
            <w:tcW w:w="661" w:type="pct"/>
            <w:tcBorders>
              <w:top w:val="single" w:sz="8" w:space="0" w:color="auto"/>
              <w:left w:val="nil"/>
              <w:bottom w:val="single" w:sz="8" w:space="0" w:color="auto"/>
              <w:right w:val="single" w:sz="8" w:space="0" w:color="auto"/>
            </w:tcBorders>
            <w:shd w:val="clear" w:color="000000" w:fill="002060"/>
            <w:vAlign w:val="center"/>
            <w:hideMark/>
          </w:tcPr>
          <w:p w14:paraId="2C95B485"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2021</w:t>
            </w:r>
          </w:p>
        </w:tc>
        <w:tc>
          <w:tcPr>
            <w:tcW w:w="675" w:type="pct"/>
            <w:tcBorders>
              <w:top w:val="single" w:sz="8" w:space="0" w:color="auto"/>
              <w:left w:val="nil"/>
              <w:bottom w:val="single" w:sz="8" w:space="0" w:color="auto"/>
              <w:right w:val="single" w:sz="8" w:space="0" w:color="auto"/>
            </w:tcBorders>
            <w:shd w:val="clear" w:color="000000" w:fill="002060"/>
            <w:vAlign w:val="center"/>
            <w:hideMark/>
          </w:tcPr>
          <w:p w14:paraId="063B2232"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Porcentaje</w:t>
            </w:r>
          </w:p>
        </w:tc>
      </w:tr>
      <w:tr w:rsidR="00ED239D" w:rsidRPr="00ED239D" w14:paraId="290DB92F" w14:textId="77777777" w:rsidTr="00ED239D">
        <w:trPr>
          <w:trHeight w:val="300"/>
        </w:trPr>
        <w:tc>
          <w:tcPr>
            <w:tcW w:w="1023" w:type="pct"/>
            <w:tcBorders>
              <w:top w:val="nil"/>
              <w:left w:val="single" w:sz="8" w:space="0" w:color="auto"/>
              <w:bottom w:val="single" w:sz="8" w:space="0" w:color="auto"/>
              <w:right w:val="single" w:sz="8" w:space="0" w:color="auto"/>
            </w:tcBorders>
            <w:shd w:val="clear" w:color="000000" w:fill="FFFFFF"/>
            <w:noWrap/>
            <w:vAlign w:val="center"/>
            <w:hideMark/>
          </w:tcPr>
          <w:p w14:paraId="5926BCD2" w14:textId="77777777" w:rsidR="00ED239D" w:rsidRPr="00ED239D" w:rsidRDefault="00ED239D" w:rsidP="00ED239D">
            <w:pPr>
              <w:spacing w:after="0" w:line="240" w:lineRule="auto"/>
              <w:jc w:val="both"/>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Demanda</w:t>
            </w:r>
          </w:p>
        </w:tc>
        <w:tc>
          <w:tcPr>
            <w:tcW w:w="660" w:type="pct"/>
            <w:tcBorders>
              <w:top w:val="nil"/>
              <w:left w:val="nil"/>
              <w:bottom w:val="single" w:sz="8" w:space="0" w:color="auto"/>
              <w:right w:val="single" w:sz="8" w:space="0" w:color="auto"/>
            </w:tcBorders>
            <w:shd w:val="clear" w:color="000000" w:fill="FFFFFF"/>
            <w:noWrap/>
            <w:vAlign w:val="center"/>
            <w:hideMark/>
          </w:tcPr>
          <w:p w14:paraId="3E26AD6A"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483</w:t>
            </w:r>
          </w:p>
        </w:tc>
        <w:tc>
          <w:tcPr>
            <w:tcW w:w="660" w:type="pct"/>
            <w:tcBorders>
              <w:top w:val="nil"/>
              <w:left w:val="nil"/>
              <w:bottom w:val="single" w:sz="8" w:space="0" w:color="auto"/>
              <w:right w:val="single" w:sz="8" w:space="0" w:color="auto"/>
            </w:tcBorders>
            <w:shd w:val="clear" w:color="000000" w:fill="FFFFFF"/>
            <w:noWrap/>
            <w:vAlign w:val="center"/>
            <w:hideMark/>
          </w:tcPr>
          <w:p w14:paraId="6CD78F46"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598</w:t>
            </w:r>
          </w:p>
        </w:tc>
        <w:tc>
          <w:tcPr>
            <w:tcW w:w="660" w:type="pct"/>
            <w:tcBorders>
              <w:top w:val="nil"/>
              <w:left w:val="nil"/>
              <w:bottom w:val="single" w:sz="8" w:space="0" w:color="auto"/>
              <w:right w:val="single" w:sz="8" w:space="0" w:color="auto"/>
            </w:tcBorders>
            <w:shd w:val="clear" w:color="000000" w:fill="FFFFFF"/>
            <w:noWrap/>
            <w:vAlign w:val="center"/>
            <w:hideMark/>
          </w:tcPr>
          <w:p w14:paraId="24A0737B"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724</w:t>
            </w:r>
          </w:p>
        </w:tc>
        <w:tc>
          <w:tcPr>
            <w:tcW w:w="661" w:type="pct"/>
            <w:tcBorders>
              <w:top w:val="nil"/>
              <w:left w:val="nil"/>
              <w:bottom w:val="single" w:sz="8" w:space="0" w:color="auto"/>
              <w:right w:val="single" w:sz="8" w:space="0" w:color="auto"/>
            </w:tcBorders>
            <w:shd w:val="clear" w:color="000000" w:fill="FFFFFF"/>
            <w:noWrap/>
            <w:vAlign w:val="center"/>
            <w:hideMark/>
          </w:tcPr>
          <w:p w14:paraId="3A7B03AF"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539</w:t>
            </w:r>
          </w:p>
        </w:tc>
        <w:tc>
          <w:tcPr>
            <w:tcW w:w="661" w:type="pct"/>
            <w:tcBorders>
              <w:top w:val="nil"/>
              <w:left w:val="nil"/>
              <w:bottom w:val="single" w:sz="8" w:space="0" w:color="auto"/>
              <w:right w:val="single" w:sz="8" w:space="0" w:color="auto"/>
            </w:tcBorders>
            <w:shd w:val="clear" w:color="000000" w:fill="FFFFFF"/>
            <w:noWrap/>
            <w:vAlign w:val="center"/>
            <w:hideMark/>
          </w:tcPr>
          <w:p w14:paraId="1C492DCA" w14:textId="5FD9253E"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r w:rsidR="001D5B68">
              <w:rPr>
                <w:rFonts w:ascii="Book Antiqua" w:eastAsia="Times New Roman" w:hAnsi="Book Antiqua" w:cs="Calibri"/>
                <w:color w:val="000000"/>
                <w:lang w:eastAsia="es-CR"/>
              </w:rPr>
              <w:t>603</w:t>
            </w:r>
          </w:p>
        </w:tc>
        <w:tc>
          <w:tcPr>
            <w:tcW w:w="675" w:type="pct"/>
            <w:tcBorders>
              <w:top w:val="nil"/>
              <w:left w:val="nil"/>
              <w:bottom w:val="single" w:sz="8" w:space="0" w:color="auto"/>
              <w:right w:val="single" w:sz="8" w:space="0" w:color="auto"/>
            </w:tcBorders>
            <w:shd w:val="clear" w:color="000000" w:fill="F2F2F2"/>
            <w:noWrap/>
            <w:vAlign w:val="center"/>
            <w:hideMark/>
          </w:tcPr>
          <w:p w14:paraId="3E6E505C" w14:textId="25B34BB7" w:rsidR="00ED239D" w:rsidRPr="00ED239D" w:rsidRDefault="00BA3BCD" w:rsidP="00ED239D">
            <w:pPr>
              <w:spacing w:after="0" w:line="240" w:lineRule="auto"/>
              <w:jc w:val="center"/>
              <w:rPr>
                <w:rFonts w:ascii="Book Antiqua" w:eastAsia="Times New Roman" w:hAnsi="Book Antiqua" w:cs="Calibri"/>
                <w:b/>
                <w:bCs/>
                <w:color w:val="000000"/>
                <w:lang w:eastAsia="es-CR"/>
              </w:rPr>
            </w:pPr>
            <w:r>
              <w:rPr>
                <w:rFonts w:ascii="Book Antiqua" w:eastAsia="Times New Roman" w:hAnsi="Book Antiqua" w:cs="Calibri"/>
                <w:b/>
                <w:bCs/>
                <w:color w:val="000000"/>
                <w:lang w:eastAsia="es-CR"/>
              </w:rPr>
              <w:t>39</w:t>
            </w:r>
            <w:r w:rsidR="00ED239D" w:rsidRPr="00ED239D">
              <w:rPr>
                <w:rFonts w:ascii="Book Antiqua" w:eastAsia="Times New Roman" w:hAnsi="Book Antiqua" w:cs="Calibri"/>
                <w:b/>
                <w:bCs/>
                <w:color w:val="000000"/>
                <w:lang w:eastAsia="es-CR"/>
              </w:rPr>
              <w:t>%</w:t>
            </w:r>
          </w:p>
        </w:tc>
      </w:tr>
      <w:tr w:rsidR="00ED239D" w:rsidRPr="00ED239D" w14:paraId="42DEF397" w14:textId="77777777" w:rsidTr="00ED239D">
        <w:trPr>
          <w:trHeight w:val="590"/>
        </w:trPr>
        <w:tc>
          <w:tcPr>
            <w:tcW w:w="1023" w:type="pct"/>
            <w:tcBorders>
              <w:top w:val="nil"/>
              <w:left w:val="single" w:sz="8" w:space="0" w:color="auto"/>
              <w:bottom w:val="single" w:sz="8" w:space="0" w:color="auto"/>
              <w:right w:val="single" w:sz="8" w:space="0" w:color="auto"/>
            </w:tcBorders>
            <w:shd w:val="clear" w:color="000000" w:fill="FFFFFF"/>
            <w:noWrap/>
            <w:vAlign w:val="center"/>
            <w:hideMark/>
          </w:tcPr>
          <w:p w14:paraId="0E85F8CC" w14:textId="77777777" w:rsidR="00ED239D" w:rsidRPr="00ED239D" w:rsidRDefault="00ED239D" w:rsidP="00ED239D">
            <w:pPr>
              <w:spacing w:after="0" w:line="240" w:lineRule="auto"/>
              <w:jc w:val="both"/>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Demostrativa</w:t>
            </w:r>
          </w:p>
        </w:tc>
        <w:tc>
          <w:tcPr>
            <w:tcW w:w="660" w:type="pct"/>
            <w:tcBorders>
              <w:top w:val="nil"/>
              <w:left w:val="nil"/>
              <w:bottom w:val="single" w:sz="8" w:space="0" w:color="auto"/>
              <w:right w:val="single" w:sz="8" w:space="0" w:color="auto"/>
            </w:tcBorders>
            <w:shd w:val="clear" w:color="000000" w:fill="FFFFFF"/>
            <w:noWrap/>
            <w:vAlign w:val="center"/>
            <w:hideMark/>
          </w:tcPr>
          <w:p w14:paraId="44A670D7"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310</w:t>
            </w:r>
          </w:p>
        </w:tc>
        <w:tc>
          <w:tcPr>
            <w:tcW w:w="660" w:type="pct"/>
            <w:tcBorders>
              <w:top w:val="nil"/>
              <w:left w:val="nil"/>
              <w:bottom w:val="single" w:sz="8" w:space="0" w:color="auto"/>
              <w:right w:val="single" w:sz="8" w:space="0" w:color="auto"/>
            </w:tcBorders>
            <w:shd w:val="clear" w:color="000000" w:fill="FFFFFF"/>
            <w:noWrap/>
            <w:vAlign w:val="center"/>
            <w:hideMark/>
          </w:tcPr>
          <w:p w14:paraId="4043D3ED"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354</w:t>
            </w:r>
          </w:p>
        </w:tc>
        <w:tc>
          <w:tcPr>
            <w:tcW w:w="660" w:type="pct"/>
            <w:tcBorders>
              <w:top w:val="nil"/>
              <w:left w:val="nil"/>
              <w:bottom w:val="single" w:sz="8" w:space="0" w:color="auto"/>
              <w:right w:val="single" w:sz="8" w:space="0" w:color="auto"/>
            </w:tcBorders>
            <w:shd w:val="clear" w:color="000000" w:fill="FFFFFF"/>
            <w:noWrap/>
            <w:vAlign w:val="center"/>
            <w:hideMark/>
          </w:tcPr>
          <w:p w14:paraId="0526138D"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400</w:t>
            </w:r>
          </w:p>
        </w:tc>
        <w:tc>
          <w:tcPr>
            <w:tcW w:w="661" w:type="pct"/>
            <w:tcBorders>
              <w:top w:val="nil"/>
              <w:left w:val="nil"/>
              <w:bottom w:val="single" w:sz="8" w:space="0" w:color="auto"/>
              <w:right w:val="single" w:sz="8" w:space="0" w:color="auto"/>
            </w:tcBorders>
            <w:shd w:val="clear" w:color="000000" w:fill="FFFFFF"/>
            <w:noWrap/>
            <w:vAlign w:val="center"/>
            <w:hideMark/>
          </w:tcPr>
          <w:p w14:paraId="20C8C3A5"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585</w:t>
            </w:r>
          </w:p>
        </w:tc>
        <w:tc>
          <w:tcPr>
            <w:tcW w:w="661" w:type="pct"/>
            <w:tcBorders>
              <w:top w:val="nil"/>
              <w:left w:val="nil"/>
              <w:bottom w:val="single" w:sz="8" w:space="0" w:color="auto"/>
              <w:right w:val="single" w:sz="8" w:space="0" w:color="auto"/>
            </w:tcBorders>
            <w:shd w:val="clear" w:color="000000" w:fill="FFFFFF"/>
            <w:noWrap/>
            <w:vAlign w:val="center"/>
            <w:hideMark/>
          </w:tcPr>
          <w:p w14:paraId="510645FD" w14:textId="2D59B60E" w:rsidR="00ED239D" w:rsidRPr="00ED239D" w:rsidRDefault="001D5B68" w:rsidP="00ED239D">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823</w:t>
            </w:r>
            <w:r w:rsidR="00ED239D" w:rsidRPr="00ED239D">
              <w:rPr>
                <w:rFonts w:ascii="Book Antiqua" w:eastAsia="Times New Roman" w:hAnsi="Book Antiqua" w:cs="Calibri"/>
                <w:color w:val="000000"/>
                <w:lang w:eastAsia="es-CR"/>
              </w:rPr>
              <w:t> </w:t>
            </w:r>
          </w:p>
        </w:tc>
        <w:tc>
          <w:tcPr>
            <w:tcW w:w="675" w:type="pct"/>
            <w:tcBorders>
              <w:top w:val="nil"/>
              <w:left w:val="nil"/>
              <w:bottom w:val="single" w:sz="8" w:space="0" w:color="auto"/>
              <w:right w:val="single" w:sz="8" w:space="0" w:color="auto"/>
            </w:tcBorders>
            <w:shd w:val="clear" w:color="000000" w:fill="F2F2F2"/>
            <w:noWrap/>
            <w:vAlign w:val="center"/>
            <w:hideMark/>
          </w:tcPr>
          <w:p w14:paraId="78B7EBD3" w14:textId="37AD80D7" w:rsidR="00ED239D" w:rsidRPr="00ED239D" w:rsidRDefault="00BA3BCD" w:rsidP="00ED239D">
            <w:pPr>
              <w:spacing w:after="0" w:line="240" w:lineRule="auto"/>
              <w:jc w:val="center"/>
              <w:rPr>
                <w:rFonts w:ascii="Book Antiqua" w:eastAsia="Times New Roman" w:hAnsi="Book Antiqua" w:cs="Calibri"/>
                <w:b/>
                <w:bCs/>
                <w:color w:val="000000"/>
                <w:lang w:eastAsia="es-CR"/>
              </w:rPr>
            </w:pPr>
            <w:r>
              <w:rPr>
                <w:rFonts w:ascii="Book Antiqua" w:eastAsia="Times New Roman" w:hAnsi="Book Antiqua" w:cs="Calibri"/>
                <w:b/>
                <w:bCs/>
                <w:color w:val="000000"/>
                <w:lang w:eastAsia="es-CR"/>
              </w:rPr>
              <w:t>54</w:t>
            </w:r>
            <w:r w:rsidR="00ED239D" w:rsidRPr="00ED239D">
              <w:rPr>
                <w:rFonts w:ascii="Book Antiqua" w:eastAsia="Times New Roman" w:hAnsi="Book Antiqua" w:cs="Calibri"/>
                <w:b/>
                <w:bCs/>
                <w:color w:val="000000"/>
                <w:lang w:eastAsia="es-CR"/>
              </w:rPr>
              <w:t>%</w:t>
            </w:r>
          </w:p>
        </w:tc>
      </w:tr>
      <w:tr w:rsidR="00ED239D" w:rsidRPr="00ED239D" w14:paraId="0C69B8EC" w14:textId="77777777" w:rsidTr="00ED239D">
        <w:trPr>
          <w:trHeight w:val="300"/>
        </w:trPr>
        <w:tc>
          <w:tcPr>
            <w:tcW w:w="1023" w:type="pct"/>
            <w:tcBorders>
              <w:top w:val="nil"/>
              <w:left w:val="single" w:sz="8" w:space="0" w:color="auto"/>
              <w:bottom w:val="single" w:sz="8" w:space="0" w:color="auto"/>
              <w:right w:val="single" w:sz="8" w:space="0" w:color="auto"/>
            </w:tcBorders>
            <w:shd w:val="clear" w:color="000000" w:fill="FFFFFF"/>
            <w:noWrap/>
            <w:vAlign w:val="center"/>
            <w:hideMark/>
          </w:tcPr>
          <w:p w14:paraId="7E33BE18" w14:textId="77777777" w:rsidR="00ED239D" w:rsidRPr="00ED239D" w:rsidRDefault="00ED239D" w:rsidP="00ED239D">
            <w:pPr>
              <w:spacing w:after="0" w:line="240" w:lineRule="auto"/>
              <w:jc w:val="both"/>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Conclusiva</w:t>
            </w:r>
          </w:p>
        </w:tc>
        <w:tc>
          <w:tcPr>
            <w:tcW w:w="660" w:type="pct"/>
            <w:tcBorders>
              <w:top w:val="nil"/>
              <w:left w:val="nil"/>
              <w:bottom w:val="single" w:sz="8" w:space="0" w:color="auto"/>
              <w:right w:val="single" w:sz="8" w:space="0" w:color="auto"/>
            </w:tcBorders>
            <w:shd w:val="clear" w:color="000000" w:fill="FFFFFF"/>
            <w:noWrap/>
            <w:vAlign w:val="center"/>
            <w:hideMark/>
          </w:tcPr>
          <w:p w14:paraId="2210A18C"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47</w:t>
            </w:r>
          </w:p>
        </w:tc>
        <w:tc>
          <w:tcPr>
            <w:tcW w:w="660" w:type="pct"/>
            <w:tcBorders>
              <w:top w:val="nil"/>
              <w:left w:val="nil"/>
              <w:bottom w:val="single" w:sz="8" w:space="0" w:color="auto"/>
              <w:right w:val="single" w:sz="8" w:space="0" w:color="auto"/>
            </w:tcBorders>
            <w:shd w:val="clear" w:color="000000" w:fill="FFFFFF"/>
            <w:noWrap/>
            <w:vAlign w:val="center"/>
            <w:hideMark/>
          </w:tcPr>
          <w:p w14:paraId="73123107"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46</w:t>
            </w:r>
          </w:p>
        </w:tc>
        <w:tc>
          <w:tcPr>
            <w:tcW w:w="660" w:type="pct"/>
            <w:tcBorders>
              <w:top w:val="nil"/>
              <w:left w:val="nil"/>
              <w:bottom w:val="single" w:sz="8" w:space="0" w:color="auto"/>
              <w:right w:val="single" w:sz="8" w:space="0" w:color="auto"/>
            </w:tcBorders>
            <w:shd w:val="clear" w:color="000000" w:fill="FFFFFF"/>
            <w:noWrap/>
            <w:vAlign w:val="center"/>
            <w:hideMark/>
          </w:tcPr>
          <w:p w14:paraId="1BEFCA16"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79</w:t>
            </w:r>
          </w:p>
        </w:tc>
        <w:tc>
          <w:tcPr>
            <w:tcW w:w="661" w:type="pct"/>
            <w:tcBorders>
              <w:top w:val="nil"/>
              <w:left w:val="nil"/>
              <w:bottom w:val="single" w:sz="8" w:space="0" w:color="auto"/>
              <w:right w:val="single" w:sz="8" w:space="0" w:color="auto"/>
            </w:tcBorders>
            <w:shd w:val="clear" w:color="000000" w:fill="FFFFFF"/>
            <w:noWrap/>
            <w:vAlign w:val="center"/>
            <w:hideMark/>
          </w:tcPr>
          <w:p w14:paraId="5928813C"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56</w:t>
            </w:r>
          </w:p>
        </w:tc>
        <w:tc>
          <w:tcPr>
            <w:tcW w:w="661" w:type="pct"/>
            <w:tcBorders>
              <w:top w:val="nil"/>
              <w:left w:val="nil"/>
              <w:bottom w:val="single" w:sz="8" w:space="0" w:color="auto"/>
              <w:right w:val="single" w:sz="8" w:space="0" w:color="auto"/>
            </w:tcBorders>
            <w:shd w:val="clear" w:color="000000" w:fill="FFFFFF"/>
            <w:noWrap/>
            <w:vAlign w:val="center"/>
            <w:hideMark/>
          </w:tcPr>
          <w:p w14:paraId="01F2D36F" w14:textId="45E861D5"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r w:rsidR="001D5B68">
              <w:rPr>
                <w:rFonts w:ascii="Book Antiqua" w:eastAsia="Times New Roman" w:hAnsi="Book Antiqua" w:cs="Calibri"/>
                <w:color w:val="000000"/>
                <w:lang w:eastAsia="es-CR"/>
              </w:rPr>
              <w:t>96</w:t>
            </w:r>
          </w:p>
        </w:tc>
        <w:tc>
          <w:tcPr>
            <w:tcW w:w="675" w:type="pct"/>
            <w:tcBorders>
              <w:top w:val="nil"/>
              <w:left w:val="nil"/>
              <w:bottom w:val="single" w:sz="8" w:space="0" w:color="auto"/>
              <w:right w:val="single" w:sz="8" w:space="0" w:color="auto"/>
            </w:tcBorders>
            <w:shd w:val="clear" w:color="000000" w:fill="F2F2F2"/>
            <w:noWrap/>
            <w:vAlign w:val="center"/>
            <w:hideMark/>
          </w:tcPr>
          <w:p w14:paraId="5BA60DBB" w14:textId="789670AE" w:rsidR="00ED239D" w:rsidRPr="00ED239D" w:rsidRDefault="00BA3BCD" w:rsidP="00ED239D">
            <w:pPr>
              <w:spacing w:after="0" w:line="240" w:lineRule="auto"/>
              <w:jc w:val="center"/>
              <w:rPr>
                <w:rFonts w:ascii="Book Antiqua" w:eastAsia="Times New Roman" w:hAnsi="Book Antiqua" w:cs="Calibri"/>
                <w:b/>
                <w:bCs/>
                <w:color w:val="000000"/>
                <w:lang w:eastAsia="es-CR"/>
              </w:rPr>
            </w:pPr>
            <w:r>
              <w:rPr>
                <w:rFonts w:ascii="Book Antiqua" w:eastAsia="Times New Roman" w:hAnsi="Book Antiqua" w:cs="Calibri"/>
                <w:b/>
                <w:bCs/>
                <w:color w:val="000000"/>
                <w:lang w:eastAsia="es-CR"/>
              </w:rPr>
              <w:t>6</w:t>
            </w:r>
            <w:r w:rsidR="00ED239D" w:rsidRPr="00ED239D">
              <w:rPr>
                <w:rFonts w:ascii="Book Antiqua" w:eastAsia="Times New Roman" w:hAnsi="Book Antiqua" w:cs="Calibri"/>
                <w:b/>
                <w:bCs/>
                <w:color w:val="000000"/>
                <w:lang w:eastAsia="es-CR"/>
              </w:rPr>
              <w:t>%</w:t>
            </w:r>
          </w:p>
        </w:tc>
      </w:tr>
      <w:tr w:rsidR="00ED239D" w:rsidRPr="00ED239D" w14:paraId="43AA5F9C" w14:textId="77777777" w:rsidTr="00ED239D">
        <w:trPr>
          <w:trHeight w:val="300"/>
        </w:trPr>
        <w:tc>
          <w:tcPr>
            <w:tcW w:w="1023" w:type="pct"/>
            <w:tcBorders>
              <w:top w:val="nil"/>
              <w:left w:val="single" w:sz="8" w:space="0" w:color="auto"/>
              <w:bottom w:val="single" w:sz="8" w:space="0" w:color="auto"/>
              <w:right w:val="single" w:sz="8" w:space="0" w:color="auto"/>
            </w:tcBorders>
            <w:shd w:val="clear" w:color="000000" w:fill="FFFFFF"/>
            <w:noWrap/>
            <w:vAlign w:val="center"/>
            <w:hideMark/>
          </w:tcPr>
          <w:p w14:paraId="4EE7F520" w14:textId="77777777" w:rsidR="00ED239D" w:rsidRPr="00ED239D" w:rsidRDefault="00ED239D" w:rsidP="00ED239D">
            <w:pPr>
              <w:spacing w:after="0" w:line="240" w:lineRule="auto"/>
              <w:jc w:val="both"/>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Ejecución</w:t>
            </w:r>
          </w:p>
        </w:tc>
        <w:tc>
          <w:tcPr>
            <w:tcW w:w="660" w:type="pct"/>
            <w:tcBorders>
              <w:top w:val="nil"/>
              <w:left w:val="nil"/>
              <w:bottom w:val="single" w:sz="8" w:space="0" w:color="auto"/>
              <w:right w:val="single" w:sz="8" w:space="0" w:color="auto"/>
            </w:tcBorders>
            <w:shd w:val="clear" w:color="000000" w:fill="FFFFFF"/>
            <w:noWrap/>
            <w:vAlign w:val="center"/>
            <w:hideMark/>
          </w:tcPr>
          <w:p w14:paraId="33B399BA"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0</w:t>
            </w:r>
          </w:p>
        </w:tc>
        <w:tc>
          <w:tcPr>
            <w:tcW w:w="660" w:type="pct"/>
            <w:tcBorders>
              <w:top w:val="nil"/>
              <w:left w:val="nil"/>
              <w:bottom w:val="single" w:sz="8" w:space="0" w:color="auto"/>
              <w:right w:val="single" w:sz="8" w:space="0" w:color="auto"/>
            </w:tcBorders>
            <w:shd w:val="clear" w:color="000000" w:fill="FFFFFF"/>
            <w:noWrap/>
            <w:vAlign w:val="center"/>
            <w:hideMark/>
          </w:tcPr>
          <w:p w14:paraId="0C1D4AE4"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0</w:t>
            </w:r>
          </w:p>
        </w:tc>
        <w:tc>
          <w:tcPr>
            <w:tcW w:w="660" w:type="pct"/>
            <w:tcBorders>
              <w:top w:val="nil"/>
              <w:left w:val="nil"/>
              <w:bottom w:val="single" w:sz="8" w:space="0" w:color="auto"/>
              <w:right w:val="single" w:sz="8" w:space="0" w:color="auto"/>
            </w:tcBorders>
            <w:shd w:val="clear" w:color="000000" w:fill="FFFFFF"/>
            <w:noWrap/>
            <w:vAlign w:val="center"/>
            <w:hideMark/>
          </w:tcPr>
          <w:p w14:paraId="5ACEC9E5"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0</w:t>
            </w:r>
          </w:p>
        </w:tc>
        <w:tc>
          <w:tcPr>
            <w:tcW w:w="661" w:type="pct"/>
            <w:tcBorders>
              <w:top w:val="nil"/>
              <w:left w:val="nil"/>
              <w:bottom w:val="single" w:sz="8" w:space="0" w:color="auto"/>
              <w:right w:val="single" w:sz="8" w:space="0" w:color="auto"/>
            </w:tcBorders>
            <w:shd w:val="clear" w:color="000000" w:fill="FFFFFF"/>
            <w:noWrap/>
            <w:vAlign w:val="center"/>
            <w:hideMark/>
          </w:tcPr>
          <w:p w14:paraId="4A243174"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1</w:t>
            </w:r>
          </w:p>
        </w:tc>
        <w:tc>
          <w:tcPr>
            <w:tcW w:w="661" w:type="pct"/>
            <w:tcBorders>
              <w:top w:val="nil"/>
              <w:left w:val="nil"/>
              <w:bottom w:val="single" w:sz="8" w:space="0" w:color="auto"/>
              <w:right w:val="single" w:sz="8" w:space="0" w:color="auto"/>
            </w:tcBorders>
            <w:shd w:val="clear" w:color="000000" w:fill="FFFFFF"/>
            <w:noWrap/>
            <w:vAlign w:val="center"/>
            <w:hideMark/>
          </w:tcPr>
          <w:p w14:paraId="698A121E" w14:textId="7EFE0DAE"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r w:rsidR="001D5B68">
              <w:rPr>
                <w:rFonts w:ascii="Book Antiqua" w:eastAsia="Times New Roman" w:hAnsi="Book Antiqua" w:cs="Calibri"/>
                <w:color w:val="000000"/>
                <w:lang w:eastAsia="es-CR"/>
              </w:rPr>
              <w:t>0</w:t>
            </w:r>
          </w:p>
        </w:tc>
        <w:tc>
          <w:tcPr>
            <w:tcW w:w="675" w:type="pct"/>
            <w:tcBorders>
              <w:top w:val="nil"/>
              <w:left w:val="nil"/>
              <w:bottom w:val="single" w:sz="8" w:space="0" w:color="auto"/>
              <w:right w:val="single" w:sz="8" w:space="0" w:color="auto"/>
            </w:tcBorders>
            <w:shd w:val="clear" w:color="000000" w:fill="F2F2F2"/>
            <w:noWrap/>
            <w:vAlign w:val="center"/>
            <w:hideMark/>
          </w:tcPr>
          <w:p w14:paraId="70E60713" w14:textId="77777777" w:rsidR="00ED239D" w:rsidRPr="00ED239D" w:rsidRDefault="00ED239D" w:rsidP="00ED239D">
            <w:pPr>
              <w:spacing w:after="0" w:line="240" w:lineRule="auto"/>
              <w:jc w:val="center"/>
              <w:rPr>
                <w:rFonts w:ascii="Book Antiqua" w:eastAsia="Times New Roman" w:hAnsi="Book Antiqua" w:cs="Calibri"/>
                <w:b/>
                <w:bCs/>
                <w:color w:val="000000"/>
                <w:lang w:eastAsia="es-CR"/>
              </w:rPr>
            </w:pPr>
            <w:r w:rsidRPr="00ED239D">
              <w:rPr>
                <w:rFonts w:ascii="Book Antiqua" w:eastAsia="Times New Roman" w:hAnsi="Book Antiqua" w:cs="Calibri"/>
                <w:b/>
                <w:bCs/>
                <w:color w:val="000000"/>
                <w:lang w:eastAsia="es-CR"/>
              </w:rPr>
              <w:t>0%</w:t>
            </w:r>
          </w:p>
        </w:tc>
      </w:tr>
      <w:tr w:rsidR="00ED239D" w:rsidRPr="00ED239D" w14:paraId="676D2208" w14:textId="77777777" w:rsidTr="00ED239D">
        <w:trPr>
          <w:trHeight w:val="300"/>
        </w:trPr>
        <w:tc>
          <w:tcPr>
            <w:tcW w:w="1023" w:type="pct"/>
            <w:tcBorders>
              <w:top w:val="nil"/>
              <w:left w:val="single" w:sz="8" w:space="0" w:color="auto"/>
              <w:bottom w:val="single" w:sz="8" w:space="0" w:color="auto"/>
              <w:right w:val="single" w:sz="8" w:space="0" w:color="auto"/>
            </w:tcBorders>
            <w:shd w:val="clear" w:color="000000" w:fill="FFFFFF"/>
            <w:noWrap/>
            <w:vAlign w:val="center"/>
            <w:hideMark/>
          </w:tcPr>
          <w:p w14:paraId="7A22B950" w14:textId="77777777" w:rsidR="00ED239D" w:rsidRPr="00ED239D" w:rsidRDefault="00ED239D" w:rsidP="00ED239D">
            <w:pPr>
              <w:spacing w:after="0" w:line="240" w:lineRule="auto"/>
              <w:jc w:val="both"/>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Sin Fase</w:t>
            </w:r>
          </w:p>
        </w:tc>
        <w:tc>
          <w:tcPr>
            <w:tcW w:w="660" w:type="pct"/>
            <w:tcBorders>
              <w:top w:val="nil"/>
              <w:left w:val="nil"/>
              <w:bottom w:val="single" w:sz="8" w:space="0" w:color="auto"/>
              <w:right w:val="single" w:sz="8" w:space="0" w:color="auto"/>
            </w:tcBorders>
            <w:shd w:val="clear" w:color="000000" w:fill="FFFFFF"/>
            <w:noWrap/>
            <w:vAlign w:val="center"/>
            <w:hideMark/>
          </w:tcPr>
          <w:p w14:paraId="212C2382"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p>
        </w:tc>
        <w:tc>
          <w:tcPr>
            <w:tcW w:w="660" w:type="pct"/>
            <w:tcBorders>
              <w:top w:val="nil"/>
              <w:left w:val="nil"/>
              <w:bottom w:val="single" w:sz="8" w:space="0" w:color="auto"/>
              <w:right w:val="single" w:sz="8" w:space="0" w:color="auto"/>
            </w:tcBorders>
            <w:shd w:val="clear" w:color="000000" w:fill="FFFFFF"/>
            <w:noWrap/>
            <w:vAlign w:val="center"/>
            <w:hideMark/>
          </w:tcPr>
          <w:p w14:paraId="355AE601"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p>
        </w:tc>
        <w:tc>
          <w:tcPr>
            <w:tcW w:w="660" w:type="pct"/>
            <w:tcBorders>
              <w:top w:val="nil"/>
              <w:left w:val="nil"/>
              <w:bottom w:val="single" w:sz="8" w:space="0" w:color="auto"/>
              <w:right w:val="single" w:sz="8" w:space="0" w:color="auto"/>
            </w:tcBorders>
            <w:shd w:val="clear" w:color="000000" w:fill="FFFFFF"/>
            <w:noWrap/>
            <w:vAlign w:val="center"/>
            <w:hideMark/>
          </w:tcPr>
          <w:p w14:paraId="7B367B8B"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p>
        </w:tc>
        <w:tc>
          <w:tcPr>
            <w:tcW w:w="661" w:type="pct"/>
            <w:tcBorders>
              <w:top w:val="nil"/>
              <w:left w:val="nil"/>
              <w:bottom w:val="single" w:sz="8" w:space="0" w:color="auto"/>
              <w:right w:val="single" w:sz="8" w:space="0" w:color="auto"/>
            </w:tcBorders>
            <w:shd w:val="clear" w:color="000000" w:fill="FFFFFF"/>
            <w:noWrap/>
            <w:vAlign w:val="center"/>
            <w:hideMark/>
          </w:tcPr>
          <w:p w14:paraId="742E72C3" w14:textId="77777777"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6</w:t>
            </w:r>
          </w:p>
        </w:tc>
        <w:tc>
          <w:tcPr>
            <w:tcW w:w="661" w:type="pct"/>
            <w:tcBorders>
              <w:top w:val="nil"/>
              <w:left w:val="nil"/>
              <w:bottom w:val="single" w:sz="8" w:space="0" w:color="auto"/>
              <w:right w:val="single" w:sz="8" w:space="0" w:color="auto"/>
            </w:tcBorders>
            <w:shd w:val="clear" w:color="000000" w:fill="FFFFFF"/>
            <w:noWrap/>
            <w:vAlign w:val="center"/>
            <w:hideMark/>
          </w:tcPr>
          <w:p w14:paraId="34F59901" w14:textId="735FBC3A" w:rsidR="00ED239D" w:rsidRPr="00ED239D" w:rsidRDefault="00ED239D" w:rsidP="00ED239D">
            <w:pPr>
              <w:spacing w:after="0" w:line="240" w:lineRule="auto"/>
              <w:jc w:val="center"/>
              <w:rPr>
                <w:rFonts w:ascii="Book Antiqua" w:eastAsia="Times New Roman" w:hAnsi="Book Antiqua" w:cs="Calibri"/>
                <w:color w:val="000000"/>
                <w:lang w:eastAsia="es-CR"/>
              </w:rPr>
            </w:pPr>
            <w:r w:rsidRPr="00ED239D">
              <w:rPr>
                <w:rFonts w:ascii="Book Antiqua" w:eastAsia="Times New Roman" w:hAnsi="Book Antiqua" w:cs="Calibri"/>
                <w:color w:val="000000"/>
                <w:lang w:eastAsia="es-CR"/>
              </w:rPr>
              <w:t> </w:t>
            </w:r>
            <w:r w:rsidR="001D5B68">
              <w:rPr>
                <w:rFonts w:ascii="Book Antiqua" w:eastAsia="Times New Roman" w:hAnsi="Book Antiqua" w:cs="Calibri"/>
                <w:color w:val="000000"/>
                <w:lang w:eastAsia="es-CR"/>
              </w:rPr>
              <w:t>7</w:t>
            </w:r>
          </w:p>
        </w:tc>
        <w:tc>
          <w:tcPr>
            <w:tcW w:w="675" w:type="pct"/>
            <w:tcBorders>
              <w:top w:val="nil"/>
              <w:left w:val="nil"/>
              <w:bottom w:val="single" w:sz="8" w:space="0" w:color="auto"/>
              <w:right w:val="single" w:sz="8" w:space="0" w:color="auto"/>
            </w:tcBorders>
            <w:shd w:val="clear" w:color="000000" w:fill="F2F2F2"/>
            <w:noWrap/>
            <w:vAlign w:val="center"/>
            <w:hideMark/>
          </w:tcPr>
          <w:p w14:paraId="4CFB8012" w14:textId="2AA01383" w:rsidR="00ED239D" w:rsidRPr="00ED239D" w:rsidRDefault="00ED239D" w:rsidP="00ED239D">
            <w:pPr>
              <w:spacing w:after="0" w:line="240" w:lineRule="auto"/>
              <w:jc w:val="center"/>
              <w:rPr>
                <w:rFonts w:ascii="Book Antiqua" w:eastAsia="Times New Roman" w:hAnsi="Book Antiqua" w:cs="Calibri"/>
                <w:b/>
                <w:bCs/>
                <w:color w:val="000000"/>
                <w:lang w:eastAsia="es-CR"/>
              </w:rPr>
            </w:pPr>
            <w:r w:rsidRPr="00ED239D">
              <w:rPr>
                <w:rFonts w:ascii="Book Antiqua" w:eastAsia="Times New Roman" w:hAnsi="Book Antiqua" w:cs="Calibri"/>
                <w:b/>
                <w:bCs/>
                <w:color w:val="000000"/>
                <w:lang w:eastAsia="es-CR"/>
              </w:rPr>
              <w:t> </w:t>
            </w:r>
            <w:r w:rsidR="00BA3BCD">
              <w:rPr>
                <w:rFonts w:ascii="Book Antiqua" w:eastAsia="Times New Roman" w:hAnsi="Book Antiqua" w:cs="Calibri"/>
                <w:b/>
                <w:bCs/>
                <w:color w:val="000000"/>
                <w:lang w:eastAsia="es-CR"/>
              </w:rPr>
              <w:t>0%</w:t>
            </w:r>
          </w:p>
        </w:tc>
      </w:tr>
      <w:tr w:rsidR="00ED239D" w:rsidRPr="00ED239D" w14:paraId="09AF90BF" w14:textId="77777777" w:rsidTr="00ED239D">
        <w:trPr>
          <w:trHeight w:val="300"/>
        </w:trPr>
        <w:tc>
          <w:tcPr>
            <w:tcW w:w="1023" w:type="pct"/>
            <w:tcBorders>
              <w:top w:val="nil"/>
              <w:left w:val="single" w:sz="8" w:space="0" w:color="auto"/>
              <w:bottom w:val="single" w:sz="8" w:space="0" w:color="auto"/>
              <w:right w:val="single" w:sz="8" w:space="0" w:color="auto"/>
            </w:tcBorders>
            <w:shd w:val="clear" w:color="000000" w:fill="808080"/>
            <w:noWrap/>
            <w:vAlign w:val="center"/>
            <w:hideMark/>
          </w:tcPr>
          <w:p w14:paraId="60BF7189" w14:textId="77777777" w:rsidR="00ED239D" w:rsidRPr="00ED239D" w:rsidRDefault="00ED239D" w:rsidP="00ED239D">
            <w:pPr>
              <w:spacing w:after="0" w:line="240" w:lineRule="auto"/>
              <w:jc w:val="right"/>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 xml:space="preserve">Total </w:t>
            </w:r>
          </w:p>
        </w:tc>
        <w:tc>
          <w:tcPr>
            <w:tcW w:w="660" w:type="pct"/>
            <w:tcBorders>
              <w:top w:val="nil"/>
              <w:left w:val="nil"/>
              <w:bottom w:val="single" w:sz="8" w:space="0" w:color="auto"/>
              <w:right w:val="single" w:sz="8" w:space="0" w:color="auto"/>
            </w:tcBorders>
            <w:shd w:val="clear" w:color="000000" w:fill="808080"/>
            <w:noWrap/>
            <w:vAlign w:val="center"/>
            <w:hideMark/>
          </w:tcPr>
          <w:p w14:paraId="2B736C70"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840</w:t>
            </w:r>
          </w:p>
        </w:tc>
        <w:tc>
          <w:tcPr>
            <w:tcW w:w="660" w:type="pct"/>
            <w:tcBorders>
              <w:top w:val="nil"/>
              <w:left w:val="nil"/>
              <w:bottom w:val="single" w:sz="8" w:space="0" w:color="auto"/>
              <w:right w:val="single" w:sz="8" w:space="0" w:color="auto"/>
            </w:tcBorders>
            <w:shd w:val="clear" w:color="000000" w:fill="808080"/>
            <w:noWrap/>
            <w:vAlign w:val="center"/>
            <w:hideMark/>
          </w:tcPr>
          <w:p w14:paraId="0613CC19"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998</w:t>
            </w:r>
          </w:p>
        </w:tc>
        <w:tc>
          <w:tcPr>
            <w:tcW w:w="660" w:type="pct"/>
            <w:tcBorders>
              <w:top w:val="nil"/>
              <w:left w:val="nil"/>
              <w:bottom w:val="single" w:sz="8" w:space="0" w:color="auto"/>
              <w:right w:val="single" w:sz="8" w:space="0" w:color="auto"/>
            </w:tcBorders>
            <w:shd w:val="clear" w:color="000000" w:fill="808080"/>
            <w:noWrap/>
            <w:vAlign w:val="center"/>
            <w:hideMark/>
          </w:tcPr>
          <w:p w14:paraId="40899287"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1203</w:t>
            </w:r>
          </w:p>
        </w:tc>
        <w:tc>
          <w:tcPr>
            <w:tcW w:w="661" w:type="pct"/>
            <w:tcBorders>
              <w:top w:val="nil"/>
              <w:left w:val="nil"/>
              <w:bottom w:val="single" w:sz="8" w:space="0" w:color="auto"/>
              <w:right w:val="single" w:sz="8" w:space="0" w:color="auto"/>
            </w:tcBorders>
            <w:shd w:val="clear" w:color="000000" w:fill="808080"/>
            <w:noWrap/>
            <w:vAlign w:val="center"/>
            <w:hideMark/>
          </w:tcPr>
          <w:p w14:paraId="78C72EC3"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1187</w:t>
            </w:r>
          </w:p>
        </w:tc>
        <w:tc>
          <w:tcPr>
            <w:tcW w:w="661" w:type="pct"/>
            <w:tcBorders>
              <w:top w:val="nil"/>
              <w:left w:val="nil"/>
              <w:bottom w:val="single" w:sz="8" w:space="0" w:color="auto"/>
              <w:right w:val="single" w:sz="8" w:space="0" w:color="auto"/>
            </w:tcBorders>
            <w:shd w:val="clear" w:color="000000" w:fill="808080"/>
            <w:noWrap/>
            <w:vAlign w:val="center"/>
            <w:hideMark/>
          </w:tcPr>
          <w:p w14:paraId="0C59FA5C" w14:textId="3413EB84" w:rsidR="00ED239D" w:rsidRPr="00ED239D" w:rsidRDefault="00BA3BCD" w:rsidP="00ED239D">
            <w:pPr>
              <w:spacing w:after="0" w:line="240" w:lineRule="auto"/>
              <w:jc w:val="center"/>
              <w:rPr>
                <w:rFonts w:ascii="Book Antiqua" w:eastAsia="Times New Roman" w:hAnsi="Book Antiqua" w:cs="Calibri"/>
                <w:b/>
                <w:bCs/>
                <w:color w:val="FFFFFF"/>
                <w:lang w:eastAsia="es-CR"/>
              </w:rPr>
            </w:pPr>
            <w:r>
              <w:rPr>
                <w:rFonts w:ascii="Book Antiqua" w:eastAsia="Times New Roman" w:hAnsi="Book Antiqua" w:cs="Calibri"/>
                <w:b/>
                <w:bCs/>
                <w:color w:val="FFFFFF"/>
                <w:lang w:eastAsia="es-CR"/>
              </w:rPr>
              <w:t>1529</w:t>
            </w:r>
          </w:p>
        </w:tc>
        <w:tc>
          <w:tcPr>
            <w:tcW w:w="675" w:type="pct"/>
            <w:tcBorders>
              <w:top w:val="nil"/>
              <w:left w:val="nil"/>
              <w:bottom w:val="single" w:sz="8" w:space="0" w:color="auto"/>
              <w:right w:val="single" w:sz="8" w:space="0" w:color="auto"/>
            </w:tcBorders>
            <w:shd w:val="clear" w:color="000000" w:fill="808080"/>
            <w:noWrap/>
            <w:vAlign w:val="center"/>
            <w:hideMark/>
          </w:tcPr>
          <w:p w14:paraId="72E65749" w14:textId="77777777" w:rsidR="00ED239D" w:rsidRPr="00ED239D" w:rsidRDefault="00ED239D" w:rsidP="00ED239D">
            <w:pPr>
              <w:spacing w:after="0" w:line="240" w:lineRule="auto"/>
              <w:jc w:val="center"/>
              <w:rPr>
                <w:rFonts w:ascii="Book Antiqua" w:eastAsia="Times New Roman" w:hAnsi="Book Antiqua" w:cs="Calibri"/>
                <w:b/>
                <w:bCs/>
                <w:color w:val="FFFFFF"/>
                <w:lang w:eastAsia="es-CR"/>
              </w:rPr>
            </w:pPr>
            <w:r w:rsidRPr="00ED239D">
              <w:rPr>
                <w:rFonts w:ascii="Book Antiqua" w:eastAsia="Times New Roman" w:hAnsi="Book Antiqua" w:cs="Calibri"/>
                <w:b/>
                <w:bCs/>
                <w:color w:val="FFFFFF"/>
                <w:lang w:eastAsia="es-CR"/>
              </w:rPr>
              <w:t>100%</w:t>
            </w:r>
          </w:p>
        </w:tc>
      </w:tr>
    </w:tbl>
    <w:p w14:paraId="303F5CBF" w14:textId="526599F2" w:rsidR="00ED239D" w:rsidRPr="00406BBA" w:rsidRDefault="00ED239D" w:rsidP="00ED239D">
      <w:pPr>
        <w:pStyle w:val="Fuentes"/>
      </w:pPr>
      <w:r w:rsidRPr="00546055">
        <w:t>Fuente: Subproceso de Modernización Institucional, con datos del Subproceso de Estadística del 201</w:t>
      </w:r>
      <w:r>
        <w:t>7</w:t>
      </w:r>
      <w:r w:rsidRPr="00546055">
        <w:t xml:space="preserve"> al 20</w:t>
      </w:r>
      <w:r>
        <w:t>2</w:t>
      </w:r>
      <w:r w:rsidRPr="00546055">
        <w:t xml:space="preserve">1. </w:t>
      </w:r>
    </w:p>
    <w:p w14:paraId="120F648A" w14:textId="77777777" w:rsidR="00E35FB0" w:rsidRDefault="00E35FB0" w:rsidP="00ED239D">
      <w:pPr>
        <w:spacing w:after="0" w:line="276" w:lineRule="auto"/>
        <w:jc w:val="both"/>
        <w:rPr>
          <w:rFonts w:ascii="Book Antiqua" w:eastAsia="Calibri" w:hAnsi="Book Antiqua" w:cs="Arial"/>
          <w:sz w:val="24"/>
          <w:szCs w:val="24"/>
        </w:rPr>
      </w:pPr>
    </w:p>
    <w:p w14:paraId="361B40F5" w14:textId="38B45D52" w:rsidR="00E35FB0" w:rsidRPr="00E35FB0" w:rsidRDefault="00E35FB0" w:rsidP="00E35FB0">
      <w:pPr>
        <w:rPr>
          <w:rFonts w:ascii="Book Antiqua" w:eastAsia="Calibri" w:hAnsi="Book Antiqua" w:cs="Arial"/>
          <w:sz w:val="24"/>
          <w:szCs w:val="24"/>
        </w:rPr>
      </w:pPr>
      <w:r w:rsidRPr="00E35FB0">
        <w:rPr>
          <w:rFonts w:ascii="Book Antiqua" w:eastAsia="Calibri" w:hAnsi="Book Antiqua" w:cs="Arial"/>
          <w:sz w:val="24"/>
          <w:szCs w:val="24"/>
        </w:rPr>
        <w:t xml:space="preserve">Como se observa en el cuadro anterior, durante los últimos cinco años, se ha dado un crecimiento paulatino en el circulante, pasando de </w:t>
      </w:r>
      <w:r>
        <w:rPr>
          <w:rFonts w:ascii="Book Antiqua" w:eastAsia="Calibri" w:hAnsi="Book Antiqua" w:cs="Arial"/>
          <w:sz w:val="24"/>
          <w:szCs w:val="24"/>
        </w:rPr>
        <w:t>8</w:t>
      </w:r>
      <w:r w:rsidRPr="00E35FB0">
        <w:rPr>
          <w:rFonts w:ascii="Book Antiqua" w:eastAsia="Calibri" w:hAnsi="Book Antiqua" w:cs="Arial"/>
          <w:sz w:val="24"/>
          <w:szCs w:val="24"/>
        </w:rPr>
        <w:t>4</w:t>
      </w:r>
      <w:r>
        <w:rPr>
          <w:rFonts w:ascii="Book Antiqua" w:eastAsia="Calibri" w:hAnsi="Book Antiqua" w:cs="Arial"/>
          <w:sz w:val="24"/>
          <w:szCs w:val="24"/>
        </w:rPr>
        <w:t>0</w:t>
      </w:r>
      <w:r w:rsidRPr="00E35FB0">
        <w:rPr>
          <w:rFonts w:ascii="Book Antiqua" w:eastAsia="Calibri" w:hAnsi="Book Antiqua" w:cs="Arial"/>
          <w:sz w:val="24"/>
          <w:szCs w:val="24"/>
        </w:rPr>
        <w:t xml:space="preserve"> asuntos al finalizar </w:t>
      </w:r>
      <w:r>
        <w:rPr>
          <w:rFonts w:ascii="Book Antiqua" w:eastAsia="Calibri" w:hAnsi="Book Antiqua" w:cs="Arial"/>
          <w:sz w:val="24"/>
          <w:szCs w:val="24"/>
        </w:rPr>
        <w:t>2017</w:t>
      </w:r>
      <w:r w:rsidRPr="00E35FB0">
        <w:rPr>
          <w:rFonts w:ascii="Book Antiqua" w:eastAsia="Calibri" w:hAnsi="Book Antiqua" w:cs="Arial"/>
          <w:sz w:val="24"/>
          <w:szCs w:val="24"/>
        </w:rPr>
        <w:t xml:space="preserve"> a 1</w:t>
      </w:r>
      <w:r>
        <w:rPr>
          <w:rFonts w:ascii="Book Antiqua" w:eastAsia="Calibri" w:hAnsi="Book Antiqua" w:cs="Arial"/>
          <w:sz w:val="24"/>
          <w:szCs w:val="24"/>
        </w:rPr>
        <w:t xml:space="preserve"> 5</w:t>
      </w:r>
      <w:r w:rsidRPr="00E35FB0">
        <w:rPr>
          <w:rFonts w:ascii="Book Antiqua" w:eastAsia="Calibri" w:hAnsi="Book Antiqua" w:cs="Arial"/>
          <w:sz w:val="24"/>
          <w:szCs w:val="24"/>
        </w:rPr>
        <w:t>2</w:t>
      </w:r>
      <w:r>
        <w:rPr>
          <w:rFonts w:ascii="Book Antiqua" w:eastAsia="Calibri" w:hAnsi="Book Antiqua" w:cs="Arial"/>
          <w:sz w:val="24"/>
          <w:szCs w:val="24"/>
        </w:rPr>
        <w:t>9</w:t>
      </w:r>
      <w:r w:rsidRPr="00E35FB0">
        <w:rPr>
          <w:rFonts w:ascii="Book Antiqua" w:eastAsia="Calibri" w:hAnsi="Book Antiqua" w:cs="Arial"/>
          <w:sz w:val="24"/>
          <w:szCs w:val="24"/>
        </w:rPr>
        <w:t xml:space="preserve"> al finalizar 20</w:t>
      </w:r>
      <w:r>
        <w:rPr>
          <w:rFonts w:ascii="Book Antiqua" w:eastAsia="Calibri" w:hAnsi="Book Antiqua" w:cs="Arial"/>
          <w:sz w:val="24"/>
          <w:szCs w:val="24"/>
        </w:rPr>
        <w:t>2</w:t>
      </w:r>
      <w:r w:rsidRPr="00E35FB0">
        <w:rPr>
          <w:rFonts w:ascii="Book Antiqua" w:eastAsia="Calibri" w:hAnsi="Book Antiqua" w:cs="Arial"/>
          <w:sz w:val="24"/>
          <w:szCs w:val="24"/>
        </w:rPr>
        <w:t>1 (incremento del 5</w:t>
      </w:r>
      <w:r>
        <w:rPr>
          <w:rFonts w:ascii="Book Antiqua" w:eastAsia="Calibri" w:hAnsi="Book Antiqua" w:cs="Arial"/>
          <w:sz w:val="24"/>
          <w:szCs w:val="24"/>
        </w:rPr>
        <w:t>5</w:t>
      </w:r>
      <w:r w:rsidRPr="00E35FB0">
        <w:rPr>
          <w:rFonts w:ascii="Book Antiqua" w:eastAsia="Calibri" w:hAnsi="Book Antiqua" w:cs="Arial"/>
          <w:sz w:val="24"/>
          <w:szCs w:val="24"/>
        </w:rPr>
        <w:t xml:space="preserve">%). </w:t>
      </w:r>
    </w:p>
    <w:p w14:paraId="2430F9ED" w14:textId="52794BC4" w:rsidR="00ED239D" w:rsidRPr="00ED239D" w:rsidRDefault="00E35FB0" w:rsidP="00ED239D">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Sin</w:t>
      </w:r>
      <w:r w:rsidR="00BA3BCD">
        <w:rPr>
          <w:rFonts w:ascii="Book Antiqua" w:eastAsia="Calibri" w:hAnsi="Book Antiqua" w:cs="Arial"/>
          <w:sz w:val="24"/>
          <w:szCs w:val="24"/>
        </w:rPr>
        <w:t xml:space="preserve"> embargo,</w:t>
      </w:r>
      <w:r w:rsidR="001D5B68">
        <w:rPr>
          <w:rFonts w:ascii="Book Antiqua" w:eastAsia="Calibri" w:hAnsi="Book Antiqua" w:cs="Arial"/>
          <w:sz w:val="24"/>
          <w:szCs w:val="24"/>
        </w:rPr>
        <w:t xml:space="preserve"> </w:t>
      </w:r>
      <w:r w:rsidR="001367ED">
        <w:rPr>
          <w:rFonts w:ascii="Book Antiqua" w:eastAsia="Calibri" w:hAnsi="Book Antiqua" w:cs="Arial"/>
          <w:sz w:val="24"/>
          <w:szCs w:val="24"/>
        </w:rPr>
        <w:t>para el 20</w:t>
      </w:r>
      <w:r w:rsidR="001D5B68">
        <w:rPr>
          <w:rFonts w:ascii="Book Antiqua" w:eastAsia="Calibri" w:hAnsi="Book Antiqua" w:cs="Arial"/>
          <w:sz w:val="24"/>
          <w:szCs w:val="24"/>
        </w:rPr>
        <w:t xml:space="preserve">20 </w:t>
      </w:r>
      <w:r w:rsidR="001367ED">
        <w:rPr>
          <w:rFonts w:ascii="Book Antiqua" w:eastAsia="Calibri" w:hAnsi="Book Antiqua" w:cs="Arial"/>
          <w:sz w:val="24"/>
          <w:szCs w:val="24"/>
        </w:rPr>
        <w:t>disminuye en 16 asuntos</w:t>
      </w:r>
      <w:r w:rsidR="001D5B68">
        <w:rPr>
          <w:rFonts w:ascii="Book Antiqua" w:eastAsia="Calibri" w:hAnsi="Book Antiqua" w:cs="Arial"/>
          <w:sz w:val="24"/>
          <w:szCs w:val="24"/>
        </w:rPr>
        <w:t xml:space="preserve"> en comparación con </w:t>
      </w:r>
      <w:r w:rsidR="00D57E9D">
        <w:rPr>
          <w:rFonts w:ascii="Book Antiqua" w:eastAsia="Calibri" w:hAnsi="Book Antiqua" w:cs="Arial"/>
          <w:sz w:val="24"/>
          <w:szCs w:val="24"/>
        </w:rPr>
        <w:t xml:space="preserve">el </w:t>
      </w:r>
      <w:r w:rsidR="00753712">
        <w:rPr>
          <w:rFonts w:ascii="Book Antiqua" w:eastAsia="Calibri" w:hAnsi="Book Antiqua" w:cs="Arial"/>
          <w:sz w:val="24"/>
          <w:szCs w:val="24"/>
        </w:rPr>
        <w:t>periodo 2019</w:t>
      </w:r>
      <w:r>
        <w:rPr>
          <w:rFonts w:ascii="Book Antiqua" w:eastAsia="Calibri" w:hAnsi="Book Antiqua" w:cs="Arial"/>
          <w:sz w:val="24"/>
          <w:szCs w:val="24"/>
        </w:rPr>
        <w:t>.</w:t>
      </w:r>
    </w:p>
    <w:p w14:paraId="05F0CC92" w14:textId="77777777" w:rsidR="00ED239D" w:rsidRPr="00ED239D" w:rsidRDefault="00ED239D" w:rsidP="00ED239D">
      <w:pPr>
        <w:spacing w:after="0" w:line="276" w:lineRule="auto"/>
        <w:jc w:val="both"/>
        <w:rPr>
          <w:rFonts w:ascii="Book Antiqua" w:eastAsia="Calibri" w:hAnsi="Book Antiqua" w:cs="Arial"/>
          <w:sz w:val="24"/>
          <w:szCs w:val="24"/>
        </w:rPr>
      </w:pPr>
    </w:p>
    <w:p w14:paraId="1C26390F" w14:textId="50D156EF" w:rsidR="00ED239D" w:rsidRPr="00ED239D" w:rsidRDefault="00ED239D" w:rsidP="00ED239D">
      <w:pPr>
        <w:spacing w:after="0" w:line="276" w:lineRule="auto"/>
        <w:jc w:val="both"/>
        <w:rPr>
          <w:rFonts w:ascii="Book Antiqua" w:eastAsia="Calibri" w:hAnsi="Book Antiqua" w:cs="Arial"/>
          <w:sz w:val="24"/>
          <w:szCs w:val="24"/>
        </w:rPr>
      </w:pPr>
      <w:r w:rsidRPr="00ED239D">
        <w:rPr>
          <w:rFonts w:ascii="Book Antiqua" w:eastAsia="Calibri" w:hAnsi="Book Antiqua" w:cs="Arial"/>
          <w:sz w:val="24"/>
          <w:szCs w:val="24"/>
        </w:rPr>
        <w:t>Al graficar en conjunto la entrada total de casos (entrados+ testimonio de piezas + reentrados), los terminados totales (terminados + inactivos) y el circulante en trámite al finalizar el periodo de 201</w:t>
      </w:r>
      <w:r w:rsidR="001367ED">
        <w:rPr>
          <w:rFonts w:ascii="Book Antiqua" w:eastAsia="Calibri" w:hAnsi="Book Antiqua" w:cs="Arial"/>
          <w:sz w:val="24"/>
          <w:szCs w:val="24"/>
        </w:rPr>
        <w:t>7</w:t>
      </w:r>
      <w:r w:rsidRPr="00ED239D">
        <w:rPr>
          <w:rFonts w:ascii="Book Antiqua" w:eastAsia="Calibri" w:hAnsi="Book Antiqua" w:cs="Arial"/>
          <w:sz w:val="24"/>
          <w:szCs w:val="24"/>
        </w:rPr>
        <w:t xml:space="preserve"> a 20</w:t>
      </w:r>
      <w:r w:rsidR="001367ED">
        <w:rPr>
          <w:rFonts w:ascii="Book Antiqua" w:eastAsia="Calibri" w:hAnsi="Book Antiqua" w:cs="Arial"/>
          <w:sz w:val="24"/>
          <w:szCs w:val="24"/>
        </w:rPr>
        <w:t>2</w:t>
      </w:r>
      <w:r w:rsidRPr="00ED239D">
        <w:rPr>
          <w:rFonts w:ascii="Book Antiqua" w:eastAsia="Calibri" w:hAnsi="Book Antiqua" w:cs="Arial"/>
          <w:sz w:val="24"/>
          <w:szCs w:val="24"/>
        </w:rPr>
        <w:t>1 se obtiene que en el año 201</w:t>
      </w:r>
      <w:r w:rsidR="00355630">
        <w:rPr>
          <w:rFonts w:ascii="Book Antiqua" w:eastAsia="Calibri" w:hAnsi="Book Antiqua" w:cs="Arial"/>
          <w:sz w:val="24"/>
          <w:szCs w:val="24"/>
        </w:rPr>
        <w:t>9</w:t>
      </w:r>
      <w:r w:rsidRPr="00ED239D">
        <w:rPr>
          <w:rFonts w:ascii="Book Antiqua" w:eastAsia="Calibri" w:hAnsi="Book Antiqua" w:cs="Arial"/>
          <w:sz w:val="24"/>
          <w:szCs w:val="24"/>
        </w:rPr>
        <w:t xml:space="preserve"> se registra una mayor cantidad de casos entrados con 1</w:t>
      </w:r>
      <w:r w:rsidR="00355630" w:rsidRPr="00355630">
        <w:rPr>
          <w:rFonts w:ascii="Book Antiqua" w:eastAsia="Calibri" w:hAnsi="Book Antiqua" w:cs="Arial"/>
          <w:sz w:val="24"/>
          <w:szCs w:val="24"/>
        </w:rPr>
        <w:t xml:space="preserve"> </w:t>
      </w:r>
      <w:r w:rsidRPr="00ED239D">
        <w:rPr>
          <w:rFonts w:ascii="Book Antiqua" w:eastAsia="Calibri" w:hAnsi="Book Antiqua" w:cs="Arial"/>
          <w:sz w:val="24"/>
          <w:szCs w:val="24"/>
        </w:rPr>
        <w:t>1</w:t>
      </w:r>
      <w:r w:rsidR="00355630" w:rsidRPr="00355630">
        <w:rPr>
          <w:rFonts w:ascii="Book Antiqua" w:eastAsia="Calibri" w:hAnsi="Book Antiqua" w:cs="Arial"/>
          <w:sz w:val="24"/>
          <w:szCs w:val="24"/>
        </w:rPr>
        <w:t>8</w:t>
      </w:r>
      <w:r w:rsidRPr="00ED239D">
        <w:rPr>
          <w:rFonts w:ascii="Book Antiqua" w:eastAsia="Calibri" w:hAnsi="Book Antiqua" w:cs="Arial"/>
          <w:sz w:val="24"/>
          <w:szCs w:val="24"/>
        </w:rPr>
        <w:t xml:space="preserve">9 y </w:t>
      </w:r>
      <w:r w:rsidR="00355630" w:rsidRPr="00355630">
        <w:rPr>
          <w:rFonts w:ascii="Book Antiqua" w:eastAsia="Calibri" w:hAnsi="Book Antiqua" w:cs="Arial"/>
          <w:sz w:val="24"/>
          <w:szCs w:val="24"/>
        </w:rPr>
        <w:t xml:space="preserve">para el 2021 el </w:t>
      </w:r>
      <w:r w:rsidRPr="00ED239D">
        <w:rPr>
          <w:rFonts w:ascii="Book Antiqua" w:eastAsia="Calibri" w:hAnsi="Book Antiqua" w:cs="Arial"/>
          <w:sz w:val="24"/>
          <w:szCs w:val="24"/>
        </w:rPr>
        <w:t>circulante en trámite más alto de los últimos cinco años con 1</w:t>
      </w:r>
      <w:r w:rsidR="00355630" w:rsidRPr="00355630">
        <w:rPr>
          <w:rFonts w:ascii="Book Antiqua" w:eastAsia="Calibri" w:hAnsi="Book Antiqua" w:cs="Arial"/>
          <w:sz w:val="24"/>
          <w:szCs w:val="24"/>
        </w:rPr>
        <w:t xml:space="preserve"> 5</w:t>
      </w:r>
      <w:r w:rsidRPr="00ED239D">
        <w:rPr>
          <w:rFonts w:ascii="Book Antiqua" w:eastAsia="Calibri" w:hAnsi="Book Antiqua" w:cs="Arial"/>
          <w:sz w:val="24"/>
          <w:szCs w:val="24"/>
        </w:rPr>
        <w:t>2</w:t>
      </w:r>
      <w:r w:rsidR="00355630" w:rsidRPr="00355630">
        <w:rPr>
          <w:rFonts w:ascii="Book Antiqua" w:eastAsia="Calibri" w:hAnsi="Book Antiqua" w:cs="Arial"/>
          <w:sz w:val="24"/>
          <w:szCs w:val="24"/>
        </w:rPr>
        <w:t>9</w:t>
      </w:r>
      <w:r w:rsidRPr="00ED239D">
        <w:rPr>
          <w:rFonts w:ascii="Book Antiqua" w:eastAsia="Calibri" w:hAnsi="Book Antiqua" w:cs="Arial"/>
          <w:sz w:val="24"/>
          <w:szCs w:val="24"/>
        </w:rPr>
        <w:t xml:space="preserve"> expedientes. La cantidad de terminados </w:t>
      </w:r>
      <w:r w:rsidRPr="00ED239D">
        <w:rPr>
          <w:rFonts w:ascii="Book Antiqua" w:eastAsia="Calibri" w:hAnsi="Book Antiqua" w:cs="Arial"/>
          <w:sz w:val="24"/>
          <w:szCs w:val="24"/>
        </w:rPr>
        <w:lastRenderedPageBreak/>
        <w:t>se mant</w:t>
      </w:r>
      <w:r w:rsidR="00355630">
        <w:rPr>
          <w:rFonts w:ascii="Book Antiqua" w:eastAsia="Calibri" w:hAnsi="Book Antiqua" w:cs="Arial"/>
          <w:sz w:val="24"/>
          <w:szCs w:val="24"/>
        </w:rPr>
        <w:t xml:space="preserve">uvo </w:t>
      </w:r>
      <w:r w:rsidRPr="00ED239D">
        <w:rPr>
          <w:rFonts w:ascii="Book Antiqua" w:eastAsia="Calibri" w:hAnsi="Book Antiqua" w:cs="Arial"/>
          <w:sz w:val="24"/>
          <w:szCs w:val="24"/>
        </w:rPr>
        <w:t>en crecimiento desde el 2017</w:t>
      </w:r>
      <w:r w:rsidR="00355630">
        <w:rPr>
          <w:rFonts w:ascii="Book Antiqua" w:eastAsia="Calibri" w:hAnsi="Book Antiqua" w:cs="Arial"/>
          <w:sz w:val="24"/>
          <w:szCs w:val="24"/>
        </w:rPr>
        <w:t xml:space="preserve"> al 2020</w:t>
      </w:r>
      <w:r w:rsidRPr="00ED239D">
        <w:rPr>
          <w:rFonts w:ascii="Book Antiqua" w:eastAsia="Calibri" w:hAnsi="Book Antiqua" w:cs="Arial"/>
          <w:sz w:val="24"/>
          <w:szCs w:val="24"/>
        </w:rPr>
        <w:t xml:space="preserve">, </w:t>
      </w:r>
      <w:r w:rsidR="00355630">
        <w:rPr>
          <w:rFonts w:ascii="Book Antiqua" w:eastAsia="Calibri" w:hAnsi="Book Antiqua" w:cs="Arial"/>
          <w:sz w:val="24"/>
          <w:szCs w:val="24"/>
        </w:rPr>
        <w:t xml:space="preserve">y disminuye </w:t>
      </w:r>
      <w:r w:rsidRPr="00ED239D">
        <w:rPr>
          <w:rFonts w:ascii="Book Antiqua" w:eastAsia="Calibri" w:hAnsi="Book Antiqua" w:cs="Arial"/>
          <w:sz w:val="24"/>
          <w:szCs w:val="24"/>
        </w:rPr>
        <w:t>en 20</w:t>
      </w:r>
      <w:r w:rsidR="00355630">
        <w:rPr>
          <w:rFonts w:ascii="Book Antiqua" w:eastAsia="Calibri" w:hAnsi="Book Antiqua" w:cs="Arial"/>
          <w:sz w:val="24"/>
          <w:szCs w:val="24"/>
        </w:rPr>
        <w:t>2</w:t>
      </w:r>
      <w:r w:rsidRPr="00ED239D">
        <w:rPr>
          <w:rFonts w:ascii="Book Antiqua" w:eastAsia="Calibri" w:hAnsi="Book Antiqua" w:cs="Arial"/>
          <w:sz w:val="24"/>
          <w:szCs w:val="24"/>
        </w:rPr>
        <w:t xml:space="preserve">1 una cantidad </w:t>
      </w:r>
      <w:r w:rsidR="00BD34DF">
        <w:rPr>
          <w:rFonts w:ascii="Book Antiqua" w:eastAsia="Calibri" w:hAnsi="Book Antiqua" w:cs="Arial"/>
          <w:sz w:val="24"/>
          <w:szCs w:val="24"/>
        </w:rPr>
        <w:t xml:space="preserve">226 asuntos en comparación con el </w:t>
      </w:r>
      <w:r w:rsidRPr="00ED239D">
        <w:rPr>
          <w:rFonts w:ascii="Book Antiqua" w:eastAsia="Calibri" w:hAnsi="Book Antiqua" w:cs="Arial"/>
          <w:sz w:val="24"/>
          <w:szCs w:val="24"/>
        </w:rPr>
        <w:t>201</w:t>
      </w:r>
      <w:r w:rsidR="00BD34DF">
        <w:rPr>
          <w:rFonts w:ascii="Book Antiqua" w:eastAsia="Calibri" w:hAnsi="Book Antiqua" w:cs="Arial"/>
          <w:sz w:val="24"/>
          <w:szCs w:val="24"/>
        </w:rPr>
        <w:t>9</w:t>
      </w:r>
      <w:r w:rsidRPr="00ED239D">
        <w:rPr>
          <w:rFonts w:ascii="Book Antiqua" w:eastAsia="Calibri" w:hAnsi="Book Antiqua" w:cs="Arial"/>
          <w:sz w:val="24"/>
          <w:szCs w:val="24"/>
        </w:rPr>
        <w:t>, como se muestra en el siguiente gráfico.</w:t>
      </w:r>
    </w:p>
    <w:p w14:paraId="0FD01C54" w14:textId="3DDB84FA" w:rsidR="00F30375" w:rsidRDefault="00F30375" w:rsidP="00200D8B">
      <w:pPr>
        <w:spacing w:line="276" w:lineRule="auto"/>
        <w:jc w:val="both"/>
        <w:rPr>
          <w:rFonts w:ascii="Book Antiqua" w:eastAsia="Calibri" w:hAnsi="Book Antiqua" w:cs="Arial"/>
          <w:sz w:val="24"/>
          <w:szCs w:val="24"/>
        </w:rPr>
      </w:pPr>
    </w:p>
    <w:p w14:paraId="2BCA3452" w14:textId="7031160B" w:rsidR="00ED239D" w:rsidRPr="00ED239D" w:rsidRDefault="00ED239D" w:rsidP="00ED239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D239D">
        <w:rPr>
          <w:rFonts w:ascii="Book Antiqua" w:eastAsia="Calibri" w:hAnsi="Book Antiqua" w:cs="Arial"/>
          <w:b/>
          <w:bCs/>
          <w:color w:val="1F497D"/>
          <w:szCs w:val="24"/>
          <w:lang w:val="es-ES" w:eastAsia="es-ES"/>
        </w:rPr>
        <w:t xml:space="preserve">Gráfico </w:t>
      </w:r>
      <w:r w:rsidRPr="00ED239D">
        <w:rPr>
          <w:rFonts w:ascii="Book Antiqua" w:eastAsia="Calibri" w:hAnsi="Book Antiqua" w:cs="Arial"/>
          <w:b/>
          <w:bCs/>
          <w:color w:val="1F497D"/>
          <w:szCs w:val="24"/>
          <w:lang w:val="es-ES" w:eastAsia="es-ES"/>
        </w:rPr>
        <w:fldChar w:fldCharType="begin"/>
      </w:r>
      <w:r w:rsidRPr="00ED239D">
        <w:rPr>
          <w:rFonts w:ascii="Book Antiqua" w:eastAsia="Calibri" w:hAnsi="Book Antiqua" w:cs="Arial"/>
          <w:b/>
          <w:bCs/>
          <w:color w:val="1F497D"/>
          <w:szCs w:val="24"/>
          <w:lang w:val="es-ES" w:eastAsia="es-ES"/>
        </w:rPr>
        <w:instrText xml:space="preserve"> SEQ Gráfico \* ARABIC </w:instrText>
      </w:r>
      <w:r w:rsidRPr="00ED239D">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8</w:t>
      </w:r>
      <w:r w:rsidRPr="00ED239D">
        <w:rPr>
          <w:rFonts w:ascii="Book Antiqua" w:eastAsia="Calibri" w:hAnsi="Book Antiqua" w:cs="Arial"/>
          <w:b/>
          <w:bCs/>
          <w:color w:val="1F497D"/>
          <w:szCs w:val="24"/>
          <w:lang w:val="es-ES" w:eastAsia="es-ES"/>
        </w:rPr>
        <w:fldChar w:fldCharType="end"/>
      </w:r>
      <w:r w:rsidRPr="00ED239D">
        <w:rPr>
          <w:rFonts w:ascii="Book Antiqua" w:eastAsia="Calibri" w:hAnsi="Book Antiqua" w:cs="Arial"/>
          <w:b/>
          <w:bCs/>
          <w:color w:val="1F497D"/>
          <w:szCs w:val="24"/>
          <w:lang w:val="es-ES" w:eastAsia="es-ES"/>
        </w:rPr>
        <w:t xml:space="preserve"> </w:t>
      </w:r>
    </w:p>
    <w:p w14:paraId="0745E8C3" w14:textId="77777777" w:rsidR="00ED239D" w:rsidRPr="00ED239D" w:rsidRDefault="00ED239D" w:rsidP="00ED239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D239D">
        <w:rPr>
          <w:rFonts w:ascii="Book Antiqua" w:eastAsia="Calibri" w:hAnsi="Book Antiqua" w:cs="Arial"/>
          <w:b/>
          <w:bCs/>
          <w:color w:val="1F497D"/>
          <w:szCs w:val="24"/>
          <w:lang w:val="es-ES" w:eastAsia="es-ES"/>
        </w:rPr>
        <w:t xml:space="preserve">Entrado total, terminado total y circulante </w:t>
      </w:r>
    </w:p>
    <w:p w14:paraId="1FFF3272" w14:textId="5B54F009" w:rsidR="00ED239D" w:rsidRPr="00ED239D" w:rsidRDefault="00ED239D" w:rsidP="00ED239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D239D">
        <w:rPr>
          <w:rFonts w:ascii="Book Antiqua" w:eastAsia="Calibri" w:hAnsi="Book Antiqua" w:cs="Arial"/>
          <w:b/>
          <w:bCs/>
          <w:color w:val="1F497D"/>
          <w:szCs w:val="24"/>
          <w:lang w:val="es-ES" w:eastAsia="es-ES"/>
        </w:rPr>
        <w:t>Juzgado de Familia, Niñez y Adolescencia, del 201</w:t>
      </w:r>
      <w:r>
        <w:rPr>
          <w:rFonts w:ascii="Book Antiqua" w:eastAsia="Calibri" w:hAnsi="Book Antiqua" w:cs="Arial"/>
          <w:b/>
          <w:bCs/>
          <w:color w:val="1F497D"/>
          <w:szCs w:val="24"/>
          <w:lang w:val="es-ES" w:eastAsia="es-ES"/>
        </w:rPr>
        <w:t>7</w:t>
      </w:r>
      <w:r w:rsidRPr="00ED239D">
        <w:rPr>
          <w:rFonts w:ascii="Book Antiqua" w:eastAsia="Calibri" w:hAnsi="Book Antiqua" w:cs="Arial"/>
          <w:b/>
          <w:bCs/>
          <w:color w:val="1F497D"/>
          <w:szCs w:val="24"/>
          <w:lang w:val="es-ES" w:eastAsia="es-ES"/>
        </w:rPr>
        <w:t xml:space="preserve"> al 20</w:t>
      </w:r>
      <w:r>
        <w:rPr>
          <w:rFonts w:ascii="Book Antiqua" w:eastAsia="Calibri" w:hAnsi="Book Antiqua" w:cs="Arial"/>
          <w:b/>
          <w:bCs/>
          <w:color w:val="1F497D"/>
          <w:szCs w:val="24"/>
          <w:lang w:val="es-ES" w:eastAsia="es-ES"/>
        </w:rPr>
        <w:t>2</w:t>
      </w:r>
      <w:r w:rsidRPr="00ED239D">
        <w:rPr>
          <w:rFonts w:ascii="Book Antiqua" w:eastAsia="Calibri" w:hAnsi="Book Antiqua" w:cs="Arial"/>
          <w:b/>
          <w:bCs/>
          <w:color w:val="1F497D"/>
          <w:szCs w:val="24"/>
          <w:lang w:val="es-ES" w:eastAsia="es-ES"/>
        </w:rPr>
        <w:t xml:space="preserve">1 </w:t>
      </w:r>
    </w:p>
    <w:p w14:paraId="201DF03B" w14:textId="283839A1" w:rsidR="00C319F8" w:rsidRPr="00355630" w:rsidRDefault="00355630" w:rsidP="00355630">
      <w:pPr>
        <w:spacing w:line="276" w:lineRule="auto"/>
        <w:jc w:val="center"/>
        <w:rPr>
          <w:rFonts w:ascii="Book Antiqua" w:hAnsi="Book Antiqua"/>
          <w:bCs/>
          <w:i/>
          <w:sz w:val="20"/>
          <w:szCs w:val="20"/>
        </w:rPr>
      </w:pPr>
      <w:r w:rsidRPr="00355630">
        <w:rPr>
          <w:rFonts w:ascii="Book Antiqua" w:hAnsi="Book Antiqua"/>
          <w:bCs/>
          <w:i/>
          <w:noProof/>
          <w:sz w:val="20"/>
          <w:szCs w:val="20"/>
        </w:rPr>
        <w:drawing>
          <wp:inline distT="0" distB="0" distL="0" distR="0" wp14:anchorId="49CC29AE" wp14:editId="39261352">
            <wp:extent cx="4572000" cy="2743200"/>
            <wp:effectExtent l="0" t="0" r="0" b="0"/>
            <wp:docPr id="2" name="Gráfico 2">
              <a:extLst xmlns:a="http://schemas.openxmlformats.org/drawingml/2006/main">
                <a:ext uri="{FF2B5EF4-FFF2-40B4-BE49-F238E27FC236}">
                  <a16:creationId xmlns:a16="http://schemas.microsoft.com/office/drawing/2014/main" id="{14548E8E-DC86-4024-A5AA-2E77AC1CB2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98E6AA4" w14:textId="77777777" w:rsidR="00355630" w:rsidRPr="00355630" w:rsidRDefault="00355630" w:rsidP="00355630">
      <w:pPr>
        <w:spacing w:after="0" w:line="276" w:lineRule="auto"/>
        <w:jc w:val="both"/>
        <w:rPr>
          <w:rFonts w:ascii="Book Antiqua" w:hAnsi="Book Antiqua"/>
          <w:bCs/>
          <w:i/>
          <w:sz w:val="20"/>
          <w:szCs w:val="20"/>
        </w:rPr>
      </w:pPr>
      <w:r w:rsidRPr="00355630">
        <w:rPr>
          <w:rFonts w:ascii="Book Antiqua" w:hAnsi="Book Antiqua"/>
          <w:bCs/>
          <w:i/>
          <w:sz w:val="20"/>
          <w:szCs w:val="20"/>
        </w:rPr>
        <w:t xml:space="preserve">               Fuente: Subproceso de Modernización Institucional, con datos del Subproceso de Estadística </w:t>
      </w:r>
    </w:p>
    <w:p w14:paraId="10078F43" w14:textId="6DDF3711" w:rsidR="00355630" w:rsidRDefault="00355630" w:rsidP="00355630">
      <w:pPr>
        <w:spacing w:after="0" w:line="276" w:lineRule="auto"/>
        <w:jc w:val="both"/>
        <w:rPr>
          <w:rFonts w:ascii="Book Antiqua" w:eastAsia="Calibri" w:hAnsi="Book Antiqua" w:cs="Arial"/>
          <w:sz w:val="24"/>
          <w:szCs w:val="24"/>
        </w:rPr>
      </w:pPr>
      <w:r w:rsidRPr="00355630">
        <w:rPr>
          <w:rFonts w:ascii="Book Antiqua" w:hAnsi="Book Antiqua"/>
          <w:bCs/>
          <w:i/>
          <w:sz w:val="20"/>
          <w:szCs w:val="20"/>
        </w:rPr>
        <w:t xml:space="preserve">             del 2017 al 2021</w:t>
      </w:r>
      <w:r w:rsidRPr="00355630">
        <w:rPr>
          <w:rFonts w:ascii="Book Antiqua" w:eastAsia="Calibri" w:hAnsi="Book Antiqua" w:cs="Arial"/>
          <w:sz w:val="24"/>
          <w:szCs w:val="24"/>
        </w:rPr>
        <w:t>.</w:t>
      </w:r>
    </w:p>
    <w:p w14:paraId="27506BF5" w14:textId="534A5551" w:rsidR="00355630" w:rsidRDefault="00355630" w:rsidP="00355630">
      <w:pPr>
        <w:spacing w:after="0" w:line="276" w:lineRule="auto"/>
        <w:jc w:val="both"/>
        <w:rPr>
          <w:rFonts w:ascii="Book Antiqua" w:eastAsia="Calibri" w:hAnsi="Book Antiqua" w:cs="Arial"/>
          <w:sz w:val="24"/>
          <w:szCs w:val="24"/>
        </w:rPr>
      </w:pPr>
    </w:p>
    <w:p w14:paraId="29B0F55B" w14:textId="34069218" w:rsidR="00AA0DF4" w:rsidRPr="00AA0DF4" w:rsidRDefault="00AA0DF4" w:rsidP="00AA0DF4">
      <w:pPr>
        <w:spacing w:after="0" w:line="276" w:lineRule="auto"/>
        <w:jc w:val="both"/>
        <w:rPr>
          <w:rFonts w:ascii="Book Antiqua" w:eastAsia="Calibri" w:hAnsi="Book Antiqua" w:cs="Arial"/>
          <w:sz w:val="24"/>
          <w:szCs w:val="24"/>
        </w:rPr>
      </w:pPr>
      <w:r w:rsidRPr="00AA0DF4">
        <w:rPr>
          <w:rFonts w:ascii="Book Antiqua" w:eastAsia="Calibri" w:hAnsi="Book Antiqua" w:cs="Arial"/>
          <w:sz w:val="24"/>
          <w:szCs w:val="24"/>
        </w:rPr>
        <w:t xml:space="preserve">El Juzgado de Familia, </w:t>
      </w:r>
      <w:r>
        <w:rPr>
          <w:rFonts w:ascii="Book Antiqua" w:eastAsia="Calibri" w:hAnsi="Book Antiqua" w:cs="Arial"/>
          <w:sz w:val="24"/>
          <w:szCs w:val="24"/>
        </w:rPr>
        <w:t xml:space="preserve">de </w:t>
      </w:r>
      <w:r w:rsidRPr="00AA0DF4">
        <w:rPr>
          <w:rFonts w:ascii="Book Antiqua" w:eastAsia="Calibri" w:hAnsi="Book Antiqua" w:cs="Arial"/>
          <w:sz w:val="24"/>
          <w:szCs w:val="24"/>
        </w:rPr>
        <w:t>Niñez y Adolescencia registra una entrada promedio de 9</w:t>
      </w:r>
      <w:r w:rsidR="00E57F67">
        <w:rPr>
          <w:rFonts w:ascii="Book Antiqua" w:eastAsia="Calibri" w:hAnsi="Book Antiqua" w:cs="Arial"/>
          <w:sz w:val="24"/>
          <w:szCs w:val="24"/>
        </w:rPr>
        <w:t>8</w:t>
      </w:r>
      <w:r w:rsidRPr="00AA0DF4">
        <w:rPr>
          <w:rFonts w:ascii="Book Antiqua" w:eastAsia="Calibri" w:hAnsi="Book Antiqua" w:cs="Arial"/>
          <w:sz w:val="24"/>
          <w:szCs w:val="24"/>
        </w:rPr>
        <w:t xml:space="preserve"> casos al mes, y de </w:t>
      </w:r>
      <w:r w:rsidR="00E57F67">
        <w:rPr>
          <w:rFonts w:ascii="Book Antiqua" w:eastAsia="Calibri" w:hAnsi="Book Antiqua" w:cs="Arial"/>
          <w:sz w:val="24"/>
          <w:szCs w:val="24"/>
        </w:rPr>
        <w:t>81</w:t>
      </w:r>
      <w:r w:rsidRPr="00AA0DF4">
        <w:rPr>
          <w:rFonts w:ascii="Book Antiqua" w:eastAsia="Calibri" w:hAnsi="Book Antiqua" w:cs="Arial"/>
          <w:sz w:val="24"/>
          <w:szCs w:val="24"/>
        </w:rPr>
        <w:t xml:space="preserve"> terminados de 20</w:t>
      </w:r>
      <w:r>
        <w:rPr>
          <w:rFonts w:ascii="Book Antiqua" w:eastAsia="Calibri" w:hAnsi="Book Antiqua" w:cs="Arial"/>
          <w:sz w:val="24"/>
          <w:szCs w:val="24"/>
        </w:rPr>
        <w:t>17</w:t>
      </w:r>
      <w:r w:rsidRPr="00AA0DF4">
        <w:rPr>
          <w:rFonts w:ascii="Book Antiqua" w:eastAsia="Calibri" w:hAnsi="Book Antiqua" w:cs="Arial"/>
          <w:sz w:val="24"/>
          <w:szCs w:val="24"/>
        </w:rPr>
        <w:t xml:space="preserve"> a 20</w:t>
      </w:r>
      <w:r>
        <w:rPr>
          <w:rFonts w:ascii="Book Antiqua" w:eastAsia="Calibri" w:hAnsi="Book Antiqua" w:cs="Arial"/>
          <w:sz w:val="24"/>
          <w:szCs w:val="24"/>
        </w:rPr>
        <w:t>2</w:t>
      </w:r>
      <w:r w:rsidRPr="00AA0DF4">
        <w:rPr>
          <w:rFonts w:ascii="Book Antiqua" w:eastAsia="Calibri" w:hAnsi="Book Antiqua" w:cs="Arial"/>
          <w:sz w:val="24"/>
          <w:szCs w:val="24"/>
        </w:rPr>
        <w:t>1, para una carga de trabajo de 4</w:t>
      </w:r>
      <w:r w:rsidR="00E57F67">
        <w:rPr>
          <w:rFonts w:ascii="Book Antiqua" w:eastAsia="Calibri" w:hAnsi="Book Antiqua" w:cs="Arial"/>
          <w:sz w:val="24"/>
          <w:szCs w:val="24"/>
        </w:rPr>
        <w:t>9</w:t>
      </w:r>
      <w:r w:rsidRPr="00AA0DF4">
        <w:rPr>
          <w:rFonts w:ascii="Book Antiqua" w:eastAsia="Calibri" w:hAnsi="Book Antiqua" w:cs="Arial"/>
          <w:sz w:val="24"/>
          <w:szCs w:val="24"/>
        </w:rPr>
        <w:t xml:space="preserve"> casos por persona juzgadora y 2</w:t>
      </w:r>
      <w:r w:rsidR="000330F0">
        <w:rPr>
          <w:rFonts w:ascii="Book Antiqua" w:eastAsia="Calibri" w:hAnsi="Book Antiqua" w:cs="Arial"/>
          <w:sz w:val="24"/>
          <w:szCs w:val="24"/>
        </w:rPr>
        <w:t>5</w:t>
      </w:r>
      <w:r w:rsidRPr="00AA0DF4">
        <w:rPr>
          <w:rFonts w:ascii="Book Antiqua" w:eastAsia="Calibri" w:hAnsi="Book Antiqua" w:cs="Arial"/>
          <w:sz w:val="24"/>
          <w:szCs w:val="24"/>
        </w:rPr>
        <w:t xml:space="preserve"> por persona técnica judicial</w:t>
      </w:r>
      <w:r w:rsidR="00CC60D5">
        <w:rPr>
          <w:rFonts w:ascii="Book Antiqua" w:eastAsia="Calibri" w:hAnsi="Book Antiqua" w:cs="Arial"/>
          <w:sz w:val="24"/>
          <w:szCs w:val="24"/>
        </w:rPr>
        <w:t>. Sin embargo esta oficina cont</w:t>
      </w:r>
      <w:r w:rsidR="0077411C">
        <w:rPr>
          <w:rFonts w:ascii="Book Antiqua" w:eastAsia="Calibri" w:hAnsi="Book Antiqua" w:cs="Arial"/>
          <w:sz w:val="24"/>
          <w:szCs w:val="24"/>
        </w:rPr>
        <w:t>ó</w:t>
      </w:r>
      <w:r w:rsidR="00CC60D5">
        <w:rPr>
          <w:rFonts w:ascii="Book Antiqua" w:eastAsia="Calibri" w:hAnsi="Book Antiqua" w:cs="Arial"/>
          <w:sz w:val="24"/>
          <w:szCs w:val="24"/>
        </w:rPr>
        <w:t xml:space="preserve"> con un recurso adicional de persona juzgadora y de Técnica o Técnico Judicial del CACMFJ por aproximadamente de </w:t>
      </w:r>
      <w:r w:rsidR="00CC60D5" w:rsidRPr="00A70A3E">
        <w:rPr>
          <w:rFonts w:ascii="Book Antiqua" w:eastAsia="Calibri" w:hAnsi="Book Antiqua" w:cs="Arial"/>
          <w:sz w:val="24"/>
          <w:szCs w:val="24"/>
        </w:rPr>
        <w:t>2018 a 202</w:t>
      </w:r>
      <w:r w:rsidR="00A70A3E">
        <w:rPr>
          <w:rFonts w:ascii="Book Antiqua" w:eastAsia="Calibri" w:hAnsi="Book Antiqua" w:cs="Arial"/>
          <w:sz w:val="24"/>
          <w:szCs w:val="24"/>
        </w:rPr>
        <w:t>1</w:t>
      </w:r>
      <w:r w:rsidR="003065CD">
        <w:rPr>
          <w:rFonts w:ascii="Book Antiqua" w:eastAsia="Calibri" w:hAnsi="Book Antiqua" w:cs="Arial"/>
          <w:sz w:val="24"/>
          <w:szCs w:val="24"/>
        </w:rPr>
        <w:t xml:space="preserve"> </w:t>
      </w:r>
      <w:r w:rsidR="00106DFC">
        <w:rPr>
          <w:rFonts w:ascii="Book Antiqua" w:eastAsia="Calibri" w:hAnsi="Book Antiqua" w:cs="Arial"/>
          <w:sz w:val="24"/>
          <w:szCs w:val="24"/>
        </w:rPr>
        <w:t>periodo</w:t>
      </w:r>
      <w:r w:rsidR="003065CD">
        <w:rPr>
          <w:rFonts w:ascii="Book Antiqua" w:eastAsia="Calibri" w:hAnsi="Book Antiqua" w:cs="Arial"/>
          <w:sz w:val="24"/>
          <w:szCs w:val="24"/>
        </w:rPr>
        <w:t xml:space="preserve"> en que conforme al gráfico anterior, se visualiza fue cuando se report</w:t>
      </w:r>
      <w:r w:rsidR="000A7A5A">
        <w:rPr>
          <w:rFonts w:ascii="Book Antiqua" w:eastAsia="Calibri" w:hAnsi="Book Antiqua" w:cs="Arial"/>
          <w:sz w:val="24"/>
          <w:szCs w:val="24"/>
        </w:rPr>
        <w:t>a</w:t>
      </w:r>
      <w:r w:rsidR="003065CD">
        <w:rPr>
          <w:rFonts w:ascii="Book Antiqua" w:eastAsia="Calibri" w:hAnsi="Book Antiqua" w:cs="Arial"/>
          <w:sz w:val="24"/>
          <w:szCs w:val="24"/>
        </w:rPr>
        <w:t xml:space="preserve"> el incremento en la cantidad de terminados de la oficina</w:t>
      </w:r>
      <w:r w:rsidR="00E34D0E" w:rsidRPr="001D0C10">
        <w:rPr>
          <w:rFonts w:ascii="Book Antiqua" w:eastAsia="Calibri" w:hAnsi="Book Antiqua" w:cs="Arial"/>
          <w:sz w:val="24"/>
          <w:szCs w:val="24"/>
        </w:rPr>
        <w:t xml:space="preserve">, según </w:t>
      </w:r>
      <w:r w:rsidR="00A30B02" w:rsidRPr="001D0C10">
        <w:rPr>
          <w:rFonts w:ascii="Book Antiqua" w:eastAsia="Calibri" w:hAnsi="Book Antiqua" w:cs="Arial"/>
          <w:sz w:val="24"/>
          <w:szCs w:val="24"/>
        </w:rPr>
        <w:t>in</w:t>
      </w:r>
      <w:r w:rsidR="000A7A5A">
        <w:rPr>
          <w:rFonts w:ascii="Book Antiqua" w:eastAsia="Calibri" w:hAnsi="Book Antiqua" w:cs="Arial"/>
          <w:sz w:val="24"/>
          <w:szCs w:val="24"/>
        </w:rPr>
        <w:t>forma</w:t>
      </w:r>
      <w:r w:rsidR="00A30B02" w:rsidRPr="001D0C10">
        <w:rPr>
          <w:rFonts w:ascii="Book Antiqua" w:eastAsia="Calibri" w:hAnsi="Book Antiqua" w:cs="Arial"/>
          <w:sz w:val="24"/>
          <w:szCs w:val="24"/>
        </w:rPr>
        <w:t>ción</w:t>
      </w:r>
      <w:r w:rsidR="00E34D0E" w:rsidRPr="001D0C10">
        <w:rPr>
          <w:rFonts w:ascii="Book Antiqua" w:eastAsia="Calibri" w:hAnsi="Book Antiqua" w:cs="Arial"/>
          <w:sz w:val="24"/>
          <w:szCs w:val="24"/>
        </w:rPr>
        <w:t xml:space="preserve"> aportada por el Juzgado, el apoyo inicialmente se encargó de resolver asuntos en circulante específicamente de procesos </w:t>
      </w:r>
      <w:r w:rsidR="000A7A5A">
        <w:rPr>
          <w:rFonts w:ascii="Book Antiqua" w:eastAsia="Calibri" w:hAnsi="Book Antiqua" w:cs="Arial"/>
          <w:sz w:val="24"/>
          <w:szCs w:val="24"/>
        </w:rPr>
        <w:t xml:space="preserve">de </w:t>
      </w:r>
      <w:r w:rsidR="00E34D0E" w:rsidRPr="001D0C10">
        <w:rPr>
          <w:rFonts w:ascii="Book Antiqua" w:eastAsia="Calibri" w:hAnsi="Book Antiqua" w:cs="Arial"/>
          <w:sz w:val="24"/>
          <w:szCs w:val="24"/>
        </w:rPr>
        <w:t>conflictos entre progenitores y el P</w:t>
      </w:r>
      <w:r w:rsidR="001C68C9">
        <w:rPr>
          <w:rFonts w:ascii="Book Antiqua" w:eastAsia="Calibri" w:hAnsi="Book Antiqua" w:cs="Arial"/>
          <w:sz w:val="24"/>
          <w:szCs w:val="24"/>
        </w:rPr>
        <w:t>ANI (procesos de filiación)</w:t>
      </w:r>
      <w:r w:rsidR="00E34D0E" w:rsidRPr="001D0C10">
        <w:rPr>
          <w:rFonts w:ascii="Book Antiqua" w:eastAsia="Calibri" w:hAnsi="Book Antiqua" w:cs="Arial"/>
          <w:sz w:val="24"/>
          <w:szCs w:val="24"/>
        </w:rPr>
        <w:t xml:space="preserve">, alrededor de 150 expedientes, y posteriormente </w:t>
      </w:r>
      <w:r w:rsidR="0077411C" w:rsidRPr="001D0C10">
        <w:rPr>
          <w:rFonts w:ascii="Book Antiqua" w:eastAsia="Calibri" w:hAnsi="Book Antiqua" w:cs="Arial"/>
          <w:sz w:val="24"/>
          <w:szCs w:val="24"/>
        </w:rPr>
        <w:t>colaboró</w:t>
      </w:r>
      <w:r w:rsidR="00E34D0E" w:rsidRPr="001D0C10">
        <w:rPr>
          <w:rFonts w:ascii="Book Antiqua" w:eastAsia="Calibri" w:hAnsi="Book Antiqua" w:cs="Arial"/>
          <w:sz w:val="24"/>
          <w:szCs w:val="24"/>
        </w:rPr>
        <w:t xml:space="preserve"> con la celebración de audiencias (2 diarias)</w:t>
      </w:r>
      <w:r w:rsidR="0077411C" w:rsidRPr="001D0C10">
        <w:rPr>
          <w:rFonts w:ascii="Book Antiqua" w:eastAsia="Calibri" w:hAnsi="Book Antiqua" w:cs="Arial"/>
          <w:sz w:val="24"/>
          <w:szCs w:val="24"/>
        </w:rPr>
        <w:t xml:space="preserve"> con la técnica supernumeraria, quién además d</w:t>
      </w:r>
      <w:r w:rsidR="000A7A5A">
        <w:rPr>
          <w:rFonts w:ascii="Book Antiqua" w:eastAsia="Calibri" w:hAnsi="Book Antiqua" w:cs="Arial"/>
          <w:sz w:val="24"/>
          <w:szCs w:val="24"/>
        </w:rPr>
        <w:t>io</w:t>
      </w:r>
      <w:r w:rsidR="0077411C" w:rsidRPr="001D0C10">
        <w:rPr>
          <w:rFonts w:ascii="Book Antiqua" w:eastAsia="Calibri" w:hAnsi="Book Antiqua" w:cs="Arial"/>
          <w:sz w:val="24"/>
          <w:szCs w:val="24"/>
        </w:rPr>
        <w:t xml:space="preserve"> apoyo a la </w:t>
      </w:r>
      <w:r w:rsidR="0077411C" w:rsidRPr="001D0C10">
        <w:rPr>
          <w:rFonts w:ascii="Book Antiqua" w:eastAsia="Calibri" w:hAnsi="Book Antiqua" w:cs="Arial"/>
          <w:i/>
          <w:iCs/>
          <w:sz w:val="24"/>
          <w:szCs w:val="24"/>
        </w:rPr>
        <w:t>“Jueza 2</w:t>
      </w:r>
      <w:r w:rsidR="0077411C" w:rsidRPr="001D0C10">
        <w:rPr>
          <w:rFonts w:ascii="Book Antiqua" w:eastAsia="Calibri" w:hAnsi="Book Antiqua" w:cs="Arial"/>
          <w:sz w:val="24"/>
          <w:szCs w:val="24"/>
        </w:rPr>
        <w:t>”</w:t>
      </w:r>
      <w:r w:rsidR="00E34D0E" w:rsidRPr="001D0C10">
        <w:rPr>
          <w:rFonts w:ascii="Book Antiqua" w:eastAsia="Calibri" w:hAnsi="Book Antiqua" w:cs="Arial"/>
          <w:sz w:val="24"/>
          <w:szCs w:val="24"/>
        </w:rPr>
        <w:t>.</w:t>
      </w:r>
      <w:r w:rsidR="00A30B02" w:rsidRPr="00A70A3E">
        <w:rPr>
          <w:rFonts w:ascii="Book Antiqua" w:eastAsia="Calibri" w:hAnsi="Book Antiqua" w:cs="Arial"/>
          <w:sz w:val="24"/>
          <w:szCs w:val="24"/>
        </w:rPr>
        <w:t xml:space="preserve"> Consultado al CACMFJ sobre el per</w:t>
      </w:r>
      <w:r w:rsidR="00106DFC">
        <w:rPr>
          <w:rFonts w:ascii="Book Antiqua" w:eastAsia="Calibri" w:hAnsi="Book Antiqua" w:cs="Arial"/>
          <w:sz w:val="24"/>
          <w:szCs w:val="24"/>
        </w:rPr>
        <w:t>í</w:t>
      </w:r>
      <w:r w:rsidR="00A30B02" w:rsidRPr="00A70A3E">
        <w:rPr>
          <w:rFonts w:ascii="Book Antiqua" w:eastAsia="Calibri" w:hAnsi="Book Antiqua" w:cs="Arial"/>
          <w:sz w:val="24"/>
          <w:szCs w:val="24"/>
        </w:rPr>
        <w:t xml:space="preserve">odo exacto del apoyo indican </w:t>
      </w:r>
      <w:r w:rsidR="00A30B02" w:rsidRPr="001D0C10">
        <w:rPr>
          <w:rFonts w:ascii="Book Antiqua" w:eastAsia="Calibri" w:hAnsi="Book Antiqua" w:cs="Arial"/>
          <w:i/>
          <w:iCs/>
        </w:rPr>
        <w:t>“e</w:t>
      </w:r>
      <w:r w:rsidR="00A30B02" w:rsidRPr="001D0C10">
        <w:rPr>
          <w:rFonts w:ascii="Book Antiqua" w:hAnsi="Book Antiqua" w:cs="Segoe UI"/>
          <w:i/>
          <w:iCs/>
          <w:color w:val="242424"/>
          <w:shd w:val="clear" w:color="auto" w:fill="FFFFFF"/>
        </w:rPr>
        <w:t xml:space="preserve">l recurso de técnico </w:t>
      </w:r>
      <w:r w:rsidR="00A30B02" w:rsidRPr="001D0C10">
        <w:rPr>
          <w:rFonts w:ascii="Book Antiqua" w:hAnsi="Book Antiqua" w:cs="Segoe UI"/>
          <w:i/>
          <w:iCs/>
          <w:color w:val="242424"/>
          <w:shd w:val="clear" w:color="auto" w:fill="FFFFFF"/>
        </w:rPr>
        <w:lastRenderedPageBreak/>
        <w:t>se asignó desde 23 de marzo del 2018 hasta el 7 de mayo del 2021</w:t>
      </w:r>
      <w:r w:rsidR="00A30B02" w:rsidRPr="001D0C10">
        <w:rPr>
          <w:rFonts w:ascii="Book Antiqua" w:eastAsia="Calibri" w:hAnsi="Book Antiqua" w:cs="Arial"/>
          <w:i/>
          <w:iCs/>
        </w:rPr>
        <w:t>”</w:t>
      </w:r>
      <w:r w:rsidR="003065CD">
        <w:rPr>
          <w:rFonts w:ascii="Book Antiqua" w:eastAsia="Calibri" w:hAnsi="Book Antiqua" w:cs="Arial"/>
          <w:i/>
          <w:iCs/>
        </w:rPr>
        <w:t xml:space="preserve"> </w:t>
      </w:r>
      <w:r w:rsidR="003065CD" w:rsidRPr="001D0C10">
        <w:rPr>
          <w:rFonts w:ascii="Book Antiqua" w:eastAsia="Calibri" w:hAnsi="Book Antiqua" w:cs="Arial"/>
          <w:sz w:val="24"/>
          <w:szCs w:val="24"/>
        </w:rPr>
        <w:t xml:space="preserve">y en cuanto a la persona juzgadora </w:t>
      </w:r>
      <w:r w:rsidR="003065CD">
        <w:rPr>
          <w:rFonts w:ascii="Book Antiqua" w:eastAsia="Calibri" w:hAnsi="Book Antiqua" w:cs="Arial"/>
          <w:i/>
          <w:iCs/>
        </w:rPr>
        <w:t>“y</w:t>
      </w:r>
      <w:r w:rsidR="003065CD" w:rsidRPr="003065CD">
        <w:rPr>
          <w:rFonts w:ascii="Book Antiqua" w:eastAsia="Calibri" w:hAnsi="Book Antiqua" w:cs="Arial"/>
          <w:i/>
          <w:iCs/>
        </w:rPr>
        <w:t xml:space="preserve"> el recurso de juez se asignó desde mayo del 2018 hasta el 30 de abril de 2021</w:t>
      </w:r>
      <w:r w:rsidR="003065CD">
        <w:rPr>
          <w:rFonts w:ascii="Book Antiqua" w:eastAsia="Calibri" w:hAnsi="Book Antiqua" w:cs="Arial"/>
          <w:i/>
          <w:iCs/>
        </w:rPr>
        <w:t>”.</w:t>
      </w:r>
    </w:p>
    <w:p w14:paraId="04C15AC3" w14:textId="5873A3A2" w:rsidR="00AA0DF4" w:rsidRDefault="00AA0DF4" w:rsidP="00AA0DF4">
      <w:pPr>
        <w:spacing w:after="0" w:line="276" w:lineRule="auto"/>
        <w:jc w:val="both"/>
        <w:rPr>
          <w:rFonts w:ascii="Book Antiqua" w:eastAsia="Calibri" w:hAnsi="Book Antiqua" w:cs="Arial"/>
          <w:sz w:val="24"/>
          <w:szCs w:val="24"/>
        </w:rPr>
      </w:pPr>
    </w:p>
    <w:p w14:paraId="5E53628A" w14:textId="125C7EF0" w:rsidR="000330F0" w:rsidRPr="000330F0" w:rsidRDefault="000330F0" w:rsidP="000330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34</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3FF83647" w14:textId="77777777" w:rsidR="000330F0" w:rsidRPr="000330F0" w:rsidRDefault="000330F0" w:rsidP="000330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Carga de trabajo Juzgado de Familia, de Niñez y Adolescencia</w:t>
      </w:r>
    </w:p>
    <w:tbl>
      <w:tblPr>
        <w:tblW w:w="5099" w:type="pct"/>
        <w:tblCellMar>
          <w:left w:w="70" w:type="dxa"/>
          <w:right w:w="70" w:type="dxa"/>
        </w:tblCellMar>
        <w:tblLook w:val="04A0" w:firstRow="1" w:lastRow="0" w:firstColumn="1" w:lastColumn="0" w:noHBand="0" w:noVBand="1"/>
      </w:tblPr>
      <w:tblGrid>
        <w:gridCol w:w="4246"/>
        <w:gridCol w:w="941"/>
        <w:gridCol w:w="1130"/>
        <w:gridCol w:w="1030"/>
        <w:gridCol w:w="590"/>
        <w:gridCol w:w="780"/>
        <w:gridCol w:w="590"/>
        <w:gridCol w:w="780"/>
      </w:tblGrid>
      <w:tr w:rsidR="00E57F67" w:rsidRPr="00E57F67" w14:paraId="1E935A6F" w14:textId="77777777" w:rsidTr="001D0C10">
        <w:trPr>
          <w:trHeight w:val="570"/>
        </w:trPr>
        <w:tc>
          <w:tcPr>
            <w:tcW w:w="203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461FB87" w14:textId="77777777" w:rsidR="00E57F67" w:rsidRPr="00E57F67" w:rsidRDefault="00E57F67" w:rsidP="00E57F67">
            <w:pPr>
              <w:spacing w:after="0" w:line="240" w:lineRule="auto"/>
              <w:jc w:val="center"/>
              <w:rPr>
                <w:rFonts w:ascii="Book Antiqua" w:eastAsia="Times New Roman" w:hAnsi="Book Antiqua" w:cs="Calibri"/>
                <w:b/>
                <w:bCs/>
                <w:color w:val="FFFFFF"/>
                <w:sz w:val="20"/>
                <w:szCs w:val="20"/>
                <w:lang w:eastAsia="es-CR"/>
              </w:rPr>
            </w:pPr>
            <w:r w:rsidRPr="00E57F67">
              <w:rPr>
                <w:rFonts w:ascii="Book Antiqua" w:eastAsia="Times New Roman" w:hAnsi="Book Antiqua" w:cs="Calibri"/>
                <w:b/>
                <w:bCs/>
                <w:color w:val="FFFFFF"/>
                <w:sz w:val="20"/>
                <w:szCs w:val="20"/>
                <w:lang w:eastAsia="es-CR"/>
              </w:rPr>
              <w:t>Despacho</w:t>
            </w:r>
          </w:p>
        </w:tc>
        <w:tc>
          <w:tcPr>
            <w:tcW w:w="557"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DFB5DCE"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 mensual Entrada 2017-2021</w:t>
            </w:r>
          </w:p>
        </w:tc>
        <w:tc>
          <w:tcPr>
            <w:tcW w:w="55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F4A9A1A"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 mensual Terminados 2017-2021</w:t>
            </w:r>
          </w:p>
        </w:tc>
        <w:tc>
          <w:tcPr>
            <w:tcW w:w="50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C06B16F"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Circulante en trámite al 31 diciembre-2021</w:t>
            </w:r>
          </w:p>
        </w:tc>
        <w:tc>
          <w:tcPr>
            <w:tcW w:w="676" w:type="pct"/>
            <w:gridSpan w:val="2"/>
            <w:tcBorders>
              <w:top w:val="single" w:sz="8" w:space="0" w:color="auto"/>
              <w:left w:val="nil"/>
              <w:bottom w:val="single" w:sz="8" w:space="0" w:color="auto"/>
              <w:right w:val="single" w:sz="8" w:space="0" w:color="000000"/>
            </w:tcBorders>
            <w:shd w:val="clear" w:color="000000" w:fill="002060"/>
            <w:vAlign w:val="center"/>
            <w:hideMark/>
          </w:tcPr>
          <w:p w14:paraId="37D1CEEF"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Recurso Humano</w:t>
            </w:r>
          </w:p>
        </w:tc>
        <w:tc>
          <w:tcPr>
            <w:tcW w:w="676" w:type="pct"/>
            <w:gridSpan w:val="2"/>
            <w:tcBorders>
              <w:top w:val="single" w:sz="8" w:space="0" w:color="auto"/>
              <w:left w:val="nil"/>
              <w:bottom w:val="single" w:sz="8" w:space="0" w:color="auto"/>
              <w:right w:val="single" w:sz="8" w:space="0" w:color="000000"/>
            </w:tcBorders>
            <w:shd w:val="clear" w:color="000000" w:fill="002060"/>
            <w:vAlign w:val="center"/>
            <w:hideMark/>
          </w:tcPr>
          <w:p w14:paraId="06FC77FA"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Carga de trabajo</w:t>
            </w:r>
          </w:p>
        </w:tc>
      </w:tr>
      <w:tr w:rsidR="00E57F67" w:rsidRPr="00E57F67" w14:paraId="100119DB" w14:textId="77777777" w:rsidTr="001D0C10">
        <w:trPr>
          <w:trHeight w:val="880"/>
        </w:trPr>
        <w:tc>
          <w:tcPr>
            <w:tcW w:w="2038" w:type="pct"/>
            <w:vMerge/>
            <w:tcBorders>
              <w:top w:val="single" w:sz="8" w:space="0" w:color="auto"/>
              <w:left w:val="single" w:sz="8" w:space="0" w:color="auto"/>
              <w:bottom w:val="single" w:sz="8" w:space="0" w:color="000000"/>
              <w:right w:val="single" w:sz="8" w:space="0" w:color="auto"/>
            </w:tcBorders>
            <w:vAlign w:val="center"/>
            <w:hideMark/>
          </w:tcPr>
          <w:p w14:paraId="16011909" w14:textId="77777777" w:rsidR="00E57F67" w:rsidRPr="00E57F67" w:rsidRDefault="00E57F67" w:rsidP="00E57F67">
            <w:pPr>
              <w:spacing w:after="0" w:line="240" w:lineRule="auto"/>
              <w:rPr>
                <w:rFonts w:ascii="Book Antiqua" w:eastAsia="Times New Roman" w:hAnsi="Book Antiqua" w:cs="Calibri"/>
                <w:b/>
                <w:bCs/>
                <w:color w:val="FFFFFF"/>
                <w:sz w:val="20"/>
                <w:szCs w:val="20"/>
                <w:lang w:eastAsia="es-CR"/>
              </w:rPr>
            </w:pPr>
          </w:p>
        </w:tc>
        <w:tc>
          <w:tcPr>
            <w:tcW w:w="557" w:type="pct"/>
            <w:vMerge/>
            <w:tcBorders>
              <w:top w:val="single" w:sz="8" w:space="0" w:color="auto"/>
              <w:left w:val="single" w:sz="8" w:space="0" w:color="auto"/>
              <w:bottom w:val="single" w:sz="8" w:space="0" w:color="000000"/>
              <w:right w:val="single" w:sz="8" w:space="0" w:color="auto"/>
            </w:tcBorders>
            <w:vAlign w:val="center"/>
            <w:hideMark/>
          </w:tcPr>
          <w:p w14:paraId="432A3766" w14:textId="77777777" w:rsidR="00E57F67" w:rsidRPr="001D0C10" w:rsidRDefault="00E57F67" w:rsidP="00E57F67">
            <w:pPr>
              <w:spacing w:after="0" w:line="240" w:lineRule="auto"/>
              <w:rPr>
                <w:rFonts w:ascii="Book Antiqua" w:eastAsia="Times New Roman" w:hAnsi="Book Antiqua" w:cs="Calibri"/>
                <w:b/>
                <w:bCs/>
                <w:color w:val="FFFFFF"/>
                <w:sz w:val="18"/>
                <w:szCs w:val="18"/>
                <w:lang w:eastAsia="es-CR"/>
              </w:rPr>
            </w:pPr>
          </w:p>
        </w:tc>
        <w:tc>
          <w:tcPr>
            <w:tcW w:w="550" w:type="pct"/>
            <w:vMerge/>
            <w:tcBorders>
              <w:top w:val="single" w:sz="8" w:space="0" w:color="auto"/>
              <w:left w:val="single" w:sz="8" w:space="0" w:color="auto"/>
              <w:bottom w:val="single" w:sz="8" w:space="0" w:color="000000"/>
              <w:right w:val="single" w:sz="8" w:space="0" w:color="auto"/>
            </w:tcBorders>
            <w:vAlign w:val="center"/>
            <w:hideMark/>
          </w:tcPr>
          <w:p w14:paraId="459C28AF" w14:textId="77777777" w:rsidR="00E57F67" w:rsidRPr="001D0C10" w:rsidRDefault="00E57F67" w:rsidP="00E57F67">
            <w:pPr>
              <w:spacing w:after="0" w:line="240" w:lineRule="auto"/>
              <w:rPr>
                <w:rFonts w:ascii="Book Antiqua" w:eastAsia="Times New Roman" w:hAnsi="Book Antiqua" w:cs="Calibri"/>
                <w:b/>
                <w:bCs/>
                <w:color w:val="FFFFFF"/>
                <w:sz w:val="18"/>
                <w:szCs w:val="18"/>
                <w:lang w:eastAsia="es-CR"/>
              </w:rPr>
            </w:pPr>
          </w:p>
        </w:tc>
        <w:tc>
          <w:tcPr>
            <w:tcW w:w="503" w:type="pct"/>
            <w:vMerge/>
            <w:tcBorders>
              <w:top w:val="single" w:sz="8" w:space="0" w:color="auto"/>
              <w:left w:val="single" w:sz="8" w:space="0" w:color="auto"/>
              <w:bottom w:val="single" w:sz="8" w:space="0" w:color="000000"/>
              <w:right w:val="single" w:sz="8" w:space="0" w:color="auto"/>
            </w:tcBorders>
            <w:vAlign w:val="center"/>
            <w:hideMark/>
          </w:tcPr>
          <w:p w14:paraId="12D1993E" w14:textId="77777777" w:rsidR="00E57F67" w:rsidRPr="001D0C10" w:rsidRDefault="00E57F67" w:rsidP="00E57F67">
            <w:pPr>
              <w:spacing w:after="0" w:line="240" w:lineRule="auto"/>
              <w:rPr>
                <w:rFonts w:ascii="Book Antiqua" w:eastAsia="Times New Roman" w:hAnsi="Book Antiqua" w:cs="Calibri"/>
                <w:b/>
                <w:bCs/>
                <w:color w:val="FFFFFF"/>
                <w:sz w:val="18"/>
                <w:szCs w:val="18"/>
                <w:lang w:eastAsia="es-CR"/>
              </w:rPr>
            </w:pPr>
          </w:p>
        </w:tc>
        <w:tc>
          <w:tcPr>
            <w:tcW w:w="292" w:type="pct"/>
            <w:tcBorders>
              <w:top w:val="nil"/>
              <w:left w:val="nil"/>
              <w:bottom w:val="single" w:sz="8" w:space="0" w:color="auto"/>
              <w:right w:val="single" w:sz="8" w:space="0" w:color="auto"/>
            </w:tcBorders>
            <w:shd w:val="clear" w:color="000000" w:fill="002060"/>
            <w:vAlign w:val="center"/>
            <w:hideMark/>
          </w:tcPr>
          <w:p w14:paraId="0DF0A6EF"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383" w:type="pct"/>
            <w:tcBorders>
              <w:top w:val="nil"/>
              <w:left w:val="nil"/>
              <w:bottom w:val="single" w:sz="8" w:space="0" w:color="auto"/>
              <w:right w:val="single" w:sz="8" w:space="0" w:color="auto"/>
            </w:tcBorders>
            <w:shd w:val="clear" w:color="000000" w:fill="002060"/>
            <w:vAlign w:val="center"/>
            <w:hideMark/>
          </w:tcPr>
          <w:p w14:paraId="6440D645"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Técnica o Técnico de trámite</w:t>
            </w:r>
          </w:p>
        </w:tc>
        <w:tc>
          <w:tcPr>
            <w:tcW w:w="292" w:type="pct"/>
            <w:tcBorders>
              <w:top w:val="nil"/>
              <w:left w:val="nil"/>
              <w:bottom w:val="single" w:sz="8" w:space="0" w:color="auto"/>
              <w:right w:val="single" w:sz="8" w:space="0" w:color="auto"/>
            </w:tcBorders>
            <w:shd w:val="clear" w:color="000000" w:fill="002060"/>
            <w:vAlign w:val="center"/>
            <w:hideMark/>
          </w:tcPr>
          <w:p w14:paraId="2668FECB"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383" w:type="pct"/>
            <w:tcBorders>
              <w:top w:val="nil"/>
              <w:left w:val="nil"/>
              <w:bottom w:val="single" w:sz="8" w:space="0" w:color="auto"/>
              <w:right w:val="single" w:sz="8" w:space="0" w:color="auto"/>
            </w:tcBorders>
            <w:shd w:val="clear" w:color="000000" w:fill="002060"/>
            <w:vAlign w:val="center"/>
            <w:hideMark/>
          </w:tcPr>
          <w:p w14:paraId="2503708A" w14:textId="77777777" w:rsidR="00E57F67" w:rsidRPr="001D0C10" w:rsidRDefault="00E57F67" w:rsidP="00E57F67">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Técnica o Técnico de trámite</w:t>
            </w:r>
          </w:p>
        </w:tc>
      </w:tr>
      <w:tr w:rsidR="00E57F67" w:rsidRPr="00E57F67" w14:paraId="3C4429E2" w14:textId="77777777" w:rsidTr="001D0C10">
        <w:trPr>
          <w:trHeight w:val="300"/>
        </w:trPr>
        <w:tc>
          <w:tcPr>
            <w:tcW w:w="2038" w:type="pct"/>
            <w:tcBorders>
              <w:top w:val="nil"/>
              <w:left w:val="single" w:sz="8" w:space="0" w:color="auto"/>
              <w:bottom w:val="single" w:sz="8" w:space="0" w:color="auto"/>
              <w:right w:val="single" w:sz="8" w:space="0" w:color="auto"/>
            </w:tcBorders>
            <w:shd w:val="clear" w:color="auto" w:fill="auto"/>
            <w:noWrap/>
            <w:vAlign w:val="center"/>
            <w:hideMark/>
          </w:tcPr>
          <w:p w14:paraId="1549911F" w14:textId="77777777" w:rsidR="00E57F67" w:rsidRPr="00E57F67" w:rsidRDefault="00E57F67" w:rsidP="00E57F67">
            <w:pPr>
              <w:spacing w:after="0" w:line="240" w:lineRule="auto"/>
              <w:rPr>
                <w:rFonts w:ascii="Book Antiqua" w:eastAsia="Times New Roman" w:hAnsi="Book Antiqua" w:cs="Calibri"/>
                <w:b/>
                <w:bCs/>
                <w:color w:val="000000"/>
                <w:sz w:val="20"/>
                <w:szCs w:val="20"/>
                <w:lang w:eastAsia="es-CR"/>
              </w:rPr>
            </w:pPr>
            <w:r w:rsidRPr="00E57F67">
              <w:rPr>
                <w:rFonts w:ascii="Book Antiqua" w:eastAsia="Times New Roman" w:hAnsi="Book Antiqua" w:cs="Calibri"/>
                <w:b/>
                <w:bCs/>
                <w:color w:val="000000"/>
                <w:sz w:val="20"/>
                <w:szCs w:val="20"/>
                <w:lang w:eastAsia="es-CR"/>
              </w:rPr>
              <w:t>Juzgado de Familia, de Niñez y Adolescencia</w:t>
            </w:r>
          </w:p>
        </w:tc>
        <w:tc>
          <w:tcPr>
            <w:tcW w:w="557" w:type="pct"/>
            <w:tcBorders>
              <w:top w:val="nil"/>
              <w:left w:val="nil"/>
              <w:bottom w:val="single" w:sz="8" w:space="0" w:color="auto"/>
              <w:right w:val="single" w:sz="8" w:space="0" w:color="auto"/>
            </w:tcBorders>
            <w:shd w:val="clear" w:color="auto" w:fill="auto"/>
            <w:noWrap/>
            <w:vAlign w:val="center"/>
            <w:hideMark/>
          </w:tcPr>
          <w:p w14:paraId="42510C55"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98</w:t>
            </w:r>
          </w:p>
        </w:tc>
        <w:tc>
          <w:tcPr>
            <w:tcW w:w="550" w:type="pct"/>
            <w:tcBorders>
              <w:top w:val="nil"/>
              <w:left w:val="nil"/>
              <w:bottom w:val="single" w:sz="8" w:space="0" w:color="auto"/>
              <w:right w:val="single" w:sz="8" w:space="0" w:color="auto"/>
            </w:tcBorders>
            <w:shd w:val="clear" w:color="auto" w:fill="auto"/>
            <w:vAlign w:val="center"/>
            <w:hideMark/>
          </w:tcPr>
          <w:p w14:paraId="3A52E9F4"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81</w:t>
            </w:r>
          </w:p>
        </w:tc>
        <w:tc>
          <w:tcPr>
            <w:tcW w:w="503" w:type="pct"/>
            <w:tcBorders>
              <w:top w:val="nil"/>
              <w:left w:val="nil"/>
              <w:bottom w:val="single" w:sz="8" w:space="0" w:color="auto"/>
              <w:right w:val="single" w:sz="8" w:space="0" w:color="auto"/>
            </w:tcBorders>
            <w:shd w:val="clear" w:color="auto" w:fill="auto"/>
            <w:vAlign w:val="center"/>
            <w:hideMark/>
          </w:tcPr>
          <w:p w14:paraId="19E5FDA6"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1529</w:t>
            </w:r>
          </w:p>
        </w:tc>
        <w:tc>
          <w:tcPr>
            <w:tcW w:w="292" w:type="pct"/>
            <w:tcBorders>
              <w:top w:val="nil"/>
              <w:left w:val="nil"/>
              <w:bottom w:val="single" w:sz="8" w:space="0" w:color="auto"/>
              <w:right w:val="single" w:sz="8" w:space="0" w:color="auto"/>
            </w:tcBorders>
            <w:shd w:val="clear" w:color="auto" w:fill="auto"/>
            <w:noWrap/>
            <w:vAlign w:val="center"/>
            <w:hideMark/>
          </w:tcPr>
          <w:p w14:paraId="27409223"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2</w:t>
            </w:r>
          </w:p>
        </w:tc>
        <w:tc>
          <w:tcPr>
            <w:tcW w:w="383" w:type="pct"/>
            <w:tcBorders>
              <w:top w:val="nil"/>
              <w:left w:val="nil"/>
              <w:bottom w:val="single" w:sz="8" w:space="0" w:color="auto"/>
              <w:right w:val="single" w:sz="8" w:space="0" w:color="auto"/>
            </w:tcBorders>
            <w:shd w:val="clear" w:color="auto" w:fill="auto"/>
            <w:vAlign w:val="center"/>
            <w:hideMark/>
          </w:tcPr>
          <w:p w14:paraId="73331178"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4</w:t>
            </w:r>
          </w:p>
        </w:tc>
        <w:tc>
          <w:tcPr>
            <w:tcW w:w="292" w:type="pct"/>
            <w:tcBorders>
              <w:top w:val="nil"/>
              <w:left w:val="nil"/>
              <w:bottom w:val="single" w:sz="8" w:space="0" w:color="auto"/>
              <w:right w:val="single" w:sz="8" w:space="0" w:color="auto"/>
            </w:tcBorders>
            <w:shd w:val="clear" w:color="auto" w:fill="auto"/>
            <w:noWrap/>
            <w:vAlign w:val="center"/>
            <w:hideMark/>
          </w:tcPr>
          <w:p w14:paraId="093210BF"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49</w:t>
            </w:r>
          </w:p>
        </w:tc>
        <w:tc>
          <w:tcPr>
            <w:tcW w:w="383" w:type="pct"/>
            <w:tcBorders>
              <w:top w:val="nil"/>
              <w:left w:val="nil"/>
              <w:bottom w:val="single" w:sz="8" w:space="0" w:color="auto"/>
              <w:right w:val="single" w:sz="8" w:space="0" w:color="auto"/>
            </w:tcBorders>
            <w:shd w:val="clear" w:color="auto" w:fill="auto"/>
            <w:noWrap/>
            <w:vAlign w:val="center"/>
            <w:hideMark/>
          </w:tcPr>
          <w:p w14:paraId="60B93571" w14:textId="77777777" w:rsidR="00E57F67" w:rsidRPr="00E57F67" w:rsidRDefault="00E57F67" w:rsidP="00E57F67">
            <w:pPr>
              <w:spacing w:after="0" w:line="240" w:lineRule="auto"/>
              <w:jc w:val="center"/>
              <w:rPr>
                <w:rFonts w:ascii="Book Antiqua" w:eastAsia="Times New Roman" w:hAnsi="Book Antiqua" w:cs="Calibri"/>
                <w:color w:val="000000"/>
                <w:sz w:val="20"/>
                <w:szCs w:val="20"/>
                <w:lang w:eastAsia="es-CR"/>
              </w:rPr>
            </w:pPr>
            <w:r w:rsidRPr="00E57F67">
              <w:rPr>
                <w:rFonts w:ascii="Book Antiqua" w:eastAsia="Times New Roman" w:hAnsi="Book Antiqua" w:cs="Calibri"/>
                <w:color w:val="000000"/>
                <w:sz w:val="20"/>
                <w:szCs w:val="20"/>
                <w:lang w:eastAsia="es-CR"/>
              </w:rPr>
              <w:t>25</w:t>
            </w:r>
          </w:p>
        </w:tc>
      </w:tr>
    </w:tbl>
    <w:p w14:paraId="7B2AFCEC" w14:textId="2919240A" w:rsidR="00AA0DF4" w:rsidRPr="000330F0" w:rsidRDefault="000330F0" w:rsidP="00355630">
      <w:pPr>
        <w:spacing w:after="0" w:line="276" w:lineRule="auto"/>
        <w:jc w:val="both"/>
        <w:rPr>
          <w:rFonts w:ascii="Book Antiqua" w:eastAsia="Calibri" w:hAnsi="Book Antiqua" w:cs="Arial"/>
          <w:i/>
          <w:iCs/>
          <w:sz w:val="20"/>
          <w:szCs w:val="20"/>
        </w:rPr>
      </w:pPr>
      <w:r w:rsidRPr="000330F0">
        <w:rPr>
          <w:rFonts w:ascii="Book Antiqua" w:eastAsia="Calibri" w:hAnsi="Book Antiqua" w:cs="Arial"/>
          <w:i/>
          <w:iCs/>
          <w:sz w:val="20"/>
          <w:szCs w:val="20"/>
        </w:rPr>
        <w:t>Fuente: Modernización Institucional con base en datos de Cuadros Estadísticos del Subproceso de Estadística de la Dirección de Planificación.</w:t>
      </w:r>
    </w:p>
    <w:p w14:paraId="1D11DCBC" w14:textId="7C5764F7" w:rsidR="00AA0DF4" w:rsidRDefault="00AA0DF4" w:rsidP="00355630">
      <w:pPr>
        <w:spacing w:after="0" w:line="276" w:lineRule="auto"/>
        <w:jc w:val="both"/>
        <w:rPr>
          <w:rFonts w:ascii="Book Antiqua" w:eastAsia="Calibri" w:hAnsi="Book Antiqua" w:cs="Arial"/>
          <w:sz w:val="24"/>
          <w:szCs w:val="24"/>
        </w:rPr>
      </w:pPr>
    </w:p>
    <w:p w14:paraId="1344829F" w14:textId="373E46D5" w:rsidR="000330F0" w:rsidRPr="000330F0" w:rsidRDefault="000330F0" w:rsidP="00CC60D5">
      <w:pPr>
        <w:spacing w:after="0" w:line="276" w:lineRule="auto"/>
        <w:jc w:val="both"/>
        <w:rPr>
          <w:rFonts w:ascii="Book Antiqua" w:eastAsia="Calibri" w:hAnsi="Book Antiqua" w:cs="Arial"/>
          <w:sz w:val="24"/>
          <w:szCs w:val="24"/>
        </w:rPr>
      </w:pPr>
      <w:r w:rsidRPr="0049531D">
        <w:rPr>
          <w:rFonts w:ascii="Book Antiqua" w:eastAsia="Calibri" w:hAnsi="Book Antiqua" w:cs="Arial"/>
          <w:sz w:val="24"/>
          <w:szCs w:val="24"/>
        </w:rPr>
        <w:t xml:space="preserve">En relación con </w:t>
      </w:r>
      <w:r w:rsidR="00B5660F" w:rsidRPr="0049531D">
        <w:rPr>
          <w:rFonts w:ascii="Book Antiqua" w:eastAsia="Calibri" w:hAnsi="Book Antiqua" w:cs="Arial"/>
          <w:sz w:val="24"/>
          <w:szCs w:val="24"/>
        </w:rPr>
        <w:t xml:space="preserve">la </w:t>
      </w:r>
      <w:r w:rsidRPr="0049531D">
        <w:rPr>
          <w:rFonts w:ascii="Book Antiqua" w:eastAsia="Calibri" w:hAnsi="Book Antiqua" w:cs="Arial"/>
          <w:sz w:val="24"/>
          <w:szCs w:val="24"/>
        </w:rPr>
        <w:t>carga de trabajo por persona juzgadora calculada</w:t>
      </w:r>
      <w:r w:rsidR="00A70A3E" w:rsidRPr="0049531D">
        <w:rPr>
          <w:rFonts w:ascii="Book Antiqua" w:eastAsia="Calibri" w:hAnsi="Book Antiqua" w:cs="Arial"/>
          <w:sz w:val="24"/>
          <w:szCs w:val="24"/>
        </w:rPr>
        <w:t>, se realizó entre el personal titular, sin embargo, se reitera que por aproximadamente 3 años contaron con apoyo adicional del CACMFJ.  E</w:t>
      </w:r>
      <w:r w:rsidRPr="0049531D">
        <w:rPr>
          <w:rFonts w:ascii="Book Antiqua" w:eastAsia="Calibri" w:hAnsi="Book Antiqua" w:cs="Arial"/>
          <w:sz w:val="24"/>
          <w:szCs w:val="24"/>
        </w:rPr>
        <w:t>ste despacho registra 4</w:t>
      </w:r>
      <w:r w:rsidR="00B5660F" w:rsidRPr="0049531D">
        <w:rPr>
          <w:rFonts w:ascii="Book Antiqua" w:eastAsia="Calibri" w:hAnsi="Book Antiqua" w:cs="Arial"/>
          <w:sz w:val="24"/>
          <w:szCs w:val="24"/>
        </w:rPr>
        <w:t>9</w:t>
      </w:r>
      <w:r w:rsidRPr="0049531D">
        <w:rPr>
          <w:rFonts w:ascii="Book Antiqua" w:eastAsia="Calibri" w:hAnsi="Book Antiqua" w:cs="Arial"/>
          <w:sz w:val="24"/>
          <w:szCs w:val="24"/>
        </w:rPr>
        <w:t xml:space="preserve"> casos entrados al mes, lo que representa una carga de trabajo </w:t>
      </w:r>
      <w:r w:rsidR="00045B73" w:rsidRPr="0049531D">
        <w:rPr>
          <w:rFonts w:ascii="Book Antiqua" w:eastAsia="Calibri" w:hAnsi="Book Antiqua" w:cs="Arial"/>
          <w:sz w:val="24"/>
          <w:szCs w:val="24"/>
        </w:rPr>
        <w:t>36</w:t>
      </w:r>
      <w:r w:rsidRPr="0049531D">
        <w:rPr>
          <w:rFonts w:ascii="Book Antiqua" w:eastAsia="Calibri" w:hAnsi="Book Antiqua" w:cs="Arial"/>
          <w:sz w:val="24"/>
          <w:szCs w:val="24"/>
        </w:rPr>
        <w:t xml:space="preserve">% inferior al promedio nacional </w:t>
      </w:r>
      <w:r w:rsidR="00D57E9D" w:rsidRPr="0049531D">
        <w:rPr>
          <w:rFonts w:ascii="Book Antiqua" w:eastAsia="Calibri" w:hAnsi="Book Antiqua" w:cs="Arial"/>
          <w:sz w:val="24"/>
          <w:szCs w:val="24"/>
        </w:rPr>
        <w:t xml:space="preserve">en despachos especializados </w:t>
      </w:r>
      <w:r w:rsidRPr="0049531D">
        <w:rPr>
          <w:rFonts w:ascii="Book Antiqua" w:eastAsia="Calibri" w:hAnsi="Book Antiqua" w:cs="Arial"/>
          <w:sz w:val="24"/>
          <w:szCs w:val="24"/>
        </w:rPr>
        <w:t xml:space="preserve">y en el caso de las personas </w:t>
      </w:r>
      <w:r w:rsidR="00B5660F" w:rsidRPr="0049531D">
        <w:rPr>
          <w:rFonts w:ascii="Book Antiqua" w:eastAsia="Calibri" w:hAnsi="Book Antiqua" w:cs="Arial"/>
          <w:sz w:val="24"/>
          <w:szCs w:val="24"/>
        </w:rPr>
        <w:t>técnicas</w:t>
      </w:r>
      <w:r w:rsidRPr="0049531D">
        <w:rPr>
          <w:rFonts w:ascii="Book Antiqua" w:eastAsia="Calibri" w:hAnsi="Book Antiqua" w:cs="Arial"/>
          <w:sz w:val="24"/>
          <w:szCs w:val="24"/>
        </w:rPr>
        <w:t xml:space="preserve"> 2</w:t>
      </w:r>
      <w:r w:rsidR="00B5660F" w:rsidRPr="0049531D">
        <w:rPr>
          <w:rFonts w:ascii="Book Antiqua" w:eastAsia="Calibri" w:hAnsi="Book Antiqua" w:cs="Arial"/>
          <w:sz w:val="24"/>
          <w:szCs w:val="24"/>
        </w:rPr>
        <w:t>5</w:t>
      </w:r>
      <w:r w:rsidRPr="0049531D">
        <w:rPr>
          <w:rFonts w:ascii="Book Antiqua" w:eastAsia="Calibri" w:hAnsi="Book Antiqua" w:cs="Arial"/>
          <w:sz w:val="24"/>
          <w:szCs w:val="24"/>
        </w:rPr>
        <w:t xml:space="preserve"> casos, un </w:t>
      </w:r>
      <w:r w:rsidR="00045B73" w:rsidRPr="0049531D">
        <w:rPr>
          <w:rFonts w:ascii="Book Antiqua" w:eastAsia="Calibri" w:hAnsi="Book Antiqua" w:cs="Arial"/>
          <w:sz w:val="24"/>
          <w:szCs w:val="24"/>
        </w:rPr>
        <w:t>48</w:t>
      </w:r>
      <w:r w:rsidRPr="0049531D">
        <w:rPr>
          <w:rFonts w:ascii="Book Antiqua" w:eastAsia="Calibri" w:hAnsi="Book Antiqua" w:cs="Arial"/>
          <w:sz w:val="24"/>
          <w:szCs w:val="24"/>
        </w:rPr>
        <w:t xml:space="preserve">% inferior a la carga promedio de las personas </w:t>
      </w:r>
      <w:r w:rsidR="00B5660F" w:rsidRPr="0049531D">
        <w:rPr>
          <w:rFonts w:ascii="Book Antiqua" w:eastAsia="Calibri" w:hAnsi="Book Antiqua" w:cs="Arial"/>
          <w:sz w:val="24"/>
          <w:szCs w:val="24"/>
        </w:rPr>
        <w:t>técnicas</w:t>
      </w:r>
      <w:r w:rsidRPr="0049531D">
        <w:rPr>
          <w:rFonts w:ascii="Book Antiqua" w:eastAsia="Calibri" w:hAnsi="Book Antiqua" w:cs="Arial"/>
          <w:sz w:val="24"/>
          <w:szCs w:val="24"/>
        </w:rPr>
        <w:t xml:space="preserve"> en otros despachos de Familia Especializados</w:t>
      </w:r>
      <w:r w:rsidR="00CC60D5" w:rsidRPr="0049531D">
        <w:rPr>
          <w:rFonts w:ascii="Book Antiqua" w:eastAsia="Calibri" w:hAnsi="Book Antiqua" w:cs="Arial"/>
          <w:sz w:val="24"/>
          <w:szCs w:val="24"/>
        </w:rPr>
        <w:t xml:space="preserve">; </w:t>
      </w:r>
      <w:r w:rsidR="0049531D" w:rsidRPr="0049531D">
        <w:rPr>
          <w:rFonts w:ascii="Book Antiqua" w:eastAsia="Calibri" w:hAnsi="Book Antiqua" w:cs="Arial"/>
          <w:sz w:val="24"/>
          <w:szCs w:val="24"/>
        </w:rPr>
        <w:t>y</w:t>
      </w:r>
      <w:r w:rsidR="00CC60D5" w:rsidRPr="0049531D">
        <w:rPr>
          <w:rFonts w:ascii="Book Antiqua" w:eastAsia="Calibri" w:hAnsi="Book Antiqua" w:cs="Arial"/>
          <w:sz w:val="24"/>
          <w:szCs w:val="24"/>
        </w:rPr>
        <w:t xml:space="preserve"> por la particularidad de estos procesos,</w:t>
      </w:r>
      <w:r w:rsidR="0049531D" w:rsidRPr="0049531D">
        <w:rPr>
          <w:rFonts w:ascii="Book Antiqua" w:eastAsia="Calibri" w:hAnsi="Book Antiqua" w:cs="Arial"/>
          <w:sz w:val="24"/>
          <w:szCs w:val="24"/>
        </w:rPr>
        <w:t xml:space="preserve"> tratándose de </w:t>
      </w:r>
      <w:r w:rsidR="0049531D" w:rsidRPr="001D0C10">
        <w:rPr>
          <w:rFonts w:ascii="Book Antiqua" w:hAnsi="Book Antiqua" w:cs="Segoe UI"/>
          <w:color w:val="242424"/>
          <w:sz w:val="24"/>
          <w:szCs w:val="24"/>
          <w:shd w:val="clear" w:color="auto" w:fill="FFFFFF"/>
        </w:rPr>
        <w:t xml:space="preserve">personas menores de edad, incluso una población vulnerable, incluso en riesgo social y familiar, se requiere de procesos resueltos en la menor cantidad de tiempo posible, pero analizando </w:t>
      </w:r>
      <w:r w:rsidR="00CC60D5" w:rsidRPr="0049531D">
        <w:rPr>
          <w:rFonts w:ascii="Book Antiqua" w:eastAsia="Calibri" w:hAnsi="Book Antiqua" w:cs="Arial"/>
          <w:sz w:val="24"/>
          <w:szCs w:val="24"/>
        </w:rPr>
        <w:t>la duración de los asuntos,</w:t>
      </w:r>
      <w:r w:rsidR="00A70A3E" w:rsidRPr="0049531D">
        <w:rPr>
          <w:rFonts w:ascii="Book Antiqua" w:eastAsia="Calibri" w:hAnsi="Book Antiqua" w:cs="Arial"/>
          <w:sz w:val="24"/>
          <w:szCs w:val="24"/>
        </w:rPr>
        <w:t xml:space="preserve"> </w:t>
      </w:r>
      <w:r w:rsidR="0049531D" w:rsidRPr="0049531D">
        <w:rPr>
          <w:rFonts w:ascii="Book Antiqua" w:eastAsia="Calibri" w:hAnsi="Book Antiqua" w:cs="Arial"/>
          <w:sz w:val="24"/>
          <w:szCs w:val="24"/>
        </w:rPr>
        <w:t>como se observar</w:t>
      </w:r>
      <w:r w:rsidR="0049531D">
        <w:rPr>
          <w:rFonts w:ascii="Book Antiqua" w:eastAsia="Calibri" w:hAnsi="Book Antiqua" w:cs="Arial"/>
          <w:sz w:val="24"/>
          <w:szCs w:val="24"/>
        </w:rPr>
        <w:t>á</w:t>
      </w:r>
      <w:r w:rsidR="0049531D" w:rsidRPr="0049531D">
        <w:rPr>
          <w:rFonts w:ascii="Book Antiqua" w:eastAsia="Calibri" w:hAnsi="Book Antiqua" w:cs="Arial"/>
          <w:sz w:val="24"/>
          <w:szCs w:val="24"/>
        </w:rPr>
        <w:t xml:space="preserve"> en el siguiente cuadro, </w:t>
      </w:r>
      <w:r w:rsidR="00106DFC">
        <w:rPr>
          <w:rFonts w:ascii="Book Antiqua" w:eastAsia="Calibri" w:hAnsi="Book Antiqua" w:cs="Arial"/>
          <w:sz w:val="24"/>
          <w:szCs w:val="24"/>
        </w:rPr>
        <w:t xml:space="preserve">se gistro una clase de asunto con una duración de </w:t>
      </w:r>
      <w:r w:rsidR="00A70A3E" w:rsidRPr="0049531D">
        <w:rPr>
          <w:rFonts w:ascii="Book Antiqua" w:eastAsia="Calibri" w:hAnsi="Book Antiqua" w:cs="Arial"/>
          <w:sz w:val="24"/>
          <w:szCs w:val="24"/>
        </w:rPr>
        <w:t>170 meses en trámite</w:t>
      </w:r>
      <w:r w:rsidR="00CC60D5" w:rsidRPr="0049531D">
        <w:rPr>
          <w:rFonts w:ascii="Book Antiqua" w:eastAsia="Calibri" w:hAnsi="Book Antiqua" w:cs="Arial"/>
          <w:sz w:val="24"/>
          <w:szCs w:val="24"/>
        </w:rPr>
        <w:t xml:space="preserve"> </w:t>
      </w:r>
      <w:r w:rsidR="00A70A3E">
        <w:rPr>
          <w:rFonts w:ascii="Book Antiqua" w:eastAsia="Calibri" w:hAnsi="Book Antiqua" w:cs="Arial"/>
          <w:sz w:val="24"/>
          <w:szCs w:val="24"/>
        </w:rPr>
        <w:t>S</w:t>
      </w:r>
      <w:r w:rsidRPr="000330F0">
        <w:rPr>
          <w:rFonts w:ascii="Book Antiqua" w:eastAsia="Calibri" w:hAnsi="Book Antiqua" w:cs="Arial"/>
          <w:sz w:val="24"/>
          <w:szCs w:val="24"/>
        </w:rPr>
        <w:t>e registr</w:t>
      </w:r>
      <w:r w:rsidR="00A70A3E">
        <w:rPr>
          <w:rFonts w:ascii="Book Antiqua" w:eastAsia="Calibri" w:hAnsi="Book Antiqua" w:cs="Arial"/>
          <w:sz w:val="24"/>
          <w:szCs w:val="24"/>
        </w:rPr>
        <w:t>ó</w:t>
      </w:r>
      <w:r w:rsidRPr="000330F0">
        <w:rPr>
          <w:rFonts w:ascii="Book Antiqua" w:eastAsia="Calibri" w:hAnsi="Book Antiqua" w:cs="Arial"/>
          <w:sz w:val="24"/>
          <w:szCs w:val="24"/>
        </w:rPr>
        <w:t xml:space="preserve"> una duración promedio por proceso </w:t>
      </w:r>
      <w:r w:rsidRPr="008A028D">
        <w:rPr>
          <w:rFonts w:ascii="Book Antiqua" w:eastAsia="Calibri" w:hAnsi="Book Antiqua" w:cs="Arial"/>
          <w:sz w:val="24"/>
          <w:szCs w:val="24"/>
        </w:rPr>
        <w:t xml:space="preserve">de </w:t>
      </w:r>
      <w:r w:rsidR="008A028D" w:rsidRPr="008A028D">
        <w:rPr>
          <w:rFonts w:ascii="Book Antiqua" w:eastAsia="Calibri" w:hAnsi="Book Antiqua" w:cs="Arial"/>
          <w:sz w:val="24"/>
          <w:szCs w:val="24"/>
        </w:rPr>
        <w:t>20</w:t>
      </w:r>
      <w:r w:rsidRPr="008A028D">
        <w:rPr>
          <w:rFonts w:ascii="Book Antiqua" w:eastAsia="Calibri" w:hAnsi="Book Antiqua" w:cs="Arial"/>
          <w:sz w:val="24"/>
          <w:szCs w:val="24"/>
        </w:rPr>
        <w:t xml:space="preserve"> meses, de los cuales el proceso de Adopción que registra una duración de 169 meses siendo el más extenso y Medida Cautelar (2 semanas) el que se ejecuta en menos tiempo</w:t>
      </w:r>
      <w:r w:rsidRPr="000330F0">
        <w:rPr>
          <w:rFonts w:ascii="Book Antiqua" w:eastAsia="Calibri" w:hAnsi="Book Antiqua" w:cs="Arial"/>
          <w:sz w:val="24"/>
          <w:szCs w:val="24"/>
        </w:rPr>
        <w:t>.</w:t>
      </w:r>
    </w:p>
    <w:p w14:paraId="4653CF53" w14:textId="77777777" w:rsidR="000330F0" w:rsidRPr="000330F0" w:rsidRDefault="000330F0" w:rsidP="000330F0">
      <w:pPr>
        <w:spacing w:after="0" w:line="276" w:lineRule="auto"/>
        <w:jc w:val="both"/>
        <w:rPr>
          <w:rFonts w:ascii="Book Antiqua" w:eastAsia="Calibri" w:hAnsi="Book Antiqua" w:cs="Arial"/>
          <w:sz w:val="24"/>
          <w:szCs w:val="24"/>
        </w:rPr>
      </w:pPr>
    </w:p>
    <w:p w14:paraId="18457A85" w14:textId="1B1318A7" w:rsidR="000330F0" w:rsidRDefault="000330F0" w:rsidP="000330F0">
      <w:pPr>
        <w:spacing w:after="0" w:line="276" w:lineRule="auto"/>
        <w:jc w:val="both"/>
        <w:rPr>
          <w:rFonts w:ascii="Book Antiqua" w:eastAsia="Calibri" w:hAnsi="Book Antiqua" w:cs="Arial"/>
          <w:sz w:val="24"/>
          <w:szCs w:val="24"/>
        </w:rPr>
      </w:pPr>
      <w:r w:rsidRPr="00AF2C7A">
        <w:rPr>
          <w:rFonts w:ascii="Book Antiqua" w:eastAsia="Calibri" w:hAnsi="Book Antiqua" w:cs="Arial"/>
          <w:sz w:val="24"/>
          <w:szCs w:val="24"/>
        </w:rPr>
        <w:t>El Depósito Judicial es el proceso que más veces se completó en 2019 (219 casos) para una duración promedio de un año, seguido</w:t>
      </w:r>
      <w:r w:rsidR="00045B73" w:rsidRPr="00AF2C7A">
        <w:rPr>
          <w:rFonts w:ascii="Book Antiqua" w:eastAsia="Calibri" w:hAnsi="Book Antiqua" w:cs="Arial"/>
          <w:sz w:val="24"/>
          <w:szCs w:val="24"/>
        </w:rPr>
        <w:t xml:space="preserve"> de</w:t>
      </w:r>
      <w:r w:rsidRPr="00AF2C7A">
        <w:rPr>
          <w:rFonts w:ascii="Book Antiqua" w:eastAsia="Calibri" w:hAnsi="Book Antiqua" w:cs="Arial"/>
          <w:sz w:val="24"/>
          <w:szCs w:val="24"/>
        </w:rPr>
        <w:t xml:space="preserve"> la Declaratoria Judicial Abandono con 164 casos y una duración promedio de 1,8 años y la Adopción Nacional con 108 casos en 2019 y una duración promedio de 1</w:t>
      </w:r>
      <w:r w:rsidR="00FA495B" w:rsidRPr="00AF2C7A">
        <w:rPr>
          <w:rFonts w:ascii="Book Antiqua" w:eastAsia="Calibri" w:hAnsi="Book Antiqua" w:cs="Arial"/>
          <w:sz w:val="24"/>
          <w:szCs w:val="24"/>
        </w:rPr>
        <w:t>,</w:t>
      </w:r>
      <w:r w:rsidRPr="00AF2C7A">
        <w:rPr>
          <w:rFonts w:ascii="Book Antiqua" w:eastAsia="Calibri" w:hAnsi="Book Antiqua" w:cs="Arial"/>
          <w:sz w:val="24"/>
          <w:szCs w:val="24"/>
        </w:rPr>
        <w:t>7 años, como se muestra en el siguiente cuadro:</w:t>
      </w:r>
    </w:p>
    <w:p w14:paraId="219CC215" w14:textId="77777777" w:rsidR="000330F0" w:rsidRPr="000330F0" w:rsidRDefault="000330F0" w:rsidP="000330F0">
      <w:pPr>
        <w:spacing w:after="0" w:line="276" w:lineRule="auto"/>
        <w:jc w:val="both"/>
        <w:rPr>
          <w:rFonts w:ascii="Book Antiqua" w:eastAsia="Calibri" w:hAnsi="Book Antiqua" w:cs="Arial"/>
          <w:sz w:val="24"/>
          <w:szCs w:val="24"/>
        </w:rPr>
      </w:pPr>
    </w:p>
    <w:p w14:paraId="493365BA" w14:textId="017E83C6" w:rsidR="000330F0" w:rsidRPr="008548BD" w:rsidRDefault="000330F0" w:rsidP="000330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548BD">
        <w:rPr>
          <w:rFonts w:ascii="Book Antiqua" w:eastAsia="Calibri" w:hAnsi="Book Antiqua" w:cs="Arial"/>
          <w:b/>
          <w:bCs/>
          <w:color w:val="1F497D"/>
          <w:szCs w:val="24"/>
          <w:lang w:val="es-ES" w:eastAsia="es-ES"/>
        </w:rPr>
        <w:lastRenderedPageBreak/>
        <w:t xml:space="preserve">Cuadro </w:t>
      </w:r>
      <w:r w:rsidRPr="008548BD">
        <w:rPr>
          <w:rFonts w:ascii="Book Antiqua" w:eastAsia="Calibri" w:hAnsi="Book Antiqua" w:cs="Arial"/>
          <w:b/>
          <w:bCs/>
          <w:color w:val="1F497D"/>
          <w:szCs w:val="24"/>
          <w:lang w:val="es-ES" w:eastAsia="es-ES"/>
        </w:rPr>
        <w:fldChar w:fldCharType="begin"/>
      </w:r>
      <w:r w:rsidRPr="008548BD">
        <w:rPr>
          <w:rFonts w:ascii="Book Antiqua" w:eastAsia="Calibri" w:hAnsi="Book Antiqua" w:cs="Arial"/>
          <w:b/>
          <w:bCs/>
          <w:color w:val="1F497D"/>
          <w:szCs w:val="24"/>
          <w:lang w:val="es-ES" w:eastAsia="es-ES"/>
        </w:rPr>
        <w:instrText xml:space="preserve"> SEQ Cuadro \* ARABIC </w:instrText>
      </w:r>
      <w:r w:rsidRPr="008548BD">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35</w:t>
      </w:r>
      <w:r w:rsidRPr="008548BD">
        <w:rPr>
          <w:rFonts w:ascii="Book Antiqua" w:eastAsia="Calibri" w:hAnsi="Book Antiqua" w:cs="Arial"/>
          <w:b/>
          <w:bCs/>
          <w:color w:val="1F497D"/>
          <w:szCs w:val="24"/>
          <w:lang w:val="es-ES" w:eastAsia="es-ES"/>
        </w:rPr>
        <w:fldChar w:fldCharType="end"/>
      </w:r>
      <w:r w:rsidRPr="008548BD">
        <w:rPr>
          <w:rFonts w:ascii="Book Antiqua" w:eastAsia="Calibri" w:hAnsi="Book Antiqua" w:cs="Arial"/>
          <w:b/>
          <w:bCs/>
          <w:color w:val="1F497D"/>
          <w:szCs w:val="24"/>
          <w:lang w:val="es-ES" w:eastAsia="es-ES"/>
        </w:rPr>
        <w:t xml:space="preserve"> </w:t>
      </w:r>
    </w:p>
    <w:p w14:paraId="53D25AAC" w14:textId="32D660C4" w:rsidR="000330F0" w:rsidRDefault="000330F0" w:rsidP="000330F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548BD">
        <w:rPr>
          <w:rFonts w:ascii="Book Antiqua" w:eastAsia="Calibri" w:hAnsi="Book Antiqua" w:cs="Arial"/>
          <w:b/>
          <w:bCs/>
          <w:color w:val="1F497D"/>
          <w:szCs w:val="24"/>
          <w:lang w:val="es-ES" w:eastAsia="es-ES"/>
        </w:rPr>
        <w:t>Duración promedio de casos del Juzgado de Familia, de Niñez y Adolescencia 20</w:t>
      </w:r>
      <w:r w:rsidR="00E34D0E" w:rsidRPr="001D0C10">
        <w:rPr>
          <w:rFonts w:ascii="Book Antiqua" w:eastAsia="Calibri" w:hAnsi="Book Antiqua" w:cs="Arial"/>
          <w:b/>
          <w:bCs/>
          <w:color w:val="1F497D"/>
          <w:szCs w:val="24"/>
          <w:lang w:val="es-ES" w:eastAsia="es-ES"/>
        </w:rPr>
        <w:t>19</w:t>
      </w:r>
    </w:p>
    <w:tbl>
      <w:tblPr>
        <w:tblW w:w="5135" w:type="pct"/>
        <w:tblLayout w:type="fixed"/>
        <w:tblCellMar>
          <w:left w:w="70" w:type="dxa"/>
          <w:right w:w="70" w:type="dxa"/>
        </w:tblCellMar>
        <w:tblLook w:val="04A0" w:firstRow="1" w:lastRow="0" w:firstColumn="1" w:lastColumn="0" w:noHBand="0" w:noVBand="1"/>
      </w:tblPr>
      <w:tblGrid>
        <w:gridCol w:w="5523"/>
        <w:gridCol w:w="1559"/>
        <w:gridCol w:w="1984"/>
      </w:tblGrid>
      <w:tr w:rsidR="00AF2C7A" w:rsidRPr="00AF2C7A" w14:paraId="7E78941F" w14:textId="77777777" w:rsidTr="001D0C10">
        <w:trPr>
          <w:trHeight w:val="20"/>
          <w:tblHeader/>
        </w:trPr>
        <w:tc>
          <w:tcPr>
            <w:tcW w:w="3046"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81312C5" w14:textId="77777777" w:rsidR="00AF2C7A" w:rsidRPr="00AF2C7A" w:rsidRDefault="00AF2C7A" w:rsidP="00AF2C7A">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Tipo de Proceso</w:t>
            </w:r>
          </w:p>
        </w:tc>
        <w:tc>
          <w:tcPr>
            <w:tcW w:w="860" w:type="pct"/>
            <w:tcBorders>
              <w:top w:val="single" w:sz="4" w:space="0" w:color="auto"/>
              <w:left w:val="nil"/>
              <w:bottom w:val="single" w:sz="4" w:space="0" w:color="auto"/>
              <w:right w:val="single" w:sz="4" w:space="0" w:color="auto"/>
            </w:tcBorders>
            <w:shd w:val="clear" w:color="000000" w:fill="002060"/>
            <w:vAlign w:val="center"/>
            <w:hideMark/>
          </w:tcPr>
          <w:p w14:paraId="5EC3CEF4" w14:textId="77777777" w:rsidR="00AF2C7A" w:rsidRPr="00AF2C7A" w:rsidRDefault="00AF2C7A" w:rsidP="00AF2C7A">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Cantidad de casos terminados 2019</w:t>
            </w:r>
          </w:p>
        </w:tc>
        <w:tc>
          <w:tcPr>
            <w:tcW w:w="1094" w:type="pct"/>
            <w:tcBorders>
              <w:top w:val="single" w:sz="4" w:space="0" w:color="auto"/>
              <w:left w:val="nil"/>
              <w:bottom w:val="single" w:sz="4" w:space="0" w:color="auto"/>
              <w:right w:val="single" w:sz="4" w:space="0" w:color="auto"/>
            </w:tcBorders>
            <w:shd w:val="clear" w:color="000000" w:fill="002060"/>
            <w:vAlign w:val="center"/>
            <w:hideMark/>
          </w:tcPr>
          <w:p w14:paraId="18E75A1C" w14:textId="77777777" w:rsidR="00AF2C7A" w:rsidRPr="00AF2C7A" w:rsidRDefault="00AF2C7A" w:rsidP="00AF2C7A">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Promedio de duración</w:t>
            </w:r>
            <w:r w:rsidRPr="00AF2C7A">
              <w:rPr>
                <w:rFonts w:ascii="Book Antiqua" w:eastAsia="Times New Roman" w:hAnsi="Book Antiqua" w:cs="Calibri"/>
                <w:b/>
                <w:bCs/>
                <w:color w:val="FFFFFF"/>
                <w:sz w:val="20"/>
                <w:szCs w:val="20"/>
                <w:lang w:eastAsia="es-CR"/>
              </w:rPr>
              <w:t xml:space="preserve"> (meses)</w:t>
            </w:r>
          </w:p>
        </w:tc>
      </w:tr>
      <w:tr w:rsidR="00AF2C7A" w:rsidRPr="00AF2C7A" w14:paraId="744DA6A3"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72D7730D"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Adopción</w:t>
            </w:r>
          </w:p>
        </w:tc>
        <w:tc>
          <w:tcPr>
            <w:tcW w:w="860" w:type="pct"/>
            <w:tcBorders>
              <w:top w:val="nil"/>
              <w:left w:val="nil"/>
              <w:bottom w:val="single" w:sz="4" w:space="0" w:color="auto"/>
              <w:right w:val="single" w:sz="4" w:space="0" w:color="auto"/>
            </w:tcBorders>
            <w:shd w:val="clear" w:color="auto" w:fill="auto"/>
            <w:noWrap/>
            <w:vAlign w:val="center"/>
            <w:hideMark/>
          </w:tcPr>
          <w:p w14:paraId="4E65BB6C"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10</w:t>
            </w:r>
          </w:p>
        </w:tc>
        <w:tc>
          <w:tcPr>
            <w:tcW w:w="1094" w:type="pct"/>
            <w:tcBorders>
              <w:top w:val="nil"/>
              <w:left w:val="nil"/>
              <w:bottom w:val="single" w:sz="4" w:space="0" w:color="auto"/>
              <w:right w:val="single" w:sz="4" w:space="0" w:color="auto"/>
            </w:tcBorders>
            <w:shd w:val="clear" w:color="auto" w:fill="auto"/>
            <w:noWrap/>
            <w:vAlign w:val="center"/>
            <w:hideMark/>
          </w:tcPr>
          <w:p w14:paraId="2FD40842"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168,96</w:t>
            </w:r>
          </w:p>
        </w:tc>
      </w:tr>
      <w:tr w:rsidR="00AF2C7A" w:rsidRPr="00AF2C7A" w14:paraId="433F7047"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61FEB32C"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Otros</w:t>
            </w:r>
          </w:p>
        </w:tc>
        <w:tc>
          <w:tcPr>
            <w:tcW w:w="860" w:type="pct"/>
            <w:tcBorders>
              <w:top w:val="nil"/>
              <w:left w:val="nil"/>
              <w:bottom w:val="single" w:sz="4" w:space="0" w:color="auto"/>
              <w:right w:val="single" w:sz="4" w:space="0" w:color="auto"/>
            </w:tcBorders>
            <w:shd w:val="clear" w:color="auto" w:fill="auto"/>
            <w:noWrap/>
            <w:vAlign w:val="center"/>
          </w:tcPr>
          <w:p w14:paraId="032C97D9"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center"/>
          </w:tcPr>
          <w:p w14:paraId="60CA12C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47,41</w:t>
            </w:r>
          </w:p>
        </w:tc>
      </w:tr>
      <w:tr w:rsidR="00AF2C7A" w:rsidRPr="00AF2C7A" w14:paraId="0708330D"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73C33AAB"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Diligencia utilidad y necesidad</w:t>
            </w:r>
          </w:p>
        </w:tc>
        <w:tc>
          <w:tcPr>
            <w:tcW w:w="860" w:type="pct"/>
            <w:tcBorders>
              <w:top w:val="nil"/>
              <w:left w:val="nil"/>
              <w:bottom w:val="single" w:sz="4" w:space="0" w:color="auto"/>
              <w:right w:val="single" w:sz="4" w:space="0" w:color="auto"/>
            </w:tcBorders>
            <w:shd w:val="clear" w:color="auto" w:fill="auto"/>
            <w:noWrap/>
            <w:vAlign w:val="center"/>
          </w:tcPr>
          <w:p w14:paraId="23AE9B06"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104</w:t>
            </w:r>
          </w:p>
        </w:tc>
        <w:tc>
          <w:tcPr>
            <w:tcW w:w="1094" w:type="pct"/>
            <w:tcBorders>
              <w:top w:val="nil"/>
              <w:left w:val="nil"/>
              <w:bottom w:val="single" w:sz="4" w:space="0" w:color="auto"/>
              <w:right w:val="single" w:sz="4" w:space="0" w:color="auto"/>
            </w:tcBorders>
            <w:shd w:val="clear" w:color="auto" w:fill="auto"/>
            <w:noWrap/>
            <w:vAlign w:val="center"/>
          </w:tcPr>
          <w:p w14:paraId="7C7DF40B"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28.75</w:t>
            </w:r>
          </w:p>
        </w:tc>
      </w:tr>
      <w:tr w:rsidR="00AF2C7A" w:rsidRPr="00AF2C7A" w14:paraId="624812B8"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609B204F" w14:textId="77777777" w:rsidR="00AF2C7A" w:rsidRPr="00AF2C7A" w:rsidRDefault="00AF2C7A" w:rsidP="00AF2C7A">
            <w:pPr>
              <w:spacing w:after="0" w:line="276" w:lineRule="auto"/>
              <w:jc w:val="both"/>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Declaratoria Judicial Abandono</w:t>
            </w:r>
          </w:p>
        </w:tc>
        <w:tc>
          <w:tcPr>
            <w:tcW w:w="860" w:type="pct"/>
            <w:tcBorders>
              <w:top w:val="nil"/>
              <w:left w:val="nil"/>
              <w:bottom w:val="single" w:sz="4" w:space="0" w:color="auto"/>
              <w:right w:val="single" w:sz="4" w:space="0" w:color="auto"/>
            </w:tcBorders>
            <w:shd w:val="clear" w:color="auto" w:fill="auto"/>
            <w:noWrap/>
            <w:vAlign w:val="center"/>
            <w:hideMark/>
          </w:tcPr>
          <w:p w14:paraId="3A336572"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164</w:t>
            </w:r>
          </w:p>
        </w:tc>
        <w:tc>
          <w:tcPr>
            <w:tcW w:w="1094" w:type="pct"/>
            <w:tcBorders>
              <w:top w:val="nil"/>
              <w:left w:val="nil"/>
              <w:bottom w:val="single" w:sz="4" w:space="0" w:color="auto"/>
              <w:right w:val="single" w:sz="4" w:space="0" w:color="auto"/>
            </w:tcBorders>
            <w:shd w:val="clear" w:color="auto" w:fill="auto"/>
            <w:noWrap/>
            <w:vAlign w:val="center"/>
            <w:hideMark/>
          </w:tcPr>
          <w:p w14:paraId="60C78BB9"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21,84</w:t>
            </w:r>
          </w:p>
        </w:tc>
      </w:tr>
      <w:tr w:rsidR="00AF2C7A" w:rsidRPr="00AF2C7A" w14:paraId="7F9587D1"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020306DF" w14:textId="77777777" w:rsidR="00AF2C7A" w:rsidRPr="00AF2C7A" w:rsidRDefault="00AF2C7A" w:rsidP="00AF2C7A">
            <w:pPr>
              <w:spacing w:after="0" w:line="276" w:lineRule="auto"/>
              <w:rPr>
                <w:rFonts w:ascii="Book Antiqua" w:eastAsia="Times New Roman" w:hAnsi="Book Antiqua" w:cs="Calibri"/>
                <w:color w:val="000000"/>
                <w:sz w:val="20"/>
                <w:szCs w:val="20"/>
                <w:lang w:val="en-US" w:eastAsia="es-CR"/>
              </w:rPr>
            </w:pPr>
            <w:r w:rsidRPr="00AF2C7A">
              <w:rPr>
                <w:rFonts w:ascii="Book Antiqua" w:eastAsia="Times New Roman" w:hAnsi="Book Antiqua" w:cs="Calibri"/>
                <w:color w:val="000000"/>
                <w:sz w:val="20"/>
                <w:szCs w:val="20"/>
                <w:lang w:val="en-US" w:eastAsia="es-CR"/>
              </w:rPr>
              <w:t>Comunic. Art.32 Cdna (P.A.N.I.)</w:t>
            </w:r>
          </w:p>
        </w:tc>
        <w:tc>
          <w:tcPr>
            <w:tcW w:w="860" w:type="pct"/>
            <w:tcBorders>
              <w:top w:val="nil"/>
              <w:left w:val="nil"/>
              <w:bottom w:val="single" w:sz="4" w:space="0" w:color="auto"/>
              <w:right w:val="single" w:sz="4" w:space="0" w:color="auto"/>
            </w:tcBorders>
            <w:shd w:val="clear" w:color="auto" w:fill="auto"/>
            <w:noWrap/>
            <w:vAlign w:val="center"/>
            <w:hideMark/>
          </w:tcPr>
          <w:p w14:paraId="492B4D50"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26</w:t>
            </w:r>
          </w:p>
        </w:tc>
        <w:tc>
          <w:tcPr>
            <w:tcW w:w="1094" w:type="pct"/>
            <w:tcBorders>
              <w:top w:val="nil"/>
              <w:left w:val="nil"/>
              <w:bottom w:val="single" w:sz="4" w:space="0" w:color="auto"/>
              <w:right w:val="single" w:sz="4" w:space="0" w:color="auto"/>
            </w:tcBorders>
            <w:shd w:val="clear" w:color="auto" w:fill="auto"/>
            <w:noWrap/>
            <w:vAlign w:val="center"/>
            <w:hideMark/>
          </w:tcPr>
          <w:p w14:paraId="1D41C7AA"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21,18</w:t>
            </w:r>
          </w:p>
        </w:tc>
      </w:tr>
      <w:tr w:rsidR="00AF2C7A" w:rsidRPr="00AF2C7A" w14:paraId="71776C36"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26884C92"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Impugnación Reconocimiento</w:t>
            </w:r>
          </w:p>
        </w:tc>
        <w:tc>
          <w:tcPr>
            <w:tcW w:w="860" w:type="pct"/>
            <w:tcBorders>
              <w:top w:val="nil"/>
              <w:left w:val="nil"/>
              <w:bottom w:val="single" w:sz="4" w:space="0" w:color="auto"/>
              <w:right w:val="single" w:sz="4" w:space="0" w:color="auto"/>
            </w:tcBorders>
            <w:shd w:val="clear" w:color="auto" w:fill="auto"/>
            <w:noWrap/>
            <w:vAlign w:val="center"/>
            <w:hideMark/>
          </w:tcPr>
          <w:p w14:paraId="55EE4964"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5</w:t>
            </w:r>
          </w:p>
        </w:tc>
        <w:tc>
          <w:tcPr>
            <w:tcW w:w="1094" w:type="pct"/>
            <w:tcBorders>
              <w:top w:val="nil"/>
              <w:left w:val="nil"/>
              <w:bottom w:val="single" w:sz="4" w:space="0" w:color="auto"/>
              <w:right w:val="single" w:sz="4" w:space="0" w:color="auto"/>
            </w:tcBorders>
            <w:shd w:val="clear" w:color="auto" w:fill="auto"/>
            <w:noWrap/>
            <w:vAlign w:val="center"/>
            <w:hideMark/>
          </w:tcPr>
          <w:p w14:paraId="31825EB1"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21,18</w:t>
            </w:r>
          </w:p>
        </w:tc>
      </w:tr>
      <w:tr w:rsidR="00AF2C7A" w:rsidRPr="00AF2C7A" w14:paraId="1AFE386B"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0D7F5180"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Adopción Nacional</w:t>
            </w:r>
          </w:p>
        </w:tc>
        <w:tc>
          <w:tcPr>
            <w:tcW w:w="860" w:type="pct"/>
            <w:tcBorders>
              <w:top w:val="nil"/>
              <w:left w:val="nil"/>
              <w:bottom w:val="single" w:sz="4" w:space="0" w:color="auto"/>
              <w:right w:val="single" w:sz="4" w:space="0" w:color="auto"/>
            </w:tcBorders>
            <w:shd w:val="clear" w:color="auto" w:fill="auto"/>
            <w:noWrap/>
            <w:vAlign w:val="center"/>
          </w:tcPr>
          <w:p w14:paraId="686654F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108</w:t>
            </w:r>
          </w:p>
        </w:tc>
        <w:tc>
          <w:tcPr>
            <w:tcW w:w="1094" w:type="pct"/>
            <w:tcBorders>
              <w:top w:val="nil"/>
              <w:left w:val="nil"/>
              <w:bottom w:val="single" w:sz="4" w:space="0" w:color="auto"/>
              <w:right w:val="single" w:sz="4" w:space="0" w:color="auto"/>
            </w:tcBorders>
            <w:shd w:val="clear" w:color="auto" w:fill="auto"/>
            <w:noWrap/>
            <w:vAlign w:val="center"/>
          </w:tcPr>
          <w:p w14:paraId="38D69426"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20.47</w:t>
            </w:r>
          </w:p>
        </w:tc>
      </w:tr>
      <w:tr w:rsidR="00AF2C7A" w:rsidRPr="00AF2C7A" w14:paraId="3459EB04"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25C726B5"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 xml:space="preserve">Tutela </w:t>
            </w:r>
          </w:p>
        </w:tc>
        <w:tc>
          <w:tcPr>
            <w:tcW w:w="860" w:type="pct"/>
            <w:tcBorders>
              <w:top w:val="nil"/>
              <w:left w:val="nil"/>
              <w:bottom w:val="single" w:sz="4" w:space="0" w:color="auto"/>
              <w:right w:val="single" w:sz="4" w:space="0" w:color="auto"/>
            </w:tcBorders>
            <w:shd w:val="clear" w:color="auto" w:fill="auto"/>
            <w:noWrap/>
            <w:vAlign w:val="center"/>
            <w:hideMark/>
          </w:tcPr>
          <w:p w14:paraId="6424AC51"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14</w:t>
            </w:r>
          </w:p>
        </w:tc>
        <w:tc>
          <w:tcPr>
            <w:tcW w:w="1094" w:type="pct"/>
            <w:tcBorders>
              <w:top w:val="nil"/>
              <w:left w:val="nil"/>
              <w:bottom w:val="single" w:sz="4" w:space="0" w:color="auto"/>
              <w:right w:val="single" w:sz="4" w:space="0" w:color="auto"/>
            </w:tcBorders>
            <w:shd w:val="clear" w:color="auto" w:fill="auto"/>
            <w:noWrap/>
            <w:vAlign w:val="center"/>
            <w:hideMark/>
          </w:tcPr>
          <w:p w14:paraId="6DF392F6"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18,52</w:t>
            </w:r>
          </w:p>
        </w:tc>
      </w:tr>
      <w:tr w:rsidR="00AF2C7A" w:rsidRPr="00AF2C7A" w14:paraId="29591E12"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7899D7D5"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Salvaguardia</w:t>
            </w:r>
          </w:p>
        </w:tc>
        <w:tc>
          <w:tcPr>
            <w:tcW w:w="860" w:type="pct"/>
            <w:tcBorders>
              <w:top w:val="nil"/>
              <w:left w:val="nil"/>
              <w:bottom w:val="single" w:sz="4" w:space="0" w:color="auto"/>
              <w:right w:val="single" w:sz="4" w:space="0" w:color="auto"/>
            </w:tcBorders>
            <w:shd w:val="clear" w:color="auto" w:fill="auto"/>
            <w:noWrap/>
            <w:vAlign w:val="center"/>
            <w:hideMark/>
          </w:tcPr>
          <w:p w14:paraId="40FA0F59"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center"/>
            <w:hideMark/>
          </w:tcPr>
          <w:p w14:paraId="542BA4AB"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18,18</w:t>
            </w:r>
          </w:p>
        </w:tc>
      </w:tr>
      <w:tr w:rsidR="00AF2C7A" w:rsidRPr="00AF2C7A" w14:paraId="117B8EDF"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5AE36C3C" w14:textId="77777777" w:rsidR="00AF2C7A" w:rsidRPr="00AF2C7A" w:rsidRDefault="00AF2C7A" w:rsidP="00AF2C7A">
            <w:pPr>
              <w:spacing w:after="0" w:line="276" w:lineRule="auto"/>
              <w:jc w:val="both"/>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Interrelación familiar (régimen de visitas)</w:t>
            </w:r>
          </w:p>
        </w:tc>
        <w:tc>
          <w:tcPr>
            <w:tcW w:w="860" w:type="pct"/>
            <w:tcBorders>
              <w:top w:val="nil"/>
              <w:left w:val="nil"/>
              <w:bottom w:val="single" w:sz="4" w:space="0" w:color="auto"/>
              <w:right w:val="single" w:sz="4" w:space="0" w:color="auto"/>
            </w:tcBorders>
            <w:shd w:val="clear" w:color="auto" w:fill="auto"/>
            <w:noWrap/>
            <w:vAlign w:val="center"/>
            <w:hideMark/>
          </w:tcPr>
          <w:p w14:paraId="61BC0F83"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62</w:t>
            </w:r>
          </w:p>
        </w:tc>
        <w:tc>
          <w:tcPr>
            <w:tcW w:w="1094" w:type="pct"/>
            <w:tcBorders>
              <w:top w:val="nil"/>
              <w:left w:val="nil"/>
              <w:bottom w:val="single" w:sz="4" w:space="0" w:color="auto"/>
              <w:right w:val="single" w:sz="4" w:space="0" w:color="auto"/>
            </w:tcBorders>
            <w:shd w:val="clear" w:color="auto" w:fill="auto"/>
            <w:noWrap/>
            <w:vAlign w:val="center"/>
            <w:hideMark/>
          </w:tcPr>
          <w:p w14:paraId="06AC0D01"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17,26</w:t>
            </w:r>
          </w:p>
        </w:tc>
      </w:tr>
      <w:tr w:rsidR="00AF2C7A" w:rsidRPr="00AF2C7A" w14:paraId="2D5F1AAB"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4C24BAA2"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Declar. Extramatrimonialidad</w:t>
            </w:r>
          </w:p>
        </w:tc>
        <w:tc>
          <w:tcPr>
            <w:tcW w:w="860" w:type="pct"/>
            <w:tcBorders>
              <w:top w:val="nil"/>
              <w:left w:val="nil"/>
              <w:bottom w:val="single" w:sz="4" w:space="0" w:color="auto"/>
              <w:right w:val="single" w:sz="4" w:space="0" w:color="auto"/>
            </w:tcBorders>
            <w:shd w:val="clear" w:color="auto" w:fill="auto"/>
            <w:noWrap/>
            <w:vAlign w:val="center"/>
            <w:hideMark/>
          </w:tcPr>
          <w:p w14:paraId="3818A67A"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center"/>
            <w:hideMark/>
          </w:tcPr>
          <w:p w14:paraId="24B7770E"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17,13</w:t>
            </w:r>
          </w:p>
        </w:tc>
      </w:tr>
      <w:tr w:rsidR="00AF2C7A" w:rsidRPr="00AF2C7A" w14:paraId="3B2AF25B"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348EF002" w14:textId="77777777" w:rsidR="00AF2C7A" w:rsidRPr="00AF2C7A" w:rsidRDefault="00AF2C7A" w:rsidP="00AF2C7A">
            <w:pPr>
              <w:spacing w:after="0" w:line="276" w:lineRule="auto"/>
              <w:jc w:val="both"/>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Suspensión Patria Potestad</w:t>
            </w:r>
          </w:p>
        </w:tc>
        <w:tc>
          <w:tcPr>
            <w:tcW w:w="860" w:type="pct"/>
            <w:tcBorders>
              <w:top w:val="nil"/>
              <w:left w:val="nil"/>
              <w:bottom w:val="single" w:sz="4" w:space="0" w:color="auto"/>
              <w:right w:val="single" w:sz="4" w:space="0" w:color="auto"/>
            </w:tcBorders>
            <w:shd w:val="clear" w:color="auto" w:fill="auto"/>
            <w:noWrap/>
            <w:vAlign w:val="center"/>
            <w:hideMark/>
          </w:tcPr>
          <w:p w14:paraId="6A9A470E"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65</w:t>
            </w:r>
          </w:p>
        </w:tc>
        <w:tc>
          <w:tcPr>
            <w:tcW w:w="1094" w:type="pct"/>
            <w:tcBorders>
              <w:top w:val="nil"/>
              <w:left w:val="nil"/>
              <w:bottom w:val="single" w:sz="4" w:space="0" w:color="auto"/>
              <w:right w:val="single" w:sz="4" w:space="0" w:color="auto"/>
            </w:tcBorders>
            <w:shd w:val="clear" w:color="auto" w:fill="auto"/>
            <w:noWrap/>
            <w:vAlign w:val="center"/>
            <w:hideMark/>
          </w:tcPr>
          <w:p w14:paraId="3BA4C51E"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16,06</w:t>
            </w:r>
          </w:p>
        </w:tc>
      </w:tr>
      <w:tr w:rsidR="00AF2C7A" w:rsidRPr="00AF2C7A" w14:paraId="7AC8EC6E"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79A05A75"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Investigación Paternidad</w:t>
            </w:r>
          </w:p>
        </w:tc>
        <w:tc>
          <w:tcPr>
            <w:tcW w:w="860" w:type="pct"/>
            <w:tcBorders>
              <w:top w:val="nil"/>
              <w:left w:val="nil"/>
              <w:bottom w:val="single" w:sz="4" w:space="0" w:color="auto"/>
              <w:right w:val="single" w:sz="4" w:space="0" w:color="auto"/>
            </w:tcBorders>
            <w:shd w:val="clear" w:color="auto" w:fill="auto"/>
            <w:noWrap/>
            <w:vAlign w:val="center"/>
            <w:hideMark/>
          </w:tcPr>
          <w:p w14:paraId="17BB2CB3"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3</w:t>
            </w:r>
          </w:p>
        </w:tc>
        <w:tc>
          <w:tcPr>
            <w:tcW w:w="1094" w:type="pct"/>
            <w:tcBorders>
              <w:top w:val="nil"/>
              <w:left w:val="nil"/>
              <w:bottom w:val="single" w:sz="4" w:space="0" w:color="auto"/>
              <w:right w:val="single" w:sz="4" w:space="0" w:color="auto"/>
            </w:tcBorders>
            <w:shd w:val="clear" w:color="auto" w:fill="auto"/>
            <w:noWrap/>
            <w:vAlign w:val="center"/>
            <w:hideMark/>
          </w:tcPr>
          <w:p w14:paraId="02AE7B9D"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15,56</w:t>
            </w:r>
          </w:p>
        </w:tc>
      </w:tr>
      <w:tr w:rsidR="00AF2C7A" w:rsidRPr="00AF2C7A" w14:paraId="2F207379"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09233339"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Proceso Especial Protección</w:t>
            </w:r>
          </w:p>
        </w:tc>
        <w:tc>
          <w:tcPr>
            <w:tcW w:w="860" w:type="pct"/>
            <w:tcBorders>
              <w:top w:val="nil"/>
              <w:left w:val="nil"/>
              <w:bottom w:val="single" w:sz="4" w:space="0" w:color="auto"/>
              <w:right w:val="single" w:sz="4" w:space="0" w:color="auto"/>
            </w:tcBorders>
            <w:shd w:val="clear" w:color="auto" w:fill="auto"/>
            <w:noWrap/>
            <w:vAlign w:val="center"/>
            <w:hideMark/>
          </w:tcPr>
          <w:p w14:paraId="2670D47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57</w:t>
            </w:r>
          </w:p>
        </w:tc>
        <w:tc>
          <w:tcPr>
            <w:tcW w:w="1094" w:type="pct"/>
            <w:tcBorders>
              <w:top w:val="nil"/>
              <w:left w:val="nil"/>
              <w:bottom w:val="single" w:sz="4" w:space="0" w:color="auto"/>
              <w:right w:val="single" w:sz="4" w:space="0" w:color="auto"/>
            </w:tcBorders>
            <w:shd w:val="clear" w:color="auto" w:fill="auto"/>
            <w:noWrap/>
            <w:vAlign w:val="center"/>
            <w:hideMark/>
          </w:tcPr>
          <w:p w14:paraId="5193D35D"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13,77</w:t>
            </w:r>
          </w:p>
        </w:tc>
      </w:tr>
      <w:tr w:rsidR="00AF2C7A" w:rsidRPr="00AF2C7A" w14:paraId="07009959"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0AFAB6E3" w14:textId="77777777" w:rsidR="00AF2C7A" w:rsidRPr="00AF2C7A" w:rsidRDefault="00AF2C7A" w:rsidP="00AF2C7A">
            <w:pPr>
              <w:spacing w:after="0" w:line="276" w:lineRule="auto"/>
              <w:jc w:val="both"/>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Reconocimiento de hija o de hijo de mujer casada no contencioso</w:t>
            </w:r>
          </w:p>
        </w:tc>
        <w:tc>
          <w:tcPr>
            <w:tcW w:w="860" w:type="pct"/>
            <w:tcBorders>
              <w:top w:val="nil"/>
              <w:left w:val="nil"/>
              <w:bottom w:val="single" w:sz="4" w:space="0" w:color="auto"/>
              <w:right w:val="single" w:sz="4" w:space="0" w:color="auto"/>
            </w:tcBorders>
            <w:shd w:val="clear" w:color="auto" w:fill="auto"/>
            <w:noWrap/>
            <w:vAlign w:val="center"/>
            <w:hideMark/>
          </w:tcPr>
          <w:p w14:paraId="4F46D25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center"/>
            <w:hideMark/>
          </w:tcPr>
          <w:p w14:paraId="6B00566E"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12,98</w:t>
            </w:r>
          </w:p>
        </w:tc>
      </w:tr>
      <w:tr w:rsidR="00AF2C7A" w:rsidRPr="00AF2C7A" w14:paraId="192F0592"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3D07A7A6"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Asuntos De Otras Jurisdicciones</w:t>
            </w:r>
          </w:p>
        </w:tc>
        <w:tc>
          <w:tcPr>
            <w:tcW w:w="860" w:type="pct"/>
            <w:tcBorders>
              <w:top w:val="nil"/>
              <w:left w:val="nil"/>
              <w:bottom w:val="single" w:sz="4" w:space="0" w:color="auto"/>
              <w:right w:val="single" w:sz="4" w:space="0" w:color="auto"/>
            </w:tcBorders>
            <w:shd w:val="clear" w:color="auto" w:fill="auto"/>
            <w:noWrap/>
            <w:vAlign w:val="center"/>
            <w:hideMark/>
          </w:tcPr>
          <w:p w14:paraId="69B76D9C"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center"/>
            <w:hideMark/>
          </w:tcPr>
          <w:p w14:paraId="3CF4DF80"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12,46</w:t>
            </w:r>
          </w:p>
        </w:tc>
      </w:tr>
      <w:tr w:rsidR="00AF2C7A" w:rsidRPr="00AF2C7A" w14:paraId="5D4BCA50"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3BF5843C"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Declaratoria Paternidad</w:t>
            </w:r>
          </w:p>
        </w:tc>
        <w:tc>
          <w:tcPr>
            <w:tcW w:w="860" w:type="pct"/>
            <w:tcBorders>
              <w:top w:val="nil"/>
              <w:left w:val="nil"/>
              <w:bottom w:val="single" w:sz="4" w:space="0" w:color="auto"/>
              <w:right w:val="single" w:sz="4" w:space="0" w:color="auto"/>
            </w:tcBorders>
            <w:shd w:val="clear" w:color="auto" w:fill="auto"/>
            <w:noWrap/>
            <w:vAlign w:val="center"/>
            <w:hideMark/>
          </w:tcPr>
          <w:p w14:paraId="54DED59A"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center"/>
            <w:hideMark/>
          </w:tcPr>
          <w:p w14:paraId="03B54CB1"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12,39</w:t>
            </w:r>
          </w:p>
        </w:tc>
      </w:tr>
      <w:tr w:rsidR="00AF2C7A" w:rsidRPr="00AF2C7A" w14:paraId="1C802FB5"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3F9D38C1"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Depósito Judicial</w:t>
            </w:r>
          </w:p>
        </w:tc>
        <w:tc>
          <w:tcPr>
            <w:tcW w:w="860" w:type="pct"/>
            <w:tcBorders>
              <w:top w:val="nil"/>
              <w:left w:val="nil"/>
              <w:bottom w:val="single" w:sz="4" w:space="0" w:color="auto"/>
              <w:right w:val="single" w:sz="4" w:space="0" w:color="auto"/>
            </w:tcBorders>
            <w:shd w:val="clear" w:color="auto" w:fill="auto"/>
            <w:noWrap/>
            <w:vAlign w:val="center"/>
            <w:hideMark/>
          </w:tcPr>
          <w:p w14:paraId="0D9707DA"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219</w:t>
            </w:r>
          </w:p>
        </w:tc>
        <w:tc>
          <w:tcPr>
            <w:tcW w:w="1094" w:type="pct"/>
            <w:tcBorders>
              <w:top w:val="nil"/>
              <w:left w:val="nil"/>
              <w:bottom w:val="single" w:sz="4" w:space="0" w:color="auto"/>
              <w:right w:val="single" w:sz="4" w:space="0" w:color="auto"/>
            </w:tcBorders>
            <w:shd w:val="clear" w:color="auto" w:fill="auto"/>
            <w:noWrap/>
            <w:vAlign w:val="center"/>
            <w:hideMark/>
          </w:tcPr>
          <w:p w14:paraId="7614F176"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11,97</w:t>
            </w:r>
          </w:p>
        </w:tc>
      </w:tr>
      <w:tr w:rsidR="00AF2C7A" w:rsidRPr="00AF2C7A" w14:paraId="796427BA"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7CB305B2"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Guarda Crianza Y Educación</w:t>
            </w:r>
          </w:p>
        </w:tc>
        <w:tc>
          <w:tcPr>
            <w:tcW w:w="860" w:type="pct"/>
            <w:tcBorders>
              <w:top w:val="nil"/>
              <w:left w:val="nil"/>
              <w:bottom w:val="single" w:sz="4" w:space="0" w:color="auto"/>
              <w:right w:val="single" w:sz="4" w:space="0" w:color="auto"/>
            </w:tcBorders>
            <w:shd w:val="clear" w:color="auto" w:fill="auto"/>
            <w:noWrap/>
            <w:vAlign w:val="center"/>
            <w:hideMark/>
          </w:tcPr>
          <w:p w14:paraId="7AEE80C9"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28</w:t>
            </w:r>
          </w:p>
        </w:tc>
        <w:tc>
          <w:tcPr>
            <w:tcW w:w="1094" w:type="pct"/>
            <w:tcBorders>
              <w:top w:val="nil"/>
              <w:left w:val="nil"/>
              <w:bottom w:val="single" w:sz="4" w:space="0" w:color="auto"/>
              <w:right w:val="single" w:sz="4" w:space="0" w:color="auto"/>
            </w:tcBorders>
            <w:shd w:val="clear" w:color="auto" w:fill="auto"/>
            <w:noWrap/>
            <w:vAlign w:val="center"/>
            <w:hideMark/>
          </w:tcPr>
          <w:p w14:paraId="2ACF9A6E"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10,76</w:t>
            </w:r>
          </w:p>
        </w:tc>
      </w:tr>
      <w:tr w:rsidR="00AF2C7A" w:rsidRPr="00AF2C7A" w14:paraId="73DB29E9"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12550C80"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Impugnación Paternidad</w:t>
            </w:r>
          </w:p>
        </w:tc>
        <w:tc>
          <w:tcPr>
            <w:tcW w:w="860" w:type="pct"/>
            <w:tcBorders>
              <w:top w:val="nil"/>
              <w:left w:val="nil"/>
              <w:bottom w:val="single" w:sz="4" w:space="0" w:color="auto"/>
              <w:right w:val="single" w:sz="4" w:space="0" w:color="auto"/>
            </w:tcBorders>
            <w:shd w:val="clear" w:color="auto" w:fill="auto"/>
            <w:noWrap/>
            <w:vAlign w:val="center"/>
            <w:hideMark/>
          </w:tcPr>
          <w:p w14:paraId="63CD3CC6"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7</w:t>
            </w:r>
          </w:p>
        </w:tc>
        <w:tc>
          <w:tcPr>
            <w:tcW w:w="1094" w:type="pct"/>
            <w:tcBorders>
              <w:top w:val="nil"/>
              <w:left w:val="nil"/>
              <w:bottom w:val="single" w:sz="4" w:space="0" w:color="auto"/>
              <w:right w:val="single" w:sz="4" w:space="0" w:color="auto"/>
            </w:tcBorders>
            <w:shd w:val="clear" w:color="auto" w:fill="auto"/>
            <w:noWrap/>
            <w:vAlign w:val="center"/>
            <w:hideMark/>
          </w:tcPr>
          <w:p w14:paraId="53A1738F"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9,16</w:t>
            </w:r>
          </w:p>
        </w:tc>
      </w:tr>
      <w:tr w:rsidR="00AF2C7A" w:rsidRPr="00AF2C7A" w14:paraId="66CF3356"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39E3BE3D"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Autorización Salida País</w:t>
            </w:r>
          </w:p>
        </w:tc>
        <w:tc>
          <w:tcPr>
            <w:tcW w:w="860" w:type="pct"/>
            <w:tcBorders>
              <w:top w:val="nil"/>
              <w:left w:val="nil"/>
              <w:bottom w:val="single" w:sz="4" w:space="0" w:color="auto"/>
              <w:right w:val="single" w:sz="4" w:space="0" w:color="auto"/>
            </w:tcBorders>
            <w:shd w:val="clear" w:color="auto" w:fill="auto"/>
            <w:noWrap/>
            <w:vAlign w:val="center"/>
            <w:hideMark/>
          </w:tcPr>
          <w:p w14:paraId="710607E5"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32</w:t>
            </w:r>
          </w:p>
        </w:tc>
        <w:tc>
          <w:tcPr>
            <w:tcW w:w="1094" w:type="pct"/>
            <w:tcBorders>
              <w:top w:val="nil"/>
              <w:left w:val="nil"/>
              <w:bottom w:val="single" w:sz="4" w:space="0" w:color="auto"/>
              <w:right w:val="single" w:sz="4" w:space="0" w:color="auto"/>
            </w:tcBorders>
            <w:shd w:val="clear" w:color="auto" w:fill="auto"/>
            <w:noWrap/>
            <w:vAlign w:val="center"/>
            <w:hideMark/>
          </w:tcPr>
          <w:p w14:paraId="0F69BEF3"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8,79</w:t>
            </w:r>
          </w:p>
        </w:tc>
      </w:tr>
      <w:tr w:rsidR="00AF2C7A" w:rsidRPr="00AF2C7A" w14:paraId="3A222304"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35F159E3"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Otros abreviados</w:t>
            </w:r>
          </w:p>
        </w:tc>
        <w:tc>
          <w:tcPr>
            <w:tcW w:w="860" w:type="pct"/>
            <w:tcBorders>
              <w:top w:val="nil"/>
              <w:left w:val="nil"/>
              <w:bottom w:val="single" w:sz="4" w:space="0" w:color="auto"/>
              <w:right w:val="single" w:sz="4" w:space="0" w:color="auto"/>
            </w:tcBorders>
            <w:shd w:val="clear" w:color="auto" w:fill="auto"/>
            <w:noWrap/>
            <w:vAlign w:val="center"/>
          </w:tcPr>
          <w:p w14:paraId="071225AC"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w:t>
            </w:r>
          </w:p>
        </w:tc>
        <w:tc>
          <w:tcPr>
            <w:tcW w:w="1094" w:type="pct"/>
            <w:tcBorders>
              <w:top w:val="nil"/>
              <w:left w:val="nil"/>
              <w:bottom w:val="single" w:sz="4" w:space="0" w:color="auto"/>
              <w:right w:val="single" w:sz="4" w:space="0" w:color="auto"/>
            </w:tcBorders>
            <w:shd w:val="clear" w:color="auto" w:fill="auto"/>
            <w:noWrap/>
            <w:vAlign w:val="center"/>
          </w:tcPr>
          <w:p w14:paraId="5E3BE08B"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8,17</w:t>
            </w:r>
          </w:p>
        </w:tc>
      </w:tr>
      <w:tr w:rsidR="00AF2C7A" w:rsidRPr="00AF2C7A" w14:paraId="750ECEC0"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4AA62738" w14:textId="77777777" w:rsidR="00AF2C7A" w:rsidRPr="00AF2C7A" w:rsidRDefault="00AF2C7A" w:rsidP="00AF2C7A">
            <w:pPr>
              <w:spacing w:after="0" w:line="276" w:lineRule="auto"/>
              <w:jc w:val="both"/>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Conflicto Autoridad Parental</w:t>
            </w:r>
          </w:p>
        </w:tc>
        <w:tc>
          <w:tcPr>
            <w:tcW w:w="860" w:type="pct"/>
            <w:tcBorders>
              <w:top w:val="nil"/>
              <w:left w:val="nil"/>
              <w:bottom w:val="single" w:sz="4" w:space="0" w:color="auto"/>
              <w:right w:val="single" w:sz="4" w:space="0" w:color="auto"/>
            </w:tcBorders>
            <w:shd w:val="clear" w:color="auto" w:fill="auto"/>
            <w:noWrap/>
            <w:vAlign w:val="center"/>
            <w:hideMark/>
          </w:tcPr>
          <w:p w14:paraId="633B763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center"/>
            <w:hideMark/>
          </w:tcPr>
          <w:p w14:paraId="7B332B3D"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6,59</w:t>
            </w:r>
          </w:p>
        </w:tc>
      </w:tr>
      <w:tr w:rsidR="00AF2C7A" w:rsidRPr="00AF2C7A" w14:paraId="552ED2CE"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541E84E0"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 xml:space="preserve">Rest. Internacional </w:t>
            </w:r>
          </w:p>
        </w:tc>
        <w:tc>
          <w:tcPr>
            <w:tcW w:w="860" w:type="pct"/>
            <w:tcBorders>
              <w:top w:val="nil"/>
              <w:left w:val="nil"/>
              <w:bottom w:val="single" w:sz="4" w:space="0" w:color="auto"/>
              <w:right w:val="single" w:sz="4" w:space="0" w:color="auto"/>
            </w:tcBorders>
            <w:shd w:val="clear" w:color="auto" w:fill="auto"/>
            <w:noWrap/>
            <w:vAlign w:val="center"/>
            <w:hideMark/>
          </w:tcPr>
          <w:p w14:paraId="31DC5939"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36</w:t>
            </w:r>
          </w:p>
        </w:tc>
        <w:tc>
          <w:tcPr>
            <w:tcW w:w="1094" w:type="pct"/>
            <w:tcBorders>
              <w:top w:val="nil"/>
              <w:left w:val="nil"/>
              <w:bottom w:val="single" w:sz="4" w:space="0" w:color="auto"/>
              <w:right w:val="single" w:sz="4" w:space="0" w:color="auto"/>
            </w:tcBorders>
            <w:shd w:val="clear" w:color="auto" w:fill="auto"/>
            <w:noWrap/>
            <w:vAlign w:val="center"/>
            <w:hideMark/>
          </w:tcPr>
          <w:p w14:paraId="6D579CFF"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6,37</w:t>
            </w:r>
          </w:p>
        </w:tc>
      </w:tr>
      <w:tr w:rsidR="00AF2C7A" w:rsidRPr="00AF2C7A" w14:paraId="701856D4"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0059FF88"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Sol. Allanamiento (art.36 L.O. P.A.N.I)</w:t>
            </w:r>
          </w:p>
        </w:tc>
        <w:tc>
          <w:tcPr>
            <w:tcW w:w="860" w:type="pct"/>
            <w:tcBorders>
              <w:top w:val="nil"/>
              <w:left w:val="nil"/>
              <w:bottom w:val="single" w:sz="4" w:space="0" w:color="auto"/>
              <w:right w:val="single" w:sz="4" w:space="0" w:color="auto"/>
            </w:tcBorders>
            <w:shd w:val="clear" w:color="auto" w:fill="auto"/>
            <w:noWrap/>
            <w:vAlign w:val="center"/>
            <w:hideMark/>
          </w:tcPr>
          <w:p w14:paraId="17ACBDF4"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5</w:t>
            </w:r>
          </w:p>
        </w:tc>
        <w:tc>
          <w:tcPr>
            <w:tcW w:w="1094" w:type="pct"/>
            <w:tcBorders>
              <w:top w:val="nil"/>
              <w:left w:val="nil"/>
              <w:bottom w:val="single" w:sz="4" w:space="0" w:color="auto"/>
              <w:right w:val="single" w:sz="4" w:space="0" w:color="auto"/>
            </w:tcBorders>
            <w:shd w:val="clear" w:color="auto" w:fill="auto"/>
            <w:noWrap/>
            <w:vAlign w:val="center"/>
            <w:hideMark/>
          </w:tcPr>
          <w:p w14:paraId="5900004C"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6,13</w:t>
            </w:r>
          </w:p>
        </w:tc>
      </w:tr>
      <w:tr w:rsidR="00AF2C7A" w:rsidRPr="00AF2C7A" w14:paraId="176F828A"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70C7F2A8"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Adopciones internacionales</w:t>
            </w:r>
          </w:p>
        </w:tc>
        <w:tc>
          <w:tcPr>
            <w:tcW w:w="860" w:type="pct"/>
            <w:tcBorders>
              <w:top w:val="nil"/>
              <w:left w:val="nil"/>
              <w:bottom w:val="single" w:sz="4" w:space="0" w:color="auto"/>
              <w:right w:val="single" w:sz="4" w:space="0" w:color="auto"/>
            </w:tcBorders>
            <w:shd w:val="clear" w:color="auto" w:fill="auto"/>
            <w:noWrap/>
            <w:vAlign w:val="center"/>
          </w:tcPr>
          <w:p w14:paraId="41B509BF"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9</w:t>
            </w:r>
          </w:p>
        </w:tc>
        <w:tc>
          <w:tcPr>
            <w:tcW w:w="1094" w:type="pct"/>
            <w:tcBorders>
              <w:top w:val="nil"/>
              <w:left w:val="nil"/>
              <w:bottom w:val="single" w:sz="4" w:space="0" w:color="auto"/>
              <w:right w:val="single" w:sz="4" w:space="0" w:color="auto"/>
            </w:tcBorders>
            <w:shd w:val="clear" w:color="auto" w:fill="auto"/>
            <w:noWrap/>
            <w:vAlign w:val="center"/>
          </w:tcPr>
          <w:p w14:paraId="5943C1D2"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4,58</w:t>
            </w:r>
          </w:p>
        </w:tc>
      </w:tr>
      <w:tr w:rsidR="00AF2C7A" w:rsidRPr="00AF2C7A" w14:paraId="595E3435"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2BEF952B"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Recuperación Patria Potestad</w:t>
            </w:r>
          </w:p>
        </w:tc>
        <w:tc>
          <w:tcPr>
            <w:tcW w:w="860" w:type="pct"/>
            <w:tcBorders>
              <w:top w:val="nil"/>
              <w:left w:val="nil"/>
              <w:bottom w:val="single" w:sz="4" w:space="0" w:color="auto"/>
              <w:right w:val="single" w:sz="4" w:space="0" w:color="auto"/>
            </w:tcBorders>
            <w:shd w:val="clear" w:color="auto" w:fill="auto"/>
            <w:noWrap/>
            <w:vAlign w:val="center"/>
            <w:hideMark/>
          </w:tcPr>
          <w:p w14:paraId="213A4C78"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center"/>
            <w:hideMark/>
          </w:tcPr>
          <w:p w14:paraId="549453C3"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3,32</w:t>
            </w:r>
          </w:p>
        </w:tc>
      </w:tr>
      <w:tr w:rsidR="00AF2C7A" w:rsidRPr="00AF2C7A" w14:paraId="7858FDD0" w14:textId="77777777" w:rsidTr="001D0C10">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hideMark/>
          </w:tcPr>
          <w:p w14:paraId="0E05C354" w14:textId="77777777" w:rsidR="00AF2C7A" w:rsidRPr="00AF2C7A" w:rsidRDefault="00AF2C7A" w:rsidP="00AF2C7A">
            <w:pPr>
              <w:spacing w:after="0" w:line="276" w:lineRule="auto"/>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Medida Cautelar</w:t>
            </w:r>
          </w:p>
        </w:tc>
        <w:tc>
          <w:tcPr>
            <w:tcW w:w="860" w:type="pct"/>
            <w:tcBorders>
              <w:top w:val="nil"/>
              <w:left w:val="nil"/>
              <w:bottom w:val="single" w:sz="4" w:space="0" w:color="auto"/>
              <w:right w:val="single" w:sz="4" w:space="0" w:color="auto"/>
            </w:tcBorders>
            <w:shd w:val="clear" w:color="auto" w:fill="auto"/>
            <w:noWrap/>
            <w:vAlign w:val="center"/>
            <w:hideMark/>
          </w:tcPr>
          <w:p w14:paraId="0E231A7A"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3</w:t>
            </w:r>
          </w:p>
        </w:tc>
        <w:tc>
          <w:tcPr>
            <w:tcW w:w="1094" w:type="pct"/>
            <w:tcBorders>
              <w:top w:val="nil"/>
              <w:left w:val="nil"/>
              <w:bottom w:val="single" w:sz="4" w:space="0" w:color="auto"/>
              <w:right w:val="single" w:sz="4" w:space="0" w:color="auto"/>
            </w:tcBorders>
            <w:shd w:val="clear" w:color="auto" w:fill="auto"/>
            <w:noWrap/>
            <w:vAlign w:val="center"/>
            <w:hideMark/>
          </w:tcPr>
          <w:p w14:paraId="73BB6D32" w14:textId="77777777" w:rsidR="00AF2C7A" w:rsidRPr="00AF2C7A" w:rsidRDefault="00AF2C7A" w:rsidP="00AF2C7A">
            <w:pPr>
              <w:spacing w:after="0" w:line="276" w:lineRule="auto"/>
              <w:jc w:val="center"/>
              <w:rPr>
                <w:rFonts w:ascii="Book Antiqua" w:eastAsia="Times New Roman" w:hAnsi="Book Antiqua" w:cs="Calibri"/>
                <w:color w:val="000000"/>
                <w:sz w:val="20"/>
                <w:szCs w:val="20"/>
                <w:lang w:eastAsia="es-CR"/>
              </w:rPr>
            </w:pPr>
            <w:r w:rsidRPr="00AF2C7A">
              <w:rPr>
                <w:rFonts w:ascii="Book Antiqua" w:eastAsia="Times New Roman" w:hAnsi="Book Antiqua" w:cs="Calibri"/>
                <w:color w:val="000000"/>
                <w:sz w:val="20"/>
                <w:szCs w:val="20"/>
                <w:lang w:eastAsia="es-CR"/>
              </w:rPr>
              <w:t>0,47</w:t>
            </w:r>
          </w:p>
        </w:tc>
      </w:tr>
      <w:tr w:rsidR="00106DFC" w:rsidRPr="00AF2C7A" w14:paraId="44D75E0F" w14:textId="77777777" w:rsidTr="00035934">
        <w:trPr>
          <w:trHeight w:val="555"/>
        </w:trPr>
        <w:tc>
          <w:tcPr>
            <w:tcW w:w="3046" w:type="pct"/>
            <w:tcBorders>
              <w:top w:val="nil"/>
              <w:left w:val="single" w:sz="4" w:space="0" w:color="auto"/>
              <w:right w:val="single" w:sz="4" w:space="0" w:color="auto"/>
            </w:tcBorders>
            <w:shd w:val="clear" w:color="D9E1F2" w:fill="808080"/>
            <w:noWrap/>
            <w:vAlign w:val="center"/>
            <w:hideMark/>
          </w:tcPr>
          <w:p w14:paraId="2F366EC6" w14:textId="08F95E9B" w:rsidR="00106DFC" w:rsidRPr="00AF2C7A" w:rsidRDefault="00106DFC" w:rsidP="001D0C10">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Total</w:t>
            </w:r>
          </w:p>
          <w:p w14:paraId="090E0F13" w14:textId="564461EB" w:rsidR="00106DFC" w:rsidRPr="00AF2C7A" w:rsidRDefault="00106DFC" w:rsidP="001D0C10">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Promedio</w:t>
            </w:r>
          </w:p>
        </w:tc>
        <w:tc>
          <w:tcPr>
            <w:tcW w:w="860" w:type="pct"/>
            <w:tcBorders>
              <w:top w:val="nil"/>
              <w:left w:val="nil"/>
              <w:right w:val="single" w:sz="4" w:space="0" w:color="auto"/>
            </w:tcBorders>
            <w:shd w:val="clear" w:color="D9E1F2" w:fill="808080"/>
            <w:noWrap/>
            <w:vAlign w:val="center"/>
            <w:hideMark/>
          </w:tcPr>
          <w:p w14:paraId="7B64FEC6" w14:textId="77777777" w:rsidR="00106DFC" w:rsidRPr="00AF2C7A" w:rsidRDefault="00106DFC" w:rsidP="00AF2C7A">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color w:val="FFFFFF"/>
                <w:sz w:val="20"/>
                <w:szCs w:val="20"/>
                <w:lang w:eastAsia="es-CR"/>
              </w:rPr>
              <w:t>980</w:t>
            </w:r>
          </w:p>
        </w:tc>
        <w:tc>
          <w:tcPr>
            <w:tcW w:w="1094" w:type="pct"/>
            <w:tcBorders>
              <w:top w:val="nil"/>
              <w:left w:val="nil"/>
              <w:right w:val="single" w:sz="4" w:space="0" w:color="auto"/>
            </w:tcBorders>
            <w:shd w:val="clear" w:color="D9E1F2" w:fill="808080"/>
            <w:noWrap/>
            <w:vAlign w:val="center"/>
            <w:hideMark/>
          </w:tcPr>
          <w:p w14:paraId="6C8EFEF1" w14:textId="6AE1CF53" w:rsidR="00106DFC" w:rsidRPr="00AF2C7A" w:rsidRDefault="00106DFC" w:rsidP="00AF2C7A">
            <w:pPr>
              <w:spacing w:after="0" w:line="276" w:lineRule="auto"/>
              <w:jc w:val="center"/>
              <w:rPr>
                <w:rFonts w:ascii="Book Antiqua" w:eastAsia="Times New Roman" w:hAnsi="Book Antiqua" w:cs="Calibri"/>
                <w:b/>
                <w:color w:val="FFFFFF"/>
                <w:sz w:val="20"/>
                <w:szCs w:val="20"/>
                <w:lang w:eastAsia="es-CR"/>
              </w:rPr>
            </w:pPr>
            <w:r w:rsidRPr="00AF2C7A">
              <w:rPr>
                <w:rFonts w:ascii="Book Antiqua" w:eastAsia="Times New Roman" w:hAnsi="Book Antiqua" w:cs="Calibri"/>
                <w:b/>
                <w:bCs/>
                <w:color w:val="FFFFFF"/>
                <w:sz w:val="20"/>
                <w:szCs w:val="20"/>
                <w:lang w:eastAsia="es-CR"/>
              </w:rPr>
              <w:t>20,02</w:t>
            </w:r>
          </w:p>
        </w:tc>
      </w:tr>
    </w:tbl>
    <w:p w14:paraId="696FB8F5" w14:textId="459C900D" w:rsidR="00F07A42" w:rsidRPr="00F07A42" w:rsidRDefault="00F07A42" w:rsidP="00355630">
      <w:pPr>
        <w:spacing w:after="0" w:line="276" w:lineRule="auto"/>
        <w:jc w:val="both"/>
        <w:rPr>
          <w:rFonts w:ascii="Book Antiqua" w:eastAsia="Calibri" w:hAnsi="Book Antiqua" w:cs="Arial"/>
          <w:i/>
          <w:iCs/>
          <w:sz w:val="20"/>
          <w:szCs w:val="20"/>
        </w:rPr>
      </w:pPr>
      <w:r w:rsidRPr="00F07A42">
        <w:rPr>
          <w:rFonts w:ascii="Book Antiqua" w:eastAsia="Calibri" w:hAnsi="Book Antiqua" w:cs="Arial"/>
          <w:i/>
          <w:iCs/>
          <w:sz w:val="20"/>
          <w:szCs w:val="20"/>
        </w:rPr>
        <w:t xml:space="preserve">Fuente: Modernización Institucional </w:t>
      </w:r>
      <w:bookmarkStart w:id="34" w:name="_Hlk96507023"/>
      <w:r w:rsidRPr="00F07A42">
        <w:rPr>
          <w:rFonts w:ascii="Book Antiqua" w:eastAsia="Calibri" w:hAnsi="Book Antiqua" w:cs="Arial"/>
          <w:i/>
          <w:iCs/>
          <w:sz w:val="20"/>
          <w:szCs w:val="20"/>
        </w:rPr>
        <w:t xml:space="preserve">con base en datos </w:t>
      </w:r>
      <w:r w:rsidR="00293FB2">
        <w:rPr>
          <w:rFonts w:ascii="Book Antiqua" w:eastAsia="Calibri" w:hAnsi="Book Antiqua" w:cs="Arial"/>
          <w:i/>
          <w:iCs/>
          <w:sz w:val="20"/>
          <w:szCs w:val="20"/>
        </w:rPr>
        <w:t>e</w:t>
      </w:r>
      <w:r w:rsidRPr="00F07A42">
        <w:rPr>
          <w:rFonts w:ascii="Book Antiqua" w:eastAsia="Calibri" w:hAnsi="Book Antiqua" w:cs="Arial"/>
          <w:i/>
          <w:iCs/>
          <w:sz w:val="20"/>
          <w:szCs w:val="20"/>
        </w:rPr>
        <w:t>stadísticos del Subproceso de Estadística</w:t>
      </w:r>
      <w:r w:rsidR="00106DFC">
        <w:rPr>
          <w:rFonts w:ascii="Book Antiqua" w:eastAsia="Calibri" w:hAnsi="Book Antiqua" w:cs="Arial"/>
          <w:i/>
          <w:iCs/>
          <w:sz w:val="20"/>
          <w:szCs w:val="20"/>
        </w:rPr>
        <w:t xml:space="preserve"> 2019</w:t>
      </w:r>
      <w:r w:rsidRPr="00F07A42">
        <w:rPr>
          <w:rFonts w:ascii="Book Antiqua" w:eastAsia="Calibri" w:hAnsi="Book Antiqua" w:cs="Arial"/>
          <w:i/>
          <w:iCs/>
          <w:sz w:val="20"/>
          <w:szCs w:val="20"/>
        </w:rPr>
        <w:t>.</w:t>
      </w:r>
    </w:p>
    <w:bookmarkEnd w:id="34"/>
    <w:p w14:paraId="5D83430A" w14:textId="34EDA23A" w:rsidR="00355630" w:rsidRDefault="00355630" w:rsidP="00355630">
      <w:pPr>
        <w:spacing w:after="0" w:line="276" w:lineRule="auto"/>
        <w:jc w:val="both"/>
        <w:rPr>
          <w:rFonts w:ascii="Book Antiqua" w:eastAsia="Calibri" w:hAnsi="Book Antiqua" w:cs="Arial"/>
          <w:sz w:val="24"/>
          <w:szCs w:val="24"/>
        </w:rPr>
      </w:pPr>
    </w:p>
    <w:p w14:paraId="6010FA35" w14:textId="77777777" w:rsidR="008734C9" w:rsidRDefault="008734C9" w:rsidP="00355630">
      <w:pPr>
        <w:spacing w:after="0" w:line="276" w:lineRule="auto"/>
        <w:jc w:val="both"/>
        <w:rPr>
          <w:rFonts w:ascii="Book Antiqua" w:eastAsia="Calibri" w:hAnsi="Book Antiqua" w:cs="Arial"/>
          <w:sz w:val="24"/>
          <w:szCs w:val="24"/>
        </w:rPr>
      </w:pPr>
    </w:p>
    <w:p w14:paraId="1B756AFB" w14:textId="158ACB3E" w:rsidR="00742240" w:rsidRDefault="00F07A42"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 xml:space="preserve">Por otra parte, </w:t>
      </w:r>
      <w:r w:rsidR="008734C9">
        <w:rPr>
          <w:rFonts w:ascii="Book Antiqua" w:eastAsia="Calibri" w:hAnsi="Book Antiqua" w:cs="Arial"/>
          <w:sz w:val="24"/>
          <w:szCs w:val="24"/>
        </w:rPr>
        <w:t xml:space="preserve">como estudio complementario al informe 389-PLA-RH-MI-2021 de esta Dirección se </w:t>
      </w:r>
      <w:r w:rsidR="00F64BE5">
        <w:rPr>
          <w:rFonts w:ascii="Book Antiqua" w:eastAsia="Calibri" w:hAnsi="Book Antiqua" w:cs="Arial"/>
          <w:sz w:val="24"/>
          <w:szCs w:val="24"/>
        </w:rPr>
        <w:t>incluyó la</w:t>
      </w:r>
      <w:r>
        <w:rPr>
          <w:rFonts w:ascii="Book Antiqua" w:eastAsia="Calibri" w:hAnsi="Book Antiqua" w:cs="Arial"/>
          <w:sz w:val="24"/>
          <w:szCs w:val="24"/>
        </w:rPr>
        <w:t xml:space="preserve"> referencia interna </w:t>
      </w:r>
      <w:r w:rsidR="00866B87" w:rsidRPr="00A01DF9">
        <w:rPr>
          <w:rFonts w:ascii="Book Antiqua" w:eastAsia="Calibri" w:hAnsi="Book Antiqua" w:cs="Arial"/>
          <w:b/>
          <w:bCs/>
          <w:sz w:val="24"/>
          <w:szCs w:val="24"/>
        </w:rPr>
        <w:t>1687</w:t>
      </w:r>
      <w:r w:rsidR="005A3C14" w:rsidRPr="00A01DF9">
        <w:rPr>
          <w:rFonts w:ascii="Book Antiqua" w:eastAsia="Calibri" w:hAnsi="Book Antiqua" w:cs="Arial"/>
          <w:b/>
          <w:bCs/>
          <w:sz w:val="24"/>
          <w:szCs w:val="24"/>
        </w:rPr>
        <w:t>-2020</w:t>
      </w:r>
      <w:r w:rsidR="005A3C14">
        <w:rPr>
          <w:rFonts w:ascii="Book Antiqua" w:eastAsia="Calibri" w:hAnsi="Book Antiqua" w:cs="Arial"/>
          <w:sz w:val="24"/>
          <w:szCs w:val="24"/>
        </w:rPr>
        <w:t xml:space="preserve">, relacionada con </w:t>
      </w:r>
      <w:r w:rsidR="00866B87">
        <w:rPr>
          <w:rFonts w:ascii="Book Antiqua" w:eastAsia="Calibri" w:hAnsi="Book Antiqua" w:cs="Arial"/>
          <w:sz w:val="24"/>
          <w:szCs w:val="24"/>
        </w:rPr>
        <w:t xml:space="preserve">el </w:t>
      </w:r>
      <w:r w:rsidR="00AF2C7A" w:rsidRPr="001D0C10">
        <w:rPr>
          <w:rFonts w:ascii="Book Antiqua" w:eastAsia="Calibri" w:hAnsi="Book Antiqua" w:cs="Arial"/>
          <w:i/>
          <w:iCs/>
          <w:sz w:val="24"/>
          <w:szCs w:val="24"/>
        </w:rPr>
        <w:t>“Análisis</w:t>
      </w:r>
      <w:r w:rsidR="00866B87" w:rsidRPr="001D0C10">
        <w:rPr>
          <w:rFonts w:ascii="Book Antiqua" w:eastAsia="Calibri" w:hAnsi="Book Antiqua" w:cs="Arial"/>
          <w:i/>
          <w:iCs/>
          <w:sz w:val="24"/>
          <w:szCs w:val="24"/>
        </w:rPr>
        <w:t xml:space="preserve"> de carga de trabajo y factibilidad de asignación definitiva de la plaza de Auxiliar de Servicios Generales compartida entre el </w:t>
      </w:r>
      <w:r w:rsidR="00AF2C7A" w:rsidRPr="001D0C10">
        <w:rPr>
          <w:rFonts w:ascii="Book Antiqua" w:eastAsia="Calibri" w:hAnsi="Book Antiqua" w:cs="Arial"/>
          <w:i/>
          <w:iCs/>
          <w:sz w:val="24"/>
          <w:szCs w:val="24"/>
        </w:rPr>
        <w:t>J</w:t>
      </w:r>
      <w:r w:rsidR="00866B87" w:rsidRPr="001D0C10">
        <w:rPr>
          <w:rFonts w:ascii="Book Antiqua" w:eastAsia="Calibri" w:hAnsi="Book Antiqua" w:cs="Arial"/>
          <w:i/>
          <w:iCs/>
          <w:sz w:val="24"/>
          <w:szCs w:val="24"/>
        </w:rPr>
        <w:t xml:space="preserve">uzgado de Violencia Doméstica del I Circuito Judicial de San José y el </w:t>
      </w:r>
      <w:r w:rsidR="00AF2C7A" w:rsidRPr="001D0C10">
        <w:rPr>
          <w:rFonts w:ascii="Book Antiqua" w:eastAsia="Calibri" w:hAnsi="Book Antiqua" w:cs="Arial"/>
          <w:i/>
          <w:iCs/>
          <w:sz w:val="24"/>
          <w:szCs w:val="24"/>
        </w:rPr>
        <w:t>J</w:t>
      </w:r>
      <w:r w:rsidR="00866B87" w:rsidRPr="001D0C10">
        <w:rPr>
          <w:rFonts w:ascii="Book Antiqua" w:eastAsia="Calibri" w:hAnsi="Book Antiqua" w:cs="Arial"/>
          <w:i/>
          <w:iCs/>
          <w:sz w:val="24"/>
          <w:szCs w:val="24"/>
        </w:rPr>
        <w:t>uzgado de Familia, de Niñez y Adolescencia</w:t>
      </w:r>
      <w:r w:rsidR="00D57E9D">
        <w:rPr>
          <w:rFonts w:ascii="Book Antiqua" w:eastAsia="Calibri" w:hAnsi="Book Antiqua" w:cs="Arial"/>
          <w:i/>
          <w:iCs/>
          <w:sz w:val="24"/>
          <w:szCs w:val="24"/>
        </w:rPr>
        <w:t>”</w:t>
      </w:r>
      <w:r w:rsidR="00604280">
        <w:rPr>
          <w:rFonts w:ascii="Book Antiqua" w:eastAsia="Calibri" w:hAnsi="Book Antiqua" w:cs="Arial"/>
          <w:sz w:val="24"/>
          <w:szCs w:val="24"/>
        </w:rPr>
        <w:t xml:space="preserve">, </w:t>
      </w:r>
      <w:r w:rsidR="005A3C14">
        <w:rPr>
          <w:rFonts w:ascii="Book Antiqua" w:eastAsia="Calibri" w:hAnsi="Book Antiqua" w:cs="Arial"/>
          <w:sz w:val="24"/>
          <w:szCs w:val="24"/>
        </w:rPr>
        <w:t>se tiene l</w:t>
      </w:r>
      <w:r w:rsidR="00866B87">
        <w:rPr>
          <w:rFonts w:ascii="Book Antiqua" w:eastAsia="Calibri" w:hAnsi="Book Antiqua" w:cs="Arial"/>
          <w:sz w:val="24"/>
          <w:szCs w:val="24"/>
        </w:rPr>
        <w:t>a</w:t>
      </w:r>
      <w:r w:rsidR="005A3C14">
        <w:rPr>
          <w:rFonts w:ascii="Book Antiqua" w:eastAsia="Calibri" w:hAnsi="Book Antiqua" w:cs="Arial"/>
          <w:sz w:val="24"/>
          <w:szCs w:val="24"/>
        </w:rPr>
        <w:t xml:space="preserve"> siguiente</w:t>
      </w:r>
      <w:r w:rsidR="00866B87">
        <w:rPr>
          <w:rFonts w:ascii="Book Antiqua" w:eastAsia="Calibri" w:hAnsi="Book Antiqua" w:cs="Arial"/>
          <w:sz w:val="24"/>
          <w:szCs w:val="24"/>
        </w:rPr>
        <w:t xml:space="preserve"> información</w:t>
      </w:r>
      <w:r w:rsidR="005A3C14">
        <w:rPr>
          <w:rFonts w:ascii="Book Antiqua" w:eastAsia="Calibri" w:hAnsi="Book Antiqua" w:cs="Arial"/>
          <w:sz w:val="24"/>
          <w:szCs w:val="24"/>
        </w:rPr>
        <w:t>:</w:t>
      </w:r>
    </w:p>
    <w:p w14:paraId="403F111B" w14:textId="4E8008AE" w:rsidR="005A3C14" w:rsidRDefault="005A3C14" w:rsidP="00355630">
      <w:pPr>
        <w:spacing w:after="0" w:line="276" w:lineRule="auto"/>
        <w:jc w:val="both"/>
        <w:rPr>
          <w:rFonts w:ascii="Book Antiqua" w:eastAsia="Calibri" w:hAnsi="Book Antiqua" w:cs="Arial"/>
          <w:sz w:val="24"/>
          <w:szCs w:val="24"/>
        </w:rPr>
      </w:pPr>
    </w:p>
    <w:p w14:paraId="20D9ED2E" w14:textId="0DC8AA04" w:rsidR="005A3C14" w:rsidRPr="004A3198" w:rsidRDefault="005A3C14"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Estructura de Trabajo</w:t>
      </w:r>
    </w:p>
    <w:p w14:paraId="662F19F1" w14:textId="29E9A04F" w:rsidR="00604280" w:rsidRDefault="00604280" w:rsidP="00355630">
      <w:pPr>
        <w:spacing w:after="0" w:line="276" w:lineRule="auto"/>
        <w:jc w:val="both"/>
        <w:rPr>
          <w:rFonts w:ascii="Book Antiqua" w:eastAsia="Calibri" w:hAnsi="Book Antiqua" w:cs="Arial"/>
          <w:sz w:val="24"/>
          <w:szCs w:val="24"/>
        </w:rPr>
      </w:pPr>
      <w:bookmarkStart w:id="35" w:name="_Hlk96310010"/>
    </w:p>
    <w:p w14:paraId="02B7BA37" w14:textId="6880A037" w:rsidR="002F600E" w:rsidRDefault="002F600E"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se detalla la estructura de trabajo de los juzgados </w:t>
      </w:r>
      <w:r w:rsidR="008734C9">
        <w:rPr>
          <w:rFonts w:ascii="Book Antiqua" w:eastAsia="Calibri" w:hAnsi="Book Antiqua" w:cs="Arial"/>
          <w:sz w:val="24"/>
          <w:szCs w:val="24"/>
        </w:rPr>
        <w:t>de Familia, Niñez y Adolescencia y el Juzgado de Violencia Doméstica ambos de San José, y</w:t>
      </w:r>
      <w:r>
        <w:rPr>
          <w:rFonts w:ascii="Book Antiqua" w:eastAsia="Calibri" w:hAnsi="Book Antiqua" w:cs="Arial"/>
          <w:sz w:val="24"/>
          <w:szCs w:val="24"/>
        </w:rPr>
        <w:t xml:space="preserve"> de acuerdo con la Relación de Puestos de la Dirección de Gestión Humana 2022</w:t>
      </w:r>
      <w:r w:rsidR="008734C9">
        <w:rPr>
          <w:rFonts w:ascii="Book Antiqua" w:eastAsia="Calibri" w:hAnsi="Book Antiqua" w:cs="Arial"/>
          <w:sz w:val="24"/>
          <w:szCs w:val="24"/>
        </w:rPr>
        <w:t xml:space="preserve"> tienen el siguiente recurso</w:t>
      </w:r>
      <w:r>
        <w:rPr>
          <w:rFonts w:ascii="Book Antiqua" w:eastAsia="Calibri" w:hAnsi="Book Antiqua" w:cs="Arial"/>
          <w:sz w:val="24"/>
          <w:szCs w:val="24"/>
        </w:rPr>
        <w:t>:</w:t>
      </w:r>
    </w:p>
    <w:p w14:paraId="2C62DA89" w14:textId="6D91FA73" w:rsidR="00604280" w:rsidRPr="000330F0" w:rsidRDefault="00604280" w:rsidP="0060428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36</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65A977FF" w14:textId="77777777" w:rsidR="008E07FA" w:rsidRDefault="00604280" w:rsidP="00604280">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Estructura de Trabajo de los </w:t>
      </w:r>
      <w:r w:rsidRPr="000330F0">
        <w:rPr>
          <w:rFonts w:ascii="Book Antiqua" w:eastAsia="Calibri" w:hAnsi="Book Antiqua" w:cs="Arial"/>
          <w:b/>
          <w:bCs/>
          <w:color w:val="1F497D"/>
          <w:szCs w:val="24"/>
          <w:lang w:val="es-ES" w:eastAsia="es-ES"/>
        </w:rPr>
        <w:t>Juzgado</w:t>
      </w:r>
      <w:r>
        <w:rPr>
          <w:rFonts w:ascii="Book Antiqua" w:eastAsia="Calibri" w:hAnsi="Book Antiqua" w:cs="Arial"/>
          <w:b/>
          <w:bCs/>
          <w:color w:val="1F497D"/>
          <w:szCs w:val="24"/>
          <w:lang w:val="es-ES" w:eastAsia="es-ES"/>
        </w:rPr>
        <w:t>s</w:t>
      </w:r>
      <w:r w:rsidRPr="000330F0">
        <w:rPr>
          <w:rFonts w:ascii="Book Antiqua" w:eastAsia="Calibri" w:hAnsi="Book Antiqua" w:cs="Arial"/>
          <w:b/>
          <w:bCs/>
          <w:color w:val="1F497D"/>
          <w:szCs w:val="24"/>
          <w:lang w:val="es-ES" w:eastAsia="es-ES"/>
        </w:rPr>
        <w:t xml:space="preserve"> de Familia, de Niñez y Adolescencia </w:t>
      </w:r>
      <w:r>
        <w:rPr>
          <w:rFonts w:ascii="Book Antiqua" w:eastAsia="Calibri" w:hAnsi="Book Antiqua" w:cs="Arial"/>
          <w:b/>
          <w:bCs/>
          <w:color w:val="1F497D"/>
          <w:szCs w:val="24"/>
          <w:lang w:val="es-ES" w:eastAsia="es-ES"/>
        </w:rPr>
        <w:t xml:space="preserve">y </w:t>
      </w:r>
    </w:p>
    <w:p w14:paraId="67667E07" w14:textId="7C3121D6" w:rsidR="00604280" w:rsidRPr="000330F0" w:rsidRDefault="00604280" w:rsidP="00604280">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Juzgado de Violencia Doméstica </w:t>
      </w:r>
      <w:r w:rsidR="008734C9">
        <w:rPr>
          <w:rFonts w:ascii="Book Antiqua" w:eastAsia="Calibri" w:hAnsi="Book Antiqua" w:cs="Arial"/>
          <w:b/>
          <w:bCs/>
          <w:color w:val="1F497D"/>
          <w:szCs w:val="24"/>
          <w:lang w:val="es-ES" w:eastAsia="es-ES"/>
        </w:rPr>
        <w:t xml:space="preserve">Primer </w:t>
      </w:r>
      <w:r>
        <w:rPr>
          <w:rFonts w:ascii="Book Antiqua" w:eastAsia="Calibri" w:hAnsi="Book Antiqua" w:cs="Arial"/>
          <w:b/>
          <w:bCs/>
          <w:color w:val="1F497D"/>
          <w:szCs w:val="24"/>
          <w:lang w:val="es-ES" w:eastAsia="es-ES"/>
        </w:rPr>
        <w:t xml:space="preserve">C.J. de San José, </w:t>
      </w:r>
      <w:r w:rsidRPr="000330F0">
        <w:rPr>
          <w:rFonts w:ascii="Book Antiqua" w:eastAsia="Calibri" w:hAnsi="Book Antiqua" w:cs="Arial"/>
          <w:b/>
          <w:bCs/>
          <w:color w:val="1F497D"/>
          <w:szCs w:val="24"/>
          <w:lang w:val="es-ES" w:eastAsia="es-ES"/>
        </w:rPr>
        <w:t>20</w:t>
      </w:r>
      <w:r>
        <w:rPr>
          <w:rFonts w:ascii="Book Antiqua" w:eastAsia="Calibri" w:hAnsi="Book Antiqua" w:cs="Arial"/>
          <w:b/>
          <w:bCs/>
          <w:color w:val="1F497D"/>
          <w:szCs w:val="24"/>
          <w:lang w:val="es-ES" w:eastAsia="es-ES"/>
        </w:rPr>
        <w:t>22</w:t>
      </w:r>
    </w:p>
    <w:tbl>
      <w:tblPr>
        <w:tblW w:w="5000" w:type="pct"/>
        <w:tblCellMar>
          <w:left w:w="70" w:type="dxa"/>
          <w:right w:w="70" w:type="dxa"/>
        </w:tblCellMar>
        <w:tblLook w:val="04A0" w:firstRow="1" w:lastRow="0" w:firstColumn="1" w:lastColumn="0" w:noHBand="0" w:noVBand="1"/>
      </w:tblPr>
      <w:tblGrid>
        <w:gridCol w:w="4246"/>
        <w:gridCol w:w="658"/>
        <w:gridCol w:w="1485"/>
        <w:gridCol w:w="1088"/>
        <w:gridCol w:w="1351"/>
      </w:tblGrid>
      <w:tr w:rsidR="00A63199" w:rsidRPr="00A63199" w14:paraId="6F440799" w14:textId="77777777" w:rsidTr="002F600E">
        <w:trPr>
          <w:trHeight w:val="660"/>
        </w:trPr>
        <w:tc>
          <w:tcPr>
            <w:tcW w:w="2405" w:type="pct"/>
            <w:tcBorders>
              <w:top w:val="single" w:sz="4" w:space="0" w:color="auto"/>
              <w:left w:val="single" w:sz="4" w:space="0" w:color="auto"/>
              <w:bottom w:val="single" w:sz="4" w:space="0" w:color="auto"/>
              <w:right w:val="single" w:sz="4" w:space="0" w:color="auto"/>
            </w:tcBorders>
            <w:shd w:val="clear" w:color="000000" w:fill="002060"/>
            <w:vAlign w:val="center"/>
            <w:hideMark/>
          </w:tcPr>
          <w:bookmarkEnd w:id="35"/>
          <w:p w14:paraId="5CFAE61A" w14:textId="77777777" w:rsidR="00A63199" w:rsidRPr="00A63199" w:rsidRDefault="00A63199" w:rsidP="00A63199">
            <w:pPr>
              <w:spacing w:after="0" w:line="240" w:lineRule="auto"/>
              <w:jc w:val="center"/>
              <w:rPr>
                <w:rFonts w:ascii="Book Antiqua" w:eastAsia="Times New Roman" w:hAnsi="Book Antiqua" w:cs="Calibri"/>
                <w:b/>
                <w:bCs/>
                <w:color w:val="FFFFFF"/>
                <w:sz w:val="20"/>
                <w:szCs w:val="20"/>
                <w:lang w:eastAsia="es-CR"/>
              </w:rPr>
            </w:pPr>
            <w:r w:rsidRPr="00A63199">
              <w:rPr>
                <w:rFonts w:ascii="Book Antiqua" w:eastAsia="Times New Roman" w:hAnsi="Book Antiqua" w:cs="Calibri"/>
                <w:b/>
                <w:bCs/>
                <w:color w:val="FFFFFF"/>
                <w:sz w:val="20"/>
                <w:szCs w:val="20"/>
                <w:lang w:eastAsia="es-CR"/>
              </w:rPr>
              <w:t>Despacho</w:t>
            </w:r>
          </w:p>
        </w:tc>
        <w:tc>
          <w:tcPr>
            <w:tcW w:w="373" w:type="pct"/>
            <w:tcBorders>
              <w:top w:val="single" w:sz="4" w:space="0" w:color="auto"/>
              <w:left w:val="nil"/>
              <w:bottom w:val="single" w:sz="4" w:space="0" w:color="auto"/>
              <w:right w:val="single" w:sz="4" w:space="0" w:color="auto"/>
            </w:tcBorders>
            <w:shd w:val="clear" w:color="000000" w:fill="002060"/>
            <w:vAlign w:val="center"/>
            <w:hideMark/>
          </w:tcPr>
          <w:p w14:paraId="205A52D5" w14:textId="77777777" w:rsidR="00A63199" w:rsidRPr="00A63199" w:rsidRDefault="00A63199" w:rsidP="00A63199">
            <w:pPr>
              <w:spacing w:after="0" w:line="240" w:lineRule="auto"/>
              <w:jc w:val="center"/>
              <w:rPr>
                <w:rFonts w:ascii="Book Antiqua" w:eastAsia="Times New Roman" w:hAnsi="Book Antiqua" w:cs="Calibri"/>
                <w:b/>
                <w:bCs/>
                <w:color w:val="FFFFFF"/>
                <w:sz w:val="20"/>
                <w:szCs w:val="20"/>
                <w:lang w:eastAsia="es-CR"/>
              </w:rPr>
            </w:pPr>
            <w:r w:rsidRPr="00A63199">
              <w:rPr>
                <w:rFonts w:ascii="Book Antiqua" w:eastAsia="Times New Roman" w:hAnsi="Book Antiqua" w:cs="Calibri"/>
                <w:b/>
                <w:bCs/>
                <w:color w:val="FFFFFF"/>
                <w:sz w:val="20"/>
                <w:szCs w:val="20"/>
                <w:lang w:eastAsia="es-CR"/>
              </w:rPr>
              <w:t>Jueza o Juez</w:t>
            </w:r>
          </w:p>
        </w:tc>
        <w:tc>
          <w:tcPr>
            <w:tcW w:w="841" w:type="pct"/>
            <w:tcBorders>
              <w:top w:val="single" w:sz="4" w:space="0" w:color="auto"/>
              <w:left w:val="nil"/>
              <w:bottom w:val="single" w:sz="4" w:space="0" w:color="auto"/>
              <w:right w:val="single" w:sz="4" w:space="0" w:color="auto"/>
            </w:tcBorders>
            <w:shd w:val="clear" w:color="000000" w:fill="002060"/>
            <w:vAlign w:val="center"/>
            <w:hideMark/>
          </w:tcPr>
          <w:p w14:paraId="4428719F" w14:textId="77777777" w:rsidR="00A63199" w:rsidRPr="00A63199" w:rsidRDefault="00A63199" w:rsidP="00A63199">
            <w:pPr>
              <w:spacing w:after="0" w:line="240" w:lineRule="auto"/>
              <w:jc w:val="center"/>
              <w:rPr>
                <w:rFonts w:ascii="Book Antiqua" w:eastAsia="Times New Roman" w:hAnsi="Book Antiqua" w:cs="Calibri"/>
                <w:b/>
                <w:bCs/>
                <w:color w:val="FFFFFF"/>
                <w:sz w:val="20"/>
                <w:szCs w:val="20"/>
                <w:lang w:eastAsia="es-CR"/>
              </w:rPr>
            </w:pPr>
            <w:r w:rsidRPr="00A63199">
              <w:rPr>
                <w:rFonts w:ascii="Book Antiqua" w:eastAsia="Times New Roman" w:hAnsi="Book Antiqua" w:cs="Calibri"/>
                <w:b/>
                <w:bCs/>
                <w:color w:val="FFFFFF"/>
                <w:sz w:val="20"/>
                <w:szCs w:val="20"/>
                <w:lang w:eastAsia="es-CR"/>
              </w:rPr>
              <w:t>Coordinadora o Coordinador Judicial</w:t>
            </w:r>
          </w:p>
        </w:tc>
        <w:tc>
          <w:tcPr>
            <w:tcW w:w="616" w:type="pct"/>
            <w:tcBorders>
              <w:top w:val="single" w:sz="4" w:space="0" w:color="auto"/>
              <w:left w:val="nil"/>
              <w:bottom w:val="single" w:sz="4" w:space="0" w:color="auto"/>
              <w:right w:val="single" w:sz="4" w:space="0" w:color="auto"/>
            </w:tcBorders>
            <w:shd w:val="clear" w:color="000000" w:fill="002060"/>
            <w:vAlign w:val="center"/>
            <w:hideMark/>
          </w:tcPr>
          <w:p w14:paraId="5E9BBC19" w14:textId="77777777" w:rsidR="00A63199" w:rsidRPr="00A63199" w:rsidRDefault="00A63199" w:rsidP="00A63199">
            <w:pPr>
              <w:spacing w:after="0" w:line="240" w:lineRule="auto"/>
              <w:jc w:val="center"/>
              <w:rPr>
                <w:rFonts w:ascii="Book Antiqua" w:eastAsia="Times New Roman" w:hAnsi="Book Antiqua" w:cs="Calibri"/>
                <w:b/>
                <w:bCs/>
                <w:color w:val="FFFFFF"/>
                <w:sz w:val="20"/>
                <w:szCs w:val="20"/>
                <w:lang w:eastAsia="es-CR"/>
              </w:rPr>
            </w:pPr>
            <w:r w:rsidRPr="00A63199">
              <w:rPr>
                <w:rFonts w:ascii="Book Antiqua" w:eastAsia="Times New Roman" w:hAnsi="Book Antiqua" w:cs="Calibri"/>
                <w:b/>
                <w:bCs/>
                <w:color w:val="FFFFFF"/>
                <w:sz w:val="20"/>
                <w:szCs w:val="20"/>
                <w:lang w:eastAsia="es-CR"/>
              </w:rPr>
              <w:t>Técnicas o Técnicos Judiciales</w:t>
            </w:r>
          </w:p>
        </w:tc>
        <w:tc>
          <w:tcPr>
            <w:tcW w:w="765" w:type="pct"/>
            <w:tcBorders>
              <w:top w:val="single" w:sz="4" w:space="0" w:color="auto"/>
              <w:left w:val="nil"/>
              <w:bottom w:val="single" w:sz="4" w:space="0" w:color="auto"/>
              <w:right w:val="single" w:sz="4" w:space="0" w:color="auto"/>
            </w:tcBorders>
            <w:shd w:val="clear" w:color="000000" w:fill="002060"/>
            <w:vAlign w:val="center"/>
            <w:hideMark/>
          </w:tcPr>
          <w:p w14:paraId="178BF509" w14:textId="77777777" w:rsidR="00A63199" w:rsidRPr="00A63199" w:rsidRDefault="00A63199" w:rsidP="00A63199">
            <w:pPr>
              <w:spacing w:after="0" w:line="240" w:lineRule="auto"/>
              <w:jc w:val="center"/>
              <w:rPr>
                <w:rFonts w:ascii="Book Antiqua" w:eastAsia="Times New Roman" w:hAnsi="Book Antiqua" w:cs="Calibri"/>
                <w:b/>
                <w:bCs/>
                <w:color w:val="FFFFFF"/>
                <w:sz w:val="20"/>
                <w:szCs w:val="20"/>
                <w:lang w:eastAsia="es-CR"/>
              </w:rPr>
            </w:pPr>
            <w:r w:rsidRPr="00A63199">
              <w:rPr>
                <w:rFonts w:ascii="Book Antiqua" w:eastAsia="Times New Roman" w:hAnsi="Book Antiqua" w:cs="Calibri"/>
                <w:b/>
                <w:bCs/>
                <w:color w:val="FFFFFF"/>
                <w:sz w:val="20"/>
                <w:szCs w:val="20"/>
                <w:lang w:eastAsia="es-CR"/>
              </w:rPr>
              <w:t>Auxiliar de Servicios Generales</w:t>
            </w:r>
          </w:p>
        </w:tc>
      </w:tr>
      <w:tr w:rsidR="002F600E" w:rsidRPr="00A63199" w14:paraId="4039033C" w14:textId="77777777" w:rsidTr="002F600E">
        <w:trPr>
          <w:trHeight w:val="300"/>
        </w:trPr>
        <w:tc>
          <w:tcPr>
            <w:tcW w:w="2405" w:type="pct"/>
            <w:tcBorders>
              <w:top w:val="nil"/>
              <w:left w:val="single" w:sz="8" w:space="0" w:color="auto"/>
              <w:bottom w:val="single" w:sz="8" w:space="0" w:color="auto"/>
              <w:right w:val="nil"/>
            </w:tcBorders>
            <w:shd w:val="clear" w:color="auto" w:fill="auto"/>
            <w:noWrap/>
            <w:vAlign w:val="center"/>
            <w:hideMark/>
          </w:tcPr>
          <w:p w14:paraId="1FE474AA" w14:textId="77777777" w:rsidR="00A63199" w:rsidRPr="00A63199" w:rsidRDefault="00A63199" w:rsidP="00A63199">
            <w:pPr>
              <w:spacing w:after="0" w:line="240" w:lineRule="auto"/>
              <w:rPr>
                <w:rFonts w:ascii="Book Antiqua" w:eastAsia="Times New Roman" w:hAnsi="Book Antiqua" w:cs="Calibri"/>
                <w:b/>
                <w:bCs/>
                <w:color w:val="000000"/>
                <w:sz w:val="20"/>
                <w:szCs w:val="20"/>
                <w:lang w:eastAsia="es-CR"/>
              </w:rPr>
            </w:pPr>
            <w:r w:rsidRPr="00A63199">
              <w:rPr>
                <w:rFonts w:ascii="Book Antiqua" w:eastAsia="Times New Roman" w:hAnsi="Book Antiqua" w:cs="Calibri"/>
                <w:b/>
                <w:bCs/>
                <w:color w:val="000000"/>
                <w:sz w:val="20"/>
                <w:szCs w:val="20"/>
                <w:lang w:eastAsia="es-CR"/>
              </w:rPr>
              <w:t>Juzgado de Familia, de Niñez y Adolescencia</w:t>
            </w:r>
          </w:p>
        </w:tc>
        <w:tc>
          <w:tcPr>
            <w:tcW w:w="373" w:type="pct"/>
            <w:tcBorders>
              <w:top w:val="nil"/>
              <w:left w:val="single" w:sz="4" w:space="0" w:color="auto"/>
              <w:bottom w:val="single" w:sz="4" w:space="0" w:color="auto"/>
              <w:right w:val="single" w:sz="4" w:space="0" w:color="auto"/>
            </w:tcBorders>
            <w:shd w:val="clear" w:color="auto" w:fill="auto"/>
            <w:noWrap/>
            <w:vAlign w:val="bottom"/>
            <w:hideMark/>
          </w:tcPr>
          <w:p w14:paraId="1A5C6FCF" w14:textId="77777777" w:rsidR="00A63199" w:rsidRPr="00A63199" w:rsidRDefault="00A63199" w:rsidP="00A63199">
            <w:pPr>
              <w:spacing w:after="0" w:line="240" w:lineRule="auto"/>
              <w:jc w:val="center"/>
              <w:rPr>
                <w:rFonts w:ascii="Book Antiqua" w:eastAsia="Times New Roman" w:hAnsi="Book Antiqua" w:cs="Calibri"/>
                <w:color w:val="000000"/>
                <w:sz w:val="20"/>
                <w:szCs w:val="20"/>
                <w:lang w:eastAsia="es-CR"/>
              </w:rPr>
            </w:pPr>
            <w:r w:rsidRPr="00A63199">
              <w:rPr>
                <w:rFonts w:ascii="Book Antiqua" w:eastAsia="Times New Roman" w:hAnsi="Book Antiqua" w:cs="Calibri"/>
                <w:color w:val="000000"/>
                <w:sz w:val="20"/>
                <w:szCs w:val="20"/>
                <w:lang w:eastAsia="es-CR"/>
              </w:rPr>
              <w:t>2</w:t>
            </w:r>
          </w:p>
        </w:tc>
        <w:tc>
          <w:tcPr>
            <w:tcW w:w="841" w:type="pct"/>
            <w:tcBorders>
              <w:top w:val="nil"/>
              <w:left w:val="nil"/>
              <w:bottom w:val="single" w:sz="4" w:space="0" w:color="auto"/>
              <w:right w:val="single" w:sz="4" w:space="0" w:color="auto"/>
            </w:tcBorders>
            <w:shd w:val="clear" w:color="auto" w:fill="auto"/>
            <w:noWrap/>
            <w:vAlign w:val="bottom"/>
            <w:hideMark/>
          </w:tcPr>
          <w:p w14:paraId="673A07B4" w14:textId="77777777" w:rsidR="00A63199" w:rsidRPr="00A63199" w:rsidRDefault="00A63199" w:rsidP="00A63199">
            <w:pPr>
              <w:spacing w:after="0" w:line="240" w:lineRule="auto"/>
              <w:jc w:val="center"/>
              <w:rPr>
                <w:rFonts w:ascii="Book Antiqua" w:eastAsia="Times New Roman" w:hAnsi="Book Antiqua" w:cs="Calibri"/>
                <w:color w:val="000000"/>
                <w:sz w:val="20"/>
                <w:szCs w:val="20"/>
                <w:lang w:eastAsia="es-CR"/>
              </w:rPr>
            </w:pPr>
            <w:r w:rsidRPr="00A63199">
              <w:rPr>
                <w:rFonts w:ascii="Book Antiqua" w:eastAsia="Times New Roman" w:hAnsi="Book Antiqua" w:cs="Calibri"/>
                <w:color w:val="000000"/>
                <w:sz w:val="20"/>
                <w:szCs w:val="20"/>
                <w:lang w:eastAsia="es-CR"/>
              </w:rPr>
              <w:t>1</w:t>
            </w:r>
          </w:p>
        </w:tc>
        <w:tc>
          <w:tcPr>
            <w:tcW w:w="616" w:type="pct"/>
            <w:tcBorders>
              <w:top w:val="nil"/>
              <w:left w:val="nil"/>
              <w:bottom w:val="single" w:sz="4" w:space="0" w:color="auto"/>
              <w:right w:val="single" w:sz="4" w:space="0" w:color="auto"/>
            </w:tcBorders>
            <w:shd w:val="clear" w:color="auto" w:fill="auto"/>
            <w:noWrap/>
            <w:vAlign w:val="bottom"/>
            <w:hideMark/>
          </w:tcPr>
          <w:p w14:paraId="38466460" w14:textId="32E36AE9" w:rsidR="00A63199" w:rsidRPr="00A63199" w:rsidRDefault="008E07FA" w:rsidP="00A63199">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5</w:t>
            </w:r>
          </w:p>
        </w:tc>
        <w:tc>
          <w:tcPr>
            <w:tcW w:w="765" w:type="pct"/>
            <w:tcBorders>
              <w:top w:val="nil"/>
              <w:left w:val="nil"/>
              <w:bottom w:val="single" w:sz="4" w:space="0" w:color="auto"/>
              <w:right w:val="single" w:sz="4" w:space="0" w:color="auto"/>
            </w:tcBorders>
            <w:shd w:val="clear" w:color="auto" w:fill="auto"/>
            <w:noWrap/>
            <w:vAlign w:val="bottom"/>
            <w:hideMark/>
          </w:tcPr>
          <w:p w14:paraId="7F85847F" w14:textId="23E87B65" w:rsidR="00A63199" w:rsidRPr="00A63199" w:rsidRDefault="008E07FA" w:rsidP="00A63199">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0</w:t>
            </w:r>
          </w:p>
        </w:tc>
      </w:tr>
      <w:tr w:rsidR="002F600E" w:rsidRPr="00A63199" w14:paraId="1DBF17C0" w14:textId="77777777" w:rsidTr="002F600E">
        <w:trPr>
          <w:trHeight w:val="300"/>
        </w:trPr>
        <w:tc>
          <w:tcPr>
            <w:tcW w:w="2405" w:type="pct"/>
            <w:tcBorders>
              <w:top w:val="nil"/>
              <w:left w:val="single" w:sz="8" w:space="0" w:color="auto"/>
              <w:bottom w:val="single" w:sz="8" w:space="0" w:color="auto"/>
              <w:right w:val="nil"/>
            </w:tcBorders>
            <w:shd w:val="clear" w:color="auto" w:fill="auto"/>
            <w:noWrap/>
            <w:vAlign w:val="center"/>
            <w:hideMark/>
          </w:tcPr>
          <w:p w14:paraId="663DDB74" w14:textId="77777777" w:rsidR="00A63199" w:rsidRPr="00A63199" w:rsidRDefault="00A63199" w:rsidP="00A63199">
            <w:pPr>
              <w:spacing w:after="0" w:line="240" w:lineRule="auto"/>
              <w:rPr>
                <w:rFonts w:ascii="Book Antiqua" w:eastAsia="Times New Roman" w:hAnsi="Book Antiqua" w:cs="Calibri"/>
                <w:b/>
                <w:bCs/>
                <w:color w:val="000000"/>
                <w:sz w:val="20"/>
                <w:szCs w:val="20"/>
                <w:lang w:eastAsia="es-CR"/>
              </w:rPr>
            </w:pPr>
            <w:r w:rsidRPr="00A63199">
              <w:rPr>
                <w:rFonts w:ascii="Book Antiqua" w:eastAsia="Times New Roman" w:hAnsi="Book Antiqua" w:cs="Calibri"/>
                <w:b/>
                <w:bCs/>
                <w:color w:val="000000"/>
                <w:sz w:val="20"/>
                <w:szCs w:val="20"/>
                <w:lang w:eastAsia="es-CR"/>
              </w:rPr>
              <w:t>Juzgado de Violencia Doméstica San José</w:t>
            </w:r>
          </w:p>
        </w:tc>
        <w:tc>
          <w:tcPr>
            <w:tcW w:w="373" w:type="pct"/>
            <w:tcBorders>
              <w:top w:val="nil"/>
              <w:left w:val="single" w:sz="4" w:space="0" w:color="auto"/>
              <w:bottom w:val="single" w:sz="4" w:space="0" w:color="auto"/>
              <w:right w:val="single" w:sz="4" w:space="0" w:color="auto"/>
            </w:tcBorders>
            <w:shd w:val="clear" w:color="auto" w:fill="auto"/>
            <w:noWrap/>
            <w:vAlign w:val="bottom"/>
            <w:hideMark/>
          </w:tcPr>
          <w:p w14:paraId="6E18D5FE" w14:textId="1A5BCE7D" w:rsidR="00A63199" w:rsidRPr="00A63199" w:rsidRDefault="00A63199" w:rsidP="00A63199">
            <w:pPr>
              <w:spacing w:after="0" w:line="240" w:lineRule="auto"/>
              <w:jc w:val="center"/>
              <w:rPr>
                <w:rFonts w:ascii="Book Antiqua" w:eastAsia="Times New Roman" w:hAnsi="Book Antiqua" w:cs="Calibri"/>
                <w:color w:val="000000"/>
                <w:sz w:val="20"/>
                <w:szCs w:val="20"/>
                <w:lang w:eastAsia="es-CR"/>
              </w:rPr>
            </w:pPr>
            <w:r w:rsidRPr="00A63199">
              <w:rPr>
                <w:rFonts w:ascii="Book Antiqua" w:eastAsia="Times New Roman" w:hAnsi="Book Antiqua" w:cs="Calibri"/>
                <w:color w:val="000000"/>
                <w:sz w:val="20"/>
                <w:szCs w:val="20"/>
                <w:lang w:eastAsia="es-CR"/>
              </w:rPr>
              <w:t> </w:t>
            </w:r>
            <w:r w:rsidRPr="00E46EB8">
              <w:rPr>
                <w:rFonts w:ascii="Book Antiqua" w:eastAsia="Times New Roman" w:hAnsi="Book Antiqua" w:cs="Calibri"/>
                <w:color w:val="000000"/>
                <w:sz w:val="20"/>
                <w:szCs w:val="20"/>
                <w:lang w:eastAsia="es-CR"/>
              </w:rPr>
              <w:t>2</w:t>
            </w:r>
          </w:p>
        </w:tc>
        <w:tc>
          <w:tcPr>
            <w:tcW w:w="841" w:type="pct"/>
            <w:tcBorders>
              <w:top w:val="nil"/>
              <w:left w:val="nil"/>
              <w:bottom w:val="single" w:sz="4" w:space="0" w:color="auto"/>
              <w:right w:val="single" w:sz="4" w:space="0" w:color="auto"/>
            </w:tcBorders>
            <w:shd w:val="clear" w:color="auto" w:fill="auto"/>
            <w:noWrap/>
            <w:vAlign w:val="bottom"/>
            <w:hideMark/>
          </w:tcPr>
          <w:p w14:paraId="49D65DD8" w14:textId="4F0D58BE" w:rsidR="00A63199" w:rsidRPr="00A63199" w:rsidRDefault="00A63199" w:rsidP="00A63199">
            <w:pPr>
              <w:spacing w:after="0" w:line="240" w:lineRule="auto"/>
              <w:jc w:val="center"/>
              <w:rPr>
                <w:rFonts w:ascii="Book Antiqua" w:eastAsia="Times New Roman" w:hAnsi="Book Antiqua" w:cs="Calibri"/>
                <w:color w:val="000000"/>
                <w:sz w:val="20"/>
                <w:szCs w:val="20"/>
                <w:lang w:eastAsia="es-CR"/>
              </w:rPr>
            </w:pPr>
            <w:r w:rsidRPr="00A63199">
              <w:rPr>
                <w:rFonts w:ascii="Book Antiqua" w:eastAsia="Times New Roman" w:hAnsi="Book Antiqua" w:cs="Calibri"/>
                <w:color w:val="000000"/>
                <w:sz w:val="20"/>
                <w:szCs w:val="20"/>
                <w:lang w:eastAsia="es-CR"/>
              </w:rPr>
              <w:t> </w:t>
            </w:r>
            <w:r w:rsidRPr="00E46EB8">
              <w:rPr>
                <w:rFonts w:ascii="Book Antiqua" w:eastAsia="Times New Roman" w:hAnsi="Book Antiqua" w:cs="Calibri"/>
                <w:color w:val="000000"/>
                <w:sz w:val="20"/>
                <w:szCs w:val="20"/>
                <w:lang w:eastAsia="es-CR"/>
              </w:rPr>
              <w:t>1</w:t>
            </w:r>
          </w:p>
        </w:tc>
        <w:tc>
          <w:tcPr>
            <w:tcW w:w="616" w:type="pct"/>
            <w:tcBorders>
              <w:top w:val="nil"/>
              <w:left w:val="nil"/>
              <w:bottom w:val="single" w:sz="4" w:space="0" w:color="auto"/>
              <w:right w:val="single" w:sz="4" w:space="0" w:color="auto"/>
            </w:tcBorders>
            <w:shd w:val="clear" w:color="auto" w:fill="auto"/>
            <w:noWrap/>
            <w:vAlign w:val="bottom"/>
            <w:hideMark/>
          </w:tcPr>
          <w:p w14:paraId="3FDB08F3" w14:textId="6E02E1A6" w:rsidR="00A63199" w:rsidRPr="00A63199" w:rsidRDefault="00604280" w:rsidP="00A63199">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3</w:t>
            </w:r>
            <w:r w:rsidR="00A63199" w:rsidRPr="00A63199">
              <w:rPr>
                <w:rFonts w:ascii="Book Antiqua" w:eastAsia="Times New Roman" w:hAnsi="Book Antiqua" w:cs="Calibri"/>
                <w:color w:val="000000"/>
                <w:sz w:val="20"/>
                <w:szCs w:val="20"/>
                <w:lang w:eastAsia="es-CR"/>
              </w:rPr>
              <w:t> </w:t>
            </w:r>
          </w:p>
        </w:tc>
        <w:tc>
          <w:tcPr>
            <w:tcW w:w="765" w:type="pct"/>
            <w:tcBorders>
              <w:top w:val="nil"/>
              <w:left w:val="nil"/>
              <w:bottom w:val="single" w:sz="4" w:space="0" w:color="auto"/>
              <w:right w:val="single" w:sz="4" w:space="0" w:color="auto"/>
            </w:tcBorders>
            <w:shd w:val="clear" w:color="auto" w:fill="auto"/>
            <w:noWrap/>
            <w:vAlign w:val="bottom"/>
            <w:hideMark/>
          </w:tcPr>
          <w:p w14:paraId="50F3382E" w14:textId="5D6CE6C6" w:rsidR="00A63199" w:rsidRPr="00A63199" w:rsidRDefault="008E07FA" w:rsidP="00A63199">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1</w:t>
            </w:r>
          </w:p>
        </w:tc>
      </w:tr>
    </w:tbl>
    <w:p w14:paraId="4B93EAA0" w14:textId="630D900B" w:rsidR="005A3C14" w:rsidRDefault="00A63199" w:rsidP="00355630">
      <w:pPr>
        <w:spacing w:after="0" w:line="276" w:lineRule="auto"/>
        <w:jc w:val="both"/>
        <w:rPr>
          <w:rFonts w:ascii="Book Antiqua" w:eastAsia="Calibri" w:hAnsi="Book Antiqua" w:cs="Arial"/>
          <w:sz w:val="24"/>
          <w:szCs w:val="24"/>
        </w:rPr>
      </w:pPr>
      <w:bookmarkStart w:id="36" w:name="_Hlk96445089"/>
      <w:r w:rsidRPr="00F07A42">
        <w:rPr>
          <w:rFonts w:ascii="Book Antiqua" w:eastAsia="Calibri" w:hAnsi="Book Antiqua" w:cs="Arial"/>
          <w:i/>
          <w:iCs/>
          <w:sz w:val="20"/>
          <w:szCs w:val="20"/>
        </w:rPr>
        <w:t>Fuente: Modernización Institucional</w:t>
      </w:r>
      <w:r>
        <w:rPr>
          <w:rFonts w:ascii="Book Antiqua" w:eastAsia="Calibri" w:hAnsi="Book Antiqua" w:cs="Arial"/>
          <w:i/>
          <w:iCs/>
          <w:sz w:val="20"/>
          <w:szCs w:val="20"/>
        </w:rPr>
        <w:t>.</w:t>
      </w:r>
    </w:p>
    <w:bookmarkEnd w:id="36"/>
    <w:p w14:paraId="4B9F4DF5" w14:textId="397E9C94" w:rsidR="00742240" w:rsidRDefault="00742240" w:rsidP="00355630">
      <w:pPr>
        <w:spacing w:after="0" w:line="276" w:lineRule="auto"/>
        <w:jc w:val="both"/>
        <w:rPr>
          <w:rFonts w:ascii="Book Antiqua" w:eastAsia="Calibri" w:hAnsi="Book Antiqua" w:cs="Arial"/>
          <w:sz w:val="24"/>
          <w:szCs w:val="24"/>
        </w:rPr>
      </w:pPr>
    </w:p>
    <w:p w14:paraId="4949ABD0" w14:textId="74DEC746" w:rsidR="00742240" w:rsidRDefault="00604280"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 plaza de Auxiliar de Servicios Generales, de acuerdo con la Relación de </w:t>
      </w:r>
      <w:r w:rsidR="008E07FA">
        <w:rPr>
          <w:rFonts w:ascii="Book Antiqua" w:eastAsia="Calibri" w:hAnsi="Book Antiqua" w:cs="Arial"/>
          <w:sz w:val="24"/>
          <w:szCs w:val="24"/>
        </w:rPr>
        <w:t>P</w:t>
      </w:r>
      <w:r>
        <w:rPr>
          <w:rFonts w:ascii="Book Antiqua" w:eastAsia="Calibri" w:hAnsi="Book Antiqua" w:cs="Arial"/>
          <w:sz w:val="24"/>
          <w:szCs w:val="24"/>
        </w:rPr>
        <w:t>uestos</w:t>
      </w:r>
      <w:r w:rsidR="008E07FA">
        <w:rPr>
          <w:rFonts w:ascii="Book Antiqua" w:eastAsia="Calibri" w:hAnsi="Book Antiqua" w:cs="Arial"/>
          <w:sz w:val="24"/>
          <w:szCs w:val="24"/>
        </w:rPr>
        <w:t xml:space="preserve"> del 2022</w:t>
      </w:r>
      <w:r>
        <w:rPr>
          <w:rFonts w:ascii="Book Antiqua" w:eastAsia="Calibri" w:hAnsi="Book Antiqua" w:cs="Arial"/>
          <w:sz w:val="24"/>
          <w:szCs w:val="24"/>
        </w:rPr>
        <w:t xml:space="preserve"> está adscrita al Juzgado de Violencia Doméstica </w:t>
      </w:r>
      <w:r w:rsidR="001F64B9">
        <w:rPr>
          <w:rFonts w:ascii="Book Antiqua" w:eastAsia="Calibri" w:hAnsi="Book Antiqua" w:cs="Arial"/>
          <w:sz w:val="24"/>
          <w:szCs w:val="24"/>
        </w:rPr>
        <w:t xml:space="preserve">del </w:t>
      </w:r>
      <w:r w:rsidR="008734C9">
        <w:rPr>
          <w:rFonts w:ascii="Book Antiqua" w:eastAsia="Calibri" w:hAnsi="Book Antiqua" w:cs="Arial"/>
          <w:sz w:val="24"/>
          <w:szCs w:val="24"/>
        </w:rPr>
        <w:t>Primer</w:t>
      </w:r>
      <w:r w:rsidR="001F64B9">
        <w:rPr>
          <w:rFonts w:ascii="Book Antiqua" w:eastAsia="Calibri" w:hAnsi="Book Antiqua" w:cs="Arial"/>
          <w:sz w:val="24"/>
          <w:szCs w:val="24"/>
        </w:rPr>
        <w:t xml:space="preserve"> Circuito Judicial </w:t>
      </w:r>
      <w:r>
        <w:rPr>
          <w:rFonts w:ascii="Book Antiqua" w:eastAsia="Calibri" w:hAnsi="Book Antiqua" w:cs="Arial"/>
          <w:sz w:val="24"/>
          <w:szCs w:val="24"/>
        </w:rPr>
        <w:t>de San José y corresponde al número de puesto 84172 y su condición es “</w:t>
      </w:r>
      <w:r w:rsidRPr="001D0C10">
        <w:rPr>
          <w:rFonts w:ascii="Book Antiqua" w:eastAsia="Calibri" w:hAnsi="Book Antiqua" w:cs="Arial"/>
          <w:i/>
          <w:iCs/>
          <w:sz w:val="24"/>
          <w:szCs w:val="24"/>
        </w:rPr>
        <w:t>Propiedad</w:t>
      </w:r>
      <w:r>
        <w:rPr>
          <w:rFonts w:ascii="Book Antiqua" w:eastAsia="Calibri" w:hAnsi="Book Antiqua" w:cs="Arial"/>
          <w:sz w:val="24"/>
          <w:szCs w:val="24"/>
        </w:rPr>
        <w:t>”</w:t>
      </w:r>
      <w:r w:rsidR="008734C9">
        <w:rPr>
          <w:rFonts w:ascii="Book Antiqua" w:eastAsia="Calibri" w:hAnsi="Book Antiqua" w:cs="Arial"/>
          <w:sz w:val="24"/>
          <w:szCs w:val="24"/>
        </w:rPr>
        <w:t xml:space="preserve"> pero colabora tanto con el Juzgado Contra la </w:t>
      </w:r>
      <w:r w:rsidR="008548BD">
        <w:rPr>
          <w:rFonts w:ascii="Book Antiqua" w:eastAsia="Calibri" w:hAnsi="Book Antiqua" w:cs="Arial"/>
          <w:sz w:val="24"/>
          <w:szCs w:val="24"/>
        </w:rPr>
        <w:t>V</w:t>
      </w:r>
      <w:r w:rsidR="008734C9">
        <w:rPr>
          <w:rFonts w:ascii="Book Antiqua" w:eastAsia="Calibri" w:hAnsi="Book Antiqua" w:cs="Arial"/>
          <w:sz w:val="24"/>
          <w:szCs w:val="24"/>
        </w:rPr>
        <w:t>iolencia, como con el de Niñez y Adolescencia, media audiencia en cada oficina</w:t>
      </w:r>
      <w:r w:rsidR="00866B87">
        <w:rPr>
          <w:rFonts w:ascii="Book Antiqua" w:eastAsia="Calibri" w:hAnsi="Book Antiqua" w:cs="Arial"/>
          <w:sz w:val="24"/>
          <w:szCs w:val="24"/>
        </w:rPr>
        <w:t>.</w:t>
      </w:r>
      <w:r>
        <w:rPr>
          <w:rFonts w:ascii="Book Antiqua" w:eastAsia="Calibri" w:hAnsi="Book Antiqua" w:cs="Arial"/>
          <w:sz w:val="24"/>
          <w:szCs w:val="24"/>
        </w:rPr>
        <w:t xml:space="preserve"> </w:t>
      </w:r>
    </w:p>
    <w:p w14:paraId="2165457A" w14:textId="45271C02" w:rsidR="00C16B55" w:rsidRDefault="00C16B55" w:rsidP="00355630">
      <w:pPr>
        <w:spacing w:after="0" w:line="276" w:lineRule="auto"/>
        <w:jc w:val="both"/>
        <w:rPr>
          <w:rFonts w:ascii="Book Antiqua" w:eastAsia="Calibri" w:hAnsi="Book Antiqua" w:cs="Arial"/>
          <w:sz w:val="24"/>
          <w:szCs w:val="24"/>
        </w:rPr>
      </w:pPr>
    </w:p>
    <w:p w14:paraId="086A4588" w14:textId="173821CA" w:rsidR="00C16B55" w:rsidRPr="004A3198" w:rsidRDefault="00C16B55"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Funciones del puesto Auxiliar de Servicios Generales</w:t>
      </w:r>
    </w:p>
    <w:p w14:paraId="5F74FDA6" w14:textId="2633BD25" w:rsidR="00C16B55" w:rsidRDefault="00C16B55" w:rsidP="00355630">
      <w:pPr>
        <w:spacing w:after="0" w:line="276" w:lineRule="auto"/>
        <w:jc w:val="both"/>
        <w:rPr>
          <w:rFonts w:ascii="Book Antiqua" w:eastAsia="Calibri" w:hAnsi="Book Antiqua" w:cs="Arial"/>
          <w:sz w:val="24"/>
          <w:szCs w:val="24"/>
        </w:rPr>
      </w:pPr>
    </w:p>
    <w:p w14:paraId="29EC073D" w14:textId="24C2F895" w:rsidR="00C16B55" w:rsidRDefault="001F64B9"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Según lo indicado </w:t>
      </w:r>
      <w:r w:rsidR="00FD14CE">
        <w:rPr>
          <w:rFonts w:ascii="Book Antiqua" w:eastAsia="Calibri" w:hAnsi="Book Antiqua" w:cs="Arial"/>
          <w:sz w:val="24"/>
          <w:szCs w:val="24"/>
        </w:rPr>
        <w:t xml:space="preserve">mediante correo electrónico del 22 de febrero de 2022 </w:t>
      </w:r>
      <w:r>
        <w:rPr>
          <w:rFonts w:ascii="Book Antiqua" w:eastAsia="Calibri" w:hAnsi="Book Antiqua" w:cs="Arial"/>
          <w:sz w:val="24"/>
          <w:szCs w:val="24"/>
        </w:rPr>
        <w:t xml:space="preserve">por la señora </w:t>
      </w:r>
      <w:r w:rsidR="00866B87">
        <w:rPr>
          <w:rFonts w:ascii="Book Antiqua" w:eastAsia="Calibri" w:hAnsi="Book Antiqua" w:cs="Arial"/>
          <w:sz w:val="24"/>
          <w:szCs w:val="24"/>
        </w:rPr>
        <w:t>Katherine Fabiola Díaz Baltodano</w:t>
      </w:r>
      <w:r>
        <w:rPr>
          <w:rFonts w:ascii="Book Antiqua" w:eastAsia="Calibri" w:hAnsi="Book Antiqua" w:cs="Arial"/>
          <w:sz w:val="24"/>
          <w:szCs w:val="24"/>
        </w:rPr>
        <w:t>, Auxiliar de Servicios Generales</w:t>
      </w:r>
      <w:r w:rsidR="008734C9">
        <w:rPr>
          <w:rFonts w:ascii="Book Antiqua" w:eastAsia="Calibri" w:hAnsi="Book Antiqua" w:cs="Arial"/>
          <w:sz w:val="24"/>
          <w:szCs w:val="24"/>
        </w:rPr>
        <w:t>, plaza compartida entre el</w:t>
      </w:r>
      <w:r w:rsidR="003A3402">
        <w:rPr>
          <w:rFonts w:ascii="Book Antiqua" w:eastAsia="Calibri" w:hAnsi="Book Antiqua" w:cs="Arial"/>
          <w:sz w:val="24"/>
          <w:szCs w:val="24"/>
        </w:rPr>
        <w:t xml:space="preserve"> </w:t>
      </w:r>
      <w:r>
        <w:rPr>
          <w:rFonts w:ascii="Book Antiqua" w:eastAsia="Calibri" w:hAnsi="Book Antiqua" w:cs="Arial"/>
          <w:sz w:val="24"/>
          <w:szCs w:val="24"/>
        </w:rPr>
        <w:t xml:space="preserve">Juzgado de Violencia Doméstica del </w:t>
      </w:r>
      <w:r w:rsidR="00426FB3">
        <w:rPr>
          <w:rFonts w:ascii="Book Antiqua" w:eastAsia="Calibri" w:hAnsi="Book Antiqua" w:cs="Arial"/>
          <w:sz w:val="24"/>
          <w:szCs w:val="24"/>
        </w:rPr>
        <w:t xml:space="preserve">Primer </w:t>
      </w:r>
      <w:r>
        <w:rPr>
          <w:rFonts w:ascii="Book Antiqua" w:eastAsia="Calibri" w:hAnsi="Book Antiqua" w:cs="Arial"/>
          <w:sz w:val="24"/>
          <w:szCs w:val="24"/>
        </w:rPr>
        <w:t>Circuito Judicial</w:t>
      </w:r>
      <w:r w:rsidR="00866B87">
        <w:rPr>
          <w:rFonts w:ascii="Book Antiqua" w:eastAsia="Calibri" w:hAnsi="Book Antiqua" w:cs="Arial"/>
          <w:sz w:val="24"/>
          <w:szCs w:val="24"/>
        </w:rPr>
        <w:t xml:space="preserve"> de San José</w:t>
      </w:r>
      <w:r w:rsidR="008734C9">
        <w:rPr>
          <w:rFonts w:ascii="Book Antiqua" w:eastAsia="Calibri" w:hAnsi="Book Antiqua" w:cs="Arial"/>
          <w:sz w:val="24"/>
          <w:szCs w:val="24"/>
        </w:rPr>
        <w:t xml:space="preserve"> y el Juzgado de Familia, Niñez y Adolescencia</w:t>
      </w:r>
      <w:r>
        <w:rPr>
          <w:rFonts w:ascii="Book Antiqua" w:eastAsia="Calibri" w:hAnsi="Book Antiqua" w:cs="Arial"/>
          <w:sz w:val="24"/>
          <w:szCs w:val="24"/>
        </w:rPr>
        <w:t>, realiza las siguientes funciones:</w:t>
      </w:r>
    </w:p>
    <w:p w14:paraId="497B83B5" w14:textId="227888CD" w:rsidR="00481292" w:rsidRDefault="00481292" w:rsidP="00355630">
      <w:pPr>
        <w:spacing w:after="0" w:line="276" w:lineRule="auto"/>
        <w:jc w:val="both"/>
        <w:rPr>
          <w:rFonts w:ascii="Book Antiqua" w:eastAsia="Calibri" w:hAnsi="Book Antiqua" w:cs="Arial"/>
          <w:sz w:val="24"/>
          <w:szCs w:val="24"/>
        </w:rPr>
      </w:pPr>
    </w:p>
    <w:p w14:paraId="22E8F1B8" w14:textId="43D6E368" w:rsidR="00481292" w:rsidRPr="000330F0" w:rsidRDefault="00481292" w:rsidP="0048129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lastRenderedPageBreak/>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37</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5D8DE154" w14:textId="30C55B34" w:rsidR="00481292" w:rsidRDefault="00481292" w:rsidP="00481292">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Funciones del puesto de Auxiliar de Servicios Generales del </w:t>
      </w:r>
    </w:p>
    <w:p w14:paraId="270A4A47" w14:textId="03028D3B" w:rsidR="00481292" w:rsidRDefault="00481292" w:rsidP="00481292">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Juzgado de Violencia Doméstica </w:t>
      </w:r>
      <w:r w:rsidR="008734C9">
        <w:rPr>
          <w:rFonts w:ascii="Book Antiqua" w:eastAsia="Calibri" w:hAnsi="Book Antiqua" w:cs="Arial"/>
          <w:b/>
          <w:bCs/>
          <w:color w:val="1F497D"/>
          <w:szCs w:val="24"/>
          <w:lang w:val="es-ES" w:eastAsia="es-ES"/>
        </w:rPr>
        <w:t>Primer</w:t>
      </w:r>
      <w:r>
        <w:rPr>
          <w:rFonts w:ascii="Book Antiqua" w:eastAsia="Calibri" w:hAnsi="Book Antiqua" w:cs="Arial"/>
          <w:b/>
          <w:bCs/>
          <w:color w:val="1F497D"/>
          <w:szCs w:val="24"/>
          <w:lang w:val="es-ES" w:eastAsia="es-ES"/>
        </w:rPr>
        <w:t xml:space="preserve"> C.J. de San José</w:t>
      </w:r>
    </w:p>
    <w:tbl>
      <w:tblPr>
        <w:tblW w:w="5000" w:type="pct"/>
        <w:tblCellMar>
          <w:left w:w="70" w:type="dxa"/>
          <w:right w:w="70" w:type="dxa"/>
        </w:tblCellMar>
        <w:tblLook w:val="04A0" w:firstRow="1" w:lastRow="0" w:firstColumn="1" w:lastColumn="0" w:noHBand="0" w:noVBand="1"/>
      </w:tblPr>
      <w:tblGrid>
        <w:gridCol w:w="8828"/>
      </w:tblGrid>
      <w:tr w:rsidR="00E60405" w:rsidRPr="008548BD" w14:paraId="1DAAA22E" w14:textId="77777777" w:rsidTr="00E60405">
        <w:trPr>
          <w:trHeight w:val="310"/>
        </w:trPr>
        <w:tc>
          <w:tcPr>
            <w:tcW w:w="5000"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AB99C36" w14:textId="1A930C1D" w:rsidR="00E60405" w:rsidRPr="001D0C10" w:rsidRDefault="00E60405" w:rsidP="00E6040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Funciones</w:t>
            </w:r>
            <w:r w:rsidR="006B47C8" w:rsidRPr="001D0C10">
              <w:rPr>
                <w:rFonts w:ascii="Book Antiqua" w:eastAsia="Times New Roman" w:hAnsi="Book Antiqua" w:cs="Calibri"/>
                <w:b/>
                <w:bCs/>
                <w:color w:val="FFFFFF"/>
                <w:lang w:eastAsia="es-CR"/>
              </w:rPr>
              <w:t xml:space="preserve"> Auxiliar Servicios Generales</w:t>
            </w:r>
          </w:p>
        </w:tc>
      </w:tr>
      <w:tr w:rsidR="00E60405" w:rsidRPr="008548BD" w14:paraId="7DA89DD8"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361C7B07"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Realizar limpieza en la oficina.</w:t>
            </w:r>
          </w:p>
        </w:tc>
      </w:tr>
      <w:tr w:rsidR="00E60405" w:rsidRPr="008548BD" w14:paraId="00ADEE8B"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48BC73A9"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Colaborar con la atención de las personas usuarias.</w:t>
            </w:r>
          </w:p>
        </w:tc>
      </w:tr>
      <w:tr w:rsidR="00E60405" w:rsidRPr="008548BD" w14:paraId="73962C4B"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2BA4FD4D"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Atención de las líneas telefónicas del juzgado.</w:t>
            </w:r>
          </w:p>
        </w:tc>
      </w:tr>
      <w:tr w:rsidR="00E60405" w:rsidRPr="008548BD" w14:paraId="7B1623D2"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632E1CDD"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Entregar correspondencia en otras oficinas.</w:t>
            </w:r>
          </w:p>
        </w:tc>
      </w:tr>
      <w:tr w:rsidR="00E60405" w:rsidRPr="008548BD" w14:paraId="2DA8E296"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1B6931D1"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Llevar expedientes a la fotocopiadora. </w:t>
            </w:r>
          </w:p>
        </w:tc>
      </w:tr>
      <w:tr w:rsidR="00E60405" w:rsidRPr="008548BD" w14:paraId="5BFA2320" w14:textId="77777777" w:rsidTr="00E60405">
        <w:trPr>
          <w:trHeight w:val="400"/>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43096F28"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Escanear documentos y expedientes.</w:t>
            </w:r>
          </w:p>
        </w:tc>
      </w:tr>
      <w:tr w:rsidR="00E60405" w:rsidRPr="008548BD" w14:paraId="13E53D7E" w14:textId="77777777" w:rsidTr="00E60405">
        <w:trPr>
          <w:trHeight w:val="330"/>
        </w:trPr>
        <w:tc>
          <w:tcPr>
            <w:tcW w:w="5000" w:type="pct"/>
            <w:tcBorders>
              <w:top w:val="nil"/>
              <w:left w:val="single" w:sz="4" w:space="0" w:color="auto"/>
              <w:bottom w:val="single" w:sz="4" w:space="0" w:color="auto"/>
              <w:right w:val="single" w:sz="4" w:space="0" w:color="auto"/>
            </w:tcBorders>
            <w:shd w:val="clear" w:color="auto" w:fill="auto"/>
            <w:noWrap/>
            <w:vAlign w:val="bottom"/>
            <w:hideMark/>
          </w:tcPr>
          <w:p w14:paraId="26227B69"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Recoger las actas de notificación en la OCJ</w:t>
            </w:r>
          </w:p>
        </w:tc>
      </w:tr>
      <w:tr w:rsidR="00E60405" w:rsidRPr="008548BD" w14:paraId="094865AC" w14:textId="77777777" w:rsidTr="001D0C10">
        <w:trPr>
          <w:trHeight w:val="370"/>
        </w:trPr>
        <w:tc>
          <w:tcPr>
            <w:tcW w:w="5000" w:type="pct"/>
            <w:tcBorders>
              <w:top w:val="nil"/>
              <w:left w:val="single" w:sz="4" w:space="0" w:color="auto"/>
              <w:bottom w:val="single" w:sz="4" w:space="0" w:color="auto"/>
              <w:right w:val="single" w:sz="4" w:space="0" w:color="auto"/>
            </w:tcBorders>
            <w:shd w:val="clear" w:color="auto" w:fill="auto"/>
            <w:vAlign w:val="center"/>
            <w:hideMark/>
          </w:tcPr>
          <w:p w14:paraId="5C74D626"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Manifestación estrados, guardar expedientes en dispositivos electrónicos.</w:t>
            </w:r>
          </w:p>
        </w:tc>
      </w:tr>
      <w:tr w:rsidR="00E60405" w:rsidRPr="008548BD" w14:paraId="43EEE388" w14:textId="77777777" w:rsidTr="001D0C10">
        <w:trPr>
          <w:trHeight w:val="392"/>
        </w:trPr>
        <w:tc>
          <w:tcPr>
            <w:tcW w:w="5000" w:type="pct"/>
            <w:tcBorders>
              <w:top w:val="nil"/>
              <w:left w:val="single" w:sz="4" w:space="0" w:color="auto"/>
              <w:bottom w:val="single" w:sz="4" w:space="0" w:color="auto"/>
              <w:right w:val="single" w:sz="4" w:space="0" w:color="auto"/>
            </w:tcBorders>
            <w:shd w:val="clear" w:color="auto" w:fill="auto"/>
            <w:vAlign w:val="center"/>
            <w:hideMark/>
          </w:tcPr>
          <w:p w14:paraId="3971203F"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Hacer constancias de entrega de certificación de expedientes.</w:t>
            </w:r>
          </w:p>
        </w:tc>
      </w:tr>
      <w:tr w:rsidR="00E60405" w:rsidRPr="008548BD" w14:paraId="78147568" w14:textId="77777777" w:rsidTr="001D0C10">
        <w:trPr>
          <w:trHeight w:val="572"/>
        </w:trPr>
        <w:tc>
          <w:tcPr>
            <w:tcW w:w="5000" w:type="pct"/>
            <w:tcBorders>
              <w:top w:val="nil"/>
              <w:left w:val="single" w:sz="4" w:space="0" w:color="auto"/>
              <w:bottom w:val="single" w:sz="4" w:space="0" w:color="auto"/>
              <w:right w:val="single" w:sz="4" w:space="0" w:color="auto"/>
            </w:tcBorders>
            <w:shd w:val="clear" w:color="auto" w:fill="auto"/>
            <w:vAlign w:val="bottom"/>
            <w:hideMark/>
          </w:tcPr>
          <w:p w14:paraId="3E9BBFA8" w14:textId="77777777" w:rsidR="00E60405" w:rsidRPr="001D0C10" w:rsidRDefault="00E60405" w:rsidP="00E60405">
            <w:pPr>
              <w:spacing w:after="0" w:line="240" w:lineRule="auto"/>
              <w:rPr>
                <w:rFonts w:ascii="Book Antiqua" w:eastAsia="Times New Roman" w:hAnsi="Book Antiqua" w:cs="Calibri"/>
                <w:color w:val="00000A"/>
                <w:lang w:eastAsia="es-CR"/>
              </w:rPr>
            </w:pPr>
            <w:r w:rsidRPr="001D0C10">
              <w:rPr>
                <w:rFonts w:ascii="Book Antiqua" w:eastAsia="Times New Roman" w:hAnsi="Book Antiqua" w:cs="Calibri"/>
                <w:color w:val="00000A"/>
                <w:lang w:eastAsia="es-CR"/>
              </w:rPr>
              <w:t>Recibir las solicitudes de Depósitos de Objetos Decomisados, solo se hace en el Juzgado de Violencia Doméstica</w:t>
            </w:r>
          </w:p>
        </w:tc>
      </w:tr>
    </w:tbl>
    <w:p w14:paraId="1967B069" w14:textId="42AA6FC9" w:rsidR="00481292" w:rsidRDefault="00481292" w:rsidP="00481292">
      <w:pPr>
        <w:spacing w:after="0" w:line="276" w:lineRule="auto"/>
        <w:jc w:val="both"/>
        <w:rPr>
          <w:rFonts w:ascii="Book Antiqua" w:eastAsia="Calibri" w:hAnsi="Book Antiqua" w:cs="Arial"/>
          <w:i/>
          <w:iCs/>
          <w:sz w:val="20"/>
          <w:szCs w:val="20"/>
        </w:rPr>
      </w:pPr>
      <w:bookmarkStart w:id="37" w:name="_Hlk96507084"/>
      <w:r w:rsidRPr="00F07A42">
        <w:rPr>
          <w:rFonts w:ascii="Book Antiqua" w:eastAsia="Calibri" w:hAnsi="Book Antiqua" w:cs="Arial"/>
          <w:i/>
          <w:iCs/>
          <w:sz w:val="20"/>
          <w:szCs w:val="20"/>
        </w:rPr>
        <w:t>Fuente: Modernización Institucional</w:t>
      </w:r>
      <w:r>
        <w:rPr>
          <w:rFonts w:ascii="Book Antiqua" w:eastAsia="Calibri" w:hAnsi="Book Antiqua" w:cs="Arial"/>
          <w:i/>
          <w:iCs/>
          <w:sz w:val="20"/>
          <w:szCs w:val="20"/>
        </w:rPr>
        <w:t xml:space="preserve"> con datos del Juzgado de Violencia Doméstica del Primer Circuito Judicial de San José</w:t>
      </w:r>
      <w:bookmarkEnd w:id="37"/>
      <w:r w:rsidR="00293FB2">
        <w:rPr>
          <w:rFonts w:ascii="Book Antiqua" w:eastAsia="Calibri" w:hAnsi="Book Antiqua" w:cs="Arial"/>
          <w:i/>
          <w:iCs/>
          <w:sz w:val="20"/>
          <w:szCs w:val="20"/>
        </w:rPr>
        <w:t>.</w:t>
      </w:r>
    </w:p>
    <w:p w14:paraId="66F37078" w14:textId="242E8FDA" w:rsidR="00481292" w:rsidRDefault="00481292" w:rsidP="00481292">
      <w:pPr>
        <w:spacing w:after="0" w:line="276" w:lineRule="auto"/>
        <w:jc w:val="both"/>
        <w:rPr>
          <w:rFonts w:ascii="Book Antiqua" w:eastAsia="Calibri" w:hAnsi="Book Antiqua" w:cs="Arial"/>
          <w:i/>
          <w:iCs/>
          <w:sz w:val="20"/>
          <w:szCs w:val="20"/>
        </w:rPr>
      </w:pPr>
    </w:p>
    <w:p w14:paraId="5135A1FB" w14:textId="371A6F3F" w:rsidR="006B47C8" w:rsidRDefault="006B47C8" w:rsidP="006B47C8">
      <w:pPr>
        <w:spacing w:after="0" w:line="276" w:lineRule="auto"/>
        <w:jc w:val="both"/>
        <w:rPr>
          <w:rFonts w:ascii="Book Antiqua" w:eastAsia="Times New Roman" w:hAnsi="Book Antiqua" w:cs="Arial"/>
          <w:color w:val="0563C1"/>
          <w:sz w:val="24"/>
          <w:u w:val="single"/>
          <w:lang w:eastAsia="es-ES"/>
        </w:rPr>
      </w:pPr>
      <w:r w:rsidRPr="00981604">
        <w:rPr>
          <w:rFonts w:ascii="Book Antiqua" w:eastAsia="Times New Roman" w:hAnsi="Book Antiqua" w:cs="Arial"/>
          <w:sz w:val="24"/>
          <w:lang w:eastAsia="es-ES"/>
        </w:rPr>
        <w:t xml:space="preserve">Las funciones del </w:t>
      </w:r>
      <w:r>
        <w:rPr>
          <w:rFonts w:ascii="Book Antiqua" w:eastAsia="Times New Roman" w:hAnsi="Book Antiqua" w:cs="Arial"/>
          <w:sz w:val="24"/>
          <w:lang w:eastAsia="es-ES"/>
        </w:rPr>
        <w:t>puesto de Auxiliar de Servicios Generales</w:t>
      </w:r>
      <w:r w:rsidRPr="00981604">
        <w:rPr>
          <w:rFonts w:ascii="Book Antiqua" w:eastAsia="Times New Roman" w:hAnsi="Book Antiqua" w:cs="Arial"/>
          <w:sz w:val="24"/>
          <w:lang w:eastAsia="es-ES"/>
        </w:rPr>
        <w:t xml:space="preserve"> se encuentran establecidas en el Perfil Competencial de la Dirección de Gestión Humana, lo cual puede ser consultado mediante la dirección electrónica </w:t>
      </w:r>
      <w:hyperlink r:id="rId66" w:history="1">
        <w:r w:rsidRPr="00981604">
          <w:rPr>
            <w:rFonts w:ascii="Book Antiqua" w:eastAsia="Times New Roman" w:hAnsi="Book Antiqua" w:cs="Arial"/>
            <w:color w:val="0563C1"/>
            <w:sz w:val="24"/>
            <w:u w:val="single"/>
            <w:lang w:eastAsia="es-ES"/>
          </w:rPr>
          <w:t>http://intranet/gestionhumana/index.php/manual-perfiles</w:t>
        </w:r>
      </w:hyperlink>
      <w:r>
        <w:rPr>
          <w:rFonts w:ascii="Book Antiqua" w:eastAsia="Times New Roman" w:hAnsi="Book Antiqua" w:cs="Arial"/>
          <w:color w:val="0563C1"/>
          <w:sz w:val="24"/>
          <w:u w:val="single"/>
          <w:lang w:eastAsia="es-ES"/>
        </w:rPr>
        <w:t>.</w:t>
      </w:r>
    </w:p>
    <w:p w14:paraId="119400EA" w14:textId="77777777" w:rsidR="006B47C8" w:rsidRDefault="006B47C8" w:rsidP="006B47C8">
      <w:pPr>
        <w:spacing w:after="0" w:line="276" w:lineRule="auto"/>
        <w:jc w:val="both"/>
        <w:rPr>
          <w:rFonts w:ascii="Book Antiqua" w:eastAsia="Times New Roman" w:hAnsi="Book Antiqua" w:cs="Arial"/>
          <w:color w:val="0563C1"/>
          <w:sz w:val="24"/>
          <w:u w:val="single"/>
          <w:lang w:eastAsia="es-ES"/>
        </w:rPr>
      </w:pPr>
    </w:p>
    <w:p w14:paraId="16E4D899" w14:textId="0D184A41" w:rsidR="008734C9" w:rsidRDefault="00981604" w:rsidP="008734C9">
      <w:pPr>
        <w:jc w:val="both"/>
        <w:rPr>
          <w:rFonts w:ascii="Book Antiqua" w:eastAsia="Calibri" w:hAnsi="Book Antiqua" w:cs="Arial"/>
          <w:sz w:val="24"/>
          <w:szCs w:val="24"/>
        </w:rPr>
      </w:pPr>
      <w:r>
        <w:rPr>
          <w:rFonts w:ascii="Book Antiqua" w:eastAsia="Times New Roman" w:hAnsi="Book Antiqua" w:cs="Arial"/>
          <w:sz w:val="24"/>
          <w:szCs w:val="24"/>
          <w:lang w:eastAsia="es-ES"/>
        </w:rPr>
        <w:t xml:space="preserve">De la revisión de las funciones que realiza la persona que ocupa la plaza de Auxiliar de Servicios Generales, se verifica que están de acuerdo con las tareas de los manuales de puestos normados por la </w:t>
      </w:r>
      <w:r w:rsidRPr="003433DE">
        <w:rPr>
          <w:rFonts w:ascii="Book Antiqua" w:eastAsia="Times New Roman" w:hAnsi="Book Antiqua" w:cs="Arial"/>
          <w:sz w:val="24"/>
          <w:lang w:eastAsia="es-ES"/>
        </w:rPr>
        <w:t>Dirección de Gestión Humana</w:t>
      </w:r>
      <w:r>
        <w:rPr>
          <w:rFonts w:ascii="Book Antiqua" w:eastAsia="Times New Roman" w:hAnsi="Book Antiqua" w:cs="Arial"/>
          <w:sz w:val="24"/>
          <w:lang w:eastAsia="es-ES"/>
        </w:rPr>
        <w:t xml:space="preserve"> del Poder Judicial y se encuentran acordes a la estructura de trabajo del Juzgado</w:t>
      </w:r>
      <w:r w:rsidR="009068DE">
        <w:rPr>
          <w:rFonts w:ascii="Book Antiqua" w:eastAsia="Times New Roman" w:hAnsi="Book Antiqua" w:cs="Arial"/>
          <w:sz w:val="24"/>
          <w:lang w:eastAsia="es-ES"/>
        </w:rPr>
        <w:t>.</w:t>
      </w:r>
      <w:r w:rsidR="008734C9">
        <w:rPr>
          <w:rFonts w:ascii="Book Antiqua" w:eastAsia="Times New Roman" w:hAnsi="Book Antiqua" w:cs="Arial"/>
          <w:sz w:val="24"/>
          <w:lang w:eastAsia="es-ES"/>
        </w:rPr>
        <w:t xml:space="preserve"> Sin embargo, al consultar a la Administración Regional</w:t>
      </w:r>
      <w:r w:rsidR="008734C9">
        <w:rPr>
          <w:rFonts w:ascii="Book Antiqua" w:eastAsia="Calibri" w:hAnsi="Book Antiqua" w:cs="Arial"/>
          <w:sz w:val="24"/>
          <w:szCs w:val="24"/>
        </w:rPr>
        <w:t xml:space="preserve">, según consulta realizada mediante correo electrónico del 22 de febrero 2021, el MSc. Iván Granados Barquero, Coordinador de Unidad 3 del Primer y Tercer Circuito Judicial de San José, el Juzgado </w:t>
      </w:r>
      <w:r w:rsidR="009C4124">
        <w:rPr>
          <w:rFonts w:ascii="Book Antiqua" w:eastAsia="Calibri" w:hAnsi="Book Antiqua" w:cs="Arial"/>
          <w:sz w:val="24"/>
          <w:szCs w:val="24"/>
        </w:rPr>
        <w:t>Contra la</w:t>
      </w:r>
      <w:r w:rsidR="008734C9">
        <w:rPr>
          <w:rFonts w:ascii="Book Antiqua" w:eastAsia="Calibri" w:hAnsi="Book Antiqua" w:cs="Arial"/>
          <w:sz w:val="24"/>
          <w:szCs w:val="24"/>
        </w:rPr>
        <w:t xml:space="preserve"> Violencia Doméstica</w:t>
      </w:r>
      <w:r w:rsidR="009C4124">
        <w:rPr>
          <w:rFonts w:ascii="Book Antiqua" w:eastAsia="Calibri" w:hAnsi="Book Antiqua" w:cs="Arial"/>
          <w:sz w:val="24"/>
          <w:szCs w:val="24"/>
        </w:rPr>
        <w:t xml:space="preserve"> tiene contratado servicio de limpieza privado 3 </w:t>
      </w:r>
      <w:r w:rsidR="003C4844">
        <w:rPr>
          <w:rFonts w:ascii="Book Antiqua" w:eastAsia="Calibri" w:hAnsi="Book Antiqua" w:cs="Arial"/>
          <w:sz w:val="24"/>
          <w:szCs w:val="24"/>
        </w:rPr>
        <w:t>días</w:t>
      </w:r>
      <w:r w:rsidR="009C4124">
        <w:rPr>
          <w:rFonts w:ascii="Book Antiqua" w:eastAsia="Calibri" w:hAnsi="Book Antiqua" w:cs="Arial"/>
          <w:sz w:val="24"/>
          <w:szCs w:val="24"/>
        </w:rPr>
        <w:t xml:space="preserve"> a la semana e </w:t>
      </w:r>
      <w:r w:rsidR="008734C9">
        <w:rPr>
          <w:rFonts w:ascii="Book Antiqua" w:eastAsia="Calibri" w:hAnsi="Book Antiqua" w:cs="Arial"/>
          <w:sz w:val="24"/>
          <w:szCs w:val="24"/>
        </w:rPr>
        <w:t>indica lo siguiente:</w:t>
      </w:r>
    </w:p>
    <w:p w14:paraId="64563215" w14:textId="77777777" w:rsidR="008734C9" w:rsidRPr="00D1709C" w:rsidRDefault="008734C9" w:rsidP="001D0C10">
      <w:pPr>
        <w:ind w:left="567" w:right="616"/>
        <w:jc w:val="both"/>
        <w:rPr>
          <w:rFonts w:ascii="Book Antiqua" w:eastAsia="Calibri" w:hAnsi="Book Antiqua" w:cs="Arial"/>
          <w:i/>
          <w:iCs/>
          <w:sz w:val="24"/>
          <w:szCs w:val="24"/>
        </w:rPr>
      </w:pPr>
      <w:r>
        <w:rPr>
          <w:rFonts w:ascii="Book Antiqua" w:eastAsia="Calibri" w:hAnsi="Book Antiqua" w:cs="Arial"/>
          <w:sz w:val="24"/>
          <w:szCs w:val="24"/>
        </w:rPr>
        <w:t xml:space="preserve">(…) </w:t>
      </w:r>
      <w:r w:rsidRPr="00D1709C">
        <w:rPr>
          <w:rFonts w:ascii="Book Antiqua" w:eastAsia="Calibri" w:hAnsi="Book Antiqua" w:cs="Arial"/>
          <w:i/>
          <w:iCs/>
          <w:sz w:val="24"/>
          <w:szCs w:val="24"/>
        </w:rPr>
        <w:t>el Consejo Superior aprobó contratar el servicio de limpieza para el Juzgado de Violencia Doméstica de San José para la primera audiencia de los días lunes, miércoles y viernes de cada semana.</w:t>
      </w:r>
      <w:r>
        <w:rPr>
          <w:rFonts w:ascii="Book Antiqua" w:eastAsia="Calibri" w:hAnsi="Book Antiqua" w:cs="Arial"/>
          <w:i/>
          <w:iCs/>
          <w:sz w:val="24"/>
          <w:szCs w:val="24"/>
        </w:rPr>
        <w:t xml:space="preserve">  </w:t>
      </w:r>
    </w:p>
    <w:p w14:paraId="3C6BBBE3" w14:textId="657E1293" w:rsidR="009068DE" w:rsidRDefault="009068DE" w:rsidP="009068DE">
      <w:pPr>
        <w:spacing w:after="0" w:line="276" w:lineRule="auto"/>
        <w:jc w:val="both"/>
        <w:rPr>
          <w:rFonts w:ascii="Book Antiqua" w:eastAsia="Times New Roman" w:hAnsi="Book Antiqua" w:cs="Arial"/>
          <w:sz w:val="24"/>
          <w:lang w:eastAsia="es-ES"/>
        </w:rPr>
      </w:pPr>
    </w:p>
    <w:p w14:paraId="2E47FA05" w14:textId="08A3B596" w:rsidR="00604280" w:rsidRPr="004A3198" w:rsidRDefault="00604280" w:rsidP="004A3198">
      <w:pPr>
        <w:spacing w:after="0" w:line="276" w:lineRule="auto"/>
        <w:jc w:val="both"/>
        <w:rPr>
          <w:rFonts w:ascii="Book Antiqua" w:eastAsia="Calibri" w:hAnsi="Book Antiqua" w:cs="Arial"/>
          <w:b/>
          <w:bCs/>
          <w:sz w:val="24"/>
          <w:szCs w:val="24"/>
        </w:rPr>
      </w:pPr>
      <w:bookmarkStart w:id="38" w:name="_Hlk97362526"/>
      <w:r w:rsidRPr="004A3198">
        <w:rPr>
          <w:rFonts w:ascii="Book Antiqua" w:eastAsia="Calibri" w:hAnsi="Book Antiqua" w:cs="Arial"/>
          <w:b/>
          <w:bCs/>
          <w:sz w:val="24"/>
          <w:szCs w:val="24"/>
        </w:rPr>
        <w:t>Carga de Trabajo</w:t>
      </w:r>
    </w:p>
    <w:bookmarkEnd w:id="38"/>
    <w:p w14:paraId="7BB56F09" w14:textId="77777777" w:rsidR="008F717E" w:rsidRDefault="008F717E" w:rsidP="00355630">
      <w:pPr>
        <w:spacing w:after="0" w:line="276" w:lineRule="auto"/>
        <w:jc w:val="both"/>
        <w:rPr>
          <w:rFonts w:ascii="Book Antiqua" w:eastAsia="Calibri" w:hAnsi="Book Antiqua" w:cs="Arial"/>
          <w:sz w:val="24"/>
          <w:szCs w:val="24"/>
        </w:rPr>
      </w:pPr>
    </w:p>
    <w:p w14:paraId="25EAED00" w14:textId="37DB8621" w:rsidR="005729B8" w:rsidRDefault="005729B8"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se puede observar en el siguiente cuadro, </w:t>
      </w:r>
      <w:r w:rsidR="0049073E">
        <w:rPr>
          <w:rFonts w:ascii="Book Antiqua" w:eastAsia="Calibri" w:hAnsi="Book Antiqua" w:cs="Arial"/>
          <w:sz w:val="24"/>
          <w:szCs w:val="24"/>
        </w:rPr>
        <w:t xml:space="preserve">para el periodo 2021 </w:t>
      </w:r>
      <w:r>
        <w:rPr>
          <w:rFonts w:ascii="Book Antiqua" w:eastAsia="Calibri" w:hAnsi="Book Antiqua" w:cs="Arial"/>
          <w:sz w:val="24"/>
          <w:szCs w:val="24"/>
        </w:rPr>
        <w:t xml:space="preserve">la carga de trabajo </w:t>
      </w:r>
      <w:r w:rsidR="0063490E">
        <w:rPr>
          <w:rFonts w:ascii="Book Antiqua" w:eastAsia="Calibri" w:hAnsi="Book Antiqua" w:cs="Arial"/>
          <w:sz w:val="24"/>
          <w:szCs w:val="24"/>
        </w:rPr>
        <w:t xml:space="preserve">en el Juzgado de Familia, de Niñez y Adolescencia </w:t>
      </w:r>
      <w:r>
        <w:rPr>
          <w:rFonts w:ascii="Book Antiqua" w:eastAsia="Calibri" w:hAnsi="Book Antiqua" w:cs="Arial"/>
          <w:sz w:val="24"/>
          <w:szCs w:val="24"/>
        </w:rPr>
        <w:t xml:space="preserve">por persona juzgadora es </w:t>
      </w:r>
      <w:r w:rsidR="0049073E">
        <w:rPr>
          <w:rFonts w:ascii="Book Antiqua" w:eastAsia="Calibri" w:hAnsi="Book Antiqua" w:cs="Arial"/>
          <w:sz w:val="24"/>
          <w:szCs w:val="24"/>
        </w:rPr>
        <w:t xml:space="preserve">de 50 asuntos para el personal juzgador y 25 para las personas técnicas judiciales, </w:t>
      </w:r>
      <w:r w:rsidR="009068DE">
        <w:rPr>
          <w:rFonts w:ascii="Book Antiqua" w:eastAsia="Calibri" w:hAnsi="Book Antiqua" w:cs="Arial"/>
          <w:sz w:val="24"/>
          <w:szCs w:val="24"/>
        </w:rPr>
        <w:t xml:space="preserve">mientras que </w:t>
      </w:r>
      <w:r w:rsidR="0049073E">
        <w:rPr>
          <w:rFonts w:ascii="Book Antiqua" w:eastAsia="Calibri" w:hAnsi="Book Antiqua" w:cs="Arial"/>
          <w:sz w:val="24"/>
          <w:szCs w:val="24"/>
        </w:rPr>
        <w:t xml:space="preserve">en el Juzgado de Violencia Doméstica del </w:t>
      </w:r>
      <w:r w:rsidR="00426FB3">
        <w:rPr>
          <w:rFonts w:ascii="Book Antiqua" w:eastAsia="Calibri" w:hAnsi="Book Antiqua" w:cs="Arial"/>
          <w:sz w:val="24"/>
          <w:szCs w:val="24"/>
        </w:rPr>
        <w:t>Primer</w:t>
      </w:r>
      <w:r w:rsidR="0049073E">
        <w:rPr>
          <w:rFonts w:ascii="Book Antiqua" w:eastAsia="Calibri" w:hAnsi="Book Antiqua" w:cs="Arial"/>
          <w:sz w:val="24"/>
          <w:szCs w:val="24"/>
        </w:rPr>
        <w:t xml:space="preserve"> Circuito Judicial de San José, se tiene una carga de </w:t>
      </w:r>
      <w:r w:rsidR="00AF3605">
        <w:rPr>
          <w:rFonts w:ascii="Book Antiqua" w:eastAsia="Calibri" w:hAnsi="Book Antiqua" w:cs="Arial"/>
          <w:sz w:val="24"/>
          <w:szCs w:val="24"/>
        </w:rPr>
        <w:t>52</w:t>
      </w:r>
      <w:r w:rsidR="0049073E">
        <w:rPr>
          <w:rFonts w:ascii="Book Antiqua" w:eastAsia="Calibri" w:hAnsi="Book Antiqua" w:cs="Arial"/>
          <w:sz w:val="24"/>
          <w:szCs w:val="24"/>
        </w:rPr>
        <w:t xml:space="preserve"> </w:t>
      </w:r>
      <w:r w:rsidR="009068DE">
        <w:rPr>
          <w:rFonts w:ascii="Book Antiqua" w:eastAsia="Calibri" w:hAnsi="Book Antiqua" w:cs="Arial"/>
          <w:sz w:val="24"/>
          <w:szCs w:val="24"/>
        </w:rPr>
        <w:t xml:space="preserve">asuntos </w:t>
      </w:r>
      <w:r w:rsidR="0049073E">
        <w:rPr>
          <w:rFonts w:ascii="Book Antiqua" w:eastAsia="Calibri" w:hAnsi="Book Antiqua" w:cs="Arial"/>
          <w:sz w:val="24"/>
          <w:szCs w:val="24"/>
        </w:rPr>
        <w:t xml:space="preserve">para los Jueces o Juezas y de </w:t>
      </w:r>
      <w:r w:rsidR="00AF3605">
        <w:rPr>
          <w:rFonts w:ascii="Book Antiqua" w:eastAsia="Calibri" w:hAnsi="Book Antiqua" w:cs="Arial"/>
          <w:sz w:val="24"/>
          <w:szCs w:val="24"/>
        </w:rPr>
        <w:t>34</w:t>
      </w:r>
      <w:r w:rsidR="0049073E">
        <w:rPr>
          <w:rFonts w:ascii="Book Antiqua" w:eastAsia="Calibri" w:hAnsi="Book Antiqua" w:cs="Arial"/>
          <w:sz w:val="24"/>
          <w:szCs w:val="24"/>
        </w:rPr>
        <w:t xml:space="preserve"> para las Técnicas o Técnicos Judiciales</w:t>
      </w:r>
      <w:r w:rsidR="00426FB3">
        <w:rPr>
          <w:rFonts w:ascii="Book Antiqua" w:eastAsia="Calibri" w:hAnsi="Book Antiqua" w:cs="Arial"/>
          <w:sz w:val="24"/>
          <w:szCs w:val="24"/>
        </w:rPr>
        <w:t>. E</w:t>
      </w:r>
      <w:r w:rsidR="0049073E">
        <w:rPr>
          <w:rFonts w:ascii="Book Antiqua" w:eastAsia="Calibri" w:hAnsi="Book Antiqua" w:cs="Arial"/>
          <w:sz w:val="24"/>
          <w:szCs w:val="24"/>
        </w:rPr>
        <w:t>s importante indicar que en el caso del Juzgado de Familia, de Niñez y Adolescencia, se consideran solamente 4</w:t>
      </w:r>
      <w:r w:rsidR="00E85731">
        <w:rPr>
          <w:rFonts w:ascii="Book Antiqua" w:eastAsia="Calibri" w:hAnsi="Book Antiqua" w:cs="Arial"/>
          <w:sz w:val="24"/>
          <w:szCs w:val="24"/>
        </w:rPr>
        <w:t xml:space="preserve"> </w:t>
      </w:r>
      <w:r w:rsidR="0049073E">
        <w:rPr>
          <w:rFonts w:ascii="Book Antiqua" w:eastAsia="Calibri" w:hAnsi="Book Antiqua" w:cs="Arial"/>
          <w:sz w:val="24"/>
          <w:szCs w:val="24"/>
        </w:rPr>
        <w:t>personas técnicas judiciales de trámite</w:t>
      </w:r>
      <w:r w:rsidR="009068DE">
        <w:rPr>
          <w:rFonts w:ascii="Book Antiqua" w:eastAsia="Calibri" w:hAnsi="Book Antiqua" w:cs="Arial"/>
          <w:sz w:val="24"/>
          <w:szCs w:val="24"/>
        </w:rPr>
        <w:t xml:space="preserve">, debido a que uno de los puestos está dedicado </w:t>
      </w:r>
      <w:r w:rsidR="00FD14CE">
        <w:rPr>
          <w:rFonts w:ascii="Book Antiqua" w:eastAsia="Calibri" w:hAnsi="Book Antiqua" w:cs="Arial"/>
          <w:sz w:val="24"/>
          <w:szCs w:val="24"/>
        </w:rPr>
        <w:t xml:space="preserve">100% </w:t>
      </w:r>
      <w:r w:rsidR="009068DE">
        <w:rPr>
          <w:rFonts w:ascii="Book Antiqua" w:eastAsia="Calibri" w:hAnsi="Book Antiqua" w:cs="Arial"/>
          <w:sz w:val="24"/>
          <w:szCs w:val="24"/>
        </w:rPr>
        <w:t xml:space="preserve">a la </w:t>
      </w:r>
      <w:r w:rsidR="00FD14CE">
        <w:rPr>
          <w:rFonts w:ascii="Book Antiqua" w:eastAsia="Calibri" w:hAnsi="Book Antiqua" w:cs="Arial"/>
          <w:sz w:val="24"/>
          <w:szCs w:val="24"/>
        </w:rPr>
        <w:t>atención de las personas usuarias</w:t>
      </w:r>
      <w:r w:rsidR="0068165B">
        <w:rPr>
          <w:rFonts w:ascii="Book Antiqua" w:eastAsia="Calibri" w:hAnsi="Book Antiqua" w:cs="Arial"/>
          <w:sz w:val="24"/>
          <w:szCs w:val="24"/>
        </w:rPr>
        <w:t xml:space="preserve">, además de realizar tareas </w:t>
      </w:r>
      <w:r w:rsidR="0068165B" w:rsidRPr="0068165B">
        <w:rPr>
          <w:rFonts w:ascii="Book Antiqua" w:eastAsia="Calibri" w:hAnsi="Book Antiqua" w:cs="Arial"/>
          <w:sz w:val="24"/>
          <w:szCs w:val="24"/>
        </w:rPr>
        <w:t xml:space="preserve">administrativas </w:t>
      </w:r>
      <w:r w:rsidR="0068165B">
        <w:rPr>
          <w:rFonts w:ascii="Book Antiqua" w:eastAsia="Calibri" w:hAnsi="Book Antiqua" w:cs="Arial"/>
          <w:sz w:val="24"/>
          <w:szCs w:val="24"/>
        </w:rPr>
        <w:t xml:space="preserve">que contribuyen para que las </w:t>
      </w:r>
      <w:r w:rsidR="0068165B" w:rsidRPr="0068165B">
        <w:rPr>
          <w:rFonts w:ascii="Book Antiqua" w:eastAsia="Calibri" w:hAnsi="Book Antiqua" w:cs="Arial"/>
          <w:sz w:val="24"/>
          <w:szCs w:val="24"/>
        </w:rPr>
        <w:t xml:space="preserve">personas </w:t>
      </w:r>
      <w:r w:rsidR="0068165B">
        <w:rPr>
          <w:rFonts w:ascii="Book Antiqua" w:eastAsia="Calibri" w:hAnsi="Book Antiqua" w:cs="Arial"/>
          <w:sz w:val="24"/>
          <w:szCs w:val="24"/>
        </w:rPr>
        <w:t>t</w:t>
      </w:r>
      <w:r w:rsidR="0068165B" w:rsidRPr="0068165B">
        <w:rPr>
          <w:rFonts w:ascii="Book Antiqua" w:eastAsia="Calibri" w:hAnsi="Book Antiqua" w:cs="Arial"/>
          <w:sz w:val="24"/>
          <w:szCs w:val="24"/>
        </w:rPr>
        <w:t xml:space="preserve">écnicas </w:t>
      </w:r>
      <w:r w:rsidR="0068165B">
        <w:rPr>
          <w:rFonts w:ascii="Book Antiqua" w:eastAsia="Calibri" w:hAnsi="Book Antiqua" w:cs="Arial"/>
          <w:sz w:val="24"/>
          <w:szCs w:val="24"/>
        </w:rPr>
        <w:t>j</w:t>
      </w:r>
      <w:r w:rsidR="0068165B" w:rsidRPr="0068165B">
        <w:rPr>
          <w:rFonts w:ascii="Book Antiqua" w:eastAsia="Calibri" w:hAnsi="Book Antiqua" w:cs="Arial"/>
          <w:sz w:val="24"/>
          <w:szCs w:val="24"/>
        </w:rPr>
        <w:t>udicial</w:t>
      </w:r>
      <w:r w:rsidR="0068165B">
        <w:rPr>
          <w:rFonts w:ascii="Book Antiqua" w:eastAsia="Calibri" w:hAnsi="Book Antiqua" w:cs="Arial"/>
          <w:sz w:val="24"/>
          <w:szCs w:val="24"/>
        </w:rPr>
        <w:t xml:space="preserve">es encargadas del trámite de expedientes </w:t>
      </w:r>
      <w:r w:rsidR="0068165B" w:rsidRPr="0068165B">
        <w:rPr>
          <w:rFonts w:ascii="Book Antiqua" w:eastAsia="Calibri" w:hAnsi="Book Antiqua" w:cs="Arial"/>
          <w:sz w:val="24"/>
          <w:szCs w:val="24"/>
        </w:rPr>
        <w:t>maximi</w:t>
      </w:r>
      <w:r w:rsidR="0068165B">
        <w:rPr>
          <w:rFonts w:ascii="Book Antiqua" w:eastAsia="Calibri" w:hAnsi="Book Antiqua" w:cs="Arial"/>
          <w:sz w:val="24"/>
          <w:szCs w:val="24"/>
        </w:rPr>
        <w:t>cen su labor en los proyectos de resolución.</w:t>
      </w:r>
    </w:p>
    <w:p w14:paraId="1C71E01C" w14:textId="126B03A8" w:rsidR="003C4844" w:rsidRDefault="003C4844"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Además como parte del Proyecto de Implementación del Código Procesal de Familia, a partir de febrero 2022 se indicó con el análisis de los despachos especializados contra la Violencia Doméstica, incluido el despacho del Primer Circuito.  Conforme a la metodología explicada a la Comisión de Familia, Niñez y Adolescencia así como a la Comisión Permanente para el Seguimiento de la Atención y Prevención de la Violencia Intrafamiliar, se inició con un taller con las personas juzgadoras tanto de despachos especializados, mixtos, PISAV, los días 21, 22 de febrero y 1 de marzo de 2022 en donde se identificaron en un trabajo de retroalimentación, una serie de oportunidades de mejora en la materia, actualmente están en el proceso de completar “</w:t>
      </w:r>
      <w:r w:rsidRPr="001D0C10">
        <w:rPr>
          <w:rFonts w:ascii="Book Antiqua" w:eastAsia="Calibri" w:hAnsi="Book Antiqua" w:cs="Arial"/>
          <w:i/>
          <w:iCs/>
          <w:sz w:val="24"/>
          <w:szCs w:val="24"/>
        </w:rPr>
        <w:t>plantillas</w:t>
      </w:r>
      <w:r>
        <w:rPr>
          <w:rFonts w:ascii="Book Antiqua" w:eastAsia="Calibri" w:hAnsi="Book Antiqua" w:cs="Arial"/>
          <w:sz w:val="24"/>
          <w:szCs w:val="24"/>
        </w:rPr>
        <w:t>” de suministr</w:t>
      </w:r>
      <w:r w:rsidR="00F1738E">
        <w:rPr>
          <w:rFonts w:ascii="Book Antiqua" w:eastAsia="Calibri" w:hAnsi="Book Antiqua" w:cs="Arial"/>
          <w:sz w:val="24"/>
          <w:szCs w:val="24"/>
        </w:rPr>
        <w:t>o</w:t>
      </w:r>
      <w:r>
        <w:rPr>
          <w:rFonts w:ascii="Book Antiqua" w:eastAsia="Calibri" w:hAnsi="Book Antiqua" w:cs="Arial"/>
          <w:sz w:val="24"/>
          <w:szCs w:val="24"/>
        </w:rPr>
        <w:t xml:space="preserve"> de información que finalmente tendrán como resultado la definición de una </w:t>
      </w:r>
      <w:r w:rsidRPr="001D0C10">
        <w:rPr>
          <w:rFonts w:ascii="Book Antiqua" w:eastAsia="Calibri" w:hAnsi="Book Antiqua" w:cs="Arial"/>
          <w:i/>
          <w:iCs/>
          <w:sz w:val="24"/>
          <w:szCs w:val="24"/>
        </w:rPr>
        <w:t>“oficina modelo”</w:t>
      </w:r>
      <w:r>
        <w:rPr>
          <w:rFonts w:ascii="Book Antiqua" w:eastAsia="Calibri" w:hAnsi="Book Antiqua" w:cs="Arial"/>
          <w:sz w:val="24"/>
          <w:szCs w:val="24"/>
        </w:rPr>
        <w:t xml:space="preserve"> de Juzgado Contra la Violencia Doméstica que se espera </w:t>
      </w:r>
      <w:r w:rsidR="00FC709A">
        <w:rPr>
          <w:rFonts w:ascii="Book Antiqua" w:eastAsia="Calibri" w:hAnsi="Book Antiqua" w:cs="Arial"/>
          <w:sz w:val="24"/>
          <w:szCs w:val="24"/>
        </w:rPr>
        <w:t>replicar</w:t>
      </w:r>
      <w:r>
        <w:rPr>
          <w:rFonts w:ascii="Book Antiqua" w:eastAsia="Calibri" w:hAnsi="Book Antiqua" w:cs="Arial"/>
          <w:sz w:val="24"/>
          <w:szCs w:val="24"/>
        </w:rPr>
        <w:t xml:space="preserve"> en los Juzgados Especializados a partir de abril 2022; y adaptar en lo posible los despachos mixtos. </w:t>
      </w:r>
    </w:p>
    <w:p w14:paraId="54BFF670" w14:textId="77777777" w:rsidR="00033F56" w:rsidRDefault="00033F56" w:rsidP="00355630">
      <w:pPr>
        <w:spacing w:after="0" w:line="276" w:lineRule="auto"/>
        <w:jc w:val="both"/>
        <w:rPr>
          <w:rFonts w:ascii="Book Antiqua" w:eastAsia="Calibri" w:hAnsi="Book Antiqua" w:cs="Arial"/>
          <w:sz w:val="24"/>
          <w:szCs w:val="24"/>
        </w:rPr>
      </w:pPr>
    </w:p>
    <w:p w14:paraId="72A24DCC" w14:textId="0EC42904" w:rsidR="000C356C" w:rsidRPr="001D0C10" w:rsidRDefault="003C4844" w:rsidP="000C356C">
      <w:pPr>
        <w:spacing w:after="0" w:line="276" w:lineRule="auto"/>
        <w:jc w:val="both"/>
        <w:rPr>
          <w:rFonts w:ascii="Book Antiqua" w:eastAsia="Calibri" w:hAnsi="Book Antiqua" w:cs="Arial"/>
          <w:b/>
          <w:bCs/>
          <w:sz w:val="24"/>
          <w:szCs w:val="24"/>
          <w:u w:val="single"/>
        </w:rPr>
      </w:pPr>
      <w:r w:rsidRPr="001D0C10">
        <w:rPr>
          <w:rFonts w:ascii="Book Antiqua" w:eastAsia="Calibri" w:hAnsi="Book Antiqua" w:cs="Arial"/>
          <w:b/>
          <w:bCs/>
          <w:sz w:val="24"/>
          <w:szCs w:val="24"/>
          <w:u w:val="single"/>
        </w:rPr>
        <w:t xml:space="preserve">Actualmente, la carga de estas </w:t>
      </w:r>
      <w:r w:rsidR="00867FF1" w:rsidRPr="001D0C10">
        <w:rPr>
          <w:rFonts w:ascii="Book Antiqua" w:eastAsia="Calibri" w:hAnsi="Book Antiqua" w:cs="Arial"/>
          <w:b/>
          <w:bCs/>
          <w:sz w:val="24"/>
          <w:szCs w:val="24"/>
          <w:u w:val="single"/>
        </w:rPr>
        <w:t>oficinas</w:t>
      </w:r>
      <w:r w:rsidRPr="001D0C10">
        <w:rPr>
          <w:rFonts w:ascii="Book Antiqua" w:eastAsia="Calibri" w:hAnsi="Book Antiqua" w:cs="Arial"/>
          <w:b/>
          <w:bCs/>
          <w:sz w:val="24"/>
          <w:szCs w:val="24"/>
          <w:u w:val="single"/>
        </w:rPr>
        <w:t xml:space="preserve"> se presenta en el siguiente cuadro. Sin embargo, dentro del abordaje que se realizará</w:t>
      </w:r>
      <w:r w:rsidR="00033F56">
        <w:rPr>
          <w:rFonts w:ascii="Book Antiqua" w:eastAsia="Calibri" w:hAnsi="Book Antiqua" w:cs="Arial"/>
          <w:b/>
          <w:bCs/>
          <w:sz w:val="24"/>
          <w:szCs w:val="24"/>
          <w:u w:val="single"/>
        </w:rPr>
        <w:t xml:space="preserve"> en los meses siguiente</w:t>
      </w:r>
      <w:r w:rsidR="00BE69B5">
        <w:rPr>
          <w:rFonts w:ascii="Book Antiqua" w:eastAsia="Calibri" w:hAnsi="Book Antiqua" w:cs="Arial"/>
          <w:b/>
          <w:bCs/>
          <w:sz w:val="24"/>
          <w:szCs w:val="24"/>
          <w:u w:val="single"/>
        </w:rPr>
        <w:t>s</w:t>
      </w:r>
      <w:r w:rsidRPr="001D0C10">
        <w:rPr>
          <w:rFonts w:ascii="Book Antiqua" w:eastAsia="Calibri" w:hAnsi="Book Antiqua" w:cs="Arial"/>
          <w:b/>
          <w:bCs/>
          <w:sz w:val="24"/>
          <w:szCs w:val="24"/>
          <w:u w:val="single"/>
        </w:rPr>
        <w:t>, se contemplará como uno de los objetivos de esta Dirección analizar la factibilidad de asignación definitiva de la plaza ahora “</w:t>
      </w:r>
      <w:r w:rsidRPr="001D0C10">
        <w:rPr>
          <w:rFonts w:ascii="Book Antiqua" w:eastAsia="Calibri" w:hAnsi="Book Antiqua" w:cs="Arial"/>
          <w:b/>
          <w:bCs/>
          <w:i/>
          <w:iCs/>
          <w:sz w:val="24"/>
          <w:szCs w:val="24"/>
          <w:u w:val="single"/>
        </w:rPr>
        <w:t>compartida</w:t>
      </w:r>
      <w:r w:rsidRPr="001D0C10">
        <w:rPr>
          <w:rFonts w:ascii="Book Antiqua" w:eastAsia="Calibri" w:hAnsi="Book Antiqua" w:cs="Arial"/>
          <w:b/>
          <w:bCs/>
          <w:sz w:val="24"/>
          <w:szCs w:val="24"/>
          <w:u w:val="single"/>
        </w:rPr>
        <w:t xml:space="preserve">” de Auxiliar de Servicios Generales.  </w:t>
      </w:r>
    </w:p>
    <w:p w14:paraId="108B781E" w14:textId="25DEEF17" w:rsidR="008E07FA" w:rsidRPr="000330F0" w:rsidRDefault="008E07FA" w:rsidP="000C356C">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39" w:name="_Hlk96509105"/>
      <w:r w:rsidRPr="000330F0">
        <w:rPr>
          <w:rFonts w:ascii="Book Antiqua" w:eastAsia="Calibri" w:hAnsi="Book Antiqua" w:cs="Arial"/>
          <w:b/>
          <w:bCs/>
          <w:color w:val="1F497D"/>
          <w:szCs w:val="24"/>
          <w:lang w:val="es-ES" w:eastAsia="es-ES"/>
        </w:rPr>
        <w:lastRenderedPageBreak/>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38</w:t>
      </w:r>
      <w:r w:rsidRPr="000330F0">
        <w:rPr>
          <w:rFonts w:ascii="Book Antiqua" w:eastAsia="Calibri" w:hAnsi="Book Antiqua" w:cs="Arial"/>
          <w:b/>
          <w:bCs/>
          <w:color w:val="1F497D"/>
          <w:szCs w:val="24"/>
          <w:lang w:val="es-ES" w:eastAsia="es-ES"/>
        </w:rPr>
        <w:fldChar w:fldCharType="end"/>
      </w:r>
    </w:p>
    <w:p w14:paraId="518BD444" w14:textId="7891687F" w:rsidR="008E07FA" w:rsidRDefault="008E07FA" w:rsidP="008E07FA">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Carga de Trabajo de los </w:t>
      </w:r>
      <w:r w:rsidRPr="000330F0">
        <w:rPr>
          <w:rFonts w:ascii="Book Antiqua" w:eastAsia="Calibri" w:hAnsi="Book Antiqua" w:cs="Arial"/>
          <w:b/>
          <w:bCs/>
          <w:color w:val="1F497D"/>
          <w:szCs w:val="24"/>
          <w:lang w:val="es-ES" w:eastAsia="es-ES"/>
        </w:rPr>
        <w:t>Juzgado</w:t>
      </w:r>
      <w:r>
        <w:rPr>
          <w:rFonts w:ascii="Book Antiqua" w:eastAsia="Calibri" w:hAnsi="Book Antiqua" w:cs="Arial"/>
          <w:b/>
          <w:bCs/>
          <w:color w:val="1F497D"/>
          <w:szCs w:val="24"/>
          <w:lang w:val="es-ES" w:eastAsia="es-ES"/>
        </w:rPr>
        <w:t>s</w:t>
      </w:r>
      <w:r w:rsidRPr="000330F0">
        <w:rPr>
          <w:rFonts w:ascii="Book Antiqua" w:eastAsia="Calibri" w:hAnsi="Book Antiqua" w:cs="Arial"/>
          <w:b/>
          <w:bCs/>
          <w:color w:val="1F497D"/>
          <w:szCs w:val="24"/>
          <w:lang w:val="es-ES" w:eastAsia="es-ES"/>
        </w:rPr>
        <w:t xml:space="preserve"> de Familia, de Niñez y Adolescencia </w:t>
      </w:r>
      <w:r>
        <w:rPr>
          <w:rFonts w:ascii="Book Antiqua" w:eastAsia="Calibri" w:hAnsi="Book Antiqua" w:cs="Arial"/>
          <w:b/>
          <w:bCs/>
          <w:color w:val="1F497D"/>
          <w:szCs w:val="24"/>
          <w:lang w:val="es-ES" w:eastAsia="es-ES"/>
        </w:rPr>
        <w:t xml:space="preserve">y </w:t>
      </w:r>
    </w:p>
    <w:p w14:paraId="7C5B0579" w14:textId="52135475" w:rsidR="008E07FA" w:rsidRPr="000330F0" w:rsidRDefault="008E07FA" w:rsidP="008E07FA">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40" w:name="_Hlk96313740"/>
      <w:r>
        <w:rPr>
          <w:rFonts w:ascii="Book Antiqua" w:eastAsia="Calibri" w:hAnsi="Book Antiqua" w:cs="Arial"/>
          <w:b/>
          <w:bCs/>
          <w:color w:val="1F497D"/>
          <w:szCs w:val="24"/>
          <w:lang w:val="es-ES" w:eastAsia="es-ES"/>
        </w:rPr>
        <w:t>Juzgado de Violencia Doméstica I C.J. de San José</w:t>
      </w:r>
      <w:bookmarkEnd w:id="40"/>
      <w:r>
        <w:rPr>
          <w:rFonts w:ascii="Book Antiqua" w:eastAsia="Calibri" w:hAnsi="Book Antiqua" w:cs="Arial"/>
          <w:b/>
          <w:bCs/>
          <w:color w:val="1F497D"/>
          <w:szCs w:val="24"/>
          <w:lang w:val="es-ES" w:eastAsia="es-ES"/>
        </w:rPr>
        <w:t xml:space="preserve">, </w:t>
      </w:r>
      <w:r w:rsidRPr="000330F0">
        <w:rPr>
          <w:rFonts w:ascii="Book Antiqua" w:eastAsia="Calibri" w:hAnsi="Book Antiqua" w:cs="Arial"/>
          <w:b/>
          <w:bCs/>
          <w:color w:val="1F497D"/>
          <w:szCs w:val="24"/>
          <w:lang w:val="es-ES" w:eastAsia="es-ES"/>
        </w:rPr>
        <w:t>20</w:t>
      </w:r>
      <w:r>
        <w:rPr>
          <w:rFonts w:ascii="Book Antiqua" w:eastAsia="Calibri" w:hAnsi="Book Antiqua" w:cs="Arial"/>
          <w:b/>
          <w:bCs/>
          <w:color w:val="1F497D"/>
          <w:szCs w:val="24"/>
          <w:lang w:val="es-ES" w:eastAsia="es-ES"/>
        </w:rPr>
        <w:t>21</w:t>
      </w:r>
    </w:p>
    <w:tbl>
      <w:tblPr>
        <w:tblW w:w="6026" w:type="pct"/>
        <w:tblInd w:w="-719" w:type="dxa"/>
        <w:tblCellMar>
          <w:left w:w="70" w:type="dxa"/>
          <w:right w:w="70" w:type="dxa"/>
        </w:tblCellMar>
        <w:tblLook w:val="04A0" w:firstRow="1" w:lastRow="0" w:firstColumn="1" w:lastColumn="0" w:noHBand="0" w:noVBand="1"/>
      </w:tblPr>
      <w:tblGrid>
        <w:gridCol w:w="4246"/>
        <w:gridCol w:w="1030"/>
        <w:gridCol w:w="1240"/>
        <w:gridCol w:w="1129"/>
        <w:gridCol w:w="640"/>
        <w:gridCol w:w="851"/>
        <w:gridCol w:w="640"/>
        <w:gridCol w:w="851"/>
      </w:tblGrid>
      <w:tr w:rsidR="000D7B97" w:rsidRPr="00E46EB8" w14:paraId="19B57A2A" w14:textId="77777777" w:rsidTr="001D0C10">
        <w:trPr>
          <w:trHeight w:val="302"/>
        </w:trPr>
        <w:tc>
          <w:tcPr>
            <w:tcW w:w="199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bookmarkEnd w:id="39"/>
          <w:p w14:paraId="62A58714"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Despacho</w:t>
            </w:r>
          </w:p>
        </w:tc>
        <w:tc>
          <w:tcPr>
            <w:tcW w:w="48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33C005B"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Promedio mensual Entrada 2021</w:t>
            </w:r>
          </w:p>
        </w:tc>
        <w:tc>
          <w:tcPr>
            <w:tcW w:w="58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FE660BA"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Promedio mensual Terminados 2021</w:t>
            </w:r>
          </w:p>
        </w:tc>
        <w:tc>
          <w:tcPr>
            <w:tcW w:w="531"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41985DB"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Circulante en trámite al 31 diciembre-2021</w:t>
            </w:r>
          </w:p>
        </w:tc>
        <w:tc>
          <w:tcPr>
            <w:tcW w:w="702" w:type="pct"/>
            <w:gridSpan w:val="2"/>
            <w:tcBorders>
              <w:top w:val="single" w:sz="8" w:space="0" w:color="auto"/>
              <w:left w:val="nil"/>
              <w:bottom w:val="single" w:sz="8" w:space="0" w:color="auto"/>
              <w:right w:val="single" w:sz="8" w:space="0" w:color="000000"/>
            </w:tcBorders>
            <w:shd w:val="clear" w:color="000000" w:fill="002060"/>
            <w:vAlign w:val="center"/>
            <w:hideMark/>
          </w:tcPr>
          <w:p w14:paraId="5230FB93"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Recurso Humano</w:t>
            </w:r>
          </w:p>
        </w:tc>
        <w:tc>
          <w:tcPr>
            <w:tcW w:w="702" w:type="pct"/>
            <w:gridSpan w:val="2"/>
            <w:tcBorders>
              <w:top w:val="single" w:sz="8" w:space="0" w:color="auto"/>
              <w:left w:val="nil"/>
              <w:bottom w:val="single" w:sz="8" w:space="0" w:color="auto"/>
              <w:right w:val="single" w:sz="8" w:space="0" w:color="000000"/>
            </w:tcBorders>
            <w:shd w:val="clear" w:color="000000" w:fill="002060"/>
            <w:vAlign w:val="center"/>
            <w:hideMark/>
          </w:tcPr>
          <w:p w14:paraId="3C300826"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Carga de trabajo</w:t>
            </w:r>
          </w:p>
        </w:tc>
      </w:tr>
      <w:tr w:rsidR="000D7B97" w:rsidRPr="00E46EB8" w14:paraId="61518482" w14:textId="77777777" w:rsidTr="001D0C10">
        <w:trPr>
          <w:trHeight w:val="1039"/>
        </w:trPr>
        <w:tc>
          <w:tcPr>
            <w:tcW w:w="1998" w:type="pct"/>
            <w:vMerge/>
            <w:tcBorders>
              <w:top w:val="single" w:sz="8" w:space="0" w:color="auto"/>
              <w:left w:val="single" w:sz="8" w:space="0" w:color="auto"/>
              <w:bottom w:val="single" w:sz="8" w:space="0" w:color="000000"/>
              <w:right w:val="single" w:sz="8" w:space="0" w:color="auto"/>
            </w:tcBorders>
            <w:vAlign w:val="center"/>
            <w:hideMark/>
          </w:tcPr>
          <w:p w14:paraId="621C675C" w14:textId="77777777" w:rsidR="00E46EB8" w:rsidRPr="00E46EB8" w:rsidRDefault="00E46EB8" w:rsidP="00E46EB8">
            <w:pPr>
              <w:spacing w:after="0" w:line="240" w:lineRule="auto"/>
              <w:rPr>
                <w:rFonts w:ascii="Book Antiqua" w:eastAsia="Times New Roman" w:hAnsi="Book Antiqua" w:cs="Calibri"/>
                <w:b/>
                <w:bCs/>
                <w:color w:val="FFFFFF"/>
                <w:sz w:val="20"/>
                <w:szCs w:val="20"/>
                <w:lang w:eastAsia="es-CR"/>
              </w:rPr>
            </w:pPr>
          </w:p>
        </w:tc>
        <w:tc>
          <w:tcPr>
            <w:tcW w:w="485" w:type="pct"/>
            <w:vMerge/>
            <w:tcBorders>
              <w:top w:val="single" w:sz="8" w:space="0" w:color="auto"/>
              <w:left w:val="single" w:sz="8" w:space="0" w:color="auto"/>
              <w:bottom w:val="single" w:sz="8" w:space="0" w:color="000000"/>
              <w:right w:val="single" w:sz="8" w:space="0" w:color="auto"/>
            </w:tcBorders>
            <w:vAlign w:val="center"/>
            <w:hideMark/>
          </w:tcPr>
          <w:p w14:paraId="76B626E9" w14:textId="77777777" w:rsidR="00E46EB8" w:rsidRPr="00E46EB8" w:rsidRDefault="00E46EB8" w:rsidP="00E46EB8">
            <w:pPr>
              <w:spacing w:after="0" w:line="240" w:lineRule="auto"/>
              <w:rPr>
                <w:rFonts w:ascii="Book Antiqua" w:eastAsia="Times New Roman" w:hAnsi="Book Antiqua" w:cs="Calibri"/>
                <w:b/>
                <w:bCs/>
                <w:color w:val="FFFFFF"/>
                <w:sz w:val="20"/>
                <w:szCs w:val="20"/>
                <w:lang w:eastAsia="es-CR"/>
              </w:rPr>
            </w:pPr>
          </w:p>
        </w:tc>
        <w:tc>
          <w:tcPr>
            <w:tcW w:w="583" w:type="pct"/>
            <w:vMerge/>
            <w:tcBorders>
              <w:top w:val="single" w:sz="8" w:space="0" w:color="auto"/>
              <w:left w:val="single" w:sz="8" w:space="0" w:color="auto"/>
              <w:bottom w:val="single" w:sz="8" w:space="0" w:color="000000"/>
              <w:right w:val="single" w:sz="8" w:space="0" w:color="auto"/>
            </w:tcBorders>
            <w:vAlign w:val="center"/>
            <w:hideMark/>
          </w:tcPr>
          <w:p w14:paraId="44FFA777" w14:textId="77777777" w:rsidR="00E46EB8" w:rsidRPr="00E46EB8" w:rsidRDefault="00E46EB8" w:rsidP="00E46EB8">
            <w:pPr>
              <w:spacing w:after="0" w:line="240" w:lineRule="auto"/>
              <w:rPr>
                <w:rFonts w:ascii="Book Antiqua" w:eastAsia="Times New Roman" w:hAnsi="Book Antiqua" w:cs="Calibri"/>
                <w:b/>
                <w:bCs/>
                <w:color w:val="FFFFFF"/>
                <w:sz w:val="20"/>
                <w:szCs w:val="20"/>
                <w:lang w:eastAsia="es-CR"/>
              </w:rPr>
            </w:pPr>
          </w:p>
        </w:tc>
        <w:tc>
          <w:tcPr>
            <w:tcW w:w="531" w:type="pct"/>
            <w:vMerge/>
            <w:tcBorders>
              <w:top w:val="single" w:sz="8" w:space="0" w:color="auto"/>
              <w:left w:val="single" w:sz="8" w:space="0" w:color="auto"/>
              <w:bottom w:val="single" w:sz="8" w:space="0" w:color="000000"/>
              <w:right w:val="single" w:sz="8" w:space="0" w:color="auto"/>
            </w:tcBorders>
            <w:vAlign w:val="center"/>
            <w:hideMark/>
          </w:tcPr>
          <w:p w14:paraId="1EC84C96" w14:textId="77777777" w:rsidR="00E46EB8" w:rsidRPr="00E46EB8" w:rsidRDefault="00E46EB8" w:rsidP="00E46EB8">
            <w:pPr>
              <w:spacing w:after="0" w:line="240" w:lineRule="auto"/>
              <w:rPr>
                <w:rFonts w:ascii="Book Antiqua" w:eastAsia="Times New Roman" w:hAnsi="Book Antiqua" w:cs="Calibri"/>
                <w:b/>
                <w:bCs/>
                <w:color w:val="FFFFFF"/>
                <w:sz w:val="20"/>
                <w:szCs w:val="20"/>
                <w:lang w:eastAsia="es-CR"/>
              </w:rPr>
            </w:pPr>
          </w:p>
        </w:tc>
        <w:tc>
          <w:tcPr>
            <w:tcW w:w="301" w:type="pct"/>
            <w:tcBorders>
              <w:top w:val="nil"/>
              <w:left w:val="nil"/>
              <w:bottom w:val="single" w:sz="8" w:space="0" w:color="auto"/>
              <w:right w:val="single" w:sz="8" w:space="0" w:color="auto"/>
            </w:tcBorders>
            <w:shd w:val="clear" w:color="000000" w:fill="002060"/>
            <w:vAlign w:val="center"/>
            <w:hideMark/>
          </w:tcPr>
          <w:p w14:paraId="052ECD7E"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Jueza o Juez</w:t>
            </w:r>
          </w:p>
        </w:tc>
        <w:tc>
          <w:tcPr>
            <w:tcW w:w="400" w:type="pct"/>
            <w:tcBorders>
              <w:top w:val="nil"/>
              <w:left w:val="nil"/>
              <w:bottom w:val="single" w:sz="8" w:space="0" w:color="auto"/>
              <w:right w:val="single" w:sz="8" w:space="0" w:color="auto"/>
            </w:tcBorders>
            <w:shd w:val="clear" w:color="000000" w:fill="002060"/>
            <w:vAlign w:val="center"/>
            <w:hideMark/>
          </w:tcPr>
          <w:p w14:paraId="6F8E1AAF"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Técnica o Técnico de trámite</w:t>
            </w:r>
          </w:p>
        </w:tc>
        <w:tc>
          <w:tcPr>
            <w:tcW w:w="301" w:type="pct"/>
            <w:tcBorders>
              <w:top w:val="nil"/>
              <w:left w:val="nil"/>
              <w:bottom w:val="single" w:sz="8" w:space="0" w:color="auto"/>
              <w:right w:val="single" w:sz="8" w:space="0" w:color="auto"/>
            </w:tcBorders>
            <w:shd w:val="clear" w:color="000000" w:fill="002060"/>
            <w:vAlign w:val="center"/>
            <w:hideMark/>
          </w:tcPr>
          <w:p w14:paraId="39A2A974"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Jueza o Juez</w:t>
            </w:r>
          </w:p>
        </w:tc>
        <w:tc>
          <w:tcPr>
            <w:tcW w:w="400" w:type="pct"/>
            <w:tcBorders>
              <w:top w:val="nil"/>
              <w:left w:val="nil"/>
              <w:bottom w:val="single" w:sz="8" w:space="0" w:color="auto"/>
              <w:right w:val="single" w:sz="8" w:space="0" w:color="auto"/>
            </w:tcBorders>
            <w:shd w:val="clear" w:color="000000" w:fill="002060"/>
            <w:vAlign w:val="center"/>
            <w:hideMark/>
          </w:tcPr>
          <w:p w14:paraId="304BA6FA" w14:textId="77777777" w:rsidR="00E46EB8" w:rsidRPr="00E46EB8" w:rsidRDefault="00E46EB8" w:rsidP="00E46EB8">
            <w:pPr>
              <w:spacing w:after="0" w:line="240" w:lineRule="auto"/>
              <w:jc w:val="center"/>
              <w:rPr>
                <w:rFonts w:ascii="Book Antiqua" w:eastAsia="Times New Roman" w:hAnsi="Book Antiqua" w:cs="Calibri"/>
                <w:b/>
                <w:bCs/>
                <w:color w:val="FFFFFF"/>
                <w:sz w:val="20"/>
                <w:szCs w:val="20"/>
                <w:lang w:eastAsia="es-CR"/>
              </w:rPr>
            </w:pPr>
            <w:r w:rsidRPr="00E46EB8">
              <w:rPr>
                <w:rFonts w:ascii="Book Antiqua" w:eastAsia="Times New Roman" w:hAnsi="Book Antiqua" w:cs="Calibri"/>
                <w:b/>
                <w:bCs/>
                <w:color w:val="FFFFFF"/>
                <w:sz w:val="20"/>
                <w:szCs w:val="20"/>
                <w:lang w:eastAsia="es-CR"/>
              </w:rPr>
              <w:t>Técnica o Técnico de trámite</w:t>
            </w:r>
          </w:p>
        </w:tc>
      </w:tr>
      <w:tr w:rsidR="000D7B97" w:rsidRPr="00E46EB8" w14:paraId="378A6347" w14:textId="77777777" w:rsidTr="001D0C10">
        <w:trPr>
          <w:trHeight w:val="302"/>
        </w:trPr>
        <w:tc>
          <w:tcPr>
            <w:tcW w:w="1998" w:type="pct"/>
            <w:tcBorders>
              <w:top w:val="nil"/>
              <w:left w:val="single" w:sz="8" w:space="0" w:color="auto"/>
              <w:bottom w:val="single" w:sz="8" w:space="0" w:color="auto"/>
              <w:right w:val="single" w:sz="8" w:space="0" w:color="auto"/>
            </w:tcBorders>
            <w:shd w:val="clear" w:color="auto" w:fill="auto"/>
            <w:noWrap/>
            <w:vAlign w:val="center"/>
            <w:hideMark/>
          </w:tcPr>
          <w:p w14:paraId="0F555834" w14:textId="77777777" w:rsidR="00E46EB8" w:rsidRPr="00E46EB8" w:rsidRDefault="00E46EB8" w:rsidP="00E46EB8">
            <w:pPr>
              <w:spacing w:after="0" w:line="240" w:lineRule="auto"/>
              <w:rPr>
                <w:rFonts w:ascii="Book Antiqua" w:eastAsia="Times New Roman" w:hAnsi="Book Antiqua" w:cs="Calibri"/>
                <w:b/>
                <w:bCs/>
                <w:color w:val="000000"/>
                <w:sz w:val="20"/>
                <w:szCs w:val="20"/>
                <w:lang w:eastAsia="es-CR"/>
              </w:rPr>
            </w:pPr>
            <w:r w:rsidRPr="00E46EB8">
              <w:rPr>
                <w:rFonts w:ascii="Book Antiqua" w:eastAsia="Times New Roman" w:hAnsi="Book Antiqua" w:cs="Calibri"/>
                <w:b/>
                <w:bCs/>
                <w:color w:val="000000"/>
                <w:sz w:val="20"/>
                <w:szCs w:val="20"/>
                <w:lang w:eastAsia="es-CR"/>
              </w:rPr>
              <w:t>Juzgado de Familia, de Niñez y Adolescencia</w:t>
            </w:r>
          </w:p>
        </w:tc>
        <w:tc>
          <w:tcPr>
            <w:tcW w:w="485" w:type="pct"/>
            <w:tcBorders>
              <w:top w:val="nil"/>
              <w:left w:val="nil"/>
              <w:bottom w:val="single" w:sz="8" w:space="0" w:color="auto"/>
              <w:right w:val="single" w:sz="8" w:space="0" w:color="auto"/>
            </w:tcBorders>
            <w:shd w:val="clear" w:color="auto" w:fill="auto"/>
            <w:noWrap/>
            <w:vAlign w:val="center"/>
            <w:hideMark/>
          </w:tcPr>
          <w:p w14:paraId="582588B9"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100</w:t>
            </w:r>
          </w:p>
        </w:tc>
        <w:tc>
          <w:tcPr>
            <w:tcW w:w="583" w:type="pct"/>
            <w:tcBorders>
              <w:top w:val="nil"/>
              <w:left w:val="nil"/>
              <w:bottom w:val="single" w:sz="8" w:space="0" w:color="auto"/>
              <w:right w:val="single" w:sz="8" w:space="0" w:color="auto"/>
            </w:tcBorders>
            <w:shd w:val="clear" w:color="auto" w:fill="auto"/>
            <w:vAlign w:val="center"/>
            <w:hideMark/>
          </w:tcPr>
          <w:p w14:paraId="32FB0623"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71</w:t>
            </w:r>
          </w:p>
        </w:tc>
        <w:tc>
          <w:tcPr>
            <w:tcW w:w="531" w:type="pct"/>
            <w:tcBorders>
              <w:top w:val="nil"/>
              <w:left w:val="nil"/>
              <w:bottom w:val="single" w:sz="8" w:space="0" w:color="auto"/>
              <w:right w:val="single" w:sz="8" w:space="0" w:color="auto"/>
            </w:tcBorders>
            <w:shd w:val="clear" w:color="auto" w:fill="auto"/>
            <w:vAlign w:val="center"/>
            <w:hideMark/>
          </w:tcPr>
          <w:p w14:paraId="632739E4"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1529</w:t>
            </w:r>
          </w:p>
        </w:tc>
        <w:tc>
          <w:tcPr>
            <w:tcW w:w="301" w:type="pct"/>
            <w:tcBorders>
              <w:top w:val="nil"/>
              <w:left w:val="nil"/>
              <w:bottom w:val="single" w:sz="8" w:space="0" w:color="auto"/>
              <w:right w:val="single" w:sz="8" w:space="0" w:color="auto"/>
            </w:tcBorders>
            <w:shd w:val="clear" w:color="auto" w:fill="auto"/>
            <w:noWrap/>
            <w:vAlign w:val="center"/>
            <w:hideMark/>
          </w:tcPr>
          <w:p w14:paraId="72E4BD1C"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2</w:t>
            </w:r>
          </w:p>
        </w:tc>
        <w:tc>
          <w:tcPr>
            <w:tcW w:w="400" w:type="pct"/>
            <w:tcBorders>
              <w:top w:val="nil"/>
              <w:left w:val="nil"/>
              <w:bottom w:val="single" w:sz="8" w:space="0" w:color="auto"/>
              <w:right w:val="single" w:sz="8" w:space="0" w:color="auto"/>
            </w:tcBorders>
            <w:shd w:val="clear" w:color="auto" w:fill="auto"/>
            <w:vAlign w:val="center"/>
            <w:hideMark/>
          </w:tcPr>
          <w:p w14:paraId="4C37E0D8"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4</w:t>
            </w:r>
          </w:p>
        </w:tc>
        <w:tc>
          <w:tcPr>
            <w:tcW w:w="301" w:type="pct"/>
            <w:tcBorders>
              <w:top w:val="nil"/>
              <w:left w:val="nil"/>
              <w:bottom w:val="single" w:sz="8" w:space="0" w:color="auto"/>
              <w:right w:val="single" w:sz="8" w:space="0" w:color="auto"/>
            </w:tcBorders>
            <w:shd w:val="clear" w:color="auto" w:fill="auto"/>
            <w:noWrap/>
            <w:vAlign w:val="center"/>
            <w:hideMark/>
          </w:tcPr>
          <w:p w14:paraId="16B99A1C"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50</w:t>
            </w:r>
          </w:p>
        </w:tc>
        <w:tc>
          <w:tcPr>
            <w:tcW w:w="400" w:type="pct"/>
            <w:tcBorders>
              <w:top w:val="nil"/>
              <w:left w:val="nil"/>
              <w:bottom w:val="single" w:sz="8" w:space="0" w:color="auto"/>
              <w:right w:val="single" w:sz="8" w:space="0" w:color="auto"/>
            </w:tcBorders>
            <w:shd w:val="clear" w:color="auto" w:fill="auto"/>
            <w:noWrap/>
            <w:vAlign w:val="center"/>
            <w:hideMark/>
          </w:tcPr>
          <w:p w14:paraId="6959DD44"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25</w:t>
            </w:r>
          </w:p>
        </w:tc>
      </w:tr>
      <w:tr w:rsidR="000D7B97" w:rsidRPr="00E46EB8" w14:paraId="0ACA6363" w14:textId="77777777" w:rsidTr="001D0C10">
        <w:trPr>
          <w:trHeight w:val="302"/>
        </w:trPr>
        <w:tc>
          <w:tcPr>
            <w:tcW w:w="1998" w:type="pct"/>
            <w:tcBorders>
              <w:top w:val="nil"/>
              <w:left w:val="single" w:sz="8" w:space="0" w:color="auto"/>
              <w:bottom w:val="single" w:sz="8" w:space="0" w:color="auto"/>
              <w:right w:val="single" w:sz="8" w:space="0" w:color="auto"/>
            </w:tcBorders>
            <w:shd w:val="clear" w:color="auto" w:fill="auto"/>
            <w:noWrap/>
            <w:vAlign w:val="center"/>
            <w:hideMark/>
          </w:tcPr>
          <w:p w14:paraId="530F7202" w14:textId="77777777" w:rsidR="00E46EB8" w:rsidRPr="00E46EB8" w:rsidRDefault="00E46EB8" w:rsidP="00E46EB8">
            <w:pPr>
              <w:spacing w:after="0" w:line="240" w:lineRule="auto"/>
              <w:rPr>
                <w:rFonts w:ascii="Book Antiqua" w:eastAsia="Times New Roman" w:hAnsi="Book Antiqua" w:cs="Calibri"/>
                <w:b/>
                <w:bCs/>
                <w:color w:val="000000"/>
                <w:sz w:val="20"/>
                <w:szCs w:val="20"/>
                <w:lang w:eastAsia="es-CR"/>
              </w:rPr>
            </w:pPr>
            <w:r w:rsidRPr="00E46EB8">
              <w:rPr>
                <w:rFonts w:ascii="Book Antiqua" w:eastAsia="Times New Roman" w:hAnsi="Book Antiqua" w:cs="Calibri"/>
                <w:b/>
                <w:bCs/>
                <w:color w:val="000000"/>
                <w:sz w:val="20"/>
                <w:szCs w:val="20"/>
                <w:lang w:eastAsia="es-CR"/>
              </w:rPr>
              <w:t>Juzgado de Violencia Doméstica San José</w:t>
            </w:r>
          </w:p>
        </w:tc>
        <w:tc>
          <w:tcPr>
            <w:tcW w:w="485" w:type="pct"/>
            <w:tcBorders>
              <w:top w:val="nil"/>
              <w:left w:val="nil"/>
              <w:bottom w:val="single" w:sz="8" w:space="0" w:color="auto"/>
              <w:right w:val="single" w:sz="8" w:space="0" w:color="auto"/>
            </w:tcBorders>
            <w:shd w:val="clear" w:color="auto" w:fill="auto"/>
            <w:noWrap/>
            <w:vAlign w:val="center"/>
            <w:hideMark/>
          </w:tcPr>
          <w:p w14:paraId="1295A10E" w14:textId="4127E65B"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 </w:t>
            </w:r>
            <w:r w:rsidR="00AF3605">
              <w:rPr>
                <w:rFonts w:ascii="Book Antiqua" w:eastAsia="Times New Roman" w:hAnsi="Book Antiqua" w:cs="Calibri"/>
                <w:color w:val="000000"/>
                <w:sz w:val="20"/>
                <w:szCs w:val="20"/>
                <w:lang w:eastAsia="es-CR"/>
              </w:rPr>
              <w:t>103</w:t>
            </w:r>
          </w:p>
        </w:tc>
        <w:tc>
          <w:tcPr>
            <w:tcW w:w="583" w:type="pct"/>
            <w:tcBorders>
              <w:top w:val="nil"/>
              <w:left w:val="nil"/>
              <w:bottom w:val="single" w:sz="8" w:space="0" w:color="auto"/>
              <w:right w:val="single" w:sz="8" w:space="0" w:color="auto"/>
            </w:tcBorders>
            <w:shd w:val="clear" w:color="auto" w:fill="auto"/>
            <w:vAlign w:val="center"/>
            <w:hideMark/>
          </w:tcPr>
          <w:p w14:paraId="11503FE6" w14:textId="19CF592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 </w:t>
            </w:r>
            <w:r w:rsidR="00AF3605">
              <w:rPr>
                <w:rFonts w:ascii="Book Antiqua" w:eastAsia="Times New Roman" w:hAnsi="Book Antiqua" w:cs="Calibri"/>
                <w:color w:val="000000"/>
                <w:sz w:val="20"/>
                <w:szCs w:val="20"/>
                <w:lang w:eastAsia="es-CR"/>
              </w:rPr>
              <w:t>167</w:t>
            </w:r>
          </w:p>
        </w:tc>
        <w:tc>
          <w:tcPr>
            <w:tcW w:w="531" w:type="pct"/>
            <w:tcBorders>
              <w:top w:val="nil"/>
              <w:left w:val="nil"/>
              <w:bottom w:val="single" w:sz="8" w:space="0" w:color="auto"/>
              <w:right w:val="single" w:sz="8" w:space="0" w:color="auto"/>
            </w:tcBorders>
            <w:shd w:val="clear" w:color="auto" w:fill="auto"/>
            <w:vAlign w:val="center"/>
            <w:hideMark/>
          </w:tcPr>
          <w:p w14:paraId="0B87952A" w14:textId="77777777" w:rsidR="00AF3605" w:rsidRDefault="00AF3605" w:rsidP="00E46EB8">
            <w:pPr>
              <w:spacing w:after="0" w:line="240" w:lineRule="auto"/>
              <w:jc w:val="center"/>
              <w:rPr>
                <w:rFonts w:ascii="Book Antiqua" w:eastAsia="Times New Roman" w:hAnsi="Book Antiqua" w:cs="Calibri"/>
                <w:color w:val="000000"/>
                <w:sz w:val="20"/>
                <w:szCs w:val="20"/>
                <w:lang w:eastAsia="es-CR"/>
              </w:rPr>
            </w:pPr>
          </w:p>
          <w:p w14:paraId="143A9B5D" w14:textId="43DCDFEE" w:rsidR="00AF3605" w:rsidRDefault="00AF3605" w:rsidP="00E46EB8">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1016</w:t>
            </w:r>
          </w:p>
          <w:p w14:paraId="4EB01BAB" w14:textId="6B7C223E"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 </w:t>
            </w:r>
          </w:p>
        </w:tc>
        <w:tc>
          <w:tcPr>
            <w:tcW w:w="301" w:type="pct"/>
            <w:tcBorders>
              <w:top w:val="nil"/>
              <w:left w:val="nil"/>
              <w:bottom w:val="single" w:sz="8" w:space="0" w:color="auto"/>
              <w:right w:val="single" w:sz="8" w:space="0" w:color="auto"/>
            </w:tcBorders>
            <w:shd w:val="clear" w:color="auto" w:fill="auto"/>
            <w:noWrap/>
            <w:vAlign w:val="center"/>
            <w:hideMark/>
          </w:tcPr>
          <w:p w14:paraId="5522430A"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2</w:t>
            </w:r>
          </w:p>
        </w:tc>
        <w:tc>
          <w:tcPr>
            <w:tcW w:w="400" w:type="pct"/>
            <w:tcBorders>
              <w:top w:val="nil"/>
              <w:left w:val="nil"/>
              <w:bottom w:val="single" w:sz="8" w:space="0" w:color="auto"/>
              <w:right w:val="single" w:sz="8" w:space="0" w:color="auto"/>
            </w:tcBorders>
            <w:shd w:val="clear" w:color="auto" w:fill="auto"/>
            <w:vAlign w:val="center"/>
            <w:hideMark/>
          </w:tcPr>
          <w:p w14:paraId="1E72C142" w14:textId="77777777" w:rsidR="00E46EB8" w:rsidRPr="00E46EB8" w:rsidRDefault="00E46EB8" w:rsidP="00E46EB8">
            <w:pPr>
              <w:spacing w:after="0" w:line="240" w:lineRule="auto"/>
              <w:jc w:val="center"/>
              <w:rPr>
                <w:rFonts w:ascii="Book Antiqua" w:eastAsia="Times New Roman" w:hAnsi="Book Antiqua" w:cs="Calibri"/>
                <w:color w:val="000000"/>
                <w:sz w:val="20"/>
                <w:szCs w:val="20"/>
                <w:lang w:eastAsia="es-CR"/>
              </w:rPr>
            </w:pPr>
            <w:r w:rsidRPr="00E46EB8">
              <w:rPr>
                <w:rFonts w:ascii="Book Antiqua" w:eastAsia="Times New Roman" w:hAnsi="Book Antiqua" w:cs="Calibri"/>
                <w:color w:val="000000"/>
                <w:sz w:val="20"/>
                <w:szCs w:val="20"/>
                <w:lang w:eastAsia="es-CR"/>
              </w:rPr>
              <w:t>3</w:t>
            </w:r>
          </w:p>
        </w:tc>
        <w:tc>
          <w:tcPr>
            <w:tcW w:w="301" w:type="pct"/>
            <w:tcBorders>
              <w:top w:val="nil"/>
              <w:left w:val="nil"/>
              <w:bottom w:val="single" w:sz="8" w:space="0" w:color="auto"/>
              <w:right w:val="single" w:sz="8" w:space="0" w:color="auto"/>
            </w:tcBorders>
            <w:shd w:val="clear" w:color="auto" w:fill="auto"/>
            <w:noWrap/>
            <w:vAlign w:val="center"/>
            <w:hideMark/>
          </w:tcPr>
          <w:p w14:paraId="336CC6A9" w14:textId="499B6DAB" w:rsidR="00E46EB8" w:rsidRPr="00E46EB8" w:rsidRDefault="00AF3605" w:rsidP="00E46EB8">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52</w:t>
            </w:r>
          </w:p>
        </w:tc>
        <w:tc>
          <w:tcPr>
            <w:tcW w:w="400" w:type="pct"/>
            <w:tcBorders>
              <w:top w:val="nil"/>
              <w:left w:val="nil"/>
              <w:bottom w:val="single" w:sz="8" w:space="0" w:color="auto"/>
              <w:right w:val="single" w:sz="8" w:space="0" w:color="auto"/>
            </w:tcBorders>
            <w:shd w:val="clear" w:color="auto" w:fill="auto"/>
            <w:noWrap/>
            <w:vAlign w:val="center"/>
            <w:hideMark/>
          </w:tcPr>
          <w:p w14:paraId="6F0E1862" w14:textId="0FB0F0FE" w:rsidR="00E46EB8" w:rsidRPr="00E46EB8" w:rsidRDefault="00AF3605" w:rsidP="00E46EB8">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34</w:t>
            </w:r>
          </w:p>
        </w:tc>
      </w:tr>
    </w:tbl>
    <w:p w14:paraId="5D72D6B2" w14:textId="61BFE2D0" w:rsidR="005729B8" w:rsidRDefault="005729B8" w:rsidP="005729B8">
      <w:pPr>
        <w:spacing w:after="0" w:line="276" w:lineRule="auto"/>
        <w:jc w:val="both"/>
        <w:rPr>
          <w:rFonts w:ascii="Book Antiqua" w:eastAsia="Calibri" w:hAnsi="Book Antiqua" w:cs="Arial"/>
          <w:sz w:val="24"/>
          <w:szCs w:val="24"/>
        </w:rPr>
      </w:pPr>
      <w:bookmarkStart w:id="41" w:name="_Hlk96510028"/>
      <w:r w:rsidRPr="00F07A42">
        <w:rPr>
          <w:rFonts w:ascii="Book Antiqua" w:eastAsia="Calibri" w:hAnsi="Book Antiqua" w:cs="Arial"/>
          <w:i/>
          <w:iCs/>
          <w:sz w:val="20"/>
          <w:szCs w:val="20"/>
        </w:rPr>
        <w:t>Fuente: Modernización Institucional</w:t>
      </w:r>
      <w:r w:rsidR="00293FB2">
        <w:rPr>
          <w:rFonts w:ascii="Book Antiqua" w:eastAsia="Calibri" w:hAnsi="Book Antiqua" w:cs="Arial"/>
          <w:i/>
          <w:iCs/>
          <w:sz w:val="20"/>
          <w:szCs w:val="20"/>
        </w:rPr>
        <w:t xml:space="preserve"> </w:t>
      </w:r>
      <w:r w:rsidR="00293FB2" w:rsidRPr="00293FB2">
        <w:rPr>
          <w:rFonts w:ascii="Book Antiqua" w:eastAsia="Calibri" w:hAnsi="Book Antiqua" w:cs="Arial"/>
          <w:i/>
          <w:iCs/>
          <w:sz w:val="20"/>
          <w:szCs w:val="20"/>
        </w:rPr>
        <w:t>con base en datos estadísticos del Subproceso de Estadística.</w:t>
      </w:r>
    </w:p>
    <w:bookmarkEnd w:id="41"/>
    <w:p w14:paraId="55112516" w14:textId="77777777" w:rsidR="00604280" w:rsidRDefault="00604280" w:rsidP="00355630">
      <w:pPr>
        <w:spacing w:after="0" w:line="276" w:lineRule="auto"/>
        <w:jc w:val="both"/>
        <w:rPr>
          <w:rFonts w:ascii="Book Antiqua" w:eastAsia="Calibri" w:hAnsi="Book Antiqua" w:cs="Arial"/>
          <w:sz w:val="24"/>
          <w:szCs w:val="24"/>
        </w:rPr>
      </w:pPr>
    </w:p>
    <w:p w14:paraId="441FD098" w14:textId="12BF34D7" w:rsidR="00BC442A" w:rsidRDefault="00BF59C3"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D</w:t>
      </w:r>
      <w:r w:rsidR="00AF3605">
        <w:rPr>
          <w:rFonts w:ascii="Book Antiqua" w:eastAsia="Calibri" w:hAnsi="Book Antiqua" w:cs="Arial"/>
          <w:sz w:val="24"/>
          <w:szCs w:val="24"/>
        </w:rPr>
        <w:t xml:space="preserve">e los resultados obtenidos, se desprende que </w:t>
      </w:r>
      <w:r w:rsidR="0068165B" w:rsidRPr="00BF59C3">
        <w:rPr>
          <w:rFonts w:ascii="Book Antiqua" w:eastAsia="Calibri" w:hAnsi="Book Antiqua" w:cs="Arial"/>
          <w:sz w:val="24"/>
          <w:szCs w:val="24"/>
        </w:rPr>
        <w:t xml:space="preserve">Juzgado de Violencia Doméstica </w:t>
      </w:r>
      <w:r w:rsidR="00D1709C">
        <w:rPr>
          <w:rFonts w:ascii="Book Antiqua" w:eastAsia="Calibri" w:hAnsi="Book Antiqua" w:cs="Arial"/>
          <w:sz w:val="24"/>
          <w:szCs w:val="24"/>
        </w:rPr>
        <w:t xml:space="preserve">del </w:t>
      </w:r>
      <w:r w:rsidR="00426FB3">
        <w:rPr>
          <w:rFonts w:ascii="Book Antiqua" w:eastAsia="Calibri" w:hAnsi="Book Antiqua" w:cs="Arial"/>
          <w:sz w:val="24"/>
          <w:szCs w:val="24"/>
        </w:rPr>
        <w:t>Primer</w:t>
      </w:r>
      <w:r w:rsidR="00426FB3" w:rsidRPr="00BF59C3">
        <w:rPr>
          <w:rFonts w:ascii="Book Antiqua" w:eastAsia="Calibri" w:hAnsi="Book Antiqua" w:cs="Arial"/>
          <w:sz w:val="24"/>
          <w:szCs w:val="24"/>
        </w:rPr>
        <w:t xml:space="preserve"> </w:t>
      </w:r>
      <w:r w:rsidR="0068165B" w:rsidRPr="00BF59C3">
        <w:rPr>
          <w:rFonts w:ascii="Book Antiqua" w:eastAsia="Calibri" w:hAnsi="Book Antiqua" w:cs="Arial"/>
          <w:sz w:val="24"/>
          <w:szCs w:val="24"/>
        </w:rPr>
        <w:t>C</w:t>
      </w:r>
      <w:r w:rsidR="0068165B">
        <w:rPr>
          <w:rFonts w:ascii="Book Antiqua" w:eastAsia="Calibri" w:hAnsi="Book Antiqua" w:cs="Arial"/>
          <w:sz w:val="24"/>
          <w:szCs w:val="24"/>
        </w:rPr>
        <w:t xml:space="preserve">ircuito </w:t>
      </w:r>
      <w:r w:rsidR="0068165B" w:rsidRPr="00BF59C3">
        <w:rPr>
          <w:rFonts w:ascii="Book Antiqua" w:eastAsia="Calibri" w:hAnsi="Book Antiqua" w:cs="Arial"/>
          <w:sz w:val="24"/>
          <w:szCs w:val="24"/>
        </w:rPr>
        <w:t>J</w:t>
      </w:r>
      <w:r w:rsidR="0068165B">
        <w:rPr>
          <w:rFonts w:ascii="Book Antiqua" w:eastAsia="Calibri" w:hAnsi="Book Antiqua" w:cs="Arial"/>
          <w:sz w:val="24"/>
          <w:szCs w:val="24"/>
        </w:rPr>
        <w:t>udicial</w:t>
      </w:r>
      <w:r w:rsidR="0068165B" w:rsidRPr="00BF59C3">
        <w:rPr>
          <w:rFonts w:ascii="Book Antiqua" w:eastAsia="Calibri" w:hAnsi="Book Antiqua" w:cs="Arial"/>
          <w:sz w:val="24"/>
          <w:szCs w:val="24"/>
        </w:rPr>
        <w:t xml:space="preserve"> de San José</w:t>
      </w:r>
      <w:r w:rsidR="0068165B">
        <w:rPr>
          <w:rFonts w:ascii="Book Antiqua" w:eastAsia="Calibri" w:hAnsi="Book Antiqua" w:cs="Arial"/>
          <w:sz w:val="24"/>
          <w:szCs w:val="24"/>
        </w:rPr>
        <w:t xml:space="preserve">, tiene </w:t>
      </w:r>
      <w:r w:rsidR="003C4844">
        <w:rPr>
          <w:rFonts w:ascii="Book Antiqua" w:eastAsia="Calibri" w:hAnsi="Book Antiqua" w:cs="Arial"/>
          <w:sz w:val="24"/>
          <w:szCs w:val="24"/>
        </w:rPr>
        <w:t>una</w:t>
      </w:r>
      <w:r w:rsidR="0068165B">
        <w:rPr>
          <w:rFonts w:ascii="Book Antiqua" w:eastAsia="Calibri" w:hAnsi="Book Antiqua" w:cs="Arial"/>
          <w:sz w:val="24"/>
          <w:szCs w:val="24"/>
        </w:rPr>
        <w:t xml:space="preserve"> carga de trabajo</w:t>
      </w:r>
      <w:r w:rsidR="003C4844">
        <w:rPr>
          <w:rFonts w:ascii="Book Antiqua" w:eastAsia="Calibri" w:hAnsi="Book Antiqua" w:cs="Arial"/>
          <w:sz w:val="24"/>
          <w:szCs w:val="24"/>
        </w:rPr>
        <w:t xml:space="preserve"> de</w:t>
      </w:r>
      <w:r w:rsidR="0068165B">
        <w:rPr>
          <w:rFonts w:ascii="Book Antiqua" w:eastAsia="Calibri" w:hAnsi="Book Antiqua" w:cs="Arial"/>
          <w:sz w:val="24"/>
          <w:szCs w:val="24"/>
        </w:rPr>
        <w:t xml:space="preserve"> </w:t>
      </w:r>
      <w:r w:rsidR="009329E7">
        <w:rPr>
          <w:rFonts w:ascii="Book Antiqua" w:eastAsia="Calibri" w:hAnsi="Book Antiqua" w:cs="Arial"/>
          <w:sz w:val="24"/>
          <w:szCs w:val="24"/>
        </w:rPr>
        <w:t xml:space="preserve">52 por persona juzgadora y 34 por </w:t>
      </w:r>
      <w:r w:rsidR="003C4844">
        <w:rPr>
          <w:rFonts w:ascii="Book Antiqua" w:eastAsia="Calibri" w:hAnsi="Book Antiqua" w:cs="Arial"/>
          <w:sz w:val="24"/>
          <w:szCs w:val="24"/>
        </w:rPr>
        <w:t xml:space="preserve">persona </w:t>
      </w:r>
      <w:r w:rsidR="009329E7">
        <w:rPr>
          <w:rFonts w:ascii="Book Antiqua" w:eastAsia="Calibri" w:hAnsi="Book Antiqua" w:cs="Arial"/>
          <w:sz w:val="24"/>
          <w:szCs w:val="24"/>
        </w:rPr>
        <w:t>técnica judicial</w:t>
      </w:r>
      <w:r w:rsidR="00951BE5">
        <w:rPr>
          <w:rFonts w:ascii="Book Antiqua" w:eastAsia="Calibri" w:hAnsi="Book Antiqua" w:cs="Arial"/>
          <w:sz w:val="24"/>
          <w:szCs w:val="24"/>
        </w:rPr>
        <w:t>.</w:t>
      </w:r>
      <w:r w:rsidR="00867FF1">
        <w:rPr>
          <w:rFonts w:ascii="Book Antiqua" w:eastAsia="Calibri" w:hAnsi="Book Antiqua" w:cs="Arial"/>
          <w:sz w:val="24"/>
          <w:szCs w:val="24"/>
        </w:rPr>
        <w:t xml:space="preserve"> </w:t>
      </w:r>
    </w:p>
    <w:p w14:paraId="12B4D75B" w14:textId="77777777" w:rsidR="001540BD" w:rsidRDefault="001540BD" w:rsidP="00355630">
      <w:pPr>
        <w:spacing w:after="0" w:line="276" w:lineRule="auto"/>
        <w:jc w:val="both"/>
        <w:rPr>
          <w:rFonts w:ascii="Book Antiqua" w:eastAsia="Calibri" w:hAnsi="Book Antiqua" w:cs="Arial"/>
          <w:sz w:val="24"/>
          <w:szCs w:val="24"/>
        </w:rPr>
      </w:pPr>
    </w:p>
    <w:p w14:paraId="5771CB11" w14:textId="57E8E530" w:rsidR="00A67C6A" w:rsidRPr="001D0C10" w:rsidRDefault="004F3DCB" w:rsidP="00355630">
      <w:pPr>
        <w:spacing w:after="0" w:line="276" w:lineRule="auto"/>
        <w:jc w:val="both"/>
        <w:rPr>
          <w:rFonts w:ascii="Book Antiqua" w:eastAsia="Calibri" w:hAnsi="Book Antiqua" w:cs="Arial"/>
          <w:b/>
          <w:bCs/>
          <w:sz w:val="24"/>
          <w:szCs w:val="24"/>
        </w:rPr>
      </w:pPr>
      <w:bookmarkStart w:id="42" w:name="_Hlk96541649"/>
      <w:r w:rsidRPr="001D0C10">
        <w:rPr>
          <w:rFonts w:ascii="Book Antiqua" w:eastAsia="Calibri" w:hAnsi="Book Antiqua" w:cs="Arial"/>
          <w:b/>
          <w:bCs/>
          <w:sz w:val="24"/>
          <w:szCs w:val="24"/>
        </w:rPr>
        <w:t xml:space="preserve">Atención de la referencia interna </w:t>
      </w:r>
      <w:r w:rsidRPr="0036617F">
        <w:rPr>
          <w:rFonts w:ascii="Book Antiqua" w:eastAsia="Calibri" w:hAnsi="Book Antiqua" w:cs="Arial"/>
          <w:b/>
          <w:bCs/>
          <w:sz w:val="24"/>
          <w:szCs w:val="24"/>
        </w:rPr>
        <w:t>1689-2021</w:t>
      </w:r>
      <w:r w:rsidRPr="001D0C10">
        <w:rPr>
          <w:rFonts w:ascii="Book Antiqua" w:eastAsia="Calibri" w:hAnsi="Book Antiqua" w:cs="Arial"/>
          <w:b/>
          <w:bCs/>
          <w:sz w:val="24"/>
          <w:szCs w:val="24"/>
        </w:rPr>
        <w:t xml:space="preserve">, relacionada con </w:t>
      </w:r>
      <w:bookmarkEnd w:id="42"/>
      <w:r w:rsidRPr="001D0C10">
        <w:rPr>
          <w:rFonts w:ascii="Book Antiqua" w:eastAsia="Calibri" w:hAnsi="Book Antiqua" w:cs="Arial"/>
          <w:b/>
          <w:bCs/>
          <w:sz w:val="24"/>
          <w:szCs w:val="24"/>
        </w:rPr>
        <w:t xml:space="preserve">el </w:t>
      </w:r>
      <w:r w:rsidR="00CD1FD7" w:rsidRPr="001D0C10">
        <w:rPr>
          <w:rFonts w:ascii="Book Antiqua" w:eastAsia="Calibri" w:hAnsi="Book Antiqua" w:cs="Arial"/>
          <w:b/>
          <w:bCs/>
          <w:sz w:val="24"/>
          <w:szCs w:val="24"/>
        </w:rPr>
        <w:t>“</w:t>
      </w:r>
      <w:r w:rsidR="00CD1FD7" w:rsidRPr="001D0C10">
        <w:rPr>
          <w:rFonts w:ascii="Book Antiqua" w:eastAsia="Calibri" w:hAnsi="Book Antiqua" w:cs="Arial"/>
          <w:i/>
          <w:iCs/>
          <w:sz w:val="24"/>
          <w:szCs w:val="24"/>
        </w:rPr>
        <w:t>A</w:t>
      </w:r>
      <w:r w:rsidRPr="001D0C10">
        <w:rPr>
          <w:rFonts w:ascii="Book Antiqua" w:eastAsia="Calibri" w:hAnsi="Book Antiqua" w:cs="Arial"/>
          <w:i/>
          <w:iCs/>
          <w:sz w:val="24"/>
          <w:szCs w:val="24"/>
        </w:rPr>
        <w:t>nálisis de competencia actual del Juzgado de Familia, de Niñez y Adolescencia, respecto a la entrada de casos en el Juzgado de Familia del I Circuito Judicial de la Zona Sur</w:t>
      </w:r>
      <w:r w:rsidR="00CD1FD7" w:rsidRPr="001D0C10">
        <w:rPr>
          <w:rFonts w:ascii="Book Antiqua" w:eastAsia="Calibri" w:hAnsi="Book Antiqua" w:cs="Arial"/>
          <w:i/>
          <w:iCs/>
          <w:sz w:val="24"/>
          <w:szCs w:val="24"/>
        </w:rPr>
        <w:t>”</w:t>
      </w:r>
      <w:r w:rsidR="00A93034" w:rsidRPr="001D0C10">
        <w:rPr>
          <w:rFonts w:ascii="Book Antiqua" w:eastAsia="Calibri" w:hAnsi="Book Antiqua" w:cs="Arial"/>
          <w:i/>
          <w:iCs/>
          <w:sz w:val="24"/>
          <w:szCs w:val="24"/>
        </w:rPr>
        <w:t>.</w:t>
      </w:r>
    </w:p>
    <w:p w14:paraId="376A88E7" w14:textId="0D12CEFA" w:rsidR="00A67C6A" w:rsidRDefault="00A67C6A" w:rsidP="00355630">
      <w:pPr>
        <w:spacing w:after="0" w:line="276" w:lineRule="auto"/>
        <w:jc w:val="both"/>
        <w:rPr>
          <w:rFonts w:ascii="Book Antiqua" w:eastAsia="Calibri" w:hAnsi="Book Antiqua" w:cs="Arial"/>
          <w:sz w:val="24"/>
          <w:szCs w:val="24"/>
        </w:rPr>
      </w:pPr>
    </w:p>
    <w:p w14:paraId="375AD0C2" w14:textId="77777777" w:rsidR="00426FB3" w:rsidRDefault="00426FB3" w:rsidP="00426FB3">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Dentro del informe 389-PLA-RH-MI-2021, se incluyó como estudio complementario, analizar la competencia del Juzgado de Familia, Niñez y Adolescencia de San José. Lo anterior, con el fin de valorar la necesidad de proponer a Corte Plena un cambio de competencia, dado que en la actualidad los Juzgados de Familia del país conocen entre sus competencias los asuntos de niñez, salvo la provincia de San José, en donde existe el juzgado especializado en estos asuntos.  </w:t>
      </w:r>
    </w:p>
    <w:p w14:paraId="320763D1" w14:textId="1E963CCE" w:rsidR="00426FB3" w:rsidRDefault="00426FB3" w:rsidP="00426FB3">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los </w:t>
      </w:r>
      <w:r w:rsidR="00106DFC">
        <w:rPr>
          <w:rFonts w:ascii="Book Antiqua" w:eastAsia="Calibri" w:hAnsi="Book Antiqua" w:cs="Arial"/>
          <w:sz w:val="24"/>
          <w:szCs w:val="24"/>
        </w:rPr>
        <w:t>casos</w:t>
      </w:r>
      <w:r>
        <w:rPr>
          <w:rFonts w:ascii="Book Antiqua" w:eastAsia="Calibri" w:hAnsi="Book Antiqua" w:cs="Arial"/>
          <w:sz w:val="24"/>
          <w:szCs w:val="24"/>
        </w:rPr>
        <w:t xml:space="preserve"> donde la persona menor de edad reside en San José</w:t>
      </w:r>
      <w:r w:rsidR="00106DFC">
        <w:rPr>
          <w:rFonts w:ascii="Book Antiqua" w:eastAsia="Calibri" w:hAnsi="Book Antiqua" w:cs="Arial"/>
          <w:sz w:val="24"/>
          <w:szCs w:val="24"/>
        </w:rPr>
        <w:t>,</w:t>
      </w:r>
      <w:r>
        <w:rPr>
          <w:rFonts w:ascii="Book Antiqua" w:eastAsia="Calibri" w:hAnsi="Book Antiqua" w:cs="Arial"/>
          <w:sz w:val="24"/>
          <w:szCs w:val="24"/>
        </w:rPr>
        <w:t xml:space="preserve"> en esta misma zona se ubican también los Juzgados de Familia.  Pero en el caso de Pérez Zeledón, existe un Juzgado en su mismo Circuito y aun así los procesos de niñez se tramitan en San José.  </w:t>
      </w:r>
    </w:p>
    <w:p w14:paraId="593354C4" w14:textId="6357643A" w:rsidR="00A93034" w:rsidRDefault="00426FB3"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obtener los insumos necesarios,  desde el inventario 2020, se le solicitó al Juzgado completar una plantilla que les fue suministrada por la Dirección de Planificación con el fin de identificar del total de asuntos entrados en</w:t>
      </w:r>
      <w:r w:rsidR="00A93034">
        <w:rPr>
          <w:rFonts w:ascii="Book Antiqua" w:eastAsia="Calibri" w:hAnsi="Book Antiqua" w:cs="Arial"/>
          <w:sz w:val="24"/>
          <w:szCs w:val="24"/>
        </w:rPr>
        <w:t xml:space="preserve"> los que figura una persona menor de edad</w:t>
      </w:r>
      <w:r>
        <w:rPr>
          <w:rFonts w:ascii="Book Antiqua" w:eastAsia="Calibri" w:hAnsi="Book Antiqua" w:cs="Arial"/>
          <w:sz w:val="24"/>
          <w:szCs w:val="24"/>
        </w:rPr>
        <w:t xml:space="preserve"> provienen de la zona de Pérez Zeledón, pero que por la </w:t>
      </w:r>
      <w:r>
        <w:rPr>
          <w:rFonts w:ascii="Book Antiqua" w:eastAsia="Calibri" w:hAnsi="Book Antiqua" w:cs="Arial"/>
          <w:sz w:val="24"/>
          <w:szCs w:val="24"/>
        </w:rPr>
        <w:lastRenderedPageBreak/>
        <w:t xml:space="preserve">competencia actual del Juzgado de Niñez y Adolescencia de San José, no </w:t>
      </w:r>
      <w:r w:rsidR="00F64BE5">
        <w:rPr>
          <w:rFonts w:ascii="Book Antiqua" w:eastAsia="Calibri" w:hAnsi="Book Antiqua" w:cs="Arial"/>
          <w:sz w:val="24"/>
          <w:szCs w:val="24"/>
        </w:rPr>
        <w:t>ingresan al</w:t>
      </w:r>
      <w:r w:rsidR="00BC442A">
        <w:rPr>
          <w:rFonts w:ascii="Book Antiqua" w:eastAsia="Calibri" w:hAnsi="Book Antiqua" w:cs="Arial"/>
          <w:sz w:val="24"/>
          <w:szCs w:val="24"/>
        </w:rPr>
        <w:t xml:space="preserve"> Juzgado de Familia del </w:t>
      </w:r>
      <w:r>
        <w:rPr>
          <w:rFonts w:ascii="Book Antiqua" w:eastAsia="Calibri" w:hAnsi="Book Antiqua" w:cs="Arial"/>
          <w:sz w:val="24"/>
          <w:szCs w:val="24"/>
        </w:rPr>
        <w:t>Primer</w:t>
      </w:r>
      <w:r w:rsidR="00BC442A">
        <w:rPr>
          <w:rFonts w:ascii="Book Antiqua" w:eastAsia="Calibri" w:hAnsi="Book Antiqua" w:cs="Arial"/>
          <w:sz w:val="24"/>
          <w:szCs w:val="24"/>
        </w:rPr>
        <w:t xml:space="preserve"> Circuito Judicial de la Zona Sur</w:t>
      </w:r>
      <w:r>
        <w:rPr>
          <w:rFonts w:ascii="Book Antiqua" w:eastAsia="Calibri" w:hAnsi="Book Antiqua" w:cs="Arial"/>
          <w:sz w:val="24"/>
          <w:szCs w:val="24"/>
        </w:rPr>
        <w:t>. E</w:t>
      </w:r>
      <w:r w:rsidR="00A67C6A">
        <w:rPr>
          <w:rFonts w:ascii="Book Antiqua" w:eastAsia="Calibri" w:hAnsi="Book Antiqua" w:cs="Arial"/>
          <w:sz w:val="24"/>
          <w:szCs w:val="24"/>
        </w:rPr>
        <w:t xml:space="preserve">n el siguiente cuadro se observa </w:t>
      </w:r>
      <w:r w:rsidR="00A93034">
        <w:rPr>
          <w:rFonts w:ascii="Book Antiqua" w:eastAsia="Calibri" w:hAnsi="Book Antiqua" w:cs="Arial"/>
          <w:sz w:val="24"/>
          <w:szCs w:val="24"/>
        </w:rPr>
        <w:t>la cantidad de casos ingresado</w:t>
      </w:r>
      <w:r w:rsidR="004B2E6C">
        <w:rPr>
          <w:rFonts w:ascii="Book Antiqua" w:eastAsia="Calibri" w:hAnsi="Book Antiqua" w:cs="Arial"/>
          <w:sz w:val="24"/>
          <w:szCs w:val="24"/>
        </w:rPr>
        <w:t>s</w:t>
      </w:r>
      <w:r w:rsidR="00A93034">
        <w:rPr>
          <w:rFonts w:ascii="Book Antiqua" w:eastAsia="Calibri" w:hAnsi="Book Antiqua" w:cs="Arial"/>
          <w:sz w:val="24"/>
          <w:szCs w:val="24"/>
        </w:rPr>
        <w:t xml:space="preserve"> durante </w:t>
      </w:r>
      <w:r w:rsidR="00F64BE5">
        <w:rPr>
          <w:rFonts w:ascii="Book Antiqua" w:eastAsia="Calibri" w:hAnsi="Book Antiqua" w:cs="Arial"/>
          <w:sz w:val="24"/>
          <w:szCs w:val="24"/>
        </w:rPr>
        <w:t>el 2021</w:t>
      </w:r>
      <w:r w:rsidR="00A93034">
        <w:rPr>
          <w:rFonts w:ascii="Book Antiqua" w:eastAsia="Calibri" w:hAnsi="Book Antiqua" w:cs="Arial"/>
          <w:sz w:val="24"/>
          <w:szCs w:val="24"/>
        </w:rPr>
        <w:t>:</w:t>
      </w:r>
    </w:p>
    <w:p w14:paraId="5B4E1C96" w14:textId="49DD2CB2" w:rsidR="00A93034" w:rsidRDefault="00A93034" w:rsidP="00355630">
      <w:pPr>
        <w:spacing w:after="0" w:line="276" w:lineRule="auto"/>
        <w:jc w:val="both"/>
        <w:rPr>
          <w:rFonts w:ascii="Book Antiqua" w:eastAsia="Calibri" w:hAnsi="Book Antiqua" w:cs="Arial"/>
          <w:sz w:val="24"/>
          <w:szCs w:val="24"/>
        </w:rPr>
      </w:pPr>
    </w:p>
    <w:p w14:paraId="02EAB26E" w14:textId="3A54B485" w:rsidR="00A93034" w:rsidRPr="000330F0" w:rsidRDefault="00A93034" w:rsidP="00A9303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39</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255926C6" w14:textId="5435C9B5" w:rsidR="00A93034" w:rsidRDefault="00A93034" w:rsidP="00A93034">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Casos ingresados </w:t>
      </w:r>
      <w:r w:rsidR="00426FB3">
        <w:rPr>
          <w:rFonts w:ascii="Book Antiqua" w:eastAsia="Calibri" w:hAnsi="Book Antiqua" w:cs="Arial"/>
          <w:b/>
          <w:bCs/>
          <w:color w:val="1F497D"/>
          <w:szCs w:val="24"/>
          <w:lang w:val="es-ES" w:eastAsia="es-ES"/>
        </w:rPr>
        <w:t xml:space="preserve">en </w:t>
      </w:r>
      <w:r w:rsidR="00856A3C">
        <w:rPr>
          <w:rFonts w:ascii="Book Antiqua" w:eastAsia="Calibri" w:hAnsi="Book Antiqua" w:cs="Arial"/>
          <w:b/>
          <w:bCs/>
          <w:color w:val="1F497D"/>
          <w:szCs w:val="24"/>
          <w:lang w:val="es-ES" w:eastAsia="es-ES"/>
        </w:rPr>
        <w:t xml:space="preserve">el </w:t>
      </w:r>
      <w:r w:rsidRPr="000330F0">
        <w:rPr>
          <w:rFonts w:ascii="Book Antiqua" w:eastAsia="Calibri" w:hAnsi="Book Antiqua" w:cs="Arial"/>
          <w:b/>
          <w:bCs/>
          <w:color w:val="1F497D"/>
          <w:szCs w:val="24"/>
          <w:lang w:val="es-ES" w:eastAsia="es-ES"/>
        </w:rPr>
        <w:t>Juzgado</w:t>
      </w:r>
      <w:r>
        <w:rPr>
          <w:rFonts w:ascii="Book Antiqua" w:eastAsia="Calibri" w:hAnsi="Book Antiqua" w:cs="Arial"/>
          <w:b/>
          <w:bCs/>
          <w:color w:val="1F497D"/>
          <w:szCs w:val="24"/>
          <w:lang w:val="es-ES" w:eastAsia="es-ES"/>
        </w:rPr>
        <w:t>s</w:t>
      </w:r>
      <w:r w:rsidRPr="000330F0">
        <w:rPr>
          <w:rFonts w:ascii="Book Antiqua" w:eastAsia="Calibri" w:hAnsi="Book Antiqua" w:cs="Arial"/>
          <w:b/>
          <w:bCs/>
          <w:color w:val="1F497D"/>
          <w:szCs w:val="24"/>
          <w:lang w:val="es-ES" w:eastAsia="es-ES"/>
        </w:rPr>
        <w:t xml:space="preserve"> de Familia, de Niñez y Adolescencia</w:t>
      </w:r>
      <w:r w:rsidR="00426FB3">
        <w:rPr>
          <w:rFonts w:ascii="Book Antiqua" w:eastAsia="Calibri" w:hAnsi="Book Antiqua" w:cs="Arial"/>
          <w:b/>
          <w:bCs/>
          <w:color w:val="1F497D"/>
          <w:szCs w:val="24"/>
          <w:lang w:val="es-ES" w:eastAsia="es-ES"/>
        </w:rPr>
        <w:t>, donde</w:t>
      </w:r>
      <w:r w:rsidR="00856A3C" w:rsidRPr="00856A3C">
        <w:rPr>
          <w:rFonts w:ascii="Book Antiqua" w:eastAsia="Calibri" w:hAnsi="Book Antiqua" w:cs="Arial"/>
          <w:b/>
          <w:bCs/>
          <w:color w:val="1F497D"/>
          <w:szCs w:val="24"/>
          <w:lang w:val="es-ES" w:eastAsia="es-ES"/>
        </w:rPr>
        <w:t xml:space="preserve"> </w:t>
      </w:r>
      <w:r w:rsidR="00856A3C">
        <w:rPr>
          <w:rFonts w:ascii="Book Antiqua" w:eastAsia="Calibri" w:hAnsi="Book Antiqua" w:cs="Arial"/>
          <w:b/>
          <w:bCs/>
          <w:color w:val="1F497D"/>
          <w:szCs w:val="24"/>
          <w:lang w:val="es-ES" w:eastAsia="es-ES"/>
        </w:rPr>
        <w:t xml:space="preserve">el </w:t>
      </w:r>
      <w:r w:rsidR="00856A3C" w:rsidRPr="00856A3C">
        <w:rPr>
          <w:rFonts w:ascii="Book Antiqua" w:eastAsia="Calibri" w:hAnsi="Book Antiqua" w:cs="Arial"/>
          <w:b/>
          <w:bCs/>
          <w:color w:val="1F497D"/>
          <w:szCs w:val="24"/>
          <w:lang w:val="es-ES" w:eastAsia="es-ES"/>
        </w:rPr>
        <w:t>lugar de residencia del menor es Pérez Zeledón</w:t>
      </w:r>
      <w:r w:rsidR="00856A3C">
        <w:rPr>
          <w:rFonts w:ascii="Book Antiqua" w:eastAsia="Calibri" w:hAnsi="Book Antiqua" w:cs="Arial"/>
          <w:b/>
          <w:bCs/>
          <w:color w:val="1F497D"/>
          <w:szCs w:val="24"/>
          <w:lang w:val="es-ES" w:eastAsia="es-ES"/>
        </w:rPr>
        <w:t xml:space="preserve">, durante el </w:t>
      </w:r>
      <w:r w:rsidRPr="000330F0">
        <w:rPr>
          <w:rFonts w:ascii="Book Antiqua" w:eastAsia="Calibri" w:hAnsi="Book Antiqua" w:cs="Arial"/>
          <w:b/>
          <w:bCs/>
          <w:color w:val="1F497D"/>
          <w:szCs w:val="24"/>
          <w:lang w:val="es-ES" w:eastAsia="es-ES"/>
        </w:rPr>
        <w:t>20</w:t>
      </w:r>
      <w:r>
        <w:rPr>
          <w:rFonts w:ascii="Book Antiqua" w:eastAsia="Calibri" w:hAnsi="Book Antiqua" w:cs="Arial"/>
          <w:b/>
          <w:bCs/>
          <w:color w:val="1F497D"/>
          <w:szCs w:val="24"/>
          <w:lang w:val="es-ES" w:eastAsia="es-ES"/>
        </w:rPr>
        <w:t>21</w:t>
      </w:r>
    </w:p>
    <w:tbl>
      <w:tblPr>
        <w:tblW w:w="5000" w:type="pct"/>
        <w:tblCellMar>
          <w:left w:w="70" w:type="dxa"/>
          <w:right w:w="70" w:type="dxa"/>
        </w:tblCellMar>
        <w:tblLook w:val="04A0" w:firstRow="1" w:lastRow="0" w:firstColumn="1" w:lastColumn="0" w:noHBand="0" w:noVBand="1"/>
      </w:tblPr>
      <w:tblGrid>
        <w:gridCol w:w="5168"/>
        <w:gridCol w:w="1793"/>
        <w:gridCol w:w="1867"/>
      </w:tblGrid>
      <w:tr w:rsidR="00230DDD" w:rsidRPr="00230DDD" w14:paraId="58C6B046" w14:textId="77777777" w:rsidTr="00230DDD">
        <w:trPr>
          <w:trHeight w:val="1270"/>
        </w:trPr>
        <w:tc>
          <w:tcPr>
            <w:tcW w:w="2819" w:type="pct"/>
            <w:vMerge w:val="restart"/>
            <w:tcBorders>
              <w:top w:val="single" w:sz="4" w:space="0" w:color="auto"/>
              <w:left w:val="single" w:sz="4" w:space="0" w:color="auto"/>
              <w:bottom w:val="single" w:sz="4" w:space="0" w:color="000000"/>
              <w:right w:val="single" w:sz="4" w:space="0" w:color="auto"/>
            </w:tcBorders>
            <w:shd w:val="clear" w:color="008080" w:fill="002060"/>
            <w:vAlign w:val="center"/>
            <w:hideMark/>
          </w:tcPr>
          <w:p w14:paraId="52FD5E76" w14:textId="77777777" w:rsidR="00230DDD" w:rsidRPr="00230DDD" w:rsidRDefault="00230DDD" w:rsidP="00230DDD">
            <w:pPr>
              <w:spacing w:after="0" w:line="240" w:lineRule="auto"/>
              <w:jc w:val="center"/>
              <w:rPr>
                <w:rFonts w:ascii="Book Antiqua" w:eastAsia="Times New Roman" w:hAnsi="Book Antiqua" w:cs="Calibri"/>
                <w:color w:val="FFFFFF"/>
                <w:lang w:eastAsia="es-CR"/>
              </w:rPr>
            </w:pPr>
            <w:r w:rsidRPr="00230DDD">
              <w:rPr>
                <w:rFonts w:ascii="Book Antiqua" w:eastAsia="Times New Roman" w:hAnsi="Book Antiqua" w:cs="Calibri"/>
                <w:color w:val="FFFFFF"/>
                <w:lang w:eastAsia="es-CR"/>
              </w:rPr>
              <w:t>Número de Expediente asuntos de Niñez y Adolescencia en donde lugar de residencia del menor es Pérez Zeledón</w:t>
            </w:r>
          </w:p>
        </w:tc>
        <w:tc>
          <w:tcPr>
            <w:tcW w:w="2181" w:type="pct"/>
            <w:gridSpan w:val="2"/>
            <w:tcBorders>
              <w:top w:val="single" w:sz="4" w:space="0" w:color="auto"/>
              <w:left w:val="nil"/>
              <w:bottom w:val="single" w:sz="4" w:space="0" w:color="auto"/>
              <w:right w:val="single" w:sz="4" w:space="0" w:color="auto"/>
            </w:tcBorders>
            <w:shd w:val="clear" w:color="008080" w:fill="002060"/>
            <w:vAlign w:val="center"/>
            <w:hideMark/>
          </w:tcPr>
          <w:p w14:paraId="5D1DBC1E" w14:textId="77777777" w:rsidR="00230DDD" w:rsidRPr="00230DDD" w:rsidRDefault="00230DDD" w:rsidP="00230DDD">
            <w:pPr>
              <w:spacing w:after="0" w:line="240" w:lineRule="auto"/>
              <w:jc w:val="center"/>
              <w:rPr>
                <w:rFonts w:ascii="Book Antiqua" w:eastAsia="Times New Roman" w:hAnsi="Book Antiqua" w:cs="Calibri"/>
                <w:color w:val="FFFFFF"/>
                <w:lang w:eastAsia="es-CR"/>
              </w:rPr>
            </w:pPr>
            <w:r w:rsidRPr="00230DDD">
              <w:rPr>
                <w:rFonts w:ascii="Book Antiqua" w:eastAsia="Times New Roman" w:hAnsi="Book Antiqua" w:cs="Calibri"/>
                <w:color w:val="FFFFFF"/>
                <w:lang w:eastAsia="es-CR"/>
              </w:rPr>
              <w:t>Fecha de entrada del expediente</w:t>
            </w:r>
          </w:p>
        </w:tc>
      </w:tr>
      <w:tr w:rsidR="00230DDD" w:rsidRPr="00230DDD" w14:paraId="31AA66D3" w14:textId="77777777" w:rsidTr="00230DDD">
        <w:trPr>
          <w:trHeight w:val="290"/>
        </w:trPr>
        <w:tc>
          <w:tcPr>
            <w:tcW w:w="2819" w:type="pct"/>
            <w:vMerge/>
            <w:tcBorders>
              <w:top w:val="single" w:sz="4" w:space="0" w:color="auto"/>
              <w:left w:val="single" w:sz="4" w:space="0" w:color="auto"/>
              <w:bottom w:val="single" w:sz="4" w:space="0" w:color="000000"/>
              <w:right w:val="single" w:sz="4" w:space="0" w:color="auto"/>
            </w:tcBorders>
            <w:vAlign w:val="center"/>
            <w:hideMark/>
          </w:tcPr>
          <w:p w14:paraId="5965646A" w14:textId="77777777" w:rsidR="00230DDD" w:rsidRPr="00230DDD" w:rsidRDefault="00230DDD" w:rsidP="00230DDD">
            <w:pPr>
              <w:spacing w:after="0" w:line="240" w:lineRule="auto"/>
              <w:rPr>
                <w:rFonts w:ascii="Book Antiqua" w:eastAsia="Times New Roman" w:hAnsi="Book Antiqua" w:cs="Calibri"/>
                <w:color w:val="FFFFFF"/>
                <w:lang w:eastAsia="es-CR"/>
              </w:rPr>
            </w:pPr>
          </w:p>
        </w:tc>
        <w:tc>
          <w:tcPr>
            <w:tcW w:w="1070" w:type="pct"/>
            <w:tcBorders>
              <w:top w:val="nil"/>
              <w:left w:val="nil"/>
              <w:bottom w:val="single" w:sz="4" w:space="0" w:color="auto"/>
              <w:right w:val="single" w:sz="4" w:space="0" w:color="auto"/>
            </w:tcBorders>
            <w:shd w:val="clear" w:color="008080" w:fill="002060"/>
            <w:vAlign w:val="center"/>
            <w:hideMark/>
          </w:tcPr>
          <w:p w14:paraId="21CA216F" w14:textId="77777777" w:rsidR="00230DDD" w:rsidRPr="00230DDD" w:rsidRDefault="00230DDD" w:rsidP="00230DDD">
            <w:pPr>
              <w:spacing w:after="0" w:line="240" w:lineRule="auto"/>
              <w:jc w:val="center"/>
              <w:rPr>
                <w:rFonts w:ascii="Book Antiqua" w:eastAsia="Times New Roman" w:hAnsi="Book Antiqua" w:cs="Calibri"/>
                <w:color w:val="FFFFFF"/>
                <w:lang w:eastAsia="es-CR"/>
              </w:rPr>
            </w:pPr>
            <w:r w:rsidRPr="00230DDD">
              <w:rPr>
                <w:rFonts w:ascii="Book Antiqua" w:eastAsia="Times New Roman" w:hAnsi="Book Antiqua" w:cs="Calibri"/>
                <w:color w:val="FFFFFF"/>
                <w:lang w:eastAsia="es-CR"/>
              </w:rPr>
              <w:t>Año</w:t>
            </w:r>
          </w:p>
        </w:tc>
        <w:tc>
          <w:tcPr>
            <w:tcW w:w="1111" w:type="pct"/>
            <w:tcBorders>
              <w:top w:val="nil"/>
              <w:left w:val="nil"/>
              <w:bottom w:val="single" w:sz="4" w:space="0" w:color="auto"/>
              <w:right w:val="single" w:sz="4" w:space="0" w:color="auto"/>
            </w:tcBorders>
            <w:shd w:val="clear" w:color="008080" w:fill="002060"/>
            <w:vAlign w:val="center"/>
            <w:hideMark/>
          </w:tcPr>
          <w:p w14:paraId="62715A84" w14:textId="77777777" w:rsidR="00230DDD" w:rsidRPr="00230DDD" w:rsidRDefault="00230DDD" w:rsidP="00230DDD">
            <w:pPr>
              <w:spacing w:after="0" w:line="240" w:lineRule="auto"/>
              <w:jc w:val="center"/>
              <w:rPr>
                <w:rFonts w:ascii="Book Antiqua" w:eastAsia="Times New Roman" w:hAnsi="Book Antiqua" w:cs="Calibri"/>
                <w:color w:val="FFFFFF"/>
                <w:lang w:eastAsia="es-CR"/>
              </w:rPr>
            </w:pPr>
            <w:r w:rsidRPr="00230DDD">
              <w:rPr>
                <w:rFonts w:ascii="Book Antiqua" w:eastAsia="Times New Roman" w:hAnsi="Book Antiqua" w:cs="Calibri"/>
                <w:color w:val="FFFFFF"/>
                <w:lang w:eastAsia="es-CR"/>
              </w:rPr>
              <w:t>Mes</w:t>
            </w:r>
          </w:p>
        </w:tc>
      </w:tr>
      <w:tr w:rsidR="00230DDD" w:rsidRPr="00230DDD" w14:paraId="2E91F41A"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1378391" w14:textId="2827A641"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21-000061-0673-NA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9BF467C"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3A000A25"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Enero</w:t>
            </w:r>
          </w:p>
        </w:tc>
      </w:tr>
      <w:tr w:rsidR="00230DDD" w:rsidRPr="00230DDD" w14:paraId="12A2DA05"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04E47F0" w14:textId="73307E3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21-000063-0673-NA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462A8865"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8BF6C1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Enero</w:t>
            </w:r>
          </w:p>
        </w:tc>
      </w:tr>
      <w:tr w:rsidR="00230DDD" w:rsidRPr="00230DDD" w14:paraId="51284C76"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C92AA9E" w14:textId="3DACCCA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21-000066-0673-NA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1A816BC"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87D11F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Enero</w:t>
            </w:r>
          </w:p>
        </w:tc>
      </w:tr>
      <w:tr w:rsidR="00230DDD" w:rsidRPr="00230DDD" w14:paraId="1CD2D71A"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20A2921" w14:textId="3C708FAF"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21-000083-0673-NA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2AD89DCC"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32A678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Febrero</w:t>
            </w:r>
          </w:p>
        </w:tc>
      </w:tr>
      <w:tr w:rsidR="00230DDD" w:rsidRPr="00230DDD" w14:paraId="1A35E5B8"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5F92BC3D" w14:textId="1CCD090B"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21-000097-0673-NA </w:t>
            </w:r>
            <w:r w:rsidR="003419D1">
              <w:rPr>
                <w:rFonts w:ascii="Book Antiqua" w:eastAsia="Times New Roman" w:hAnsi="Book Antiqua" w:cs="Calibri"/>
                <w:color w:val="000000"/>
                <w:lang w:eastAsia="es-CR"/>
              </w:rPr>
              <w:t>(Suspensión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1B4C480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874F708"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Febrero</w:t>
            </w:r>
          </w:p>
        </w:tc>
      </w:tr>
      <w:tr w:rsidR="00230DDD" w:rsidRPr="00230DDD" w14:paraId="444ABE3B"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20BA8855" w14:textId="30836341"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21-000108-0673-NA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2F0CD91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AF1AB7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Febrero</w:t>
            </w:r>
          </w:p>
        </w:tc>
      </w:tr>
      <w:tr w:rsidR="00230DDD" w:rsidRPr="00230DDD" w14:paraId="6DF4B1AD"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270AF69" w14:textId="3FE5F65B"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21-000143-0673-NA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3805F7A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7FBB25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Febrero</w:t>
            </w:r>
          </w:p>
        </w:tc>
      </w:tr>
      <w:tr w:rsidR="00230DDD" w:rsidRPr="00230DDD" w14:paraId="46789365"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5F513B66" w14:textId="60BB4032"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21-000145-0673-NA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4A60942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6200BF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Marzo</w:t>
            </w:r>
          </w:p>
        </w:tc>
      </w:tr>
      <w:tr w:rsidR="00230DDD" w:rsidRPr="00230DDD" w14:paraId="1D7F2C73"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ABB633C" w14:textId="6ADF8C57"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21-000228-0673-NA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21DAAA9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CCF731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Marzo</w:t>
            </w:r>
          </w:p>
        </w:tc>
      </w:tr>
      <w:tr w:rsidR="00230DDD" w:rsidRPr="00230DDD" w14:paraId="3EC79BD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2D8EB41" w14:textId="00D0366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21-000238-0673-NA </w:t>
            </w:r>
            <w:r w:rsidR="00073A93">
              <w:rPr>
                <w:rFonts w:ascii="Book Antiqua" w:eastAsia="Times New Roman" w:hAnsi="Book Antiqua" w:cs="Calibri"/>
                <w:color w:val="000000"/>
                <w:lang w:eastAsia="es-CR"/>
              </w:rPr>
              <w:t>(Depósito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46C5EE4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32533FE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Abril</w:t>
            </w:r>
          </w:p>
        </w:tc>
      </w:tr>
      <w:tr w:rsidR="00230DDD" w:rsidRPr="00230DDD" w14:paraId="7FD488BC"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AB385C5" w14:textId="1D3C7C86"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21-000270-0673-NA</w:t>
            </w:r>
            <w:r w:rsidR="009B085C">
              <w:rPr>
                <w:rFonts w:ascii="Book Antiqua" w:eastAsia="Times New Roman" w:hAnsi="Book Antiqua" w:cs="Calibri"/>
                <w:color w:val="000000"/>
                <w:lang w:eastAsia="es-CR"/>
              </w:rPr>
              <w:t xml:space="preserve"> (Declaración de Abandono)</w:t>
            </w:r>
          </w:p>
        </w:tc>
        <w:tc>
          <w:tcPr>
            <w:tcW w:w="1070" w:type="pct"/>
            <w:tcBorders>
              <w:top w:val="nil"/>
              <w:left w:val="nil"/>
              <w:bottom w:val="single" w:sz="4" w:space="0" w:color="auto"/>
              <w:right w:val="single" w:sz="4" w:space="0" w:color="auto"/>
            </w:tcBorders>
            <w:shd w:val="clear" w:color="auto" w:fill="auto"/>
            <w:noWrap/>
            <w:vAlign w:val="bottom"/>
            <w:hideMark/>
          </w:tcPr>
          <w:p w14:paraId="241F7C2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6EBD19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Abril</w:t>
            </w:r>
          </w:p>
        </w:tc>
      </w:tr>
      <w:tr w:rsidR="00230DDD" w:rsidRPr="00230DDD" w14:paraId="4B0F00A3"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78E904E" w14:textId="02F46F1E"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21-000271-0673-NA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5342CB7D"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4855B5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Abril</w:t>
            </w:r>
          </w:p>
        </w:tc>
      </w:tr>
      <w:tr w:rsidR="00230DDD" w:rsidRPr="00230DDD" w14:paraId="181CC85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9983EBD" w14:textId="1517D766"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21-000275-0673-NA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00ABA41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3C3C300"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Abril</w:t>
            </w:r>
          </w:p>
        </w:tc>
      </w:tr>
      <w:tr w:rsidR="00230DDD" w:rsidRPr="00230DDD" w14:paraId="232B481D"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233F9CA3" w14:textId="350C73A9"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21-000307-0673-NA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A68CE90"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01C950B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Abril</w:t>
            </w:r>
          </w:p>
        </w:tc>
      </w:tr>
      <w:tr w:rsidR="00230DDD" w:rsidRPr="00230DDD" w14:paraId="69E9630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63FA841" w14:textId="4A9D2B2D"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21-000425-0673-NA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23268EF8"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947934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Junio</w:t>
            </w:r>
          </w:p>
        </w:tc>
      </w:tr>
      <w:tr w:rsidR="00230DDD" w:rsidRPr="00230DDD" w14:paraId="7D95B897"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9880C42" w14:textId="763D5FE7"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21-000476-0673-NA</w:t>
            </w:r>
            <w:r w:rsidR="00EF44DC">
              <w:rPr>
                <w:rFonts w:ascii="Book Antiqua" w:eastAsia="Times New Roman" w:hAnsi="Book Antiqua" w:cs="Calibri"/>
                <w:color w:val="000000"/>
                <w:lang w:eastAsia="es-CR"/>
              </w:rPr>
              <w:t xml:space="preserve"> (Tutela)</w:t>
            </w:r>
          </w:p>
        </w:tc>
        <w:tc>
          <w:tcPr>
            <w:tcW w:w="1070" w:type="pct"/>
            <w:tcBorders>
              <w:top w:val="nil"/>
              <w:left w:val="nil"/>
              <w:bottom w:val="single" w:sz="4" w:space="0" w:color="auto"/>
              <w:right w:val="single" w:sz="4" w:space="0" w:color="auto"/>
            </w:tcBorders>
            <w:shd w:val="clear" w:color="auto" w:fill="auto"/>
            <w:noWrap/>
            <w:vAlign w:val="bottom"/>
            <w:hideMark/>
          </w:tcPr>
          <w:p w14:paraId="334B133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22D43F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Junio</w:t>
            </w:r>
          </w:p>
        </w:tc>
      </w:tr>
      <w:tr w:rsidR="00230DDD" w:rsidRPr="00230DDD" w14:paraId="59982FE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3D772D6" w14:textId="3F87AB8E"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21-000482-0673-NA</w:t>
            </w:r>
            <w:r w:rsidR="00EF44DC">
              <w:rPr>
                <w:rFonts w:ascii="Book Antiqua" w:eastAsia="Times New Roman" w:hAnsi="Book Antiqua" w:cs="Calibri"/>
                <w:color w:val="000000"/>
                <w:lang w:eastAsia="es-CR"/>
              </w:rPr>
              <w:t xml:space="preserve"> (Adopción)</w:t>
            </w:r>
          </w:p>
        </w:tc>
        <w:tc>
          <w:tcPr>
            <w:tcW w:w="1070" w:type="pct"/>
            <w:tcBorders>
              <w:top w:val="nil"/>
              <w:left w:val="nil"/>
              <w:bottom w:val="single" w:sz="4" w:space="0" w:color="auto"/>
              <w:right w:val="single" w:sz="4" w:space="0" w:color="auto"/>
            </w:tcBorders>
            <w:shd w:val="clear" w:color="auto" w:fill="auto"/>
            <w:noWrap/>
            <w:vAlign w:val="bottom"/>
            <w:hideMark/>
          </w:tcPr>
          <w:p w14:paraId="2B5D70D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3ABF57CD"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Junio</w:t>
            </w:r>
          </w:p>
        </w:tc>
      </w:tr>
      <w:tr w:rsidR="00230DDD" w:rsidRPr="00230DDD" w14:paraId="39C9EF00"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E73C335" w14:textId="0A8E3AA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21-000531-0673-NA </w:t>
            </w:r>
            <w:r w:rsidR="001367B9">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A14AAD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05EB954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Julio</w:t>
            </w:r>
          </w:p>
        </w:tc>
      </w:tr>
      <w:tr w:rsidR="00230DDD" w:rsidRPr="00230DDD" w14:paraId="791F0607"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2E2ADAB" w14:textId="31F8AE1C"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21-000557-0673-NA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1D2D245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7D8897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Julio</w:t>
            </w:r>
          </w:p>
        </w:tc>
      </w:tr>
      <w:tr w:rsidR="00230DDD" w:rsidRPr="00230DDD" w14:paraId="4A97F62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6372C49" w14:textId="563C5A6C"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21-000600-0673-NA </w:t>
            </w:r>
            <w:r w:rsidR="003419D1">
              <w:rPr>
                <w:rFonts w:ascii="Book Antiqua" w:eastAsia="Times New Roman" w:hAnsi="Book Antiqua" w:cs="Calibri"/>
                <w:color w:val="000000"/>
                <w:lang w:eastAsia="es-CR"/>
              </w:rPr>
              <w:t>(Suspensión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7DAABC2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A019AA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Agosto</w:t>
            </w:r>
          </w:p>
        </w:tc>
      </w:tr>
      <w:tr w:rsidR="00230DDD" w:rsidRPr="00230DDD" w14:paraId="3AB2C0F6"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2CA1F90" w14:textId="0BB35889"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21-000623-0673-NA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F29AD6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CEE3D4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Agosto</w:t>
            </w:r>
          </w:p>
        </w:tc>
      </w:tr>
      <w:tr w:rsidR="00230DDD" w:rsidRPr="00230DDD" w14:paraId="6A0D5D33"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6A17F38" w14:textId="2C3C3187"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21-000631-0673-NA</w:t>
            </w:r>
            <w:r w:rsidR="008C3B77">
              <w:rPr>
                <w:rFonts w:ascii="Book Antiqua" w:eastAsia="Times New Roman" w:hAnsi="Book Antiqua" w:cs="Calibri"/>
                <w:color w:val="000000"/>
                <w:lang w:eastAsia="es-CR"/>
              </w:rPr>
              <w:t xml:space="preserve"> </w:t>
            </w:r>
            <w:r w:rsidR="00073A93">
              <w:rPr>
                <w:rFonts w:ascii="Book Antiqua" w:eastAsia="Times New Roman" w:hAnsi="Book Antiqua" w:cs="Calibri"/>
                <w:color w:val="000000"/>
                <w:lang w:eastAsia="es-CR"/>
              </w:rPr>
              <w:t>(Depósito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2C9A901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09688DD"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Agosto</w:t>
            </w:r>
          </w:p>
        </w:tc>
      </w:tr>
      <w:tr w:rsidR="00230DDD" w:rsidRPr="00230DDD" w14:paraId="286BD96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DBD6258" w14:textId="189A9849"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21-000645-0673-NA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0572844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548E452"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Agosto</w:t>
            </w:r>
          </w:p>
        </w:tc>
      </w:tr>
      <w:tr w:rsidR="00230DDD" w:rsidRPr="00230DDD" w14:paraId="7E88366E"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C814147" w14:textId="52A89D36"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21-000661-0673-NA</w:t>
            </w:r>
            <w:r w:rsidR="009B085C">
              <w:rPr>
                <w:rFonts w:ascii="Book Antiqua" w:eastAsia="Times New Roman" w:hAnsi="Book Antiqua" w:cs="Calibri"/>
                <w:color w:val="000000"/>
                <w:lang w:eastAsia="es-CR"/>
              </w:rPr>
              <w:t xml:space="preserve"> (Declaración de Abandono)</w:t>
            </w:r>
          </w:p>
        </w:tc>
        <w:tc>
          <w:tcPr>
            <w:tcW w:w="1070" w:type="pct"/>
            <w:tcBorders>
              <w:top w:val="nil"/>
              <w:left w:val="nil"/>
              <w:bottom w:val="single" w:sz="4" w:space="0" w:color="auto"/>
              <w:right w:val="single" w:sz="4" w:space="0" w:color="auto"/>
            </w:tcBorders>
            <w:shd w:val="clear" w:color="auto" w:fill="auto"/>
            <w:noWrap/>
            <w:vAlign w:val="bottom"/>
            <w:hideMark/>
          </w:tcPr>
          <w:p w14:paraId="15B2255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E4F980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Agosto</w:t>
            </w:r>
          </w:p>
        </w:tc>
      </w:tr>
      <w:tr w:rsidR="00230DDD" w:rsidRPr="00230DDD" w14:paraId="1CE3020C"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A9D1DC2" w14:textId="00B7B88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21-000720-0673-NA </w:t>
            </w:r>
            <w:r w:rsidR="008C3B77">
              <w:rPr>
                <w:rFonts w:ascii="Book Antiqua" w:eastAsia="Times New Roman" w:hAnsi="Book Antiqua" w:cs="Calibri"/>
                <w:color w:val="000000"/>
                <w:lang w:eastAsia="es-CR"/>
              </w:rPr>
              <w:t>(Suspensión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088B88CD"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C0BD478"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Septiembre</w:t>
            </w:r>
          </w:p>
        </w:tc>
      </w:tr>
      <w:tr w:rsidR="00230DDD" w:rsidRPr="00230DDD" w14:paraId="5437C584"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BD242FA" w14:textId="53BC52F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21-000752-0673-NA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5C6048A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4CF6A8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Septiembre</w:t>
            </w:r>
          </w:p>
        </w:tc>
      </w:tr>
      <w:tr w:rsidR="00230DDD" w:rsidRPr="00230DDD" w14:paraId="6F1EBEB9"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AA14393" w14:textId="258A5FDC"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21-000756-0673-NA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17AA4A7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AF6F4E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Septiembre</w:t>
            </w:r>
          </w:p>
        </w:tc>
      </w:tr>
      <w:tr w:rsidR="00230DDD" w:rsidRPr="00230DDD" w14:paraId="43B8DBF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987BA05" w14:textId="488C5237"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lastRenderedPageBreak/>
              <w:t xml:space="preserve">21-000759-0673-NA </w:t>
            </w:r>
            <w:r w:rsidR="001367B9">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36F7FA3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246730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6A5065B5"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25DA900F" w14:textId="5D14A86D"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21-000760-0673-NA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4CD54B5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2DB7414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6D3C32B0"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295AC8F1" w14:textId="7B2A64BB"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21-000761-0673-NA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1ADB868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2C43BE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0E645FD4"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971754F" w14:textId="3087F2AA"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21-000764-0673-NA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50AE3CC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75E7968"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67F095E3"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BBD01B6" w14:textId="4DBA00B2"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21-000766-0673-NA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CF777B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CB85DBB"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5521C15C"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3B32632" w14:textId="31835C5A"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21-000787-0673-NA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ACD01E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05CE4460"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062FC3E6"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B03BFE4" w14:textId="2A455C3F"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21-000793-0673-NA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29E53CA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A54E70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4EC81F28"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17B058D" w14:textId="29AF5CD9"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21-000796-0673-NA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1790D88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2ACE7E18"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7AF4922B"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6E602376" w14:textId="5AF619E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21-000798-0673-NA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93D4F37"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014D9C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7CC28E1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0F47909" w14:textId="5191662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21-000808-0673-NA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3DD4060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09F7A6B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Octubre</w:t>
            </w:r>
          </w:p>
        </w:tc>
      </w:tr>
      <w:tr w:rsidR="00230DDD" w:rsidRPr="00230DDD" w14:paraId="4D79B7F0"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ED1241A" w14:textId="584B626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21-000871-0673-NA</w:t>
            </w:r>
            <w:r w:rsidR="008C3B77">
              <w:rPr>
                <w:rFonts w:ascii="Book Antiqua" w:eastAsia="Times New Roman" w:hAnsi="Book Antiqua" w:cs="Calibri"/>
                <w:color w:val="000000"/>
                <w:lang w:eastAsia="es-CR"/>
              </w:rPr>
              <w:t xml:space="preserve"> (Suspensión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4862D21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2226B4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48C5F80E"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519260C8" w14:textId="45FCD4A4"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21-000875-0673-NA</w:t>
            </w:r>
            <w:r w:rsidR="008C3B77">
              <w:rPr>
                <w:rFonts w:ascii="Book Antiqua" w:eastAsia="Times New Roman" w:hAnsi="Book Antiqua" w:cs="Calibri"/>
                <w:color w:val="000000"/>
                <w:lang w:eastAsia="es-CR"/>
              </w:rPr>
              <w:t xml:space="preserve"> (Suspensión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7797B66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23CFD1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18213D5E"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6DC9FA5D" w14:textId="52082F1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21-000889-0673-NA </w:t>
            </w:r>
            <w:r w:rsidR="001367B9">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896B45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891B032"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22E10845"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E3BF266" w14:textId="67FECFE6"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21-000894-0673-NA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6CCF162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F92EED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60CD1C7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2E06FCF5" w14:textId="3CDED2B2"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21-000895-0673-NA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D231E3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274A19D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2E47698B"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ED25BBE" w14:textId="4CF5BDB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21-000899-0673-NA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071650A2"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E200AB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6EFED38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4A8BE5C" w14:textId="586F28AE"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21-000920-0673-NA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589B8020"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08F280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1B225509"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4104E297" w14:textId="19C187C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21-000921-0673-NA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37595E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01044045"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715F5D0D"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F24F611" w14:textId="45DC0614"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21-000922-0673-NA</w:t>
            </w:r>
            <w:r w:rsidR="00D35E28">
              <w:rPr>
                <w:rFonts w:ascii="Book Antiqua" w:eastAsia="Times New Roman" w:hAnsi="Book Antiqua" w:cs="Calibri"/>
                <w:color w:val="000000"/>
                <w:lang w:eastAsia="es-CR"/>
              </w:rPr>
              <w:t xml:space="preserve"> (Proceso Esp. </w:t>
            </w:r>
            <w:r w:rsidR="00E85731">
              <w:rPr>
                <w:rFonts w:ascii="Book Antiqua" w:eastAsia="Times New Roman" w:hAnsi="Book Antiqua" w:cs="Calibri"/>
                <w:color w:val="000000"/>
                <w:lang w:eastAsia="es-CR"/>
              </w:rPr>
              <w:t>D</w:t>
            </w:r>
            <w:r w:rsidR="00D35E28">
              <w:rPr>
                <w:rFonts w:ascii="Book Antiqua" w:eastAsia="Times New Roman" w:hAnsi="Book Antiqua" w:cs="Calibri"/>
                <w:color w:val="000000"/>
                <w:lang w:eastAsia="es-CR"/>
              </w:rPr>
              <w:t>e Protección)</w:t>
            </w:r>
          </w:p>
        </w:tc>
        <w:tc>
          <w:tcPr>
            <w:tcW w:w="1070" w:type="pct"/>
            <w:tcBorders>
              <w:top w:val="nil"/>
              <w:left w:val="nil"/>
              <w:bottom w:val="single" w:sz="4" w:space="0" w:color="auto"/>
              <w:right w:val="single" w:sz="4" w:space="0" w:color="auto"/>
            </w:tcBorders>
            <w:shd w:val="clear" w:color="auto" w:fill="auto"/>
            <w:noWrap/>
            <w:vAlign w:val="bottom"/>
            <w:hideMark/>
          </w:tcPr>
          <w:p w14:paraId="1800A735"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6C1B60D9"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7FCE9362"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7281B9D3" w14:textId="3082C60B"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21-000927-0673-NA </w:t>
            </w:r>
            <w:r w:rsidR="001367B9">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75C2C87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C915DF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Noviembre</w:t>
            </w:r>
          </w:p>
        </w:tc>
      </w:tr>
      <w:tr w:rsidR="00230DDD" w:rsidRPr="00230DDD" w14:paraId="24047F37"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2F921D2" w14:textId="72C4C0CF"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21-000946-0673-NA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1A933BA6"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1D64184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5B926A4F"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5B911A86" w14:textId="1F01E9F7"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21-000947-0673-NA</w:t>
            </w:r>
            <w:r w:rsidR="001367B9">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68B373B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76A7EE1" w14:textId="294DE522" w:rsidR="00230DDD" w:rsidRPr="00230DDD" w:rsidRDefault="00230DDD" w:rsidP="00230DDD">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Diciembre</w:t>
            </w:r>
          </w:p>
        </w:tc>
      </w:tr>
      <w:tr w:rsidR="00230DDD" w:rsidRPr="00230DDD" w14:paraId="599CACC6"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B053A1C" w14:textId="451571AF"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21-000948-0673-NA</w:t>
            </w:r>
            <w:r w:rsidR="002904D8">
              <w:rPr>
                <w:rFonts w:ascii="Book Antiqua" w:eastAsia="Times New Roman" w:hAnsi="Book Antiqua" w:cs="Calibri"/>
                <w:color w:val="000000"/>
                <w:lang w:eastAsia="es-CR"/>
              </w:rPr>
              <w:t xml:space="preserve"> (Comunicación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3292FCB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BF6E42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282521F6"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6A9D0FA1" w14:textId="62B72B93"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21-000955-0673-NA </w:t>
            </w:r>
            <w:r w:rsidR="002904D8">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266D7C5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5146E752"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3A311457"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3394A6CC" w14:textId="06ECD6D0"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21-000964-0673-NA</w:t>
            </w:r>
            <w:r w:rsidR="00073A93">
              <w:rPr>
                <w:rFonts w:ascii="Book Antiqua" w:eastAsia="Times New Roman" w:hAnsi="Book Antiqua" w:cs="Calibri"/>
                <w:color w:val="000000"/>
                <w:lang w:eastAsia="es-CR"/>
              </w:rPr>
              <w:t xml:space="preserve"> (Depósito Judicial)</w:t>
            </w:r>
          </w:p>
        </w:tc>
        <w:tc>
          <w:tcPr>
            <w:tcW w:w="1070" w:type="pct"/>
            <w:tcBorders>
              <w:top w:val="nil"/>
              <w:left w:val="nil"/>
              <w:bottom w:val="single" w:sz="4" w:space="0" w:color="auto"/>
              <w:right w:val="single" w:sz="4" w:space="0" w:color="auto"/>
            </w:tcBorders>
            <w:shd w:val="clear" w:color="auto" w:fill="auto"/>
            <w:noWrap/>
            <w:vAlign w:val="bottom"/>
            <w:hideMark/>
          </w:tcPr>
          <w:p w14:paraId="68CF9E13"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7FF0210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1795B7B9"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07E629FF" w14:textId="4E965FC8"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21-000965-0673-NA</w:t>
            </w:r>
            <w:r w:rsidR="008C3B77">
              <w:rPr>
                <w:rFonts w:ascii="Book Antiqua" w:eastAsia="Times New Roman" w:hAnsi="Book Antiqua" w:cs="Calibri"/>
                <w:color w:val="000000"/>
                <w:lang w:eastAsia="es-CR"/>
              </w:rPr>
              <w:t xml:space="preserve"> (Suspensión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23E5CDB1"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210BFAA"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79128F24"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65B5FB50" w14:textId="712CD6DA"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21-000991-0673-NA</w:t>
            </w:r>
            <w:r w:rsidR="008C3B77">
              <w:rPr>
                <w:rFonts w:ascii="Book Antiqua" w:eastAsia="Times New Roman" w:hAnsi="Book Antiqua" w:cs="Calibri"/>
                <w:color w:val="000000"/>
                <w:lang w:eastAsia="es-CR"/>
              </w:rPr>
              <w:t xml:space="preserve"> (Suspensión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1177145E"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205507A2"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732C9381"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580A483F" w14:textId="62FF3786"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21-000998-0673-NA</w:t>
            </w:r>
            <w:r w:rsidR="008C3B77">
              <w:rPr>
                <w:rFonts w:ascii="Book Antiqua" w:eastAsia="Times New Roman" w:hAnsi="Book Antiqua" w:cs="Calibri"/>
                <w:color w:val="000000"/>
                <w:lang w:eastAsia="es-CR"/>
              </w:rPr>
              <w:t xml:space="preserve"> (Suspensión de Patria Potestad)</w:t>
            </w:r>
          </w:p>
        </w:tc>
        <w:tc>
          <w:tcPr>
            <w:tcW w:w="1070" w:type="pct"/>
            <w:tcBorders>
              <w:top w:val="nil"/>
              <w:left w:val="nil"/>
              <w:bottom w:val="single" w:sz="4" w:space="0" w:color="auto"/>
              <w:right w:val="single" w:sz="4" w:space="0" w:color="auto"/>
            </w:tcBorders>
            <w:shd w:val="clear" w:color="auto" w:fill="auto"/>
            <w:noWrap/>
            <w:vAlign w:val="bottom"/>
            <w:hideMark/>
          </w:tcPr>
          <w:p w14:paraId="1D826F95"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2FFF60AD"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r w:rsidR="00230DDD" w:rsidRPr="00230DDD" w14:paraId="088EA9B5" w14:textId="77777777" w:rsidTr="00230DDD">
        <w:trPr>
          <w:trHeight w:val="290"/>
        </w:trPr>
        <w:tc>
          <w:tcPr>
            <w:tcW w:w="2819" w:type="pct"/>
            <w:tcBorders>
              <w:top w:val="nil"/>
              <w:left w:val="single" w:sz="4" w:space="0" w:color="auto"/>
              <w:bottom w:val="single" w:sz="4" w:space="0" w:color="auto"/>
              <w:right w:val="single" w:sz="4" w:space="0" w:color="auto"/>
            </w:tcBorders>
            <w:shd w:val="clear" w:color="auto" w:fill="auto"/>
            <w:noWrap/>
            <w:vAlign w:val="bottom"/>
            <w:hideMark/>
          </w:tcPr>
          <w:p w14:paraId="1023A0B8" w14:textId="280FA0E9" w:rsidR="00230DDD" w:rsidRPr="00230DDD" w:rsidRDefault="00230DDD" w:rsidP="00230DDD">
            <w:pPr>
              <w:spacing w:after="0" w:line="240" w:lineRule="auto"/>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 xml:space="preserve">21-001002-0673-NA </w:t>
            </w:r>
            <w:r w:rsidR="002904D8">
              <w:rPr>
                <w:rFonts w:ascii="Book Antiqua" w:eastAsia="Times New Roman" w:hAnsi="Book Antiqua" w:cs="Calibri"/>
                <w:color w:val="000000"/>
                <w:lang w:eastAsia="es-CR"/>
              </w:rPr>
              <w:t>(Comunicación de Medida)</w:t>
            </w:r>
          </w:p>
        </w:tc>
        <w:tc>
          <w:tcPr>
            <w:tcW w:w="1070" w:type="pct"/>
            <w:tcBorders>
              <w:top w:val="nil"/>
              <w:left w:val="nil"/>
              <w:bottom w:val="single" w:sz="4" w:space="0" w:color="auto"/>
              <w:right w:val="single" w:sz="4" w:space="0" w:color="auto"/>
            </w:tcBorders>
            <w:shd w:val="clear" w:color="auto" w:fill="auto"/>
            <w:noWrap/>
            <w:vAlign w:val="bottom"/>
            <w:hideMark/>
          </w:tcPr>
          <w:p w14:paraId="41D97934"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2021</w:t>
            </w:r>
          </w:p>
        </w:tc>
        <w:tc>
          <w:tcPr>
            <w:tcW w:w="1111" w:type="pct"/>
            <w:tcBorders>
              <w:top w:val="nil"/>
              <w:left w:val="nil"/>
              <w:bottom w:val="single" w:sz="4" w:space="0" w:color="auto"/>
              <w:right w:val="single" w:sz="4" w:space="0" w:color="auto"/>
            </w:tcBorders>
            <w:shd w:val="clear" w:color="auto" w:fill="auto"/>
            <w:noWrap/>
            <w:vAlign w:val="bottom"/>
            <w:hideMark/>
          </w:tcPr>
          <w:p w14:paraId="4F0B88DF" w14:textId="77777777" w:rsidR="00230DDD" w:rsidRPr="00230DDD" w:rsidRDefault="00230DDD" w:rsidP="00230DDD">
            <w:pPr>
              <w:spacing w:after="0" w:line="240" w:lineRule="auto"/>
              <w:jc w:val="center"/>
              <w:rPr>
                <w:rFonts w:ascii="Book Antiqua" w:eastAsia="Times New Roman" w:hAnsi="Book Antiqua" w:cs="Calibri"/>
                <w:color w:val="000000"/>
                <w:lang w:eastAsia="es-CR"/>
              </w:rPr>
            </w:pPr>
            <w:r w:rsidRPr="00230DDD">
              <w:rPr>
                <w:rFonts w:ascii="Book Antiqua" w:eastAsia="Times New Roman" w:hAnsi="Book Antiqua" w:cs="Calibri"/>
                <w:color w:val="000000"/>
                <w:lang w:eastAsia="es-CR"/>
              </w:rPr>
              <w:t>Diciembre</w:t>
            </w:r>
          </w:p>
        </w:tc>
      </w:tr>
    </w:tbl>
    <w:p w14:paraId="7480ED62" w14:textId="0708F7F1" w:rsidR="00A93034" w:rsidRDefault="00293FB2" w:rsidP="00355630">
      <w:pPr>
        <w:spacing w:after="0" w:line="276" w:lineRule="auto"/>
        <w:jc w:val="both"/>
        <w:rPr>
          <w:rFonts w:ascii="Book Antiqua" w:eastAsia="Calibri" w:hAnsi="Book Antiqua" w:cs="Arial"/>
          <w:i/>
          <w:iCs/>
          <w:sz w:val="20"/>
          <w:szCs w:val="20"/>
        </w:rPr>
      </w:pPr>
      <w:bookmarkStart w:id="43" w:name="_Hlk96514577"/>
      <w:r w:rsidRPr="00F07A42">
        <w:rPr>
          <w:rFonts w:ascii="Book Antiqua" w:eastAsia="Calibri" w:hAnsi="Book Antiqua" w:cs="Arial"/>
          <w:i/>
          <w:iCs/>
          <w:sz w:val="20"/>
          <w:szCs w:val="20"/>
        </w:rPr>
        <w:t xml:space="preserve">Fuente: </w:t>
      </w:r>
      <w:r w:rsidR="00106148">
        <w:rPr>
          <w:rFonts w:ascii="Book Antiqua" w:eastAsia="Calibri" w:hAnsi="Book Antiqua" w:cs="Arial"/>
          <w:i/>
          <w:iCs/>
          <w:sz w:val="20"/>
          <w:szCs w:val="20"/>
        </w:rPr>
        <w:t xml:space="preserve">Subproceso de </w:t>
      </w:r>
      <w:r w:rsidRPr="00F07A42">
        <w:rPr>
          <w:rFonts w:ascii="Book Antiqua" w:eastAsia="Calibri" w:hAnsi="Book Antiqua" w:cs="Arial"/>
          <w:i/>
          <w:iCs/>
          <w:sz w:val="20"/>
          <w:szCs w:val="20"/>
        </w:rPr>
        <w:t>Modernización Institucional</w:t>
      </w:r>
      <w:r>
        <w:rPr>
          <w:rFonts w:ascii="Book Antiqua" w:eastAsia="Calibri" w:hAnsi="Book Antiqua" w:cs="Arial"/>
          <w:i/>
          <w:iCs/>
          <w:sz w:val="20"/>
          <w:szCs w:val="20"/>
        </w:rPr>
        <w:t xml:space="preserve"> con datos del Juzgado </w:t>
      </w:r>
      <w:r w:rsidR="004B2E6C">
        <w:rPr>
          <w:rFonts w:ascii="Book Antiqua" w:eastAsia="Calibri" w:hAnsi="Book Antiqua" w:cs="Arial"/>
          <w:i/>
          <w:iCs/>
          <w:sz w:val="20"/>
          <w:szCs w:val="20"/>
        </w:rPr>
        <w:t>de Familia, de Niñez y Adolescencia.</w:t>
      </w:r>
    </w:p>
    <w:bookmarkEnd w:id="43"/>
    <w:p w14:paraId="11D5A0DC" w14:textId="77777777" w:rsidR="004B2E6C" w:rsidRDefault="004B2E6C" w:rsidP="00355630">
      <w:pPr>
        <w:spacing w:after="0" w:line="276" w:lineRule="auto"/>
        <w:jc w:val="both"/>
        <w:rPr>
          <w:rFonts w:ascii="Book Antiqua" w:eastAsia="Calibri" w:hAnsi="Book Antiqua" w:cs="Arial"/>
          <w:sz w:val="24"/>
          <w:szCs w:val="24"/>
        </w:rPr>
      </w:pPr>
    </w:p>
    <w:p w14:paraId="6AB2FB25" w14:textId="5EFC03EE" w:rsidR="00BC442A" w:rsidRDefault="004B2E6C"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se observa </w:t>
      </w:r>
      <w:r w:rsidR="00426FB3">
        <w:rPr>
          <w:rFonts w:ascii="Book Antiqua" w:eastAsia="Calibri" w:hAnsi="Book Antiqua" w:cs="Arial"/>
          <w:sz w:val="24"/>
          <w:szCs w:val="24"/>
        </w:rPr>
        <w:t xml:space="preserve">en el cuadro anterior, </w:t>
      </w:r>
      <w:r>
        <w:rPr>
          <w:rFonts w:ascii="Book Antiqua" w:eastAsia="Calibri" w:hAnsi="Book Antiqua" w:cs="Arial"/>
          <w:sz w:val="24"/>
          <w:szCs w:val="24"/>
        </w:rPr>
        <w:t>p</w:t>
      </w:r>
      <w:r w:rsidR="003C768F">
        <w:rPr>
          <w:rFonts w:ascii="Book Antiqua" w:eastAsia="Calibri" w:hAnsi="Book Antiqua" w:cs="Arial"/>
          <w:sz w:val="24"/>
          <w:szCs w:val="24"/>
        </w:rPr>
        <w:t>ara e</w:t>
      </w:r>
      <w:r w:rsidR="00A67C6A">
        <w:rPr>
          <w:rFonts w:ascii="Book Antiqua" w:eastAsia="Calibri" w:hAnsi="Book Antiqua" w:cs="Arial"/>
          <w:sz w:val="24"/>
          <w:szCs w:val="24"/>
        </w:rPr>
        <w:t>l 2021</w:t>
      </w:r>
      <w:r w:rsidR="009B6214">
        <w:rPr>
          <w:rFonts w:ascii="Book Antiqua" w:eastAsia="Calibri" w:hAnsi="Book Antiqua" w:cs="Arial"/>
          <w:sz w:val="24"/>
          <w:szCs w:val="24"/>
        </w:rPr>
        <w:t xml:space="preserve"> </w:t>
      </w:r>
      <w:r w:rsidR="00426FB3">
        <w:rPr>
          <w:rFonts w:ascii="Book Antiqua" w:eastAsia="Calibri" w:hAnsi="Book Antiqua" w:cs="Arial"/>
          <w:sz w:val="24"/>
          <w:szCs w:val="24"/>
        </w:rPr>
        <w:t xml:space="preserve">en </w:t>
      </w:r>
      <w:r w:rsidR="00F64BE5">
        <w:rPr>
          <w:rFonts w:ascii="Book Antiqua" w:eastAsia="Calibri" w:hAnsi="Book Antiqua" w:cs="Arial"/>
          <w:sz w:val="24"/>
          <w:szCs w:val="24"/>
        </w:rPr>
        <w:t>56 casos</w:t>
      </w:r>
      <w:r w:rsidR="00426FB3">
        <w:rPr>
          <w:rFonts w:ascii="Book Antiqua" w:eastAsia="Calibri" w:hAnsi="Book Antiqua" w:cs="Arial"/>
          <w:sz w:val="24"/>
          <w:szCs w:val="24"/>
        </w:rPr>
        <w:t xml:space="preserve"> la persona menor de edad reside en el Primer Circuito Judicial de la Zona Sur; entre los cuales</w:t>
      </w:r>
      <w:r w:rsidR="009B6214">
        <w:rPr>
          <w:rFonts w:ascii="Book Antiqua" w:eastAsia="Calibri" w:hAnsi="Book Antiqua" w:cs="Arial"/>
          <w:sz w:val="24"/>
          <w:szCs w:val="24"/>
        </w:rPr>
        <w:t xml:space="preserve"> están asuntos de</w:t>
      </w:r>
      <w:r w:rsidR="002C62D7">
        <w:rPr>
          <w:rFonts w:ascii="Book Antiqua" w:eastAsia="Calibri" w:hAnsi="Book Antiqua" w:cs="Arial"/>
          <w:sz w:val="24"/>
          <w:szCs w:val="24"/>
        </w:rPr>
        <w:t xml:space="preserve"> </w:t>
      </w:r>
      <w:r w:rsidR="00EF44DC">
        <w:rPr>
          <w:rFonts w:ascii="Book Antiqua" w:eastAsia="Calibri" w:hAnsi="Book Antiqua" w:cs="Arial"/>
          <w:sz w:val="24"/>
          <w:szCs w:val="24"/>
        </w:rPr>
        <w:t>Comunicación de Medidas</w:t>
      </w:r>
      <w:r w:rsidR="009B6214">
        <w:rPr>
          <w:rFonts w:ascii="Book Antiqua" w:eastAsia="Calibri" w:hAnsi="Book Antiqua" w:cs="Arial"/>
          <w:sz w:val="24"/>
          <w:szCs w:val="24"/>
        </w:rPr>
        <w:t>,</w:t>
      </w:r>
      <w:r w:rsidR="00EF44DC">
        <w:rPr>
          <w:rFonts w:ascii="Book Antiqua" w:eastAsia="Calibri" w:hAnsi="Book Antiqua" w:cs="Arial"/>
          <w:sz w:val="24"/>
          <w:szCs w:val="24"/>
        </w:rPr>
        <w:t xml:space="preserve"> representan el mayor ingre</w:t>
      </w:r>
      <w:r w:rsidR="002C62D7">
        <w:rPr>
          <w:rFonts w:ascii="Book Antiqua" w:eastAsia="Calibri" w:hAnsi="Book Antiqua" w:cs="Arial"/>
          <w:sz w:val="24"/>
          <w:szCs w:val="24"/>
        </w:rPr>
        <w:t>s</w:t>
      </w:r>
      <w:r w:rsidR="00EF44DC">
        <w:rPr>
          <w:rFonts w:ascii="Book Antiqua" w:eastAsia="Calibri" w:hAnsi="Book Antiqua" w:cs="Arial"/>
          <w:sz w:val="24"/>
          <w:szCs w:val="24"/>
        </w:rPr>
        <w:t xml:space="preserve">o con 28, seguido de </w:t>
      </w:r>
      <w:r w:rsidR="002C62D7">
        <w:rPr>
          <w:rFonts w:ascii="Book Antiqua" w:eastAsia="Calibri" w:hAnsi="Book Antiqua" w:cs="Arial"/>
          <w:sz w:val="24"/>
          <w:szCs w:val="24"/>
        </w:rPr>
        <w:t>Depósito Judicial</w:t>
      </w:r>
      <w:r w:rsidR="00442434">
        <w:rPr>
          <w:rFonts w:ascii="Book Antiqua" w:eastAsia="Calibri" w:hAnsi="Book Antiqua" w:cs="Arial"/>
          <w:sz w:val="24"/>
          <w:szCs w:val="24"/>
        </w:rPr>
        <w:t xml:space="preserve"> con 9 asuntos</w:t>
      </w:r>
      <w:r w:rsidR="002C62D7">
        <w:rPr>
          <w:rFonts w:ascii="Book Antiqua" w:eastAsia="Calibri" w:hAnsi="Book Antiqua" w:cs="Arial"/>
          <w:sz w:val="24"/>
          <w:szCs w:val="24"/>
        </w:rPr>
        <w:t xml:space="preserve">, </w:t>
      </w:r>
      <w:r w:rsidR="00442434">
        <w:rPr>
          <w:rFonts w:ascii="Book Antiqua" w:eastAsia="Calibri" w:hAnsi="Book Antiqua" w:cs="Arial"/>
          <w:sz w:val="24"/>
          <w:szCs w:val="24"/>
        </w:rPr>
        <w:t>8 de Suspensión de Patria Potestad</w:t>
      </w:r>
      <w:r w:rsidR="002C62D7">
        <w:rPr>
          <w:rFonts w:ascii="Book Antiqua" w:eastAsia="Calibri" w:hAnsi="Book Antiqua" w:cs="Arial"/>
          <w:sz w:val="24"/>
          <w:szCs w:val="24"/>
        </w:rPr>
        <w:t>, entre otros.</w:t>
      </w:r>
      <w:r w:rsidR="00442434">
        <w:rPr>
          <w:rFonts w:ascii="Book Antiqua" w:eastAsia="Calibri" w:hAnsi="Book Antiqua" w:cs="Arial"/>
          <w:sz w:val="24"/>
          <w:szCs w:val="24"/>
        </w:rPr>
        <w:t xml:space="preserve"> </w:t>
      </w:r>
      <w:r w:rsidR="00DE71F1">
        <w:rPr>
          <w:rFonts w:ascii="Book Antiqua" w:eastAsia="Calibri" w:hAnsi="Book Antiqua" w:cs="Arial"/>
          <w:sz w:val="24"/>
          <w:szCs w:val="24"/>
        </w:rPr>
        <w:t xml:space="preserve"> Esos 56 casos al </w:t>
      </w:r>
      <w:r w:rsidR="00106DFC">
        <w:rPr>
          <w:rFonts w:ascii="Book Antiqua" w:eastAsia="Calibri" w:hAnsi="Book Antiqua" w:cs="Arial"/>
          <w:sz w:val="24"/>
          <w:szCs w:val="24"/>
        </w:rPr>
        <w:t>año</w:t>
      </w:r>
      <w:r w:rsidR="00DE71F1">
        <w:rPr>
          <w:rFonts w:ascii="Book Antiqua" w:eastAsia="Calibri" w:hAnsi="Book Antiqua" w:cs="Arial"/>
          <w:sz w:val="24"/>
          <w:szCs w:val="24"/>
        </w:rPr>
        <w:t xml:space="preserve"> representan en promedio </w:t>
      </w:r>
      <w:r w:rsidR="003D7140">
        <w:rPr>
          <w:rFonts w:ascii="Book Antiqua" w:eastAsia="Calibri" w:hAnsi="Book Antiqua" w:cs="Arial"/>
          <w:sz w:val="24"/>
          <w:szCs w:val="24"/>
        </w:rPr>
        <w:t xml:space="preserve">5 asuntos al mes. </w:t>
      </w:r>
      <w:r w:rsidR="009B6214">
        <w:rPr>
          <w:rFonts w:ascii="Book Antiqua" w:eastAsia="Calibri" w:hAnsi="Book Antiqua" w:cs="Arial"/>
          <w:sz w:val="24"/>
          <w:szCs w:val="24"/>
        </w:rPr>
        <w:t>En circulante al 16 de marzo existen aproximadamente 60 expedientes activos según consulta realizada a la Coordinadora del despacho.</w:t>
      </w:r>
    </w:p>
    <w:p w14:paraId="3673B1FD" w14:textId="77777777" w:rsidR="00033F56" w:rsidRDefault="00033F56" w:rsidP="00355630">
      <w:pPr>
        <w:spacing w:after="0" w:line="276" w:lineRule="auto"/>
        <w:jc w:val="both"/>
        <w:rPr>
          <w:rFonts w:ascii="Book Antiqua" w:eastAsia="Calibri" w:hAnsi="Book Antiqua" w:cs="Arial"/>
          <w:sz w:val="24"/>
          <w:szCs w:val="24"/>
        </w:rPr>
      </w:pPr>
    </w:p>
    <w:p w14:paraId="0646EE94" w14:textId="77777777" w:rsidR="00442434" w:rsidRPr="004A3198" w:rsidRDefault="00442434"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lastRenderedPageBreak/>
        <w:t>Carga de Trabajo</w:t>
      </w:r>
    </w:p>
    <w:p w14:paraId="0B7B3E6C" w14:textId="77777777" w:rsidR="004A3198" w:rsidRDefault="004A3198" w:rsidP="00355630">
      <w:pPr>
        <w:spacing w:after="0" w:line="276" w:lineRule="auto"/>
        <w:jc w:val="both"/>
        <w:rPr>
          <w:rFonts w:ascii="Book Antiqua" w:eastAsia="Calibri" w:hAnsi="Book Antiqua" w:cs="Arial"/>
          <w:sz w:val="24"/>
          <w:szCs w:val="24"/>
        </w:rPr>
      </w:pPr>
    </w:p>
    <w:p w14:paraId="48C3DCD8" w14:textId="7B446FA0" w:rsidR="002C62D7" w:rsidRDefault="002C62D7"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se analiza la carga de trabajo </w:t>
      </w:r>
      <w:r w:rsidR="00EC1B47">
        <w:rPr>
          <w:rFonts w:ascii="Book Antiqua" w:eastAsia="Calibri" w:hAnsi="Book Antiqua" w:cs="Arial"/>
          <w:sz w:val="24"/>
          <w:szCs w:val="24"/>
        </w:rPr>
        <w:t>de los juzgados en estudio</w:t>
      </w:r>
      <w:r w:rsidR="001C68C9">
        <w:rPr>
          <w:rFonts w:ascii="Book Antiqua" w:eastAsia="Calibri" w:hAnsi="Book Antiqua" w:cs="Arial"/>
          <w:sz w:val="24"/>
          <w:szCs w:val="24"/>
        </w:rPr>
        <w:t>, considerando el personal técnico de Trámite, ya que ambas tienen adicionalmente un manifestador</w:t>
      </w:r>
      <w:r w:rsidR="00033F56">
        <w:rPr>
          <w:rFonts w:ascii="Book Antiqua" w:eastAsia="Calibri" w:hAnsi="Book Antiqua" w:cs="Arial"/>
          <w:sz w:val="24"/>
          <w:szCs w:val="24"/>
        </w:rPr>
        <w:t>.</w:t>
      </w:r>
    </w:p>
    <w:p w14:paraId="14E3E8AE" w14:textId="06620F4A" w:rsidR="004B2E6C" w:rsidRDefault="004B2E6C" w:rsidP="00355630">
      <w:pPr>
        <w:spacing w:after="0" w:line="276" w:lineRule="auto"/>
        <w:jc w:val="both"/>
        <w:rPr>
          <w:rFonts w:ascii="Book Antiqua" w:eastAsia="Calibri" w:hAnsi="Book Antiqua" w:cs="Arial"/>
          <w:sz w:val="24"/>
          <w:szCs w:val="24"/>
        </w:rPr>
      </w:pPr>
    </w:p>
    <w:p w14:paraId="5549419A" w14:textId="5E9E3778" w:rsidR="00EC1B47" w:rsidRPr="000330F0" w:rsidRDefault="00EC1B47" w:rsidP="00EC1B4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40</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7666A1A2" w14:textId="77777777" w:rsidR="00EC1B47" w:rsidRDefault="00EC1B47" w:rsidP="00EC1B47">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Carga de Trabajo de los </w:t>
      </w:r>
      <w:r w:rsidRPr="000330F0">
        <w:rPr>
          <w:rFonts w:ascii="Book Antiqua" w:eastAsia="Calibri" w:hAnsi="Book Antiqua" w:cs="Arial"/>
          <w:b/>
          <w:bCs/>
          <w:color w:val="1F497D"/>
          <w:szCs w:val="24"/>
          <w:lang w:val="es-ES" w:eastAsia="es-ES"/>
        </w:rPr>
        <w:t>Juzgado</w:t>
      </w:r>
      <w:r>
        <w:rPr>
          <w:rFonts w:ascii="Book Antiqua" w:eastAsia="Calibri" w:hAnsi="Book Antiqua" w:cs="Arial"/>
          <w:b/>
          <w:bCs/>
          <w:color w:val="1F497D"/>
          <w:szCs w:val="24"/>
          <w:lang w:val="es-ES" w:eastAsia="es-ES"/>
        </w:rPr>
        <w:t>s</w:t>
      </w:r>
      <w:r w:rsidRPr="000330F0">
        <w:rPr>
          <w:rFonts w:ascii="Book Antiqua" w:eastAsia="Calibri" w:hAnsi="Book Antiqua" w:cs="Arial"/>
          <w:b/>
          <w:bCs/>
          <w:color w:val="1F497D"/>
          <w:szCs w:val="24"/>
          <w:lang w:val="es-ES" w:eastAsia="es-ES"/>
        </w:rPr>
        <w:t xml:space="preserve"> de Familia, de Niñez y Adolescencia </w:t>
      </w:r>
      <w:r>
        <w:rPr>
          <w:rFonts w:ascii="Book Antiqua" w:eastAsia="Calibri" w:hAnsi="Book Antiqua" w:cs="Arial"/>
          <w:b/>
          <w:bCs/>
          <w:color w:val="1F497D"/>
          <w:szCs w:val="24"/>
          <w:lang w:val="es-ES" w:eastAsia="es-ES"/>
        </w:rPr>
        <w:t xml:space="preserve">y </w:t>
      </w:r>
    </w:p>
    <w:p w14:paraId="5A53CB3F" w14:textId="6F40BFFC" w:rsidR="00EC1B47" w:rsidRPr="000330F0" w:rsidRDefault="00EC1B47" w:rsidP="00EC1B47">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Juzgado de Familia del </w:t>
      </w:r>
      <w:r w:rsidR="00DE71F1">
        <w:rPr>
          <w:rFonts w:ascii="Book Antiqua" w:eastAsia="Calibri" w:hAnsi="Book Antiqua" w:cs="Arial"/>
          <w:b/>
          <w:bCs/>
          <w:color w:val="1F497D"/>
          <w:szCs w:val="24"/>
          <w:lang w:val="es-ES" w:eastAsia="es-ES"/>
        </w:rPr>
        <w:t>Primer</w:t>
      </w:r>
      <w:r>
        <w:rPr>
          <w:rFonts w:ascii="Book Antiqua" w:eastAsia="Calibri" w:hAnsi="Book Antiqua" w:cs="Arial"/>
          <w:b/>
          <w:bCs/>
          <w:color w:val="1F497D"/>
          <w:szCs w:val="24"/>
          <w:lang w:val="es-ES" w:eastAsia="es-ES"/>
        </w:rPr>
        <w:t xml:space="preserve"> Circuito Judicial de la Zona Sur, </w:t>
      </w:r>
      <w:r w:rsidRPr="000330F0">
        <w:rPr>
          <w:rFonts w:ascii="Book Antiqua" w:eastAsia="Calibri" w:hAnsi="Book Antiqua" w:cs="Arial"/>
          <w:b/>
          <w:bCs/>
          <w:color w:val="1F497D"/>
          <w:szCs w:val="24"/>
          <w:lang w:val="es-ES" w:eastAsia="es-ES"/>
        </w:rPr>
        <w:t>20</w:t>
      </w:r>
      <w:r>
        <w:rPr>
          <w:rFonts w:ascii="Book Antiqua" w:eastAsia="Calibri" w:hAnsi="Book Antiqua" w:cs="Arial"/>
          <w:b/>
          <w:bCs/>
          <w:color w:val="1F497D"/>
          <w:szCs w:val="24"/>
          <w:lang w:val="es-ES" w:eastAsia="es-ES"/>
        </w:rPr>
        <w:t>21</w:t>
      </w:r>
    </w:p>
    <w:tbl>
      <w:tblPr>
        <w:tblW w:w="99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85"/>
        <w:gridCol w:w="2821"/>
        <w:gridCol w:w="941"/>
        <w:gridCol w:w="1130"/>
        <w:gridCol w:w="1030"/>
        <w:gridCol w:w="590"/>
        <w:gridCol w:w="780"/>
        <w:gridCol w:w="590"/>
        <w:gridCol w:w="780"/>
      </w:tblGrid>
      <w:tr w:rsidR="00753712" w:rsidRPr="002C62D7" w14:paraId="0B33B6DC" w14:textId="77777777" w:rsidTr="009B71C9">
        <w:trPr>
          <w:trHeight w:val="513"/>
          <w:jc w:val="center"/>
        </w:trPr>
        <w:tc>
          <w:tcPr>
            <w:tcW w:w="1285" w:type="dxa"/>
            <w:vMerge w:val="restart"/>
            <w:shd w:val="clear" w:color="000000" w:fill="002060"/>
            <w:vAlign w:val="center"/>
          </w:tcPr>
          <w:p w14:paraId="4762B60C" w14:textId="58D06C1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Escenario</w:t>
            </w:r>
          </w:p>
        </w:tc>
        <w:tc>
          <w:tcPr>
            <w:tcW w:w="2821" w:type="dxa"/>
            <w:vMerge w:val="restart"/>
            <w:shd w:val="clear" w:color="000000" w:fill="002060"/>
            <w:vAlign w:val="center"/>
            <w:hideMark/>
          </w:tcPr>
          <w:p w14:paraId="749D54B5" w14:textId="0E72062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Despacho</w:t>
            </w:r>
          </w:p>
        </w:tc>
        <w:tc>
          <w:tcPr>
            <w:tcW w:w="941" w:type="dxa"/>
            <w:vMerge w:val="restart"/>
            <w:shd w:val="clear" w:color="000000" w:fill="002060"/>
            <w:vAlign w:val="center"/>
            <w:hideMark/>
          </w:tcPr>
          <w:p w14:paraId="52C79B6A"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Promedio mensual Entrada 2021</w:t>
            </w:r>
          </w:p>
        </w:tc>
        <w:tc>
          <w:tcPr>
            <w:tcW w:w="1130" w:type="dxa"/>
            <w:vMerge w:val="restart"/>
            <w:shd w:val="clear" w:color="000000" w:fill="002060"/>
            <w:vAlign w:val="center"/>
            <w:hideMark/>
          </w:tcPr>
          <w:p w14:paraId="4EA20E7E"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Promedio mensual Terminados 2021</w:t>
            </w:r>
          </w:p>
        </w:tc>
        <w:tc>
          <w:tcPr>
            <w:tcW w:w="1030" w:type="dxa"/>
            <w:vMerge w:val="restart"/>
            <w:shd w:val="clear" w:color="000000" w:fill="002060"/>
            <w:vAlign w:val="center"/>
            <w:hideMark/>
          </w:tcPr>
          <w:p w14:paraId="3A12E193"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Circulante en trámite al 31 diciembre-2021</w:t>
            </w:r>
          </w:p>
        </w:tc>
        <w:tc>
          <w:tcPr>
            <w:tcW w:w="1370" w:type="dxa"/>
            <w:gridSpan w:val="2"/>
            <w:shd w:val="clear" w:color="000000" w:fill="002060"/>
            <w:vAlign w:val="center"/>
            <w:hideMark/>
          </w:tcPr>
          <w:p w14:paraId="01648A2A"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Recurso Humano</w:t>
            </w:r>
          </w:p>
        </w:tc>
        <w:tc>
          <w:tcPr>
            <w:tcW w:w="1370" w:type="dxa"/>
            <w:gridSpan w:val="2"/>
            <w:shd w:val="clear" w:color="000000" w:fill="002060"/>
            <w:vAlign w:val="center"/>
            <w:hideMark/>
          </w:tcPr>
          <w:p w14:paraId="1CF872D7"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Carga de trabajo</w:t>
            </w:r>
          </w:p>
          <w:p w14:paraId="091524DC" w14:textId="387FEF28"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mensual</w:t>
            </w:r>
          </w:p>
        </w:tc>
      </w:tr>
      <w:tr w:rsidR="00753712" w:rsidRPr="002C62D7" w14:paraId="3D467554" w14:textId="77777777" w:rsidTr="009B71C9">
        <w:trPr>
          <w:trHeight w:val="795"/>
          <w:jc w:val="center"/>
        </w:trPr>
        <w:tc>
          <w:tcPr>
            <w:tcW w:w="1285" w:type="dxa"/>
            <w:vMerge/>
            <w:vAlign w:val="center"/>
          </w:tcPr>
          <w:p w14:paraId="534E45AC" w14:textId="77777777" w:rsidR="003D7140" w:rsidRPr="009B71C9" w:rsidRDefault="003D7140" w:rsidP="002C62D7">
            <w:pPr>
              <w:spacing w:after="0" w:line="240" w:lineRule="auto"/>
              <w:rPr>
                <w:rFonts w:ascii="Book Antiqua" w:eastAsia="Times New Roman" w:hAnsi="Book Antiqua" w:cs="Calibri"/>
                <w:b/>
                <w:bCs/>
                <w:color w:val="FFFFFF"/>
                <w:sz w:val="18"/>
                <w:szCs w:val="18"/>
                <w:lang w:eastAsia="es-CR"/>
              </w:rPr>
            </w:pPr>
          </w:p>
        </w:tc>
        <w:tc>
          <w:tcPr>
            <w:tcW w:w="2821" w:type="dxa"/>
            <w:vMerge/>
            <w:vAlign w:val="center"/>
            <w:hideMark/>
          </w:tcPr>
          <w:p w14:paraId="59FAD7F8" w14:textId="30EEC6D2" w:rsidR="003D7140" w:rsidRPr="009B71C9" w:rsidRDefault="003D7140" w:rsidP="002C62D7">
            <w:pPr>
              <w:spacing w:after="0" w:line="240" w:lineRule="auto"/>
              <w:rPr>
                <w:rFonts w:ascii="Book Antiqua" w:eastAsia="Times New Roman" w:hAnsi="Book Antiqua" w:cs="Calibri"/>
                <w:b/>
                <w:bCs/>
                <w:color w:val="FFFFFF"/>
                <w:sz w:val="18"/>
                <w:szCs w:val="18"/>
                <w:lang w:eastAsia="es-CR"/>
              </w:rPr>
            </w:pPr>
          </w:p>
        </w:tc>
        <w:tc>
          <w:tcPr>
            <w:tcW w:w="941" w:type="dxa"/>
            <w:vMerge/>
            <w:vAlign w:val="center"/>
            <w:hideMark/>
          </w:tcPr>
          <w:p w14:paraId="073C3694" w14:textId="77777777" w:rsidR="003D7140" w:rsidRPr="009B71C9" w:rsidRDefault="003D7140" w:rsidP="002C62D7">
            <w:pPr>
              <w:spacing w:after="0" w:line="240" w:lineRule="auto"/>
              <w:rPr>
                <w:rFonts w:ascii="Book Antiqua" w:eastAsia="Times New Roman" w:hAnsi="Book Antiqua" w:cs="Calibri"/>
                <w:b/>
                <w:bCs/>
                <w:color w:val="FFFFFF"/>
                <w:sz w:val="18"/>
                <w:szCs w:val="18"/>
                <w:lang w:eastAsia="es-CR"/>
              </w:rPr>
            </w:pPr>
          </w:p>
        </w:tc>
        <w:tc>
          <w:tcPr>
            <w:tcW w:w="1130" w:type="dxa"/>
            <w:vMerge/>
            <w:vAlign w:val="center"/>
            <w:hideMark/>
          </w:tcPr>
          <w:p w14:paraId="2C066FBC" w14:textId="77777777" w:rsidR="003D7140" w:rsidRPr="009B71C9" w:rsidRDefault="003D7140" w:rsidP="002C62D7">
            <w:pPr>
              <w:spacing w:after="0" w:line="240" w:lineRule="auto"/>
              <w:rPr>
                <w:rFonts w:ascii="Book Antiqua" w:eastAsia="Times New Roman" w:hAnsi="Book Antiqua" w:cs="Calibri"/>
                <w:b/>
                <w:bCs/>
                <w:color w:val="FFFFFF"/>
                <w:sz w:val="18"/>
                <w:szCs w:val="18"/>
                <w:lang w:eastAsia="es-CR"/>
              </w:rPr>
            </w:pPr>
          </w:p>
        </w:tc>
        <w:tc>
          <w:tcPr>
            <w:tcW w:w="1030" w:type="dxa"/>
            <w:vMerge/>
            <w:vAlign w:val="center"/>
            <w:hideMark/>
          </w:tcPr>
          <w:p w14:paraId="0DF939F8" w14:textId="77777777" w:rsidR="003D7140" w:rsidRPr="009B71C9" w:rsidRDefault="003D7140" w:rsidP="002C62D7">
            <w:pPr>
              <w:spacing w:after="0" w:line="240" w:lineRule="auto"/>
              <w:rPr>
                <w:rFonts w:ascii="Book Antiqua" w:eastAsia="Times New Roman" w:hAnsi="Book Antiqua" w:cs="Calibri"/>
                <w:b/>
                <w:bCs/>
                <w:color w:val="FFFFFF"/>
                <w:sz w:val="18"/>
                <w:szCs w:val="18"/>
                <w:lang w:eastAsia="es-CR"/>
              </w:rPr>
            </w:pPr>
          </w:p>
        </w:tc>
        <w:tc>
          <w:tcPr>
            <w:tcW w:w="590" w:type="dxa"/>
            <w:shd w:val="clear" w:color="000000" w:fill="002060"/>
            <w:vAlign w:val="center"/>
            <w:hideMark/>
          </w:tcPr>
          <w:p w14:paraId="2D319B30"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Jueza o Juez</w:t>
            </w:r>
          </w:p>
        </w:tc>
        <w:tc>
          <w:tcPr>
            <w:tcW w:w="780" w:type="dxa"/>
            <w:shd w:val="clear" w:color="000000" w:fill="002060"/>
            <w:vAlign w:val="center"/>
            <w:hideMark/>
          </w:tcPr>
          <w:p w14:paraId="631B4DD6"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Técnica o Técnico de trámite</w:t>
            </w:r>
          </w:p>
        </w:tc>
        <w:tc>
          <w:tcPr>
            <w:tcW w:w="590" w:type="dxa"/>
            <w:shd w:val="clear" w:color="000000" w:fill="002060"/>
            <w:vAlign w:val="center"/>
            <w:hideMark/>
          </w:tcPr>
          <w:p w14:paraId="2985FCEF"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Jueza o Juez</w:t>
            </w:r>
          </w:p>
        </w:tc>
        <w:tc>
          <w:tcPr>
            <w:tcW w:w="780" w:type="dxa"/>
            <w:shd w:val="clear" w:color="000000" w:fill="002060"/>
            <w:vAlign w:val="center"/>
            <w:hideMark/>
          </w:tcPr>
          <w:p w14:paraId="14452FC6" w14:textId="77777777" w:rsidR="003D7140" w:rsidRPr="009B71C9" w:rsidRDefault="003D7140" w:rsidP="002C62D7">
            <w:pPr>
              <w:spacing w:after="0" w:line="240" w:lineRule="auto"/>
              <w:jc w:val="center"/>
              <w:rPr>
                <w:rFonts w:ascii="Book Antiqua" w:eastAsia="Times New Roman" w:hAnsi="Book Antiqua" w:cs="Calibri"/>
                <w:b/>
                <w:bCs/>
                <w:color w:val="FFFFFF"/>
                <w:sz w:val="18"/>
                <w:szCs w:val="18"/>
                <w:lang w:eastAsia="es-CR"/>
              </w:rPr>
            </w:pPr>
            <w:r w:rsidRPr="009B71C9">
              <w:rPr>
                <w:rFonts w:ascii="Book Antiqua" w:eastAsia="Times New Roman" w:hAnsi="Book Antiqua" w:cs="Calibri"/>
                <w:b/>
                <w:bCs/>
                <w:color w:val="FFFFFF"/>
                <w:sz w:val="18"/>
                <w:szCs w:val="18"/>
                <w:lang w:eastAsia="es-CR"/>
              </w:rPr>
              <w:t>Técnica o Técnico de trámite</w:t>
            </w:r>
          </w:p>
        </w:tc>
      </w:tr>
      <w:tr w:rsidR="00753712" w:rsidRPr="002C62D7" w14:paraId="4468F7DE" w14:textId="77777777" w:rsidTr="009B71C9">
        <w:trPr>
          <w:trHeight w:val="301"/>
          <w:jc w:val="center"/>
        </w:trPr>
        <w:tc>
          <w:tcPr>
            <w:tcW w:w="1285" w:type="dxa"/>
            <w:vMerge w:val="restart"/>
            <w:vAlign w:val="center"/>
          </w:tcPr>
          <w:p w14:paraId="6196DFB1" w14:textId="46AF0080" w:rsidR="003D7140" w:rsidRPr="002C62D7" w:rsidRDefault="003D7140" w:rsidP="002C62D7">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Escenario con competencia actual</w:t>
            </w:r>
          </w:p>
        </w:tc>
        <w:tc>
          <w:tcPr>
            <w:tcW w:w="2821" w:type="dxa"/>
            <w:shd w:val="clear" w:color="auto" w:fill="auto"/>
            <w:noWrap/>
            <w:vAlign w:val="center"/>
            <w:hideMark/>
          </w:tcPr>
          <w:p w14:paraId="530FEC69" w14:textId="7CD3BA16" w:rsidR="003D7140" w:rsidRPr="002C62D7" w:rsidRDefault="003D7140" w:rsidP="002C62D7">
            <w:pPr>
              <w:spacing w:after="0" w:line="240" w:lineRule="auto"/>
              <w:rPr>
                <w:rFonts w:ascii="Book Antiqua" w:eastAsia="Times New Roman" w:hAnsi="Book Antiqua" w:cs="Calibri"/>
                <w:b/>
                <w:bCs/>
                <w:color w:val="000000"/>
                <w:sz w:val="20"/>
                <w:szCs w:val="20"/>
                <w:lang w:eastAsia="es-CR"/>
              </w:rPr>
            </w:pPr>
            <w:r w:rsidRPr="002C62D7">
              <w:rPr>
                <w:rFonts w:ascii="Book Antiqua" w:eastAsia="Times New Roman" w:hAnsi="Book Antiqua" w:cs="Calibri"/>
                <w:b/>
                <w:bCs/>
                <w:color w:val="000000"/>
                <w:sz w:val="20"/>
                <w:szCs w:val="20"/>
                <w:lang w:eastAsia="es-CR"/>
              </w:rPr>
              <w:t>Juzgado de Familia, de Niñez y Adolescencia</w:t>
            </w:r>
          </w:p>
        </w:tc>
        <w:tc>
          <w:tcPr>
            <w:tcW w:w="941" w:type="dxa"/>
            <w:shd w:val="clear" w:color="auto" w:fill="auto"/>
            <w:noWrap/>
            <w:vAlign w:val="center"/>
            <w:hideMark/>
          </w:tcPr>
          <w:p w14:paraId="24ED4A45"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100</w:t>
            </w:r>
          </w:p>
        </w:tc>
        <w:tc>
          <w:tcPr>
            <w:tcW w:w="1130" w:type="dxa"/>
            <w:shd w:val="clear" w:color="auto" w:fill="auto"/>
            <w:vAlign w:val="center"/>
            <w:hideMark/>
          </w:tcPr>
          <w:p w14:paraId="3E46EF8A"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71</w:t>
            </w:r>
          </w:p>
        </w:tc>
        <w:tc>
          <w:tcPr>
            <w:tcW w:w="1030" w:type="dxa"/>
            <w:shd w:val="clear" w:color="auto" w:fill="auto"/>
            <w:vAlign w:val="center"/>
            <w:hideMark/>
          </w:tcPr>
          <w:p w14:paraId="42605CFF"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1529</w:t>
            </w:r>
          </w:p>
        </w:tc>
        <w:tc>
          <w:tcPr>
            <w:tcW w:w="590" w:type="dxa"/>
            <w:shd w:val="clear" w:color="auto" w:fill="auto"/>
            <w:noWrap/>
            <w:vAlign w:val="center"/>
            <w:hideMark/>
          </w:tcPr>
          <w:p w14:paraId="05DC70A4"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2</w:t>
            </w:r>
          </w:p>
        </w:tc>
        <w:tc>
          <w:tcPr>
            <w:tcW w:w="780" w:type="dxa"/>
            <w:shd w:val="clear" w:color="auto" w:fill="auto"/>
            <w:vAlign w:val="center"/>
            <w:hideMark/>
          </w:tcPr>
          <w:p w14:paraId="74D9FA6C"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4</w:t>
            </w:r>
          </w:p>
        </w:tc>
        <w:tc>
          <w:tcPr>
            <w:tcW w:w="590" w:type="dxa"/>
            <w:shd w:val="clear" w:color="auto" w:fill="auto"/>
            <w:noWrap/>
            <w:vAlign w:val="center"/>
            <w:hideMark/>
          </w:tcPr>
          <w:p w14:paraId="6968FFF0"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50</w:t>
            </w:r>
          </w:p>
        </w:tc>
        <w:tc>
          <w:tcPr>
            <w:tcW w:w="780" w:type="dxa"/>
            <w:shd w:val="clear" w:color="auto" w:fill="auto"/>
            <w:noWrap/>
            <w:vAlign w:val="center"/>
            <w:hideMark/>
          </w:tcPr>
          <w:p w14:paraId="7C2F7A04"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25</w:t>
            </w:r>
          </w:p>
        </w:tc>
      </w:tr>
      <w:tr w:rsidR="00753712" w:rsidRPr="002C62D7" w14:paraId="30767300" w14:textId="77777777" w:rsidTr="009B71C9">
        <w:trPr>
          <w:trHeight w:val="301"/>
          <w:jc w:val="center"/>
        </w:trPr>
        <w:tc>
          <w:tcPr>
            <w:tcW w:w="1285" w:type="dxa"/>
            <w:vMerge/>
            <w:vAlign w:val="center"/>
          </w:tcPr>
          <w:p w14:paraId="362511D1" w14:textId="77777777" w:rsidR="003D7140" w:rsidRPr="002C62D7" w:rsidRDefault="003D7140" w:rsidP="002C62D7">
            <w:pPr>
              <w:spacing w:after="0" w:line="240" w:lineRule="auto"/>
              <w:rPr>
                <w:rFonts w:ascii="Book Antiqua" w:eastAsia="Times New Roman" w:hAnsi="Book Antiqua" w:cs="Calibri"/>
                <w:b/>
                <w:bCs/>
                <w:color w:val="000000"/>
                <w:sz w:val="20"/>
                <w:szCs w:val="20"/>
                <w:lang w:eastAsia="es-CR"/>
              </w:rPr>
            </w:pPr>
          </w:p>
        </w:tc>
        <w:tc>
          <w:tcPr>
            <w:tcW w:w="2821" w:type="dxa"/>
            <w:shd w:val="clear" w:color="auto" w:fill="auto"/>
            <w:noWrap/>
            <w:vAlign w:val="center"/>
            <w:hideMark/>
          </w:tcPr>
          <w:p w14:paraId="09F9E8C7" w14:textId="74107352" w:rsidR="003D7140" w:rsidRPr="002C62D7" w:rsidRDefault="003D7140" w:rsidP="002C62D7">
            <w:pPr>
              <w:spacing w:after="0" w:line="240" w:lineRule="auto"/>
              <w:rPr>
                <w:rFonts w:ascii="Book Antiqua" w:eastAsia="Times New Roman" w:hAnsi="Book Antiqua" w:cs="Calibri"/>
                <w:b/>
                <w:bCs/>
                <w:color w:val="000000"/>
                <w:sz w:val="20"/>
                <w:szCs w:val="20"/>
                <w:lang w:eastAsia="es-CR"/>
              </w:rPr>
            </w:pPr>
            <w:r w:rsidRPr="002C62D7">
              <w:rPr>
                <w:rFonts w:ascii="Book Antiqua" w:eastAsia="Times New Roman" w:hAnsi="Book Antiqua" w:cs="Calibri"/>
                <w:b/>
                <w:bCs/>
                <w:color w:val="000000"/>
                <w:sz w:val="20"/>
                <w:szCs w:val="20"/>
                <w:lang w:eastAsia="es-CR"/>
              </w:rPr>
              <w:t>Juzgado de Familia del I Circuito Judicial de la Zona Sur</w:t>
            </w:r>
          </w:p>
        </w:tc>
        <w:tc>
          <w:tcPr>
            <w:tcW w:w="941" w:type="dxa"/>
            <w:shd w:val="clear" w:color="auto" w:fill="auto"/>
            <w:noWrap/>
            <w:vAlign w:val="center"/>
            <w:hideMark/>
          </w:tcPr>
          <w:p w14:paraId="5363C7B3"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95</w:t>
            </w:r>
          </w:p>
        </w:tc>
        <w:tc>
          <w:tcPr>
            <w:tcW w:w="1130" w:type="dxa"/>
            <w:shd w:val="clear" w:color="auto" w:fill="auto"/>
            <w:vAlign w:val="center"/>
            <w:hideMark/>
          </w:tcPr>
          <w:p w14:paraId="35F0FAB7"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99</w:t>
            </w:r>
          </w:p>
        </w:tc>
        <w:tc>
          <w:tcPr>
            <w:tcW w:w="1030" w:type="dxa"/>
            <w:shd w:val="clear" w:color="auto" w:fill="auto"/>
            <w:vAlign w:val="center"/>
            <w:hideMark/>
          </w:tcPr>
          <w:p w14:paraId="78CF0C67"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342</w:t>
            </w:r>
          </w:p>
        </w:tc>
        <w:tc>
          <w:tcPr>
            <w:tcW w:w="590" w:type="dxa"/>
            <w:shd w:val="clear" w:color="auto" w:fill="auto"/>
            <w:noWrap/>
            <w:vAlign w:val="center"/>
            <w:hideMark/>
          </w:tcPr>
          <w:p w14:paraId="3A1BC806" w14:textId="7777777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2</w:t>
            </w:r>
          </w:p>
        </w:tc>
        <w:tc>
          <w:tcPr>
            <w:tcW w:w="780" w:type="dxa"/>
            <w:shd w:val="clear" w:color="auto" w:fill="auto"/>
            <w:vAlign w:val="center"/>
            <w:hideMark/>
          </w:tcPr>
          <w:p w14:paraId="56D56AB7" w14:textId="4E364096"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w:t>
            </w:r>
          </w:p>
        </w:tc>
        <w:tc>
          <w:tcPr>
            <w:tcW w:w="590" w:type="dxa"/>
            <w:shd w:val="clear" w:color="auto" w:fill="auto"/>
            <w:noWrap/>
            <w:vAlign w:val="center"/>
            <w:hideMark/>
          </w:tcPr>
          <w:p w14:paraId="546BD4D5" w14:textId="1D95A63C"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48</w:t>
            </w:r>
          </w:p>
        </w:tc>
        <w:tc>
          <w:tcPr>
            <w:tcW w:w="780" w:type="dxa"/>
            <w:shd w:val="clear" w:color="auto" w:fill="auto"/>
            <w:noWrap/>
            <w:vAlign w:val="center"/>
            <w:hideMark/>
          </w:tcPr>
          <w:p w14:paraId="47D0CDDD" w14:textId="3E3A04D7" w:rsidR="003D7140" w:rsidRPr="002C62D7" w:rsidRDefault="003D7140" w:rsidP="002C62D7">
            <w:pPr>
              <w:spacing w:after="0" w:line="240" w:lineRule="auto"/>
              <w:jc w:val="center"/>
              <w:rPr>
                <w:rFonts w:ascii="Book Antiqua" w:eastAsia="Times New Roman" w:hAnsi="Book Antiqua" w:cs="Calibri"/>
                <w:color w:val="000000"/>
                <w:sz w:val="20"/>
                <w:szCs w:val="20"/>
                <w:lang w:eastAsia="es-CR"/>
              </w:rPr>
            </w:pPr>
            <w:r w:rsidRPr="002C62D7">
              <w:rPr>
                <w:rFonts w:ascii="Book Antiqua" w:eastAsia="Times New Roman" w:hAnsi="Book Antiqua" w:cs="Calibri"/>
                <w:color w:val="000000"/>
                <w:sz w:val="20"/>
                <w:szCs w:val="20"/>
                <w:lang w:eastAsia="es-CR"/>
              </w:rPr>
              <w:t>4</w:t>
            </w:r>
            <w:r>
              <w:rPr>
                <w:rFonts w:ascii="Book Antiqua" w:eastAsia="Times New Roman" w:hAnsi="Book Antiqua" w:cs="Calibri"/>
                <w:color w:val="000000"/>
                <w:sz w:val="20"/>
                <w:szCs w:val="20"/>
                <w:lang w:eastAsia="es-CR"/>
              </w:rPr>
              <w:t>8</w:t>
            </w:r>
          </w:p>
        </w:tc>
      </w:tr>
      <w:tr w:rsidR="00753712" w:rsidRPr="002C62D7" w14:paraId="28055D37" w14:textId="77777777" w:rsidTr="009B71C9">
        <w:trPr>
          <w:trHeight w:val="301"/>
          <w:jc w:val="center"/>
        </w:trPr>
        <w:tc>
          <w:tcPr>
            <w:tcW w:w="1285" w:type="dxa"/>
            <w:vMerge w:val="restart"/>
            <w:vAlign w:val="center"/>
          </w:tcPr>
          <w:p w14:paraId="2773DE21" w14:textId="0B7DE4E4" w:rsidR="00753712" w:rsidRPr="002C62D7" w:rsidRDefault="00753712" w:rsidP="002C62D7">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Escenario en caso de trasladar los asuntos de Niñez a Familia PZ</w:t>
            </w:r>
          </w:p>
        </w:tc>
        <w:tc>
          <w:tcPr>
            <w:tcW w:w="2821" w:type="dxa"/>
            <w:shd w:val="clear" w:color="auto" w:fill="auto"/>
            <w:noWrap/>
            <w:vAlign w:val="center"/>
          </w:tcPr>
          <w:p w14:paraId="231D6039" w14:textId="4CE6FEAE" w:rsidR="00753712" w:rsidRPr="002C62D7" w:rsidRDefault="00753712" w:rsidP="002C62D7">
            <w:pPr>
              <w:spacing w:after="0" w:line="240" w:lineRule="auto"/>
              <w:rPr>
                <w:rFonts w:ascii="Book Antiqua" w:eastAsia="Times New Roman" w:hAnsi="Book Antiqua" w:cs="Calibri"/>
                <w:b/>
                <w:bCs/>
                <w:color w:val="000000"/>
                <w:sz w:val="20"/>
                <w:szCs w:val="20"/>
                <w:lang w:eastAsia="es-CR"/>
              </w:rPr>
            </w:pPr>
            <w:r w:rsidRPr="002C62D7">
              <w:rPr>
                <w:rFonts w:ascii="Book Antiqua" w:eastAsia="Times New Roman" w:hAnsi="Book Antiqua" w:cs="Calibri"/>
                <w:b/>
                <w:bCs/>
                <w:color w:val="000000"/>
                <w:sz w:val="20"/>
                <w:szCs w:val="20"/>
                <w:lang w:eastAsia="es-CR"/>
              </w:rPr>
              <w:t>Juzgado de Familia, de Niñez y Adolescencia</w:t>
            </w:r>
          </w:p>
        </w:tc>
        <w:tc>
          <w:tcPr>
            <w:tcW w:w="941" w:type="dxa"/>
            <w:shd w:val="clear" w:color="auto" w:fill="auto"/>
            <w:noWrap/>
            <w:vAlign w:val="center"/>
          </w:tcPr>
          <w:p w14:paraId="39012214" w14:textId="65A5677E"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95</w:t>
            </w:r>
          </w:p>
        </w:tc>
        <w:tc>
          <w:tcPr>
            <w:tcW w:w="1130" w:type="dxa"/>
            <w:shd w:val="clear" w:color="auto" w:fill="auto"/>
            <w:vAlign w:val="center"/>
          </w:tcPr>
          <w:p w14:paraId="7B853C05" w14:textId="21604A7C"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71</w:t>
            </w:r>
          </w:p>
        </w:tc>
        <w:tc>
          <w:tcPr>
            <w:tcW w:w="1030" w:type="dxa"/>
            <w:shd w:val="clear" w:color="auto" w:fill="auto"/>
            <w:vAlign w:val="center"/>
          </w:tcPr>
          <w:p w14:paraId="415C7517" w14:textId="7CBB862C"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1529</w:t>
            </w:r>
          </w:p>
        </w:tc>
        <w:tc>
          <w:tcPr>
            <w:tcW w:w="590" w:type="dxa"/>
            <w:shd w:val="clear" w:color="auto" w:fill="auto"/>
            <w:noWrap/>
            <w:vAlign w:val="center"/>
          </w:tcPr>
          <w:p w14:paraId="1304D524" w14:textId="2921BEF3"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w:t>
            </w:r>
          </w:p>
        </w:tc>
        <w:tc>
          <w:tcPr>
            <w:tcW w:w="780" w:type="dxa"/>
            <w:shd w:val="clear" w:color="auto" w:fill="auto"/>
            <w:vAlign w:val="center"/>
          </w:tcPr>
          <w:p w14:paraId="3B717B21" w14:textId="183B182A" w:rsidR="00753712"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w:t>
            </w:r>
          </w:p>
        </w:tc>
        <w:tc>
          <w:tcPr>
            <w:tcW w:w="590" w:type="dxa"/>
            <w:shd w:val="clear" w:color="auto" w:fill="auto"/>
            <w:noWrap/>
            <w:vAlign w:val="center"/>
          </w:tcPr>
          <w:p w14:paraId="0B8D6B8C" w14:textId="295737C1" w:rsidR="00753712"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48</w:t>
            </w:r>
          </w:p>
        </w:tc>
        <w:tc>
          <w:tcPr>
            <w:tcW w:w="780" w:type="dxa"/>
            <w:shd w:val="clear" w:color="auto" w:fill="auto"/>
            <w:noWrap/>
            <w:vAlign w:val="center"/>
          </w:tcPr>
          <w:p w14:paraId="4B638312" w14:textId="75A6D18E"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24</w:t>
            </w:r>
          </w:p>
        </w:tc>
      </w:tr>
      <w:tr w:rsidR="00753712" w:rsidRPr="002C62D7" w14:paraId="5BF70BD3" w14:textId="77777777" w:rsidTr="009B71C9">
        <w:trPr>
          <w:trHeight w:val="301"/>
          <w:jc w:val="center"/>
        </w:trPr>
        <w:tc>
          <w:tcPr>
            <w:tcW w:w="1285" w:type="dxa"/>
            <w:vMerge/>
            <w:vAlign w:val="center"/>
          </w:tcPr>
          <w:p w14:paraId="23D25861" w14:textId="77777777" w:rsidR="00753712" w:rsidRPr="002C62D7" w:rsidRDefault="00753712" w:rsidP="002C62D7">
            <w:pPr>
              <w:spacing w:after="0" w:line="240" w:lineRule="auto"/>
              <w:rPr>
                <w:rFonts w:ascii="Book Antiqua" w:eastAsia="Times New Roman" w:hAnsi="Book Antiqua" w:cs="Calibri"/>
                <w:b/>
                <w:bCs/>
                <w:color w:val="000000"/>
                <w:sz w:val="20"/>
                <w:szCs w:val="20"/>
                <w:lang w:eastAsia="es-CR"/>
              </w:rPr>
            </w:pPr>
          </w:p>
        </w:tc>
        <w:tc>
          <w:tcPr>
            <w:tcW w:w="2821" w:type="dxa"/>
            <w:shd w:val="clear" w:color="auto" w:fill="auto"/>
            <w:noWrap/>
            <w:vAlign w:val="center"/>
          </w:tcPr>
          <w:p w14:paraId="57954280" w14:textId="2331597A" w:rsidR="00753712" w:rsidRPr="002C62D7" w:rsidRDefault="00753712" w:rsidP="002C62D7">
            <w:pPr>
              <w:spacing w:after="0" w:line="240" w:lineRule="auto"/>
              <w:rPr>
                <w:rFonts w:ascii="Book Antiqua" w:eastAsia="Times New Roman" w:hAnsi="Book Antiqua" w:cs="Calibri"/>
                <w:b/>
                <w:bCs/>
                <w:color w:val="000000"/>
                <w:sz w:val="20"/>
                <w:szCs w:val="20"/>
                <w:lang w:eastAsia="es-CR"/>
              </w:rPr>
            </w:pPr>
            <w:r w:rsidRPr="002C62D7">
              <w:rPr>
                <w:rFonts w:ascii="Book Antiqua" w:eastAsia="Times New Roman" w:hAnsi="Book Antiqua" w:cs="Calibri"/>
                <w:b/>
                <w:bCs/>
                <w:color w:val="000000"/>
                <w:sz w:val="20"/>
                <w:szCs w:val="20"/>
                <w:lang w:eastAsia="es-CR"/>
              </w:rPr>
              <w:t xml:space="preserve">Juzgado de Familia del </w:t>
            </w:r>
            <w:r>
              <w:rPr>
                <w:rFonts w:ascii="Book Antiqua" w:eastAsia="Times New Roman" w:hAnsi="Book Antiqua" w:cs="Calibri"/>
                <w:b/>
                <w:bCs/>
                <w:color w:val="000000"/>
                <w:sz w:val="20"/>
                <w:szCs w:val="20"/>
                <w:lang w:eastAsia="es-CR"/>
              </w:rPr>
              <w:t>Primer</w:t>
            </w:r>
            <w:r w:rsidRPr="002C62D7">
              <w:rPr>
                <w:rFonts w:ascii="Book Antiqua" w:eastAsia="Times New Roman" w:hAnsi="Book Antiqua" w:cs="Calibri"/>
                <w:b/>
                <w:bCs/>
                <w:color w:val="000000"/>
                <w:sz w:val="20"/>
                <w:szCs w:val="20"/>
                <w:lang w:eastAsia="es-CR"/>
              </w:rPr>
              <w:t xml:space="preserve"> Circuito Judicial de la Zona Sur</w:t>
            </w:r>
          </w:p>
        </w:tc>
        <w:tc>
          <w:tcPr>
            <w:tcW w:w="941" w:type="dxa"/>
            <w:shd w:val="clear" w:color="auto" w:fill="auto"/>
            <w:noWrap/>
            <w:vAlign w:val="center"/>
          </w:tcPr>
          <w:p w14:paraId="14250A5C" w14:textId="1FB9F7A5"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100</w:t>
            </w:r>
          </w:p>
        </w:tc>
        <w:tc>
          <w:tcPr>
            <w:tcW w:w="1130" w:type="dxa"/>
            <w:shd w:val="clear" w:color="auto" w:fill="auto"/>
            <w:vAlign w:val="center"/>
          </w:tcPr>
          <w:p w14:paraId="6C0B2770" w14:textId="3BE10DD4"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99</w:t>
            </w:r>
          </w:p>
        </w:tc>
        <w:tc>
          <w:tcPr>
            <w:tcW w:w="1030" w:type="dxa"/>
            <w:shd w:val="clear" w:color="auto" w:fill="auto"/>
            <w:vAlign w:val="center"/>
          </w:tcPr>
          <w:p w14:paraId="02F4E07D" w14:textId="042C2307"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342</w:t>
            </w:r>
          </w:p>
        </w:tc>
        <w:tc>
          <w:tcPr>
            <w:tcW w:w="590" w:type="dxa"/>
            <w:shd w:val="clear" w:color="auto" w:fill="auto"/>
            <w:noWrap/>
            <w:vAlign w:val="center"/>
          </w:tcPr>
          <w:p w14:paraId="0754C500" w14:textId="544D76E7"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w:t>
            </w:r>
          </w:p>
        </w:tc>
        <w:tc>
          <w:tcPr>
            <w:tcW w:w="780" w:type="dxa"/>
            <w:shd w:val="clear" w:color="auto" w:fill="auto"/>
            <w:vAlign w:val="center"/>
          </w:tcPr>
          <w:p w14:paraId="5A163D35" w14:textId="05334671" w:rsidR="00753712"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w:t>
            </w:r>
          </w:p>
        </w:tc>
        <w:tc>
          <w:tcPr>
            <w:tcW w:w="590" w:type="dxa"/>
            <w:shd w:val="clear" w:color="auto" w:fill="auto"/>
            <w:noWrap/>
            <w:vAlign w:val="center"/>
          </w:tcPr>
          <w:p w14:paraId="22371188" w14:textId="4238AF15" w:rsidR="00753712"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50</w:t>
            </w:r>
          </w:p>
        </w:tc>
        <w:tc>
          <w:tcPr>
            <w:tcW w:w="780" w:type="dxa"/>
            <w:shd w:val="clear" w:color="auto" w:fill="auto"/>
            <w:noWrap/>
            <w:vAlign w:val="center"/>
          </w:tcPr>
          <w:p w14:paraId="35A85F8E" w14:textId="3CF2910A" w:rsidR="00753712" w:rsidRPr="002C62D7" w:rsidRDefault="00753712" w:rsidP="002C62D7">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50</w:t>
            </w:r>
          </w:p>
        </w:tc>
      </w:tr>
    </w:tbl>
    <w:p w14:paraId="3E7E7EA4" w14:textId="77777777" w:rsidR="007479DF" w:rsidRDefault="007479DF" w:rsidP="007479DF">
      <w:pPr>
        <w:spacing w:after="0" w:line="276" w:lineRule="auto"/>
        <w:jc w:val="both"/>
        <w:rPr>
          <w:rFonts w:ascii="Book Antiqua" w:eastAsia="Calibri" w:hAnsi="Book Antiqua" w:cs="Arial"/>
          <w:sz w:val="24"/>
          <w:szCs w:val="24"/>
        </w:rPr>
      </w:pPr>
      <w:r w:rsidRPr="00F07A42">
        <w:rPr>
          <w:rFonts w:ascii="Book Antiqua" w:eastAsia="Calibri" w:hAnsi="Book Antiqua" w:cs="Arial"/>
          <w:i/>
          <w:iCs/>
          <w:sz w:val="20"/>
          <w:szCs w:val="20"/>
        </w:rPr>
        <w:t>Fuente: Modernización Institucional</w:t>
      </w:r>
      <w:r>
        <w:rPr>
          <w:rFonts w:ascii="Book Antiqua" w:eastAsia="Calibri" w:hAnsi="Book Antiqua" w:cs="Arial"/>
          <w:i/>
          <w:iCs/>
          <w:sz w:val="20"/>
          <w:szCs w:val="20"/>
        </w:rPr>
        <w:t xml:space="preserve"> </w:t>
      </w:r>
      <w:r w:rsidRPr="00293FB2">
        <w:rPr>
          <w:rFonts w:ascii="Book Antiqua" w:eastAsia="Calibri" w:hAnsi="Book Antiqua" w:cs="Arial"/>
          <w:i/>
          <w:iCs/>
          <w:sz w:val="20"/>
          <w:szCs w:val="20"/>
        </w:rPr>
        <w:t>con base en datos estadísticos del Subproceso de Estadística.</w:t>
      </w:r>
    </w:p>
    <w:p w14:paraId="0DD9B319" w14:textId="0667E6E9" w:rsidR="002C62D7" w:rsidRDefault="002C62D7" w:rsidP="00355630">
      <w:pPr>
        <w:spacing w:after="0" w:line="276" w:lineRule="auto"/>
        <w:jc w:val="both"/>
        <w:rPr>
          <w:rFonts w:ascii="Book Antiqua" w:eastAsia="Calibri" w:hAnsi="Book Antiqua" w:cs="Arial"/>
          <w:sz w:val="24"/>
          <w:szCs w:val="24"/>
        </w:rPr>
      </w:pPr>
    </w:p>
    <w:p w14:paraId="3977E781" w14:textId="2BFAACCB" w:rsidR="00426FB3" w:rsidRDefault="00A87A47" w:rsidP="008C49E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De la información analizada, se determina que la carga de trabajo para el personal juzgador dif</w:t>
      </w:r>
      <w:r w:rsidR="006D6823">
        <w:rPr>
          <w:rFonts w:ascii="Book Antiqua" w:eastAsia="Calibri" w:hAnsi="Book Antiqua" w:cs="Arial"/>
          <w:sz w:val="24"/>
          <w:szCs w:val="24"/>
        </w:rPr>
        <w:t>ier</w:t>
      </w:r>
      <w:r w:rsidR="00426FB3">
        <w:rPr>
          <w:rFonts w:ascii="Book Antiqua" w:eastAsia="Calibri" w:hAnsi="Book Antiqua" w:cs="Arial"/>
          <w:sz w:val="24"/>
          <w:szCs w:val="24"/>
        </w:rPr>
        <w:t>e</w:t>
      </w:r>
      <w:r w:rsidR="006D6823">
        <w:rPr>
          <w:rFonts w:ascii="Book Antiqua" w:eastAsia="Calibri" w:hAnsi="Book Antiqua" w:cs="Arial"/>
          <w:sz w:val="24"/>
          <w:szCs w:val="24"/>
        </w:rPr>
        <w:t xml:space="preserve"> en dos </w:t>
      </w:r>
      <w:r>
        <w:rPr>
          <w:rFonts w:ascii="Book Antiqua" w:eastAsia="Calibri" w:hAnsi="Book Antiqua" w:cs="Arial"/>
          <w:sz w:val="24"/>
          <w:szCs w:val="24"/>
        </w:rPr>
        <w:t xml:space="preserve">asuntos </w:t>
      </w:r>
      <w:r w:rsidR="00426FB3">
        <w:rPr>
          <w:rFonts w:ascii="Book Antiqua" w:eastAsia="Calibri" w:hAnsi="Book Antiqua" w:cs="Arial"/>
          <w:sz w:val="24"/>
          <w:szCs w:val="24"/>
        </w:rPr>
        <w:t>al mes que ingresan</w:t>
      </w:r>
      <w:r w:rsidR="003D7140">
        <w:rPr>
          <w:rFonts w:ascii="Book Antiqua" w:eastAsia="Calibri" w:hAnsi="Book Antiqua" w:cs="Arial"/>
          <w:sz w:val="24"/>
          <w:szCs w:val="24"/>
        </w:rPr>
        <w:t xml:space="preserve"> </w:t>
      </w:r>
      <w:r w:rsidR="00106DFC">
        <w:rPr>
          <w:rFonts w:ascii="Book Antiqua" w:eastAsia="Calibri" w:hAnsi="Book Antiqua" w:cs="Arial"/>
          <w:sz w:val="24"/>
          <w:szCs w:val="24"/>
        </w:rPr>
        <w:t xml:space="preserve">de más </w:t>
      </w:r>
      <w:r w:rsidR="00BC2CCA">
        <w:rPr>
          <w:rFonts w:ascii="Book Antiqua" w:eastAsia="Calibri" w:hAnsi="Book Antiqua" w:cs="Arial"/>
          <w:sz w:val="24"/>
          <w:szCs w:val="24"/>
        </w:rPr>
        <w:t>en el Juzgado de Familia, de Niñez y Adolescencia</w:t>
      </w:r>
      <w:r w:rsidR="00426FB3">
        <w:rPr>
          <w:rFonts w:ascii="Book Antiqua" w:eastAsia="Calibri" w:hAnsi="Book Antiqua" w:cs="Arial"/>
          <w:sz w:val="24"/>
          <w:szCs w:val="24"/>
        </w:rPr>
        <w:t xml:space="preserve"> con respecto al Juzgado en el Primer Circuito Judicial de la Zona Sur, en cuanto al</w:t>
      </w:r>
      <w:r>
        <w:rPr>
          <w:rFonts w:ascii="Book Antiqua" w:eastAsia="Calibri" w:hAnsi="Book Antiqua" w:cs="Arial"/>
          <w:sz w:val="24"/>
          <w:szCs w:val="24"/>
        </w:rPr>
        <w:t xml:space="preserve"> personal técnico se tiene una carga mayor en el Juzgado de Familia del </w:t>
      </w:r>
      <w:r w:rsidR="00426FB3">
        <w:rPr>
          <w:rFonts w:ascii="Book Antiqua" w:eastAsia="Calibri" w:hAnsi="Book Antiqua" w:cs="Arial"/>
          <w:sz w:val="24"/>
          <w:szCs w:val="24"/>
        </w:rPr>
        <w:t>Primer</w:t>
      </w:r>
      <w:r w:rsidR="00106DFC">
        <w:rPr>
          <w:rFonts w:ascii="Book Antiqua" w:eastAsia="Calibri" w:hAnsi="Book Antiqua" w:cs="Arial"/>
          <w:sz w:val="24"/>
          <w:szCs w:val="24"/>
        </w:rPr>
        <w:t xml:space="preserve"> </w:t>
      </w:r>
      <w:r>
        <w:rPr>
          <w:rFonts w:ascii="Book Antiqua" w:eastAsia="Calibri" w:hAnsi="Book Antiqua" w:cs="Arial"/>
          <w:sz w:val="24"/>
          <w:szCs w:val="24"/>
        </w:rPr>
        <w:t>Circuito Judicial de la Zona Sur</w:t>
      </w:r>
      <w:r w:rsidR="00426FB3">
        <w:rPr>
          <w:rFonts w:ascii="Book Antiqua" w:eastAsia="Calibri" w:hAnsi="Book Antiqua" w:cs="Arial"/>
          <w:sz w:val="24"/>
          <w:szCs w:val="24"/>
        </w:rPr>
        <w:t>.</w:t>
      </w:r>
    </w:p>
    <w:p w14:paraId="7FF24548" w14:textId="4AF18B6F" w:rsidR="004B5AE9" w:rsidRDefault="00426FB3" w:rsidP="008C49E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S</w:t>
      </w:r>
      <w:r w:rsidR="00A87A47">
        <w:rPr>
          <w:rFonts w:ascii="Book Antiqua" w:eastAsia="Calibri" w:hAnsi="Book Antiqua" w:cs="Arial"/>
          <w:sz w:val="24"/>
          <w:szCs w:val="24"/>
        </w:rPr>
        <w:t xml:space="preserve">e analiza el impacto </w:t>
      </w:r>
      <w:r w:rsidR="00287555">
        <w:rPr>
          <w:rFonts w:ascii="Book Antiqua" w:eastAsia="Calibri" w:hAnsi="Book Antiqua" w:cs="Arial"/>
          <w:sz w:val="24"/>
          <w:szCs w:val="24"/>
        </w:rPr>
        <w:t>en la entrada de asuntos nuevos que tendr</w:t>
      </w:r>
      <w:r w:rsidR="006D6823">
        <w:rPr>
          <w:rFonts w:ascii="Book Antiqua" w:eastAsia="Calibri" w:hAnsi="Book Antiqua" w:cs="Arial"/>
          <w:sz w:val="24"/>
          <w:szCs w:val="24"/>
        </w:rPr>
        <w:t>ía</w:t>
      </w:r>
      <w:r w:rsidR="00287555">
        <w:rPr>
          <w:rFonts w:ascii="Book Antiqua" w:eastAsia="Calibri" w:hAnsi="Book Antiqua" w:cs="Arial"/>
          <w:sz w:val="24"/>
          <w:szCs w:val="24"/>
        </w:rPr>
        <w:t xml:space="preserve"> </w:t>
      </w:r>
      <w:r w:rsidR="006D6823">
        <w:rPr>
          <w:rFonts w:ascii="Book Antiqua" w:eastAsia="Calibri" w:hAnsi="Book Antiqua" w:cs="Arial"/>
          <w:sz w:val="24"/>
          <w:szCs w:val="24"/>
        </w:rPr>
        <w:t xml:space="preserve">el Juzgado de Familia del </w:t>
      </w:r>
      <w:r>
        <w:rPr>
          <w:rFonts w:ascii="Book Antiqua" w:eastAsia="Calibri" w:hAnsi="Book Antiqua" w:cs="Arial"/>
          <w:sz w:val="24"/>
          <w:szCs w:val="24"/>
        </w:rPr>
        <w:t>Primer</w:t>
      </w:r>
      <w:r w:rsidR="006D6823">
        <w:rPr>
          <w:rFonts w:ascii="Book Antiqua" w:eastAsia="Calibri" w:hAnsi="Book Antiqua" w:cs="Arial"/>
          <w:sz w:val="24"/>
          <w:szCs w:val="24"/>
        </w:rPr>
        <w:t xml:space="preserve"> Circuito Judicial de la Zona Sur</w:t>
      </w:r>
      <w:r w:rsidR="00A87A47">
        <w:rPr>
          <w:rFonts w:ascii="Book Antiqua" w:eastAsia="Calibri" w:hAnsi="Book Antiqua" w:cs="Arial"/>
          <w:sz w:val="24"/>
          <w:szCs w:val="24"/>
        </w:rPr>
        <w:t xml:space="preserve"> en relación con los procesos que se </w:t>
      </w:r>
      <w:r w:rsidR="00815F91">
        <w:rPr>
          <w:rFonts w:ascii="Book Antiqua" w:eastAsia="Calibri" w:hAnsi="Book Antiqua" w:cs="Arial"/>
          <w:sz w:val="24"/>
          <w:szCs w:val="24"/>
        </w:rPr>
        <w:t>desjudi</w:t>
      </w:r>
      <w:r w:rsidR="00287555">
        <w:rPr>
          <w:rFonts w:ascii="Book Antiqua" w:eastAsia="Calibri" w:hAnsi="Book Antiqua" w:cs="Arial"/>
          <w:sz w:val="24"/>
          <w:szCs w:val="24"/>
        </w:rPr>
        <w:t>ci</w:t>
      </w:r>
      <w:r w:rsidR="00815F91">
        <w:rPr>
          <w:rFonts w:ascii="Book Antiqua" w:eastAsia="Calibri" w:hAnsi="Book Antiqua" w:cs="Arial"/>
          <w:sz w:val="24"/>
          <w:szCs w:val="24"/>
        </w:rPr>
        <w:t>alizan</w:t>
      </w:r>
      <w:r w:rsidR="008C49E5">
        <w:rPr>
          <w:rFonts w:ascii="Book Antiqua" w:eastAsia="Calibri" w:hAnsi="Book Antiqua" w:cs="Arial"/>
          <w:sz w:val="24"/>
          <w:szCs w:val="24"/>
        </w:rPr>
        <w:t xml:space="preserve"> </w:t>
      </w:r>
      <w:r w:rsidR="004B5AE9" w:rsidRPr="004B5AE9">
        <w:rPr>
          <w:rFonts w:ascii="Book Antiqua" w:eastAsia="Calibri" w:hAnsi="Book Antiqua" w:cs="Arial"/>
          <w:sz w:val="24"/>
          <w:szCs w:val="24"/>
        </w:rPr>
        <w:t>una vez que entre en vigencia el Código Procesal de Familia</w:t>
      </w:r>
      <w:r w:rsidR="004B5AE9">
        <w:rPr>
          <w:rFonts w:ascii="Book Antiqua" w:eastAsia="Calibri" w:hAnsi="Book Antiqua" w:cs="Arial"/>
          <w:sz w:val="24"/>
          <w:szCs w:val="24"/>
        </w:rPr>
        <w:t>.</w:t>
      </w:r>
    </w:p>
    <w:p w14:paraId="302765FD" w14:textId="76C2D8AC" w:rsidR="00287555" w:rsidRDefault="004B5AE9" w:rsidP="008C49E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w:t>
      </w:r>
      <w:r w:rsidRPr="008C49E5">
        <w:rPr>
          <w:rFonts w:ascii="Book Antiqua" w:eastAsia="Calibri" w:hAnsi="Book Antiqua" w:cs="Arial"/>
          <w:sz w:val="24"/>
          <w:szCs w:val="24"/>
        </w:rPr>
        <w:t>ra</w:t>
      </w:r>
      <w:r w:rsidR="008C49E5" w:rsidRPr="008C49E5">
        <w:rPr>
          <w:rFonts w:ascii="Book Antiqua" w:eastAsia="Calibri" w:hAnsi="Book Antiqua" w:cs="Arial"/>
          <w:sz w:val="24"/>
          <w:szCs w:val="24"/>
        </w:rPr>
        <w:t xml:space="preserve"> obtener la cantidad de recurso humano que se necesita</w:t>
      </w:r>
      <w:r>
        <w:rPr>
          <w:rFonts w:ascii="Book Antiqua" w:eastAsia="Calibri" w:hAnsi="Book Antiqua" w:cs="Arial"/>
          <w:sz w:val="24"/>
          <w:szCs w:val="24"/>
        </w:rPr>
        <w:t xml:space="preserve">, </w:t>
      </w:r>
      <w:r w:rsidRPr="004B5AE9">
        <w:rPr>
          <w:rFonts w:ascii="Book Antiqua" w:eastAsia="Calibri" w:hAnsi="Book Antiqua" w:cs="Arial"/>
          <w:sz w:val="24"/>
          <w:szCs w:val="24"/>
        </w:rPr>
        <w:t xml:space="preserve">se compara la entrada mensual </w:t>
      </w:r>
      <w:r>
        <w:rPr>
          <w:rFonts w:ascii="Book Antiqua" w:eastAsia="Calibri" w:hAnsi="Book Antiqua" w:cs="Arial"/>
          <w:sz w:val="24"/>
          <w:szCs w:val="24"/>
        </w:rPr>
        <w:t>con</w:t>
      </w:r>
      <w:r w:rsidRPr="004B5AE9">
        <w:rPr>
          <w:rFonts w:ascii="Book Antiqua" w:eastAsia="Calibri" w:hAnsi="Book Antiqua" w:cs="Arial"/>
          <w:sz w:val="24"/>
          <w:szCs w:val="24"/>
        </w:rPr>
        <w:t xml:space="preserve"> </w:t>
      </w:r>
      <w:r>
        <w:rPr>
          <w:rFonts w:ascii="Book Antiqua" w:eastAsia="Calibri" w:hAnsi="Book Antiqua" w:cs="Arial"/>
          <w:sz w:val="24"/>
          <w:szCs w:val="24"/>
        </w:rPr>
        <w:t xml:space="preserve">la </w:t>
      </w:r>
      <w:r w:rsidRPr="004B5AE9">
        <w:rPr>
          <w:rFonts w:ascii="Book Antiqua" w:eastAsia="Calibri" w:hAnsi="Book Antiqua" w:cs="Arial"/>
          <w:sz w:val="24"/>
          <w:szCs w:val="24"/>
        </w:rPr>
        <w:t>desjudiciali</w:t>
      </w:r>
      <w:r>
        <w:rPr>
          <w:rFonts w:ascii="Book Antiqua" w:eastAsia="Calibri" w:hAnsi="Book Antiqua" w:cs="Arial"/>
          <w:sz w:val="24"/>
          <w:szCs w:val="24"/>
        </w:rPr>
        <w:t>zación de</w:t>
      </w:r>
      <w:r w:rsidRPr="004B5AE9">
        <w:rPr>
          <w:rFonts w:ascii="Book Antiqua" w:eastAsia="Calibri" w:hAnsi="Book Antiqua" w:cs="Arial"/>
          <w:sz w:val="24"/>
          <w:szCs w:val="24"/>
        </w:rPr>
        <w:t xml:space="preserve"> los procesos y </w:t>
      </w:r>
      <w:r w:rsidRPr="00BB11B0">
        <w:rPr>
          <w:rFonts w:ascii="Book Antiqua" w:eastAsia="Calibri" w:hAnsi="Book Antiqua" w:cs="Arial"/>
          <w:sz w:val="24"/>
          <w:szCs w:val="24"/>
        </w:rPr>
        <w:t xml:space="preserve">se divide contra 76 asuntos por </w:t>
      </w:r>
      <w:r w:rsidRPr="00BB11B0">
        <w:rPr>
          <w:rFonts w:ascii="Book Antiqua" w:eastAsia="Calibri" w:hAnsi="Book Antiqua" w:cs="Arial"/>
          <w:sz w:val="24"/>
          <w:szCs w:val="24"/>
        </w:rPr>
        <w:lastRenderedPageBreak/>
        <w:t>plaza de Judicatura y 48 por persona Técnica Judicial</w:t>
      </w:r>
      <w:r w:rsidR="00BB11B0">
        <w:rPr>
          <w:rFonts w:ascii="Book Antiqua" w:eastAsia="Calibri" w:hAnsi="Book Antiqua" w:cs="Arial"/>
          <w:sz w:val="24"/>
          <w:szCs w:val="24"/>
        </w:rPr>
        <w:t xml:space="preserve"> (que es el dato de entrada promedio una vez desjudicializados los asuntos según ley 9747)</w:t>
      </w:r>
      <w:r w:rsidRPr="00BB11B0">
        <w:rPr>
          <w:rFonts w:ascii="Book Antiqua" w:eastAsia="Calibri" w:hAnsi="Book Antiqua" w:cs="Arial"/>
          <w:sz w:val="24"/>
          <w:szCs w:val="24"/>
        </w:rPr>
        <w:t>.</w:t>
      </w:r>
    </w:p>
    <w:p w14:paraId="35DB9F4C" w14:textId="77777777" w:rsidR="004B5AE9" w:rsidRDefault="004B5AE9" w:rsidP="008C49E5">
      <w:pPr>
        <w:spacing w:after="0" w:line="276" w:lineRule="auto"/>
        <w:jc w:val="both"/>
        <w:rPr>
          <w:rFonts w:ascii="Book Antiqua" w:eastAsia="Calibri" w:hAnsi="Book Antiqua" w:cs="Arial"/>
          <w:sz w:val="24"/>
          <w:szCs w:val="24"/>
        </w:rPr>
      </w:pPr>
    </w:p>
    <w:p w14:paraId="2871AB0F" w14:textId="2BFF35C6" w:rsidR="0086555C" w:rsidRPr="000330F0" w:rsidRDefault="0086555C" w:rsidP="0086555C">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44" w:name="_Hlk97369665"/>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41</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53CF9E3D" w14:textId="77777777" w:rsidR="00287555" w:rsidRDefault="0086555C" w:rsidP="0086555C">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Carga de Trabajo </w:t>
      </w:r>
      <w:r w:rsidR="00287555">
        <w:rPr>
          <w:rFonts w:ascii="Book Antiqua" w:eastAsia="Calibri" w:hAnsi="Book Antiqua" w:cs="Arial"/>
          <w:b/>
          <w:bCs/>
          <w:color w:val="1F497D"/>
          <w:szCs w:val="24"/>
          <w:lang w:val="es-ES" w:eastAsia="es-ES"/>
        </w:rPr>
        <w:t xml:space="preserve">con desjudicialización en </w:t>
      </w:r>
      <w:r>
        <w:rPr>
          <w:rFonts w:ascii="Book Antiqua" w:eastAsia="Calibri" w:hAnsi="Book Antiqua" w:cs="Arial"/>
          <w:b/>
          <w:bCs/>
          <w:color w:val="1F497D"/>
          <w:szCs w:val="24"/>
          <w:lang w:val="es-ES" w:eastAsia="es-ES"/>
        </w:rPr>
        <w:t xml:space="preserve">el Juzgado de Familia </w:t>
      </w:r>
    </w:p>
    <w:p w14:paraId="6B1F2AB6" w14:textId="5458E453" w:rsidR="0086555C" w:rsidRPr="000330F0" w:rsidRDefault="0086555C" w:rsidP="0086555C">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del I Circuito Judicial de la Zona Sur</w:t>
      </w:r>
      <w:bookmarkEnd w:id="44"/>
    </w:p>
    <w:tbl>
      <w:tblPr>
        <w:tblW w:w="5000" w:type="pct"/>
        <w:tblCellMar>
          <w:left w:w="70" w:type="dxa"/>
          <w:right w:w="70" w:type="dxa"/>
        </w:tblCellMar>
        <w:tblLook w:val="04A0" w:firstRow="1" w:lastRow="0" w:firstColumn="1" w:lastColumn="0" w:noHBand="0" w:noVBand="1"/>
      </w:tblPr>
      <w:tblGrid>
        <w:gridCol w:w="4364"/>
        <w:gridCol w:w="2227"/>
        <w:gridCol w:w="2227"/>
      </w:tblGrid>
      <w:tr w:rsidR="005C2046" w:rsidRPr="00A87A47" w14:paraId="617D33D8" w14:textId="77777777" w:rsidTr="00A87A47">
        <w:trPr>
          <w:trHeight w:val="1170"/>
        </w:trPr>
        <w:tc>
          <w:tcPr>
            <w:tcW w:w="3254" w:type="pct"/>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05A7FF61" w14:textId="4974A090" w:rsidR="00A87A47" w:rsidRPr="00A87A47" w:rsidRDefault="00A87A47" w:rsidP="00A87A47">
            <w:pPr>
              <w:spacing w:after="0" w:line="240" w:lineRule="auto"/>
              <w:jc w:val="center"/>
              <w:rPr>
                <w:rFonts w:ascii="Book Antiqua" w:eastAsia="Times New Roman" w:hAnsi="Book Antiqua" w:cs="Calibri"/>
                <w:color w:val="FFFFFF"/>
                <w:lang w:eastAsia="es-CR"/>
              </w:rPr>
            </w:pPr>
            <w:r w:rsidRPr="00A87A47">
              <w:rPr>
                <w:rFonts w:ascii="Book Antiqua" w:eastAsia="Times New Roman" w:hAnsi="Book Antiqua" w:cs="Calibri"/>
                <w:color w:val="FFFFFF"/>
                <w:lang w:eastAsia="es-CR"/>
              </w:rPr>
              <w:t xml:space="preserve">Juzgado Familia </w:t>
            </w:r>
            <w:r w:rsidR="00BB5FC3">
              <w:rPr>
                <w:rFonts w:ascii="Book Antiqua" w:eastAsia="Times New Roman" w:hAnsi="Book Antiqua" w:cs="Calibri"/>
                <w:color w:val="FFFFFF"/>
                <w:lang w:eastAsia="es-CR"/>
              </w:rPr>
              <w:t xml:space="preserve">del </w:t>
            </w:r>
            <w:r w:rsidRPr="00A87A47">
              <w:rPr>
                <w:rFonts w:ascii="Book Antiqua" w:eastAsia="Times New Roman" w:hAnsi="Book Antiqua" w:cs="Calibri"/>
                <w:color w:val="FFFFFF"/>
                <w:lang w:eastAsia="es-CR"/>
              </w:rPr>
              <w:t>I Circuito Judicial de la Zona Sur</w:t>
            </w:r>
          </w:p>
        </w:tc>
        <w:tc>
          <w:tcPr>
            <w:tcW w:w="760" w:type="pct"/>
            <w:tcBorders>
              <w:top w:val="single" w:sz="8" w:space="0" w:color="auto"/>
              <w:left w:val="nil"/>
              <w:bottom w:val="single" w:sz="8" w:space="0" w:color="auto"/>
              <w:right w:val="single" w:sz="8" w:space="0" w:color="auto"/>
            </w:tcBorders>
            <w:shd w:val="clear" w:color="000000" w:fill="002060"/>
            <w:vAlign w:val="center"/>
            <w:hideMark/>
          </w:tcPr>
          <w:p w14:paraId="18FCCFC2" w14:textId="77777777" w:rsidR="00A87A47" w:rsidRPr="00A87A47" w:rsidRDefault="00A87A47" w:rsidP="00A87A47">
            <w:pPr>
              <w:spacing w:after="0" w:line="240" w:lineRule="auto"/>
              <w:jc w:val="center"/>
              <w:rPr>
                <w:rFonts w:ascii="Book Antiqua" w:eastAsia="Times New Roman" w:hAnsi="Book Antiqua" w:cs="Calibri"/>
                <w:color w:val="FFFFFF"/>
                <w:lang w:eastAsia="es-CR"/>
              </w:rPr>
            </w:pPr>
            <w:r w:rsidRPr="00A87A47">
              <w:rPr>
                <w:rFonts w:ascii="Book Antiqua" w:eastAsia="Times New Roman" w:hAnsi="Book Antiqua" w:cs="Calibri"/>
                <w:color w:val="FFFFFF"/>
                <w:lang w:eastAsia="es-CR"/>
              </w:rPr>
              <w:t>Personas Juzgadoras</w:t>
            </w:r>
          </w:p>
        </w:tc>
        <w:tc>
          <w:tcPr>
            <w:tcW w:w="986" w:type="pct"/>
            <w:tcBorders>
              <w:top w:val="single" w:sz="8" w:space="0" w:color="auto"/>
              <w:left w:val="nil"/>
              <w:bottom w:val="single" w:sz="8" w:space="0" w:color="auto"/>
              <w:right w:val="single" w:sz="8" w:space="0" w:color="auto"/>
            </w:tcBorders>
            <w:shd w:val="clear" w:color="000000" w:fill="002060"/>
            <w:vAlign w:val="center"/>
            <w:hideMark/>
          </w:tcPr>
          <w:p w14:paraId="35BAFCB3" w14:textId="77777777" w:rsidR="00A87A47" w:rsidRPr="00A87A47" w:rsidRDefault="00A87A47" w:rsidP="00A87A47">
            <w:pPr>
              <w:spacing w:after="0" w:line="240" w:lineRule="auto"/>
              <w:jc w:val="center"/>
              <w:rPr>
                <w:rFonts w:ascii="Book Antiqua" w:eastAsia="Times New Roman" w:hAnsi="Book Antiqua" w:cs="Calibri"/>
                <w:color w:val="FFFFFF"/>
                <w:lang w:eastAsia="es-CR"/>
              </w:rPr>
            </w:pPr>
            <w:r w:rsidRPr="00A87A47">
              <w:rPr>
                <w:rFonts w:ascii="Book Antiqua" w:eastAsia="Times New Roman" w:hAnsi="Book Antiqua" w:cs="Calibri"/>
                <w:color w:val="FFFFFF"/>
                <w:lang w:eastAsia="es-CR"/>
              </w:rPr>
              <w:t>Personas Técnicas Judiciales de Trámite</w:t>
            </w:r>
          </w:p>
        </w:tc>
      </w:tr>
      <w:tr w:rsidR="005C2046" w:rsidRPr="00A87A47" w14:paraId="3818B038" w14:textId="77777777" w:rsidTr="00A87A47">
        <w:trPr>
          <w:trHeight w:val="590"/>
        </w:trPr>
        <w:tc>
          <w:tcPr>
            <w:tcW w:w="3254" w:type="pct"/>
            <w:tcBorders>
              <w:top w:val="nil"/>
              <w:left w:val="single" w:sz="8" w:space="0" w:color="auto"/>
              <w:bottom w:val="single" w:sz="8" w:space="0" w:color="auto"/>
              <w:right w:val="single" w:sz="8" w:space="0" w:color="auto"/>
            </w:tcBorders>
            <w:shd w:val="clear" w:color="000000" w:fill="BFBFBF"/>
            <w:vAlign w:val="center"/>
            <w:hideMark/>
          </w:tcPr>
          <w:p w14:paraId="1B3AD6FD" w14:textId="77777777"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Promedio mensual de Entrada 2017-2021 (estimado con desjudicialización)</w:t>
            </w:r>
          </w:p>
        </w:tc>
        <w:tc>
          <w:tcPr>
            <w:tcW w:w="760" w:type="pct"/>
            <w:tcBorders>
              <w:top w:val="nil"/>
              <w:left w:val="nil"/>
              <w:bottom w:val="single" w:sz="8" w:space="0" w:color="auto"/>
              <w:right w:val="single" w:sz="8" w:space="0" w:color="auto"/>
            </w:tcBorders>
            <w:shd w:val="clear" w:color="auto" w:fill="auto"/>
            <w:noWrap/>
            <w:vAlign w:val="center"/>
            <w:hideMark/>
          </w:tcPr>
          <w:p w14:paraId="3B566281" w14:textId="5C37B56E"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103</w:t>
            </w:r>
            <w:r w:rsidR="005C2046">
              <w:rPr>
                <w:rFonts w:ascii="Book Antiqua" w:eastAsia="Times New Roman" w:hAnsi="Book Antiqua" w:cs="Calibri"/>
                <w:color w:val="000000"/>
                <w:lang w:eastAsia="es-CR"/>
              </w:rPr>
              <w:t>+5 asuntos niñez</w:t>
            </w:r>
            <w:r w:rsidRPr="00A87A47">
              <w:rPr>
                <w:rFonts w:ascii="Book Antiqua" w:eastAsia="Times New Roman" w:hAnsi="Book Antiqua" w:cs="Calibri"/>
                <w:color w:val="000000"/>
                <w:lang w:eastAsia="es-CR"/>
              </w:rPr>
              <w:t>/2=5</w:t>
            </w:r>
            <w:r w:rsidR="005C2046">
              <w:rPr>
                <w:rFonts w:ascii="Book Antiqua" w:eastAsia="Times New Roman" w:hAnsi="Book Antiqua" w:cs="Calibri"/>
                <w:color w:val="000000"/>
                <w:lang w:eastAsia="es-CR"/>
              </w:rPr>
              <w:t>4</w:t>
            </w:r>
          </w:p>
        </w:tc>
        <w:tc>
          <w:tcPr>
            <w:tcW w:w="986" w:type="pct"/>
            <w:tcBorders>
              <w:top w:val="nil"/>
              <w:left w:val="nil"/>
              <w:bottom w:val="single" w:sz="8" w:space="0" w:color="auto"/>
              <w:right w:val="single" w:sz="8" w:space="0" w:color="auto"/>
            </w:tcBorders>
            <w:shd w:val="clear" w:color="auto" w:fill="auto"/>
            <w:noWrap/>
            <w:vAlign w:val="center"/>
            <w:hideMark/>
          </w:tcPr>
          <w:p w14:paraId="7C0DCA59" w14:textId="603830B9"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103</w:t>
            </w:r>
            <w:r w:rsidR="005C2046">
              <w:rPr>
                <w:rFonts w:ascii="Book Antiqua" w:eastAsia="Times New Roman" w:hAnsi="Book Antiqua" w:cs="Calibri"/>
                <w:color w:val="000000"/>
                <w:lang w:eastAsia="es-CR"/>
              </w:rPr>
              <w:t>+5 asuntos niñez</w:t>
            </w:r>
            <w:r w:rsidRPr="00A87A47">
              <w:rPr>
                <w:rFonts w:ascii="Book Antiqua" w:eastAsia="Times New Roman" w:hAnsi="Book Antiqua" w:cs="Calibri"/>
                <w:color w:val="000000"/>
                <w:lang w:eastAsia="es-CR"/>
              </w:rPr>
              <w:t>/2=5</w:t>
            </w:r>
            <w:r w:rsidR="005C2046">
              <w:rPr>
                <w:rFonts w:ascii="Book Antiqua" w:eastAsia="Times New Roman" w:hAnsi="Book Antiqua" w:cs="Calibri"/>
                <w:color w:val="000000"/>
                <w:lang w:eastAsia="es-CR"/>
              </w:rPr>
              <w:t>4</w:t>
            </w:r>
          </w:p>
        </w:tc>
      </w:tr>
      <w:tr w:rsidR="005C2046" w:rsidRPr="00A87A47" w14:paraId="2CA4B397" w14:textId="77777777" w:rsidTr="00A87A47">
        <w:trPr>
          <w:trHeight w:val="300"/>
        </w:trPr>
        <w:tc>
          <w:tcPr>
            <w:tcW w:w="3254" w:type="pct"/>
            <w:tcBorders>
              <w:top w:val="nil"/>
              <w:left w:val="single" w:sz="8" w:space="0" w:color="auto"/>
              <w:bottom w:val="single" w:sz="8" w:space="0" w:color="auto"/>
              <w:right w:val="single" w:sz="8" w:space="0" w:color="auto"/>
            </w:tcBorders>
            <w:shd w:val="clear" w:color="000000" w:fill="BFBFBF"/>
            <w:noWrap/>
            <w:vAlign w:val="center"/>
            <w:hideMark/>
          </w:tcPr>
          <w:p w14:paraId="262D1FCC" w14:textId="77777777"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Promedio mensual de terminado 2017-2021</w:t>
            </w:r>
          </w:p>
        </w:tc>
        <w:tc>
          <w:tcPr>
            <w:tcW w:w="760" w:type="pct"/>
            <w:tcBorders>
              <w:top w:val="nil"/>
              <w:left w:val="nil"/>
              <w:bottom w:val="single" w:sz="8" w:space="0" w:color="auto"/>
              <w:right w:val="single" w:sz="8" w:space="0" w:color="auto"/>
            </w:tcBorders>
            <w:shd w:val="clear" w:color="auto" w:fill="auto"/>
            <w:noWrap/>
            <w:vAlign w:val="center"/>
            <w:hideMark/>
          </w:tcPr>
          <w:p w14:paraId="2C29AB94"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85/2=43</w:t>
            </w:r>
          </w:p>
        </w:tc>
        <w:tc>
          <w:tcPr>
            <w:tcW w:w="986" w:type="pct"/>
            <w:tcBorders>
              <w:top w:val="nil"/>
              <w:left w:val="nil"/>
              <w:bottom w:val="single" w:sz="8" w:space="0" w:color="auto"/>
              <w:right w:val="single" w:sz="8" w:space="0" w:color="auto"/>
            </w:tcBorders>
            <w:shd w:val="clear" w:color="auto" w:fill="auto"/>
            <w:noWrap/>
            <w:vAlign w:val="center"/>
            <w:hideMark/>
          </w:tcPr>
          <w:p w14:paraId="55A817C5"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85/2=43</w:t>
            </w:r>
          </w:p>
        </w:tc>
      </w:tr>
      <w:tr w:rsidR="00A87A47" w:rsidRPr="00A87A47" w14:paraId="3E9D9D2E" w14:textId="77777777" w:rsidTr="00A87A47">
        <w:trPr>
          <w:trHeight w:val="300"/>
        </w:trPr>
        <w:tc>
          <w:tcPr>
            <w:tcW w:w="3254" w:type="pct"/>
            <w:tcBorders>
              <w:top w:val="nil"/>
              <w:left w:val="single" w:sz="8" w:space="0" w:color="auto"/>
              <w:bottom w:val="single" w:sz="8" w:space="0" w:color="auto"/>
              <w:right w:val="single" w:sz="8" w:space="0" w:color="auto"/>
            </w:tcBorders>
            <w:shd w:val="clear" w:color="000000" w:fill="BFBFBF"/>
            <w:noWrap/>
            <w:vAlign w:val="center"/>
            <w:hideMark/>
          </w:tcPr>
          <w:p w14:paraId="458A6539" w14:textId="77777777"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Circulante al finalizar el 2021</w:t>
            </w:r>
          </w:p>
        </w:tc>
        <w:tc>
          <w:tcPr>
            <w:tcW w:w="174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95A0C7A"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342</w:t>
            </w:r>
          </w:p>
        </w:tc>
      </w:tr>
      <w:tr w:rsidR="00A87A47" w:rsidRPr="00A87A47" w14:paraId="57056E58" w14:textId="77777777" w:rsidTr="00A87A47">
        <w:trPr>
          <w:trHeight w:val="300"/>
        </w:trPr>
        <w:tc>
          <w:tcPr>
            <w:tcW w:w="3254" w:type="pct"/>
            <w:tcBorders>
              <w:top w:val="nil"/>
              <w:left w:val="single" w:sz="8" w:space="0" w:color="auto"/>
              <w:bottom w:val="single" w:sz="8" w:space="0" w:color="auto"/>
              <w:right w:val="single" w:sz="8" w:space="0" w:color="auto"/>
            </w:tcBorders>
            <w:shd w:val="clear" w:color="000000" w:fill="BFBFBF"/>
            <w:noWrap/>
            <w:vAlign w:val="center"/>
            <w:hideMark/>
          </w:tcPr>
          <w:p w14:paraId="3FA3C707" w14:textId="77777777" w:rsidR="00A87A47" w:rsidRPr="00A87A47" w:rsidRDefault="00A87A47" w:rsidP="00A87A47">
            <w:pPr>
              <w:spacing w:after="0" w:line="240" w:lineRule="auto"/>
              <w:rPr>
                <w:rFonts w:ascii="Book Antiqua" w:eastAsia="Times New Roman" w:hAnsi="Book Antiqua" w:cs="Calibri"/>
                <w:b/>
                <w:bCs/>
                <w:color w:val="000000"/>
                <w:sz w:val="20"/>
                <w:szCs w:val="20"/>
                <w:lang w:eastAsia="es-CR"/>
              </w:rPr>
            </w:pPr>
            <w:r w:rsidRPr="00A87A47">
              <w:rPr>
                <w:rFonts w:ascii="Book Antiqua" w:eastAsia="Times New Roman" w:hAnsi="Book Antiqua" w:cs="Calibri"/>
                <w:b/>
                <w:bCs/>
                <w:color w:val="000000"/>
                <w:sz w:val="20"/>
                <w:szCs w:val="20"/>
                <w:lang w:eastAsia="es-CR"/>
              </w:rPr>
              <w:t>Relación Salida Entrada</w:t>
            </w:r>
          </w:p>
        </w:tc>
        <w:tc>
          <w:tcPr>
            <w:tcW w:w="174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9171ECE" w14:textId="72806815" w:rsidR="00A87A47" w:rsidRPr="00A87A47" w:rsidRDefault="00A87A47" w:rsidP="00A87A47">
            <w:pPr>
              <w:spacing w:after="0" w:line="240" w:lineRule="auto"/>
              <w:jc w:val="center"/>
              <w:rPr>
                <w:rFonts w:ascii="Book Antiqua" w:eastAsia="Times New Roman" w:hAnsi="Book Antiqua" w:cs="Calibri"/>
                <w:color w:val="000000"/>
                <w:sz w:val="20"/>
                <w:szCs w:val="20"/>
                <w:lang w:eastAsia="es-CR"/>
              </w:rPr>
            </w:pPr>
            <w:r w:rsidRPr="00A87A47">
              <w:rPr>
                <w:rFonts w:ascii="Book Antiqua" w:eastAsia="Times New Roman" w:hAnsi="Book Antiqua" w:cs="Calibri"/>
                <w:color w:val="000000"/>
                <w:sz w:val="20"/>
                <w:szCs w:val="20"/>
                <w:lang w:eastAsia="es-CR"/>
              </w:rPr>
              <w:t>83%</w:t>
            </w:r>
          </w:p>
        </w:tc>
      </w:tr>
      <w:tr w:rsidR="005C2046" w:rsidRPr="00A87A47" w14:paraId="1FA3D3F0" w14:textId="77777777" w:rsidTr="009F35F5">
        <w:trPr>
          <w:trHeight w:val="380"/>
        </w:trPr>
        <w:tc>
          <w:tcPr>
            <w:tcW w:w="3254" w:type="pct"/>
            <w:tcBorders>
              <w:top w:val="nil"/>
              <w:left w:val="single" w:sz="8" w:space="0" w:color="auto"/>
              <w:bottom w:val="single" w:sz="8" w:space="0" w:color="auto"/>
              <w:right w:val="single" w:sz="8" w:space="0" w:color="auto"/>
            </w:tcBorders>
            <w:shd w:val="clear" w:color="000000" w:fill="BFBFBF"/>
            <w:vAlign w:val="center"/>
            <w:hideMark/>
          </w:tcPr>
          <w:p w14:paraId="066717F0" w14:textId="4FEA377D"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 xml:space="preserve">Cantidad de personas con que cuenta el despacho </w:t>
            </w:r>
          </w:p>
        </w:tc>
        <w:tc>
          <w:tcPr>
            <w:tcW w:w="760" w:type="pct"/>
            <w:tcBorders>
              <w:top w:val="nil"/>
              <w:left w:val="nil"/>
              <w:bottom w:val="single" w:sz="8" w:space="0" w:color="auto"/>
              <w:right w:val="single" w:sz="8" w:space="0" w:color="auto"/>
            </w:tcBorders>
            <w:shd w:val="clear" w:color="auto" w:fill="auto"/>
            <w:noWrap/>
            <w:vAlign w:val="center"/>
            <w:hideMark/>
          </w:tcPr>
          <w:p w14:paraId="3C0E103B"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2</w:t>
            </w:r>
          </w:p>
        </w:tc>
        <w:tc>
          <w:tcPr>
            <w:tcW w:w="986" w:type="pct"/>
            <w:tcBorders>
              <w:top w:val="nil"/>
              <w:left w:val="nil"/>
              <w:bottom w:val="single" w:sz="8" w:space="0" w:color="auto"/>
              <w:right w:val="single" w:sz="8" w:space="0" w:color="auto"/>
            </w:tcBorders>
            <w:shd w:val="clear" w:color="auto" w:fill="auto"/>
            <w:noWrap/>
            <w:vAlign w:val="center"/>
            <w:hideMark/>
          </w:tcPr>
          <w:p w14:paraId="02916A33"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2</w:t>
            </w:r>
          </w:p>
        </w:tc>
      </w:tr>
      <w:tr w:rsidR="005C2046" w:rsidRPr="00A87A47" w14:paraId="5FFF6801" w14:textId="77777777" w:rsidTr="00A87A47">
        <w:trPr>
          <w:trHeight w:val="300"/>
        </w:trPr>
        <w:tc>
          <w:tcPr>
            <w:tcW w:w="3254" w:type="pct"/>
            <w:tcBorders>
              <w:top w:val="nil"/>
              <w:left w:val="single" w:sz="8" w:space="0" w:color="auto"/>
              <w:bottom w:val="single" w:sz="8" w:space="0" w:color="auto"/>
              <w:right w:val="single" w:sz="8" w:space="0" w:color="auto"/>
            </w:tcBorders>
            <w:shd w:val="clear" w:color="000000" w:fill="BFBFBF"/>
            <w:noWrap/>
            <w:vAlign w:val="center"/>
            <w:hideMark/>
          </w:tcPr>
          <w:p w14:paraId="6B065483" w14:textId="77777777"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Cantidad requerida de personas</w:t>
            </w:r>
          </w:p>
        </w:tc>
        <w:tc>
          <w:tcPr>
            <w:tcW w:w="760" w:type="pct"/>
            <w:tcBorders>
              <w:top w:val="nil"/>
              <w:left w:val="nil"/>
              <w:bottom w:val="single" w:sz="8" w:space="0" w:color="auto"/>
              <w:right w:val="single" w:sz="8" w:space="0" w:color="auto"/>
            </w:tcBorders>
            <w:shd w:val="clear" w:color="auto" w:fill="auto"/>
            <w:noWrap/>
            <w:vAlign w:val="center"/>
            <w:hideMark/>
          </w:tcPr>
          <w:p w14:paraId="6CE50A84" w14:textId="313438C6"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1</w:t>
            </w:r>
            <w:r w:rsidR="005C2046">
              <w:rPr>
                <w:rFonts w:ascii="Book Antiqua" w:eastAsia="Times New Roman" w:hAnsi="Book Antiqua" w:cs="Calibri"/>
                <w:color w:val="000000"/>
                <w:lang w:eastAsia="es-CR"/>
              </w:rPr>
              <w:t>.3</w:t>
            </w:r>
          </w:p>
        </w:tc>
        <w:tc>
          <w:tcPr>
            <w:tcW w:w="986" w:type="pct"/>
            <w:tcBorders>
              <w:top w:val="nil"/>
              <w:left w:val="nil"/>
              <w:bottom w:val="single" w:sz="8" w:space="0" w:color="auto"/>
              <w:right w:val="single" w:sz="8" w:space="0" w:color="auto"/>
            </w:tcBorders>
            <w:shd w:val="clear" w:color="auto" w:fill="auto"/>
            <w:noWrap/>
            <w:vAlign w:val="center"/>
            <w:hideMark/>
          </w:tcPr>
          <w:p w14:paraId="29D15D92" w14:textId="422351C2"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2</w:t>
            </w:r>
            <w:r w:rsidR="002544C1">
              <w:rPr>
                <w:rFonts w:ascii="Book Antiqua" w:eastAsia="Times New Roman" w:hAnsi="Book Antiqua" w:cs="Calibri"/>
                <w:color w:val="000000"/>
                <w:lang w:eastAsia="es-CR"/>
              </w:rPr>
              <w:t>.4</w:t>
            </w:r>
          </w:p>
        </w:tc>
      </w:tr>
      <w:tr w:rsidR="005C2046" w:rsidRPr="00A87A47" w14:paraId="30E58B20" w14:textId="77777777" w:rsidTr="00A87A47">
        <w:trPr>
          <w:trHeight w:val="300"/>
        </w:trPr>
        <w:tc>
          <w:tcPr>
            <w:tcW w:w="3254" w:type="pct"/>
            <w:tcBorders>
              <w:top w:val="nil"/>
              <w:left w:val="single" w:sz="8" w:space="0" w:color="auto"/>
              <w:bottom w:val="single" w:sz="8" w:space="0" w:color="auto"/>
              <w:right w:val="single" w:sz="8" w:space="0" w:color="auto"/>
            </w:tcBorders>
            <w:shd w:val="clear" w:color="000000" w:fill="BFBFBF"/>
            <w:noWrap/>
            <w:vAlign w:val="center"/>
            <w:hideMark/>
          </w:tcPr>
          <w:p w14:paraId="6445D084" w14:textId="77777777" w:rsidR="00A87A47" w:rsidRPr="00A87A47" w:rsidRDefault="00A87A47" w:rsidP="00A87A47">
            <w:pPr>
              <w:spacing w:after="0" w:line="240" w:lineRule="auto"/>
              <w:rPr>
                <w:rFonts w:ascii="Book Antiqua" w:eastAsia="Times New Roman" w:hAnsi="Book Antiqua" w:cs="Calibri"/>
                <w:b/>
                <w:bCs/>
                <w:color w:val="000000"/>
                <w:lang w:eastAsia="es-CR"/>
              </w:rPr>
            </w:pPr>
            <w:r w:rsidRPr="00A87A47">
              <w:rPr>
                <w:rFonts w:ascii="Book Antiqua" w:eastAsia="Times New Roman" w:hAnsi="Book Antiqua" w:cs="Calibri"/>
                <w:b/>
                <w:bCs/>
                <w:color w:val="000000"/>
                <w:lang w:eastAsia="es-CR"/>
              </w:rPr>
              <w:t>Variación</w:t>
            </w:r>
          </w:p>
        </w:tc>
        <w:tc>
          <w:tcPr>
            <w:tcW w:w="760" w:type="pct"/>
            <w:tcBorders>
              <w:top w:val="nil"/>
              <w:left w:val="nil"/>
              <w:bottom w:val="single" w:sz="8" w:space="0" w:color="auto"/>
              <w:right w:val="single" w:sz="8" w:space="0" w:color="auto"/>
            </w:tcBorders>
            <w:shd w:val="clear" w:color="auto" w:fill="auto"/>
            <w:noWrap/>
            <w:vAlign w:val="center"/>
            <w:hideMark/>
          </w:tcPr>
          <w:p w14:paraId="655D5635"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-1</w:t>
            </w:r>
          </w:p>
        </w:tc>
        <w:tc>
          <w:tcPr>
            <w:tcW w:w="986" w:type="pct"/>
            <w:tcBorders>
              <w:top w:val="nil"/>
              <w:left w:val="nil"/>
              <w:bottom w:val="single" w:sz="8" w:space="0" w:color="auto"/>
              <w:right w:val="single" w:sz="8" w:space="0" w:color="auto"/>
            </w:tcBorders>
            <w:shd w:val="clear" w:color="auto" w:fill="auto"/>
            <w:noWrap/>
            <w:vAlign w:val="center"/>
            <w:hideMark/>
          </w:tcPr>
          <w:p w14:paraId="48C10B91" w14:textId="77777777" w:rsidR="00A87A47" w:rsidRPr="00A87A47" w:rsidRDefault="00A87A47" w:rsidP="00A87A47">
            <w:pPr>
              <w:spacing w:after="0" w:line="240" w:lineRule="auto"/>
              <w:jc w:val="center"/>
              <w:rPr>
                <w:rFonts w:ascii="Book Antiqua" w:eastAsia="Times New Roman" w:hAnsi="Book Antiqua" w:cs="Calibri"/>
                <w:color w:val="000000"/>
                <w:lang w:eastAsia="es-CR"/>
              </w:rPr>
            </w:pPr>
            <w:r w:rsidRPr="00A87A47">
              <w:rPr>
                <w:rFonts w:ascii="Book Antiqua" w:eastAsia="Times New Roman" w:hAnsi="Book Antiqua" w:cs="Calibri"/>
                <w:color w:val="000000"/>
                <w:lang w:eastAsia="es-CR"/>
              </w:rPr>
              <w:t>0</w:t>
            </w:r>
          </w:p>
        </w:tc>
      </w:tr>
    </w:tbl>
    <w:p w14:paraId="16408002" w14:textId="77777777" w:rsidR="00A87A47" w:rsidRDefault="00A87A47" w:rsidP="00A87A47">
      <w:pPr>
        <w:spacing w:after="0" w:line="276" w:lineRule="auto"/>
        <w:jc w:val="both"/>
        <w:rPr>
          <w:rFonts w:ascii="Book Antiqua" w:eastAsia="Calibri" w:hAnsi="Book Antiqua" w:cs="Arial"/>
          <w:sz w:val="24"/>
          <w:szCs w:val="24"/>
        </w:rPr>
      </w:pPr>
      <w:r w:rsidRPr="00F07A42">
        <w:rPr>
          <w:rFonts w:ascii="Book Antiqua" w:eastAsia="Calibri" w:hAnsi="Book Antiqua" w:cs="Arial"/>
          <w:i/>
          <w:iCs/>
          <w:sz w:val="20"/>
          <w:szCs w:val="20"/>
        </w:rPr>
        <w:t>Fuente: Modernización Institucional</w:t>
      </w:r>
      <w:r>
        <w:rPr>
          <w:rFonts w:ascii="Book Antiqua" w:eastAsia="Calibri" w:hAnsi="Book Antiqua" w:cs="Arial"/>
          <w:i/>
          <w:iCs/>
          <w:sz w:val="20"/>
          <w:szCs w:val="20"/>
        </w:rPr>
        <w:t xml:space="preserve"> </w:t>
      </w:r>
      <w:r w:rsidRPr="00293FB2">
        <w:rPr>
          <w:rFonts w:ascii="Book Antiqua" w:eastAsia="Calibri" w:hAnsi="Book Antiqua" w:cs="Arial"/>
          <w:i/>
          <w:iCs/>
          <w:sz w:val="20"/>
          <w:szCs w:val="20"/>
        </w:rPr>
        <w:t>con base en datos estadísticos del Subproceso de Estadística.</w:t>
      </w:r>
    </w:p>
    <w:p w14:paraId="7C5FBFDC" w14:textId="77777777" w:rsidR="007479DF" w:rsidRDefault="007479DF" w:rsidP="00355630">
      <w:pPr>
        <w:spacing w:after="0" w:line="276" w:lineRule="auto"/>
        <w:jc w:val="both"/>
        <w:rPr>
          <w:rFonts w:ascii="Book Antiqua" w:eastAsia="Calibri" w:hAnsi="Book Antiqua" w:cs="Arial"/>
          <w:sz w:val="24"/>
          <w:szCs w:val="24"/>
        </w:rPr>
      </w:pPr>
    </w:p>
    <w:p w14:paraId="300F7C94" w14:textId="3E356102" w:rsidR="004B2E6C" w:rsidRDefault="00287555"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Como puede observa</w:t>
      </w:r>
      <w:r w:rsidR="009B6214">
        <w:rPr>
          <w:rFonts w:ascii="Book Antiqua" w:eastAsia="Calibri" w:hAnsi="Book Antiqua" w:cs="Arial"/>
          <w:sz w:val="24"/>
          <w:szCs w:val="24"/>
        </w:rPr>
        <w:t>r</w:t>
      </w:r>
      <w:r>
        <w:rPr>
          <w:rFonts w:ascii="Book Antiqua" w:eastAsia="Calibri" w:hAnsi="Book Antiqua" w:cs="Arial"/>
          <w:sz w:val="24"/>
          <w:szCs w:val="24"/>
        </w:rPr>
        <w:t xml:space="preserve">se, la entrada </w:t>
      </w:r>
      <w:r w:rsidR="00DE71F1">
        <w:rPr>
          <w:rFonts w:ascii="Book Antiqua" w:eastAsia="Calibri" w:hAnsi="Book Antiqua" w:cs="Arial"/>
          <w:sz w:val="24"/>
          <w:szCs w:val="24"/>
        </w:rPr>
        <w:t xml:space="preserve">proyectada restando la cantidad de procesos que se estima se </w:t>
      </w:r>
      <w:r>
        <w:rPr>
          <w:rFonts w:ascii="Book Antiqua" w:eastAsia="Calibri" w:hAnsi="Book Antiqua" w:cs="Arial"/>
          <w:sz w:val="24"/>
          <w:szCs w:val="24"/>
        </w:rPr>
        <w:t>desjudicializa</w:t>
      </w:r>
      <w:r w:rsidR="00DE71F1">
        <w:rPr>
          <w:rFonts w:ascii="Book Antiqua" w:eastAsia="Calibri" w:hAnsi="Book Antiqua" w:cs="Arial"/>
          <w:sz w:val="24"/>
          <w:szCs w:val="24"/>
        </w:rPr>
        <w:t>rian a partir de octubre 2022</w:t>
      </w:r>
      <w:r w:rsidR="002544C1">
        <w:rPr>
          <w:rFonts w:ascii="Book Antiqua" w:eastAsia="Calibri" w:hAnsi="Book Antiqua" w:cs="Arial"/>
          <w:sz w:val="24"/>
          <w:szCs w:val="24"/>
        </w:rPr>
        <w:t xml:space="preserve"> e incluyendo la entrada probable de asuntos de Niñez y Adolescencia al mes (5)</w:t>
      </w:r>
      <w:r w:rsidR="00DE71F1">
        <w:rPr>
          <w:rFonts w:ascii="Book Antiqua" w:eastAsia="Calibri" w:hAnsi="Book Antiqua" w:cs="Arial"/>
          <w:sz w:val="24"/>
          <w:szCs w:val="24"/>
        </w:rPr>
        <w:t xml:space="preserve">, </w:t>
      </w:r>
      <w:r>
        <w:rPr>
          <w:rFonts w:ascii="Book Antiqua" w:eastAsia="Calibri" w:hAnsi="Book Antiqua" w:cs="Arial"/>
          <w:sz w:val="24"/>
          <w:szCs w:val="24"/>
        </w:rPr>
        <w:t xml:space="preserve">tanto para el personal juzgador como técnico judicial </w:t>
      </w:r>
      <w:r w:rsidR="00BC2CCA">
        <w:rPr>
          <w:rFonts w:ascii="Book Antiqua" w:eastAsia="Calibri" w:hAnsi="Book Antiqua" w:cs="Arial"/>
          <w:sz w:val="24"/>
          <w:szCs w:val="24"/>
        </w:rPr>
        <w:t xml:space="preserve">en promedio </w:t>
      </w:r>
      <w:r w:rsidR="00DE71F1">
        <w:rPr>
          <w:rFonts w:ascii="Book Antiqua" w:eastAsia="Calibri" w:hAnsi="Book Antiqua" w:cs="Arial"/>
          <w:sz w:val="24"/>
          <w:szCs w:val="24"/>
        </w:rPr>
        <w:t xml:space="preserve">la carga será </w:t>
      </w:r>
      <w:r w:rsidR="00D35177">
        <w:rPr>
          <w:rFonts w:ascii="Book Antiqua" w:eastAsia="Calibri" w:hAnsi="Book Antiqua" w:cs="Arial"/>
          <w:sz w:val="24"/>
          <w:szCs w:val="24"/>
        </w:rPr>
        <w:t>de</w:t>
      </w:r>
      <w:r>
        <w:rPr>
          <w:rFonts w:ascii="Book Antiqua" w:eastAsia="Calibri" w:hAnsi="Book Antiqua" w:cs="Arial"/>
          <w:sz w:val="24"/>
          <w:szCs w:val="24"/>
        </w:rPr>
        <w:t xml:space="preserve"> 5</w:t>
      </w:r>
      <w:r w:rsidR="002544C1">
        <w:rPr>
          <w:rFonts w:ascii="Book Antiqua" w:eastAsia="Calibri" w:hAnsi="Book Antiqua" w:cs="Arial"/>
          <w:sz w:val="24"/>
          <w:szCs w:val="24"/>
        </w:rPr>
        <w:t>4</w:t>
      </w:r>
      <w:r>
        <w:rPr>
          <w:rFonts w:ascii="Book Antiqua" w:eastAsia="Calibri" w:hAnsi="Book Antiqua" w:cs="Arial"/>
          <w:sz w:val="24"/>
          <w:szCs w:val="24"/>
        </w:rPr>
        <w:t xml:space="preserve"> asuntos por persona</w:t>
      </w:r>
      <w:r w:rsidR="001C68C9">
        <w:rPr>
          <w:rFonts w:ascii="Book Antiqua" w:eastAsia="Calibri" w:hAnsi="Book Antiqua" w:cs="Arial"/>
          <w:sz w:val="24"/>
          <w:szCs w:val="24"/>
        </w:rPr>
        <w:t xml:space="preserve"> por mes</w:t>
      </w:r>
      <w:r w:rsidR="009C31B1">
        <w:rPr>
          <w:rFonts w:ascii="Book Antiqua" w:eastAsia="Calibri" w:hAnsi="Book Antiqua" w:cs="Arial"/>
          <w:sz w:val="24"/>
          <w:szCs w:val="24"/>
        </w:rPr>
        <w:t>,</w:t>
      </w:r>
      <w:r w:rsidR="00D35177">
        <w:rPr>
          <w:rFonts w:ascii="Book Antiqua" w:eastAsia="Calibri" w:hAnsi="Book Antiqua" w:cs="Arial"/>
          <w:sz w:val="24"/>
          <w:szCs w:val="24"/>
        </w:rPr>
        <w:t xml:space="preserve"> además, con la desjudicialización </w:t>
      </w:r>
      <w:r w:rsidR="0036617F">
        <w:rPr>
          <w:rFonts w:ascii="Book Antiqua" w:eastAsia="Calibri" w:hAnsi="Book Antiqua" w:cs="Arial"/>
          <w:sz w:val="24"/>
          <w:szCs w:val="24"/>
        </w:rPr>
        <w:t xml:space="preserve">teóricamente </w:t>
      </w:r>
      <w:r w:rsidR="00D35177">
        <w:rPr>
          <w:rFonts w:ascii="Book Antiqua" w:eastAsia="Calibri" w:hAnsi="Book Antiqua" w:cs="Arial"/>
          <w:sz w:val="24"/>
          <w:szCs w:val="24"/>
        </w:rPr>
        <w:t xml:space="preserve">se requiere solamente de una </w:t>
      </w:r>
      <w:r>
        <w:rPr>
          <w:rFonts w:ascii="Book Antiqua" w:eastAsia="Calibri" w:hAnsi="Book Antiqua" w:cs="Arial"/>
          <w:sz w:val="24"/>
          <w:szCs w:val="24"/>
        </w:rPr>
        <w:t>persona juzgadora para atender la carga de traba</w:t>
      </w:r>
      <w:r w:rsidR="008E1B1A">
        <w:rPr>
          <w:rFonts w:ascii="Book Antiqua" w:eastAsia="Calibri" w:hAnsi="Book Antiqua" w:cs="Arial"/>
          <w:sz w:val="24"/>
          <w:szCs w:val="24"/>
        </w:rPr>
        <w:t xml:space="preserve">jo, </w:t>
      </w:r>
      <w:r w:rsidR="008C49E5">
        <w:rPr>
          <w:rFonts w:ascii="Book Antiqua" w:eastAsia="Calibri" w:hAnsi="Book Antiqua" w:cs="Arial"/>
          <w:sz w:val="24"/>
          <w:szCs w:val="24"/>
        </w:rPr>
        <w:t xml:space="preserve">sin embargo, </w:t>
      </w:r>
      <w:r w:rsidR="008C49E5" w:rsidRPr="008C49E5">
        <w:rPr>
          <w:rFonts w:ascii="Book Antiqua" w:eastAsia="Calibri" w:hAnsi="Book Antiqua" w:cs="Arial"/>
          <w:sz w:val="24"/>
          <w:szCs w:val="24"/>
        </w:rPr>
        <w:t xml:space="preserve">se propone no realizar movimientos de personas con </w:t>
      </w:r>
      <w:r w:rsidR="008C49E5">
        <w:rPr>
          <w:rFonts w:ascii="Book Antiqua" w:eastAsia="Calibri" w:hAnsi="Book Antiqua" w:cs="Arial"/>
          <w:sz w:val="24"/>
          <w:szCs w:val="24"/>
        </w:rPr>
        <w:t xml:space="preserve">el fin de </w:t>
      </w:r>
      <w:r w:rsidR="008C49E5" w:rsidRPr="008C49E5">
        <w:rPr>
          <w:rFonts w:ascii="Book Antiqua" w:eastAsia="Calibri" w:hAnsi="Book Antiqua" w:cs="Arial"/>
          <w:sz w:val="24"/>
          <w:szCs w:val="24"/>
        </w:rPr>
        <w:t xml:space="preserve">fomentar la reducción del circulante e impactar en los tiempos </w:t>
      </w:r>
      <w:r w:rsidR="009C31B1" w:rsidRPr="008C49E5">
        <w:rPr>
          <w:rFonts w:ascii="Book Antiqua" w:eastAsia="Calibri" w:hAnsi="Book Antiqua" w:cs="Arial"/>
          <w:sz w:val="24"/>
          <w:szCs w:val="24"/>
        </w:rPr>
        <w:t xml:space="preserve">de </w:t>
      </w:r>
      <w:r w:rsidR="009C31B1">
        <w:rPr>
          <w:rFonts w:ascii="Book Antiqua" w:eastAsia="Calibri" w:hAnsi="Book Antiqua" w:cs="Arial"/>
          <w:sz w:val="24"/>
          <w:szCs w:val="24"/>
        </w:rPr>
        <w:t xml:space="preserve">los </w:t>
      </w:r>
      <w:r w:rsidR="009C31B1" w:rsidRPr="008C49E5">
        <w:rPr>
          <w:rFonts w:ascii="Book Antiqua" w:eastAsia="Calibri" w:hAnsi="Book Antiqua" w:cs="Arial"/>
          <w:sz w:val="24"/>
          <w:szCs w:val="24"/>
        </w:rPr>
        <w:t>procesos</w:t>
      </w:r>
      <w:r w:rsidR="008C49E5" w:rsidRPr="008C49E5">
        <w:rPr>
          <w:rFonts w:ascii="Book Antiqua" w:eastAsia="Calibri" w:hAnsi="Book Antiqua" w:cs="Arial"/>
          <w:sz w:val="24"/>
          <w:szCs w:val="24"/>
        </w:rPr>
        <w:t xml:space="preserve"> de manera inmediata</w:t>
      </w:r>
      <w:r w:rsidR="002544C1">
        <w:rPr>
          <w:rFonts w:ascii="Book Antiqua" w:eastAsia="Calibri" w:hAnsi="Book Antiqua" w:cs="Arial"/>
          <w:sz w:val="24"/>
          <w:szCs w:val="24"/>
        </w:rPr>
        <w:t xml:space="preserve"> y justificar que se mantenga el recurso pero ampliando su competencia para que conozca también los asuntos de Niñez y Adolescencia</w:t>
      </w:r>
      <w:r w:rsidR="001C68C9">
        <w:rPr>
          <w:rFonts w:ascii="Book Antiqua" w:eastAsia="Calibri" w:hAnsi="Book Antiqua" w:cs="Arial"/>
          <w:sz w:val="24"/>
          <w:szCs w:val="24"/>
        </w:rPr>
        <w:t xml:space="preserve"> </w:t>
      </w:r>
      <w:r w:rsidR="002544C1">
        <w:rPr>
          <w:rFonts w:ascii="Book Antiqua" w:eastAsia="Calibri" w:hAnsi="Book Antiqua" w:cs="Arial"/>
          <w:sz w:val="24"/>
          <w:szCs w:val="24"/>
        </w:rPr>
        <w:t xml:space="preserve">al igual que sus despachos </w:t>
      </w:r>
      <w:r w:rsidR="001C68C9">
        <w:rPr>
          <w:rFonts w:ascii="Book Antiqua" w:eastAsia="Calibri" w:hAnsi="Book Antiqua" w:cs="Arial"/>
          <w:sz w:val="24"/>
          <w:szCs w:val="24"/>
        </w:rPr>
        <w:t>homólogos</w:t>
      </w:r>
      <w:r w:rsidR="002544C1">
        <w:rPr>
          <w:rFonts w:ascii="Book Antiqua" w:eastAsia="Calibri" w:hAnsi="Book Antiqua" w:cs="Arial"/>
          <w:sz w:val="24"/>
          <w:szCs w:val="24"/>
        </w:rPr>
        <w:t xml:space="preserve"> en el resto del país (salvo San José)</w:t>
      </w:r>
      <w:r w:rsidR="00CD5621">
        <w:rPr>
          <w:rFonts w:ascii="Book Antiqua" w:eastAsia="Calibri" w:hAnsi="Book Antiqua" w:cs="Arial"/>
          <w:sz w:val="24"/>
          <w:szCs w:val="24"/>
        </w:rPr>
        <w:t>.</w:t>
      </w:r>
    </w:p>
    <w:p w14:paraId="20D756E8" w14:textId="77777777" w:rsidR="0055226F" w:rsidRDefault="0055226F" w:rsidP="00355630">
      <w:pPr>
        <w:spacing w:after="0" w:line="276" w:lineRule="auto"/>
        <w:jc w:val="both"/>
        <w:rPr>
          <w:rFonts w:ascii="Book Antiqua" w:eastAsia="Calibri" w:hAnsi="Book Antiqua" w:cs="Arial"/>
          <w:sz w:val="24"/>
          <w:szCs w:val="24"/>
        </w:rPr>
      </w:pPr>
    </w:p>
    <w:p w14:paraId="3445B1FB" w14:textId="64DBADA5" w:rsidR="00DE71F1" w:rsidRDefault="009C31B1"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conclusión, </w:t>
      </w:r>
      <w:r w:rsidR="002544C1">
        <w:rPr>
          <w:rFonts w:ascii="Book Antiqua" w:eastAsia="Calibri" w:hAnsi="Book Antiqua" w:cs="Arial"/>
          <w:sz w:val="24"/>
          <w:szCs w:val="24"/>
        </w:rPr>
        <w:t xml:space="preserve">como se observa, siendo que la cantidad asuntos de esa zona es de solo 56 </w:t>
      </w:r>
      <w:r w:rsidR="001C68C9">
        <w:rPr>
          <w:rFonts w:ascii="Book Antiqua" w:eastAsia="Calibri" w:hAnsi="Book Antiqua" w:cs="Arial"/>
          <w:sz w:val="24"/>
          <w:szCs w:val="24"/>
        </w:rPr>
        <w:t>casos</w:t>
      </w:r>
      <w:r w:rsidR="0055226F">
        <w:rPr>
          <w:rFonts w:ascii="Book Antiqua" w:eastAsia="Calibri" w:hAnsi="Book Antiqua" w:cs="Arial"/>
          <w:sz w:val="24"/>
          <w:szCs w:val="24"/>
        </w:rPr>
        <w:t xml:space="preserve"> nuevos</w:t>
      </w:r>
      <w:r w:rsidR="002544C1">
        <w:rPr>
          <w:rFonts w:ascii="Book Antiqua" w:eastAsia="Calibri" w:hAnsi="Book Antiqua" w:cs="Arial"/>
          <w:sz w:val="24"/>
          <w:szCs w:val="24"/>
        </w:rPr>
        <w:t xml:space="preserve"> al año, y </w:t>
      </w:r>
      <w:r w:rsidR="0055226F">
        <w:rPr>
          <w:rFonts w:ascii="Book Antiqua" w:eastAsia="Calibri" w:hAnsi="Book Antiqua" w:cs="Arial"/>
          <w:sz w:val="24"/>
          <w:szCs w:val="24"/>
        </w:rPr>
        <w:t>60 en circulante,</w:t>
      </w:r>
      <w:r w:rsidR="002544C1">
        <w:rPr>
          <w:rFonts w:ascii="Book Antiqua" w:eastAsia="Calibri" w:hAnsi="Book Antiqua" w:cs="Arial"/>
          <w:sz w:val="24"/>
          <w:szCs w:val="24"/>
        </w:rPr>
        <w:t xml:space="preserve"> </w:t>
      </w:r>
      <w:r w:rsidR="0055226F">
        <w:rPr>
          <w:rFonts w:ascii="Book Antiqua" w:eastAsia="Calibri" w:hAnsi="Book Antiqua" w:cs="Arial"/>
          <w:sz w:val="24"/>
          <w:szCs w:val="24"/>
        </w:rPr>
        <w:t xml:space="preserve">en el caso de </w:t>
      </w:r>
      <w:r w:rsidR="002544C1">
        <w:rPr>
          <w:rFonts w:ascii="Book Antiqua" w:eastAsia="Calibri" w:hAnsi="Book Antiqua" w:cs="Arial"/>
          <w:sz w:val="24"/>
          <w:szCs w:val="24"/>
        </w:rPr>
        <w:t xml:space="preserve">aprobarse por Corte Plena el </w:t>
      </w:r>
      <w:r w:rsidR="001C68C9">
        <w:rPr>
          <w:rFonts w:ascii="Book Antiqua" w:eastAsia="Calibri" w:hAnsi="Book Antiqua" w:cs="Arial"/>
          <w:sz w:val="24"/>
          <w:szCs w:val="24"/>
        </w:rPr>
        <w:t>traslado</w:t>
      </w:r>
      <w:r w:rsidR="002544C1">
        <w:rPr>
          <w:rFonts w:ascii="Book Antiqua" w:eastAsia="Calibri" w:hAnsi="Book Antiqua" w:cs="Arial"/>
          <w:sz w:val="24"/>
          <w:szCs w:val="24"/>
        </w:rPr>
        <w:t xml:space="preserve"> de la competencia de esos asuntos del Juzgado de Niñez </w:t>
      </w:r>
      <w:r w:rsidR="001C68C9">
        <w:rPr>
          <w:rFonts w:ascii="Book Antiqua" w:eastAsia="Calibri" w:hAnsi="Book Antiqua" w:cs="Arial"/>
          <w:sz w:val="24"/>
          <w:szCs w:val="24"/>
        </w:rPr>
        <w:t xml:space="preserve">donde el </w:t>
      </w:r>
      <w:r w:rsidR="001C68C9">
        <w:rPr>
          <w:rFonts w:ascii="Book Antiqua" w:eastAsia="Calibri" w:hAnsi="Book Antiqua" w:cs="Arial"/>
          <w:sz w:val="24"/>
          <w:szCs w:val="24"/>
        </w:rPr>
        <w:lastRenderedPageBreak/>
        <w:t xml:space="preserve">menor reside en Pérez Zeledón </w:t>
      </w:r>
      <w:r w:rsidR="002544C1">
        <w:rPr>
          <w:rFonts w:ascii="Book Antiqua" w:eastAsia="Calibri" w:hAnsi="Book Antiqua" w:cs="Arial"/>
          <w:sz w:val="24"/>
          <w:szCs w:val="24"/>
        </w:rPr>
        <w:t xml:space="preserve">hacia el Juzgado de Familia del Primer Circuito de la Zona Sur, </w:t>
      </w:r>
      <w:r w:rsidR="005D38A7">
        <w:rPr>
          <w:rFonts w:ascii="Book Antiqua" w:eastAsia="Calibri" w:hAnsi="Book Antiqua" w:cs="Arial"/>
          <w:sz w:val="24"/>
          <w:szCs w:val="24"/>
        </w:rPr>
        <w:t xml:space="preserve">contribuye </w:t>
      </w:r>
      <w:r w:rsidR="002544C1">
        <w:rPr>
          <w:rFonts w:ascii="Book Antiqua" w:eastAsia="Calibri" w:hAnsi="Book Antiqua" w:cs="Arial"/>
          <w:sz w:val="24"/>
          <w:szCs w:val="24"/>
        </w:rPr>
        <w:t xml:space="preserve">también </w:t>
      </w:r>
      <w:r w:rsidR="005D38A7">
        <w:rPr>
          <w:rFonts w:ascii="Book Antiqua" w:eastAsia="Calibri" w:hAnsi="Book Antiqua" w:cs="Arial"/>
          <w:sz w:val="24"/>
          <w:szCs w:val="24"/>
        </w:rPr>
        <w:t xml:space="preserve">con la maximización del recurso </w:t>
      </w:r>
      <w:r w:rsidR="00B24DEC">
        <w:rPr>
          <w:rFonts w:ascii="Book Antiqua" w:eastAsia="Calibri" w:hAnsi="Book Antiqua" w:cs="Arial"/>
          <w:sz w:val="24"/>
          <w:szCs w:val="24"/>
        </w:rPr>
        <w:t>de</w:t>
      </w:r>
      <w:r w:rsidR="005D38A7">
        <w:rPr>
          <w:rFonts w:ascii="Book Antiqua" w:eastAsia="Calibri" w:hAnsi="Book Antiqua" w:cs="Arial"/>
          <w:sz w:val="24"/>
          <w:szCs w:val="24"/>
        </w:rPr>
        <w:t xml:space="preserve">l personal juzgador del Juzgado Familia, </w:t>
      </w:r>
      <w:r w:rsidR="00DA2AD1">
        <w:rPr>
          <w:rFonts w:ascii="Book Antiqua" w:eastAsia="Calibri" w:hAnsi="Book Antiqua" w:cs="Arial"/>
          <w:sz w:val="24"/>
          <w:szCs w:val="24"/>
        </w:rPr>
        <w:t xml:space="preserve">de </w:t>
      </w:r>
      <w:r w:rsidR="005D38A7">
        <w:rPr>
          <w:rFonts w:ascii="Book Antiqua" w:eastAsia="Calibri" w:hAnsi="Book Antiqua" w:cs="Arial"/>
          <w:sz w:val="24"/>
          <w:szCs w:val="24"/>
        </w:rPr>
        <w:t xml:space="preserve">Niñez y Adolescencia, </w:t>
      </w:r>
      <w:r w:rsidR="002544C1">
        <w:rPr>
          <w:rFonts w:ascii="Book Antiqua" w:eastAsia="Calibri" w:hAnsi="Book Antiqua" w:cs="Arial"/>
          <w:sz w:val="24"/>
          <w:szCs w:val="24"/>
        </w:rPr>
        <w:t xml:space="preserve">que </w:t>
      </w:r>
      <w:r w:rsidR="00B24DEC">
        <w:rPr>
          <w:rFonts w:ascii="Book Antiqua" w:eastAsia="Calibri" w:hAnsi="Book Antiqua" w:cs="Arial"/>
          <w:sz w:val="24"/>
          <w:szCs w:val="24"/>
        </w:rPr>
        <w:t xml:space="preserve">ya que </w:t>
      </w:r>
      <w:r w:rsidR="005D38A7">
        <w:rPr>
          <w:rFonts w:ascii="Book Antiqua" w:eastAsia="Calibri" w:hAnsi="Book Antiqua" w:cs="Arial"/>
          <w:sz w:val="24"/>
          <w:szCs w:val="24"/>
        </w:rPr>
        <w:t xml:space="preserve">no tendría que trasladarse </w:t>
      </w:r>
      <w:r w:rsidR="002544C1">
        <w:rPr>
          <w:rFonts w:ascii="Book Antiqua" w:eastAsia="Calibri" w:hAnsi="Book Antiqua" w:cs="Arial"/>
          <w:sz w:val="24"/>
          <w:szCs w:val="24"/>
        </w:rPr>
        <w:t xml:space="preserve">a </w:t>
      </w:r>
      <w:r w:rsidR="001C68C9">
        <w:rPr>
          <w:rFonts w:ascii="Book Antiqua" w:eastAsia="Calibri" w:hAnsi="Book Antiqua" w:cs="Arial"/>
          <w:sz w:val="24"/>
          <w:szCs w:val="24"/>
        </w:rPr>
        <w:t>Pérez</w:t>
      </w:r>
      <w:r w:rsidR="002544C1">
        <w:rPr>
          <w:rFonts w:ascii="Book Antiqua" w:eastAsia="Calibri" w:hAnsi="Book Antiqua" w:cs="Arial"/>
          <w:sz w:val="24"/>
          <w:szCs w:val="24"/>
        </w:rPr>
        <w:t xml:space="preserve"> Zeledón</w:t>
      </w:r>
      <w:r w:rsidR="005D38A7">
        <w:rPr>
          <w:rFonts w:ascii="Book Antiqua" w:eastAsia="Calibri" w:hAnsi="Book Antiqua" w:cs="Arial"/>
          <w:sz w:val="24"/>
          <w:szCs w:val="24"/>
        </w:rPr>
        <w:t xml:space="preserve"> </w:t>
      </w:r>
      <w:r w:rsidR="00B24DEC">
        <w:rPr>
          <w:rFonts w:ascii="Book Antiqua" w:eastAsia="Calibri" w:hAnsi="Book Antiqua" w:cs="Arial"/>
          <w:sz w:val="24"/>
          <w:szCs w:val="24"/>
        </w:rPr>
        <w:t xml:space="preserve">para </w:t>
      </w:r>
      <w:r w:rsidR="005D38A7">
        <w:rPr>
          <w:rFonts w:ascii="Book Antiqua" w:eastAsia="Calibri" w:hAnsi="Book Antiqua" w:cs="Arial"/>
          <w:sz w:val="24"/>
          <w:szCs w:val="24"/>
        </w:rPr>
        <w:t>realizar las audiencias</w:t>
      </w:r>
      <w:r w:rsidR="00B24DEC">
        <w:rPr>
          <w:rFonts w:ascii="Book Antiqua" w:eastAsia="Calibri" w:hAnsi="Book Antiqua" w:cs="Arial"/>
          <w:sz w:val="24"/>
          <w:szCs w:val="24"/>
        </w:rPr>
        <w:t xml:space="preserve"> o algún tipo de reconocimiento, </w:t>
      </w:r>
      <w:r w:rsidR="00DE71F1">
        <w:rPr>
          <w:rFonts w:ascii="Book Antiqua" w:eastAsia="Calibri" w:hAnsi="Book Antiqua" w:cs="Arial"/>
          <w:sz w:val="24"/>
          <w:szCs w:val="24"/>
        </w:rPr>
        <w:t xml:space="preserve">existiendo </w:t>
      </w:r>
      <w:r w:rsidR="00B24DEC">
        <w:rPr>
          <w:rFonts w:ascii="Book Antiqua" w:eastAsia="Calibri" w:hAnsi="Book Antiqua" w:cs="Arial"/>
          <w:sz w:val="24"/>
          <w:szCs w:val="24"/>
        </w:rPr>
        <w:t xml:space="preserve">el Juzgado de Familia </w:t>
      </w:r>
      <w:r w:rsidR="002544C1">
        <w:rPr>
          <w:rFonts w:ascii="Book Antiqua" w:eastAsia="Calibri" w:hAnsi="Book Antiqua" w:cs="Arial"/>
          <w:sz w:val="24"/>
          <w:szCs w:val="24"/>
        </w:rPr>
        <w:t>en esa misma</w:t>
      </w:r>
      <w:r w:rsidR="00B24DEC">
        <w:rPr>
          <w:rFonts w:ascii="Book Antiqua" w:eastAsia="Calibri" w:hAnsi="Book Antiqua" w:cs="Arial"/>
          <w:sz w:val="24"/>
          <w:szCs w:val="24"/>
        </w:rPr>
        <w:t xml:space="preserve"> zona</w:t>
      </w:r>
      <w:r w:rsidR="002544C1">
        <w:rPr>
          <w:rFonts w:ascii="Book Antiqua" w:eastAsia="Calibri" w:hAnsi="Book Antiqua" w:cs="Arial"/>
          <w:sz w:val="24"/>
          <w:szCs w:val="24"/>
        </w:rPr>
        <w:t>,</w:t>
      </w:r>
      <w:r w:rsidR="00DE71F1">
        <w:rPr>
          <w:rFonts w:ascii="Book Antiqua" w:eastAsia="Calibri" w:hAnsi="Book Antiqua" w:cs="Arial"/>
          <w:sz w:val="24"/>
          <w:szCs w:val="24"/>
        </w:rPr>
        <w:t xml:space="preserve"> además de mejorar </w:t>
      </w:r>
      <w:r w:rsidR="002544C1">
        <w:rPr>
          <w:rFonts w:ascii="Book Antiqua" w:eastAsia="Calibri" w:hAnsi="Book Antiqua" w:cs="Arial"/>
          <w:sz w:val="24"/>
          <w:szCs w:val="24"/>
        </w:rPr>
        <w:t xml:space="preserve">o acercar </w:t>
      </w:r>
      <w:r w:rsidR="00DE71F1">
        <w:rPr>
          <w:rFonts w:ascii="Book Antiqua" w:eastAsia="Calibri" w:hAnsi="Book Antiqua" w:cs="Arial"/>
          <w:sz w:val="24"/>
          <w:szCs w:val="24"/>
        </w:rPr>
        <w:t xml:space="preserve">el servicio para la persona usuaria que en su mismo lugar de residencia va a poder realizar los trámites que necesita en la jurisdicción de </w:t>
      </w:r>
      <w:r w:rsidR="002544C1">
        <w:rPr>
          <w:rFonts w:ascii="Book Antiqua" w:eastAsia="Calibri" w:hAnsi="Book Antiqua" w:cs="Arial"/>
          <w:sz w:val="24"/>
          <w:szCs w:val="24"/>
        </w:rPr>
        <w:t>F</w:t>
      </w:r>
      <w:r w:rsidR="00DE71F1">
        <w:rPr>
          <w:rFonts w:ascii="Book Antiqua" w:eastAsia="Calibri" w:hAnsi="Book Antiqua" w:cs="Arial"/>
          <w:sz w:val="24"/>
          <w:szCs w:val="24"/>
        </w:rPr>
        <w:t xml:space="preserve">amilia incluida niñez y adolescencia. </w:t>
      </w:r>
    </w:p>
    <w:p w14:paraId="5E521079" w14:textId="77777777" w:rsidR="008B711E" w:rsidRDefault="008B711E" w:rsidP="00355630">
      <w:pPr>
        <w:spacing w:after="0" w:line="276" w:lineRule="auto"/>
        <w:jc w:val="both"/>
        <w:rPr>
          <w:rFonts w:ascii="Book Antiqua" w:eastAsia="Calibri" w:hAnsi="Book Antiqua" w:cs="Arial"/>
          <w:sz w:val="24"/>
          <w:szCs w:val="24"/>
        </w:rPr>
      </w:pPr>
    </w:p>
    <w:p w14:paraId="4C8BD0F2" w14:textId="6DFA5A89" w:rsidR="00802F67" w:rsidRDefault="002544C1"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w:t>
      </w:r>
      <w:r w:rsidR="0055226F">
        <w:rPr>
          <w:rFonts w:ascii="Book Antiqua" w:eastAsia="Calibri" w:hAnsi="Book Antiqua" w:cs="Arial"/>
          <w:sz w:val="24"/>
          <w:szCs w:val="24"/>
        </w:rPr>
        <w:t xml:space="preserve"> evitar retrasos en los expedientes que ya tienen fecha de señalamiento se recomienda que se trasladen los asuntos en circulante excepto los que estén en esa condición, el resto se trasladarían (por itineración) del Juzgado de Niñez y Adolescencia hacia el Juzgado de Familia de Pérez Zeledón, en donde el menor resida en ese cantón. Este cambio se propone se aplique a</w:t>
      </w:r>
      <w:r w:rsidR="000A5674">
        <w:rPr>
          <w:rFonts w:ascii="Book Antiqua" w:eastAsia="Calibri" w:hAnsi="Book Antiqua" w:cs="Arial"/>
          <w:sz w:val="24"/>
          <w:szCs w:val="24"/>
        </w:rPr>
        <w:t xml:space="preserve"> partir de la fecha de aprobación por Corte Plena del cambio competencia territorial aquí recomendado</w:t>
      </w:r>
      <w:r w:rsidR="0055226F">
        <w:rPr>
          <w:rFonts w:ascii="Book Antiqua" w:eastAsia="Calibri" w:hAnsi="Book Antiqua" w:cs="Arial"/>
          <w:sz w:val="24"/>
          <w:szCs w:val="24"/>
        </w:rPr>
        <w:t>.</w:t>
      </w:r>
    </w:p>
    <w:p w14:paraId="34A944C2" w14:textId="389EA0A5" w:rsidR="005D38A7" w:rsidRDefault="005D38A7" w:rsidP="00355630">
      <w:pPr>
        <w:spacing w:after="0" w:line="276" w:lineRule="auto"/>
        <w:jc w:val="both"/>
        <w:rPr>
          <w:rFonts w:ascii="Book Antiqua" w:eastAsia="Calibri" w:hAnsi="Book Antiqua" w:cs="Arial"/>
          <w:sz w:val="24"/>
          <w:szCs w:val="24"/>
        </w:rPr>
      </w:pPr>
    </w:p>
    <w:p w14:paraId="71F74F5A" w14:textId="37AC1F57" w:rsidR="00A67C6A" w:rsidRDefault="00A67C6A" w:rsidP="00355630">
      <w:pPr>
        <w:spacing w:after="0" w:line="276" w:lineRule="auto"/>
        <w:jc w:val="both"/>
        <w:rPr>
          <w:rFonts w:ascii="Book Antiqua" w:eastAsia="Calibri" w:hAnsi="Book Antiqua" w:cs="Arial"/>
          <w:sz w:val="24"/>
          <w:szCs w:val="24"/>
        </w:rPr>
      </w:pPr>
    </w:p>
    <w:p w14:paraId="5E071DC9" w14:textId="6E3C3CC6" w:rsidR="00BC442A" w:rsidRPr="001D0C10" w:rsidRDefault="005137F5" w:rsidP="00355630">
      <w:pPr>
        <w:spacing w:after="0" w:line="276" w:lineRule="auto"/>
        <w:jc w:val="both"/>
        <w:rPr>
          <w:rFonts w:ascii="Book Antiqua" w:eastAsia="Calibri" w:hAnsi="Book Antiqua" w:cs="Arial"/>
          <w:b/>
          <w:bCs/>
          <w:sz w:val="24"/>
          <w:szCs w:val="24"/>
        </w:rPr>
      </w:pPr>
      <w:r w:rsidRPr="001D0C10">
        <w:rPr>
          <w:rFonts w:ascii="Book Antiqua" w:eastAsia="Calibri" w:hAnsi="Book Antiqua" w:cs="Arial"/>
          <w:b/>
          <w:bCs/>
          <w:sz w:val="24"/>
          <w:szCs w:val="24"/>
        </w:rPr>
        <w:t xml:space="preserve">Atención de la referencia interna </w:t>
      </w:r>
      <w:r w:rsidRPr="0036617F">
        <w:rPr>
          <w:rFonts w:ascii="Book Antiqua" w:eastAsia="Calibri" w:hAnsi="Book Antiqua" w:cs="Arial"/>
          <w:b/>
          <w:bCs/>
          <w:sz w:val="24"/>
          <w:szCs w:val="24"/>
        </w:rPr>
        <w:t>1916-2021</w:t>
      </w:r>
      <w:r w:rsidRPr="001D0C10">
        <w:rPr>
          <w:rFonts w:ascii="Book Antiqua" w:eastAsia="Calibri" w:hAnsi="Book Antiqua" w:cs="Arial"/>
          <w:b/>
          <w:bCs/>
          <w:sz w:val="24"/>
          <w:szCs w:val="24"/>
        </w:rPr>
        <w:t>, relacionada con l</w:t>
      </w:r>
      <w:r w:rsidR="00B7529C" w:rsidRPr="001D0C10">
        <w:rPr>
          <w:rFonts w:ascii="Book Antiqua" w:eastAsia="Calibri" w:hAnsi="Book Antiqua" w:cs="Arial"/>
          <w:b/>
          <w:bCs/>
          <w:sz w:val="24"/>
          <w:szCs w:val="24"/>
        </w:rPr>
        <w:t>a “</w:t>
      </w:r>
      <w:r w:rsidR="00B7529C" w:rsidRPr="001D0C10">
        <w:rPr>
          <w:rFonts w:ascii="Book Antiqua" w:eastAsia="Calibri" w:hAnsi="Book Antiqua" w:cs="Arial"/>
          <w:i/>
          <w:iCs/>
          <w:sz w:val="24"/>
          <w:szCs w:val="24"/>
        </w:rPr>
        <w:t>V</w:t>
      </w:r>
      <w:r w:rsidRPr="001D0C10">
        <w:rPr>
          <w:rFonts w:ascii="Book Antiqua" w:eastAsia="Calibri" w:hAnsi="Book Antiqua" w:cs="Arial"/>
          <w:i/>
          <w:iCs/>
          <w:sz w:val="24"/>
          <w:szCs w:val="24"/>
        </w:rPr>
        <w:t>aloración para la especialización de una persona en adopciones internacionales en el Juzgado de Familia, de Niñez y Adolescencia</w:t>
      </w:r>
      <w:r w:rsidR="00B7529C" w:rsidRPr="001D0C10">
        <w:rPr>
          <w:rFonts w:ascii="Book Antiqua" w:eastAsia="Calibri" w:hAnsi="Book Antiqua" w:cs="Arial"/>
          <w:i/>
          <w:iCs/>
          <w:sz w:val="24"/>
          <w:szCs w:val="24"/>
        </w:rPr>
        <w:t>”</w:t>
      </w:r>
      <w:r w:rsidRPr="001D0C10">
        <w:rPr>
          <w:rFonts w:ascii="Book Antiqua" w:eastAsia="Calibri" w:hAnsi="Book Antiqua" w:cs="Arial"/>
          <w:i/>
          <w:iCs/>
          <w:sz w:val="24"/>
          <w:szCs w:val="24"/>
        </w:rPr>
        <w:t>.</w:t>
      </w:r>
    </w:p>
    <w:p w14:paraId="17F45AB0" w14:textId="1447D500" w:rsidR="00587DE0" w:rsidRDefault="00587DE0" w:rsidP="00355630">
      <w:pPr>
        <w:spacing w:after="0" w:line="276" w:lineRule="auto"/>
        <w:jc w:val="both"/>
        <w:rPr>
          <w:rFonts w:ascii="Book Antiqua" w:eastAsia="Calibri" w:hAnsi="Book Antiqua" w:cs="Arial"/>
          <w:sz w:val="24"/>
          <w:szCs w:val="24"/>
        </w:rPr>
      </w:pPr>
    </w:p>
    <w:p w14:paraId="1C994C9D" w14:textId="08434BBF" w:rsidR="009023C8" w:rsidRDefault="00587DE0"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siguiente cuadro se visualiza la </w:t>
      </w:r>
      <w:r w:rsidR="008939D2">
        <w:rPr>
          <w:rFonts w:ascii="Book Antiqua" w:eastAsia="Calibri" w:hAnsi="Book Antiqua" w:cs="Arial"/>
          <w:sz w:val="24"/>
          <w:szCs w:val="24"/>
        </w:rPr>
        <w:t xml:space="preserve">cantidad de casos </w:t>
      </w:r>
      <w:r>
        <w:rPr>
          <w:rFonts w:ascii="Book Antiqua" w:eastAsia="Calibri" w:hAnsi="Book Antiqua" w:cs="Arial"/>
          <w:sz w:val="24"/>
          <w:szCs w:val="24"/>
        </w:rPr>
        <w:t>entrad</w:t>
      </w:r>
      <w:r w:rsidR="008939D2">
        <w:rPr>
          <w:rFonts w:ascii="Book Antiqua" w:eastAsia="Calibri" w:hAnsi="Book Antiqua" w:cs="Arial"/>
          <w:sz w:val="24"/>
          <w:szCs w:val="24"/>
        </w:rPr>
        <w:t>os</w:t>
      </w:r>
      <w:r>
        <w:rPr>
          <w:rFonts w:ascii="Book Antiqua" w:eastAsia="Calibri" w:hAnsi="Book Antiqua" w:cs="Arial"/>
          <w:sz w:val="24"/>
          <w:szCs w:val="24"/>
        </w:rPr>
        <w:t xml:space="preserve"> relacionados con l</w:t>
      </w:r>
      <w:r w:rsidR="008939D2">
        <w:rPr>
          <w:rFonts w:ascii="Book Antiqua" w:eastAsia="Calibri" w:hAnsi="Book Antiqua" w:cs="Arial"/>
          <w:sz w:val="24"/>
          <w:szCs w:val="24"/>
        </w:rPr>
        <w:t>o</w:t>
      </w:r>
      <w:r>
        <w:rPr>
          <w:rFonts w:ascii="Book Antiqua" w:eastAsia="Calibri" w:hAnsi="Book Antiqua" w:cs="Arial"/>
          <w:sz w:val="24"/>
          <w:szCs w:val="24"/>
        </w:rPr>
        <w:t xml:space="preserve">s </w:t>
      </w:r>
      <w:r w:rsidR="008939D2">
        <w:rPr>
          <w:rFonts w:ascii="Book Antiqua" w:eastAsia="Calibri" w:hAnsi="Book Antiqua" w:cs="Arial"/>
          <w:sz w:val="24"/>
          <w:szCs w:val="24"/>
        </w:rPr>
        <w:t xml:space="preserve">procesos de </w:t>
      </w:r>
      <w:r w:rsidRPr="001D0C10">
        <w:rPr>
          <w:rFonts w:ascii="Book Antiqua" w:eastAsia="Calibri" w:hAnsi="Book Antiqua" w:cs="Arial"/>
          <w:b/>
          <w:bCs/>
          <w:sz w:val="24"/>
          <w:szCs w:val="24"/>
        </w:rPr>
        <w:t>adopciones internaciones</w:t>
      </w:r>
      <w:r>
        <w:rPr>
          <w:rFonts w:ascii="Book Antiqua" w:eastAsia="Calibri" w:hAnsi="Book Antiqua" w:cs="Arial"/>
          <w:sz w:val="24"/>
          <w:szCs w:val="24"/>
        </w:rPr>
        <w:t xml:space="preserve"> que se tramitan en el Juzgado de Familia, de Niñez y Adolescencia durante el periodo del 201</w:t>
      </w:r>
      <w:r w:rsidR="001D60F3">
        <w:rPr>
          <w:rFonts w:ascii="Book Antiqua" w:eastAsia="Calibri" w:hAnsi="Book Antiqua" w:cs="Arial"/>
          <w:sz w:val="24"/>
          <w:szCs w:val="24"/>
        </w:rPr>
        <w:t>9</w:t>
      </w:r>
      <w:r>
        <w:rPr>
          <w:rFonts w:ascii="Book Antiqua" w:eastAsia="Calibri" w:hAnsi="Book Antiqua" w:cs="Arial"/>
          <w:sz w:val="24"/>
          <w:szCs w:val="24"/>
        </w:rPr>
        <w:t xml:space="preserve"> al 2021.</w:t>
      </w:r>
    </w:p>
    <w:p w14:paraId="2EB721BE" w14:textId="64B77D92" w:rsidR="009023C8" w:rsidRDefault="009023C8" w:rsidP="00355630">
      <w:pPr>
        <w:spacing w:after="0" w:line="276" w:lineRule="auto"/>
        <w:jc w:val="both"/>
        <w:rPr>
          <w:rFonts w:ascii="Book Antiqua" w:eastAsia="Calibri" w:hAnsi="Book Antiqua" w:cs="Arial"/>
          <w:sz w:val="24"/>
          <w:szCs w:val="24"/>
        </w:rPr>
      </w:pPr>
    </w:p>
    <w:p w14:paraId="38D6399F" w14:textId="2CE4F363" w:rsidR="009023C8" w:rsidRPr="000330F0" w:rsidRDefault="009023C8" w:rsidP="009023C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30F0">
        <w:rPr>
          <w:rFonts w:ascii="Book Antiqua" w:eastAsia="Calibri" w:hAnsi="Book Antiqua" w:cs="Arial"/>
          <w:b/>
          <w:bCs/>
          <w:color w:val="1F497D"/>
          <w:szCs w:val="24"/>
          <w:lang w:val="es-ES" w:eastAsia="es-ES"/>
        </w:rPr>
        <w:t xml:space="preserve">Cuadro </w:t>
      </w:r>
      <w:r w:rsidRPr="000330F0">
        <w:rPr>
          <w:rFonts w:ascii="Book Antiqua" w:eastAsia="Calibri" w:hAnsi="Book Antiqua" w:cs="Arial"/>
          <w:b/>
          <w:bCs/>
          <w:color w:val="1F497D"/>
          <w:szCs w:val="24"/>
          <w:lang w:val="es-ES" w:eastAsia="es-ES"/>
        </w:rPr>
        <w:fldChar w:fldCharType="begin"/>
      </w:r>
      <w:r w:rsidRPr="000330F0">
        <w:rPr>
          <w:rFonts w:ascii="Book Antiqua" w:eastAsia="Calibri" w:hAnsi="Book Antiqua" w:cs="Arial"/>
          <w:b/>
          <w:bCs/>
          <w:color w:val="1F497D"/>
          <w:szCs w:val="24"/>
          <w:lang w:val="es-ES" w:eastAsia="es-ES"/>
        </w:rPr>
        <w:instrText xml:space="preserve"> SEQ Cuadro \* ARABIC </w:instrText>
      </w:r>
      <w:r w:rsidRPr="000330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42</w:t>
      </w:r>
      <w:r w:rsidRPr="000330F0">
        <w:rPr>
          <w:rFonts w:ascii="Book Antiqua" w:eastAsia="Calibri" w:hAnsi="Book Antiqua" w:cs="Arial"/>
          <w:b/>
          <w:bCs/>
          <w:color w:val="1F497D"/>
          <w:szCs w:val="24"/>
          <w:lang w:val="es-ES" w:eastAsia="es-ES"/>
        </w:rPr>
        <w:fldChar w:fldCharType="end"/>
      </w:r>
      <w:r w:rsidRPr="000330F0">
        <w:rPr>
          <w:rFonts w:ascii="Book Antiqua" w:eastAsia="Calibri" w:hAnsi="Book Antiqua" w:cs="Arial"/>
          <w:b/>
          <w:bCs/>
          <w:color w:val="1F497D"/>
          <w:szCs w:val="24"/>
          <w:lang w:val="es-ES" w:eastAsia="es-ES"/>
        </w:rPr>
        <w:t xml:space="preserve"> </w:t>
      </w:r>
    </w:p>
    <w:p w14:paraId="42514F8E" w14:textId="2A77DF5B" w:rsidR="00D9107F" w:rsidRDefault="009023C8" w:rsidP="009023C8">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 xml:space="preserve">Casos entrados </w:t>
      </w:r>
      <w:r w:rsidR="008939D2">
        <w:rPr>
          <w:rFonts w:ascii="Book Antiqua" w:eastAsia="Calibri" w:hAnsi="Book Antiqua" w:cs="Arial"/>
          <w:b/>
          <w:bCs/>
          <w:color w:val="1F497D"/>
          <w:szCs w:val="24"/>
          <w:lang w:val="es-ES" w:eastAsia="es-ES"/>
        </w:rPr>
        <w:t>en</w:t>
      </w:r>
      <w:r>
        <w:rPr>
          <w:rFonts w:ascii="Book Antiqua" w:eastAsia="Calibri" w:hAnsi="Book Antiqua" w:cs="Arial"/>
          <w:b/>
          <w:bCs/>
          <w:color w:val="1F497D"/>
          <w:szCs w:val="24"/>
          <w:lang w:val="es-ES" w:eastAsia="es-ES"/>
        </w:rPr>
        <w:t xml:space="preserve"> adopciones internacionales en el </w:t>
      </w:r>
    </w:p>
    <w:p w14:paraId="6E5941EC" w14:textId="56D973E7" w:rsidR="009023C8" w:rsidRDefault="009023C8" w:rsidP="00D9107F">
      <w:pPr>
        <w:keepNext/>
        <w:numPr>
          <w:ilvl w:val="12"/>
          <w:numId w:val="0"/>
        </w:numPr>
        <w:spacing w:after="0" w:line="276" w:lineRule="auto"/>
        <w:jc w:val="center"/>
        <w:rPr>
          <w:rFonts w:ascii="Book Antiqua" w:eastAsia="Calibri" w:hAnsi="Book Antiqua" w:cs="Arial"/>
          <w:sz w:val="24"/>
          <w:szCs w:val="24"/>
        </w:rPr>
      </w:pPr>
      <w:r>
        <w:rPr>
          <w:rFonts w:ascii="Book Antiqua" w:eastAsia="Calibri" w:hAnsi="Book Antiqua" w:cs="Arial"/>
          <w:b/>
          <w:bCs/>
          <w:color w:val="1F497D"/>
          <w:szCs w:val="24"/>
          <w:lang w:val="es-ES" w:eastAsia="es-ES"/>
        </w:rPr>
        <w:t>Juzgado de Familia de Niñez y Adolescencia, 201</w:t>
      </w:r>
      <w:r w:rsidR="001D60F3">
        <w:rPr>
          <w:rFonts w:ascii="Book Antiqua" w:eastAsia="Calibri" w:hAnsi="Book Antiqua" w:cs="Arial"/>
          <w:b/>
          <w:bCs/>
          <w:color w:val="1F497D"/>
          <w:szCs w:val="24"/>
          <w:lang w:val="es-ES" w:eastAsia="es-ES"/>
        </w:rPr>
        <w:t>9</w:t>
      </w:r>
      <w:r>
        <w:rPr>
          <w:rFonts w:ascii="Book Antiqua" w:eastAsia="Calibri" w:hAnsi="Book Antiqua" w:cs="Arial"/>
          <w:b/>
          <w:bCs/>
          <w:color w:val="1F497D"/>
          <w:szCs w:val="24"/>
          <w:lang w:val="es-ES" w:eastAsia="es-ES"/>
        </w:rPr>
        <w:t xml:space="preserve"> al 2021</w:t>
      </w:r>
    </w:p>
    <w:tbl>
      <w:tblPr>
        <w:tblW w:w="5000" w:type="pct"/>
        <w:tblCellMar>
          <w:left w:w="70" w:type="dxa"/>
          <w:right w:w="70" w:type="dxa"/>
        </w:tblCellMar>
        <w:tblLook w:val="04A0" w:firstRow="1" w:lastRow="0" w:firstColumn="1" w:lastColumn="0" w:noHBand="0" w:noVBand="1"/>
      </w:tblPr>
      <w:tblGrid>
        <w:gridCol w:w="2234"/>
        <w:gridCol w:w="2198"/>
        <w:gridCol w:w="2198"/>
        <w:gridCol w:w="2198"/>
      </w:tblGrid>
      <w:tr w:rsidR="003B3F4E" w:rsidRPr="003B3F4E" w14:paraId="6F81A813" w14:textId="77777777" w:rsidTr="003B3F4E">
        <w:trPr>
          <w:trHeight w:val="290"/>
        </w:trPr>
        <w:tc>
          <w:tcPr>
            <w:tcW w:w="1265"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F8328DD" w14:textId="39CE52C7" w:rsidR="003B3F4E" w:rsidRPr="003B3F4E" w:rsidRDefault="00587DE0" w:rsidP="003B3F4E">
            <w:pPr>
              <w:spacing w:after="0" w:line="240" w:lineRule="auto"/>
              <w:jc w:val="center"/>
              <w:rPr>
                <w:rFonts w:ascii="Book Antiqua" w:eastAsia="Times New Roman" w:hAnsi="Book Antiqua" w:cs="Calibri"/>
                <w:b/>
                <w:bCs/>
                <w:color w:val="FFFFFF"/>
                <w:lang w:eastAsia="es-CR"/>
              </w:rPr>
            </w:pPr>
            <w:r>
              <w:rPr>
                <w:rFonts w:ascii="Book Antiqua" w:eastAsia="Calibri" w:hAnsi="Book Antiqua" w:cs="Arial"/>
                <w:sz w:val="24"/>
                <w:szCs w:val="24"/>
              </w:rPr>
              <w:t xml:space="preserve"> </w:t>
            </w:r>
            <w:r w:rsidR="003B3F4E" w:rsidRPr="003B3F4E">
              <w:rPr>
                <w:rFonts w:ascii="Book Antiqua" w:eastAsia="Times New Roman" w:hAnsi="Book Antiqua" w:cs="Calibri"/>
                <w:b/>
                <w:bCs/>
                <w:color w:val="FFFFFF"/>
                <w:lang w:eastAsia="es-CR"/>
              </w:rPr>
              <w:t>Tipo</w:t>
            </w:r>
          </w:p>
        </w:tc>
        <w:tc>
          <w:tcPr>
            <w:tcW w:w="1245" w:type="pct"/>
            <w:tcBorders>
              <w:top w:val="single" w:sz="4" w:space="0" w:color="auto"/>
              <w:left w:val="nil"/>
              <w:bottom w:val="single" w:sz="4" w:space="0" w:color="auto"/>
              <w:right w:val="single" w:sz="4" w:space="0" w:color="auto"/>
            </w:tcBorders>
            <w:shd w:val="clear" w:color="000000" w:fill="002060"/>
            <w:noWrap/>
            <w:vAlign w:val="bottom"/>
            <w:hideMark/>
          </w:tcPr>
          <w:p w14:paraId="15C3A212" w14:textId="77777777" w:rsidR="003B3F4E" w:rsidRPr="003B3F4E" w:rsidRDefault="003B3F4E" w:rsidP="003B3F4E">
            <w:pPr>
              <w:spacing w:after="0" w:line="240" w:lineRule="auto"/>
              <w:jc w:val="center"/>
              <w:rPr>
                <w:rFonts w:ascii="Book Antiqua" w:eastAsia="Times New Roman" w:hAnsi="Book Antiqua" w:cs="Calibri"/>
                <w:b/>
                <w:bCs/>
                <w:color w:val="FFFFFF"/>
                <w:lang w:eastAsia="es-CR"/>
              </w:rPr>
            </w:pPr>
            <w:r w:rsidRPr="003B3F4E">
              <w:rPr>
                <w:rFonts w:ascii="Book Antiqua" w:eastAsia="Times New Roman" w:hAnsi="Book Antiqua" w:cs="Calibri"/>
                <w:b/>
                <w:bCs/>
                <w:color w:val="FFFFFF"/>
                <w:lang w:eastAsia="es-CR"/>
              </w:rPr>
              <w:t>2019</w:t>
            </w:r>
          </w:p>
        </w:tc>
        <w:tc>
          <w:tcPr>
            <w:tcW w:w="1245" w:type="pct"/>
            <w:tcBorders>
              <w:top w:val="single" w:sz="4" w:space="0" w:color="auto"/>
              <w:left w:val="nil"/>
              <w:bottom w:val="single" w:sz="4" w:space="0" w:color="auto"/>
              <w:right w:val="single" w:sz="4" w:space="0" w:color="auto"/>
            </w:tcBorders>
            <w:shd w:val="clear" w:color="000000" w:fill="002060"/>
            <w:noWrap/>
            <w:vAlign w:val="bottom"/>
            <w:hideMark/>
          </w:tcPr>
          <w:p w14:paraId="0D2D42B7" w14:textId="77777777" w:rsidR="003B3F4E" w:rsidRPr="003B3F4E" w:rsidRDefault="003B3F4E" w:rsidP="003B3F4E">
            <w:pPr>
              <w:spacing w:after="0" w:line="240" w:lineRule="auto"/>
              <w:jc w:val="center"/>
              <w:rPr>
                <w:rFonts w:ascii="Book Antiqua" w:eastAsia="Times New Roman" w:hAnsi="Book Antiqua" w:cs="Calibri"/>
                <w:b/>
                <w:bCs/>
                <w:color w:val="FFFFFF"/>
                <w:lang w:eastAsia="es-CR"/>
              </w:rPr>
            </w:pPr>
            <w:r w:rsidRPr="003B3F4E">
              <w:rPr>
                <w:rFonts w:ascii="Book Antiqua" w:eastAsia="Times New Roman" w:hAnsi="Book Antiqua" w:cs="Calibri"/>
                <w:b/>
                <w:bCs/>
                <w:color w:val="FFFFFF"/>
                <w:lang w:eastAsia="es-CR"/>
              </w:rPr>
              <w:t>2020</w:t>
            </w:r>
          </w:p>
        </w:tc>
        <w:tc>
          <w:tcPr>
            <w:tcW w:w="1245" w:type="pct"/>
            <w:tcBorders>
              <w:top w:val="single" w:sz="4" w:space="0" w:color="auto"/>
              <w:left w:val="nil"/>
              <w:bottom w:val="single" w:sz="4" w:space="0" w:color="auto"/>
              <w:right w:val="single" w:sz="4" w:space="0" w:color="auto"/>
            </w:tcBorders>
            <w:shd w:val="clear" w:color="000000" w:fill="002060"/>
            <w:noWrap/>
            <w:vAlign w:val="bottom"/>
            <w:hideMark/>
          </w:tcPr>
          <w:p w14:paraId="1C652679" w14:textId="77777777" w:rsidR="003B3F4E" w:rsidRPr="003B3F4E" w:rsidRDefault="003B3F4E" w:rsidP="003B3F4E">
            <w:pPr>
              <w:spacing w:after="0" w:line="240" w:lineRule="auto"/>
              <w:jc w:val="center"/>
              <w:rPr>
                <w:rFonts w:ascii="Book Antiqua" w:eastAsia="Times New Roman" w:hAnsi="Book Antiqua" w:cs="Calibri"/>
                <w:b/>
                <w:bCs/>
                <w:color w:val="FFFFFF"/>
                <w:lang w:eastAsia="es-CR"/>
              </w:rPr>
            </w:pPr>
            <w:r w:rsidRPr="003B3F4E">
              <w:rPr>
                <w:rFonts w:ascii="Book Antiqua" w:eastAsia="Times New Roman" w:hAnsi="Book Antiqua" w:cs="Calibri"/>
                <w:b/>
                <w:bCs/>
                <w:color w:val="FFFFFF"/>
                <w:lang w:eastAsia="es-CR"/>
              </w:rPr>
              <w:t>2021</w:t>
            </w:r>
          </w:p>
        </w:tc>
      </w:tr>
      <w:tr w:rsidR="003B3F4E" w:rsidRPr="003B3F4E" w14:paraId="199BFAF8" w14:textId="77777777" w:rsidTr="003B3F4E">
        <w:trPr>
          <w:trHeight w:val="290"/>
        </w:trPr>
        <w:tc>
          <w:tcPr>
            <w:tcW w:w="1265" w:type="pct"/>
            <w:tcBorders>
              <w:top w:val="nil"/>
              <w:left w:val="single" w:sz="4" w:space="0" w:color="auto"/>
              <w:bottom w:val="single" w:sz="4" w:space="0" w:color="auto"/>
              <w:right w:val="single" w:sz="4" w:space="0" w:color="auto"/>
            </w:tcBorders>
            <w:shd w:val="clear" w:color="auto" w:fill="auto"/>
            <w:noWrap/>
            <w:vAlign w:val="bottom"/>
            <w:hideMark/>
          </w:tcPr>
          <w:p w14:paraId="5C19E2FA" w14:textId="77777777" w:rsidR="003B3F4E" w:rsidRPr="003B3F4E" w:rsidRDefault="003B3F4E" w:rsidP="003B3F4E">
            <w:pPr>
              <w:spacing w:after="0" w:line="240" w:lineRule="auto"/>
              <w:rPr>
                <w:rFonts w:ascii="Book Antiqua" w:eastAsia="Times New Roman" w:hAnsi="Book Antiqua" w:cs="Calibri"/>
                <w:color w:val="000000"/>
                <w:lang w:eastAsia="es-CR"/>
              </w:rPr>
            </w:pPr>
            <w:r w:rsidRPr="003B3F4E">
              <w:rPr>
                <w:rFonts w:ascii="Book Antiqua" w:eastAsia="Times New Roman" w:hAnsi="Book Antiqua" w:cs="Calibri"/>
                <w:color w:val="000000"/>
                <w:lang w:eastAsia="es-CR"/>
              </w:rPr>
              <w:t>Entrada</w:t>
            </w:r>
          </w:p>
        </w:tc>
        <w:tc>
          <w:tcPr>
            <w:tcW w:w="1245" w:type="pct"/>
            <w:tcBorders>
              <w:top w:val="nil"/>
              <w:left w:val="nil"/>
              <w:bottom w:val="single" w:sz="4" w:space="0" w:color="auto"/>
              <w:right w:val="single" w:sz="4" w:space="0" w:color="auto"/>
            </w:tcBorders>
            <w:shd w:val="clear" w:color="auto" w:fill="auto"/>
            <w:noWrap/>
            <w:vAlign w:val="bottom"/>
            <w:hideMark/>
          </w:tcPr>
          <w:p w14:paraId="6825773F" w14:textId="77777777" w:rsidR="003B3F4E" w:rsidRPr="003B3F4E" w:rsidRDefault="003B3F4E" w:rsidP="003B3F4E">
            <w:pPr>
              <w:spacing w:after="0" w:line="240" w:lineRule="auto"/>
              <w:jc w:val="center"/>
              <w:rPr>
                <w:rFonts w:ascii="Book Antiqua" w:eastAsia="Times New Roman" w:hAnsi="Book Antiqua" w:cs="Calibri"/>
                <w:color w:val="000000"/>
                <w:lang w:eastAsia="es-CR"/>
              </w:rPr>
            </w:pPr>
            <w:r w:rsidRPr="003B3F4E">
              <w:rPr>
                <w:rFonts w:ascii="Book Antiqua" w:eastAsia="Times New Roman" w:hAnsi="Book Antiqua" w:cs="Calibri"/>
                <w:color w:val="000000"/>
                <w:lang w:eastAsia="es-CR"/>
              </w:rPr>
              <w:t>10</w:t>
            </w:r>
          </w:p>
        </w:tc>
        <w:tc>
          <w:tcPr>
            <w:tcW w:w="1245" w:type="pct"/>
            <w:tcBorders>
              <w:top w:val="nil"/>
              <w:left w:val="nil"/>
              <w:bottom w:val="single" w:sz="4" w:space="0" w:color="auto"/>
              <w:right w:val="single" w:sz="4" w:space="0" w:color="auto"/>
            </w:tcBorders>
            <w:shd w:val="clear" w:color="auto" w:fill="auto"/>
            <w:noWrap/>
            <w:vAlign w:val="bottom"/>
            <w:hideMark/>
          </w:tcPr>
          <w:p w14:paraId="005C9158" w14:textId="77777777" w:rsidR="003B3F4E" w:rsidRPr="003B3F4E" w:rsidRDefault="003B3F4E" w:rsidP="003B3F4E">
            <w:pPr>
              <w:spacing w:after="0" w:line="240" w:lineRule="auto"/>
              <w:jc w:val="center"/>
              <w:rPr>
                <w:rFonts w:ascii="Book Antiqua" w:eastAsia="Times New Roman" w:hAnsi="Book Antiqua" w:cs="Calibri"/>
                <w:color w:val="000000"/>
                <w:lang w:eastAsia="es-CR"/>
              </w:rPr>
            </w:pPr>
            <w:r w:rsidRPr="003B3F4E">
              <w:rPr>
                <w:rFonts w:ascii="Book Antiqua" w:eastAsia="Times New Roman" w:hAnsi="Book Antiqua" w:cs="Calibri"/>
                <w:color w:val="000000"/>
                <w:lang w:eastAsia="es-CR"/>
              </w:rPr>
              <w:t>8</w:t>
            </w:r>
          </w:p>
        </w:tc>
        <w:tc>
          <w:tcPr>
            <w:tcW w:w="1245" w:type="pct"/>
            <w:tcBorders>
              <w:top w:val="nil"/>
              <w:left w:val="nil"/>
              <w:bottom w:val="single" w:sz="4" w:space="0" w:color="auto"/>
              <w:right w:val="single" w:sz="4" w:space="0" w:color="auto"/>
            </w:tcBorders>
            <w:shd w:val="clear" w:color="auto" w:fill="auto"/>
            <w:noWrap/>
            <w:vAlign w:val="bottom"/>
            <w:hideMark/>
          </w:tcPr>
          <w:p w14:paraId="7A408E32" w14:textId="77777777" w:rsidR="003B3F4E" w:rsidRPr="003B3F4E" w:rsidRDefault="003B3F4E" w:rsidP="003B3F4E">
            <w:pPr>
              <w:spacing w:after="0" w:line="240" w:lineRule="auto"/>
              <w:jc w:val="center"/>
              <w:rPr>
                <w:rFonts w:ascii="Book Antiqua" w:eastAsia="Times New Roman" w:hAnsi="Book Antiqua" w:cs="Calibri"/>
                <w:color w:val="000000"/>
                <w:lang w:eastAsia="es-CR"/>
              </w:rPr>
            </w:pPr>
            <w:r w:rsidRPr="003B3F4E">
              <w:rPr>
                <w:rFonts w:ascii="Book Antiqua" w:eastAsia="Times New Roman" w:hAnsi="Book Antiqua" w:cs="Calibri"/>
                <w:color w:val="000000"/>
                <w:lang w:eastAsia="es-CR"/>
              </w:rPr>
              <w:t>3</w:t>
            </w:r>
          </w:p>
        </w:tc>
      </w:tr>
    </w:tbl>
    <w:p w14:paraId="3EA0EC17" w14:textId="77777777" w:rsidR="003B3F4E" w:rsidRPr="003B3F4E" w:rsidRDefault="003B3F4E" w:rsidP="003B3F4E">
      <w:pPr>
        <w:spacing w:line="276" w:lineRule="auto"/>
        <w:jc w:val="both"/>
        <w:rPr>
          <w:rFonts w:ascii="Book Antiqua" w:eastAsia="Calibri" w:hAnsi="Book Antiqua" w:cs="Arial"/>
          <w:i/>
          <w:iCs/>
          <w:sz w:val="20"/>
          <w:szCs w:val="20"/>
        </w:rPr>
      </w:pPr>
      <w:r w:rsidRPr="003B3F4E">
        <w:rPr>
          <w:rFonts w:ascii="Book Antiqua" w:hAnsi="Book Antiqua"/>
          <w:i/>
          <w:iCs/>
          <w:sz w:val="20"/>
          <w:szCs w:val="20"/>
        </w:rPr>
        <w:t xml:space="preserve">Fuente: </w:t>
      </w:r>
      <w:r w:rsidRPr="003B3F4E">
        <w:rPr>
          <w:rFonts w:ascii="Book Antiqua" w:eastAsia="Calibri" w:hAnsi="Book Antiqua" w:cs="Arial"/>
          <w:i/>
          <w:iCs/>
          <w:sz w:val="20"/>
          <w:szCs w:val="20"/>
        </w:rPr>
        <w:t>Subproceso de Modernización Institucional.</w:t>
      </w:r>
    </w:p>
    <w:p w14:paraId="6318E8AD" w14:textId="73B2AF5B" w:rsidR="007727F8" w:rsidRDefault="003B3F4E"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el periodo en análisis</w:t>
      </w:r>
      <w:r w:rsidR="008939D2">
        <w:rPr>
          <w:rFonts w:ascii="Book Antiqua" w:eastAsia="Calibri" w:hAnsi="Book Antiqua" w:cs="Arial"/>
          <w:sz w:val="24"/>
          <w:szCs w:val="24"/>
        </w:rPr>
        <w:t>,</w:t>
      </w:r>
      <w:r>
        <w:rPr>
          <w:rFonts w:ascii="Book Antiqua" w:eastAsia="Calibri" w:hAnsi="Book Antiqua" w:cs="Arial"/>
          <w:sz w:val="24"/>
          <w:szCs w:val="24"/>
        </w:rPr>
        <w:t xml:space="preserve"> se tiene un ingreso de 21 casos de adopción internacional </w:t>
      </w:r>
      <w:r w:rsidR="008939D2">
        <w:rPr>
          <w:rFonts w:ascii="Book Antiqua" w:eastAsia="Calibri" w:hAnsi="Book Antiqua" w:cs="Arial"/>
          <w:sz w:val="24"/>
          <w:szCs w:val="24"/>
        </w:rPr>
        <w:t>y la</w:t>
      </w:r>
      <w:r>
        <w:rPr>
          <w:rFonts w:ascii="Book Antiqua" w:eastAsia="Calibri" w:hAnsi="Book Antiqua" w:cs="Arial"/>
          <w:sz w:val="24"/>
          <w:szCs w:val="24"/>
        </w:rPr>
        <w:t xml:space="preserve"> entrada total para este periodo </w:t>
      </w:r>
      <w:r w:rsidR="008939D2">
        <w:rPr>
          <w:rFonts w:ascii="Book Antiqua" w:eastAsia="Calibri" w:hAnsi="Book Antiqua" w:cs="Arial"/>
          <w:sz w:val="24"/>
          <w:szCs w:val="24"/>
        </w:rPr>
        <w:t xml:space="preserve">en el despacho </w:t>
      </w:r>
      <w:r>
        <w:rPr>
          <w:rFonts w:ascii="Book Antiqua" w:eastAsia="Calibri" w:hAnsi="Book Antiqua" w:cs="Arial"/>
          <w:sz w:val="24"/>
          <w:szCs w:val="24"/>
        </w:rPr>
        <w:t>fue de 3 417 asuntos,</w:t>
      </w:r>
      <w:r w:rsidR="008939D2">
        <w:rPr>
          <w:rFonts w:ascii="Book Antiqua" w:eastAsia="Calibri" w:hAnsi="Book Antiqua" w:cs="Arial"/>
          <w:sz w:val="24"/>
          <w:szCs w:val="24"/>
        </w:rPr>
        <w:t xml:space="preserve"> por lo que este tipo de casos representa un </w:t>
      </w:r>
      <w:r w:rsidR="00626FAD">
        <w:rPr>
          <w:rFonts w:ascii="Book Antiqua" w:eastAsia="Calibri" w:hAnsi="Book Antiqua" w:cs="Arial"/>
          <w:sz w:val="24"/>
          <w:szCs w:val="24"/>
        </w:rPr>
        <w:t>0,61</w:t>
      </w:r>
      <w:r w:rsidR="008939D2">
        <w:rPr>
          <w:rFonts w:ascii="Book Antiqua" w:eastAsia="Calibri" w:hAnsi="Book Antiqua" w:cs="Arial"/>
          <w:sz w:val="24"/>
          <w:szCs w:val="24"/>
        </w:rPr>
        <w:t xml:space="preserve">% de la entrada, </w:t>
      </w:r>
      <w:r w:rsidR="00266A4F">
        <w:rPr>
          <w:rFonts w:ascii="Book Antiqua" w:eastAsia="Calibri" w:hAnsi="Book Antiqua" w:cs="Arial"/>
          <w:sz w:val="24"/>
          <w:szCs w:val="24"/>
        </w:rPr>
        <w:t xml:space="preserve">al ser un porcentaje </w:t>
      </w:r>
      <w:r w:rsidR="00626FAD">
        <w:rPr>
          <w:rFonts w:ascii="Book Antiqua" w:eastAsia="Calibri" w:hAnsi="Book Antiqua" w:cs="Arial"/>
          <w:sz w:val="24"/>
          <w:szCs w:val="24"/>
        </w:rPr>
        <w:t xml:space="preserve">de ingreso </w:t>
      </w:r>
      <w:r w:rsidR="00266A4F">
        <w:rPr>
          <w:rFonts w:ascii="Book Antiqua" w:eastAsia="Calibri" w:hAnsi="Book Antiqua" w:cs="Arial"/>
          <w:sz w:val="24"/>
          <w:szCs w:val="24"/>
        </w:rPr>
        <w:t>menor</w:t>
      </w:r>
      <w:r w:rsidR="001A7624">
        <w:rPr>
          <w:rFonts w:ascii="Book Antiqua" w:eastAsia="Calibri" w:hAnsi="Book Antiqua" w:cs="Arial"/>
          <w:sz w:val="24"/>
          <w:szCs w:val="24"/>
        </w:rPr>
        <w:t xml:space="preserve"> al 1%</w:t>
      </w:r>
      <w:r w:rsidR="00266A4F">
        <w:rPr>
          <w:rFonts w:ascii="Book Antiqua" w:eastAsia="Calibri" w:hAnsi="Book Antiqua" w:cs="Arial"/>
          <w:sz w:val="24"/>
          <w:szCs w:val="24"/>
        </w:rPr>
        <w:t xml:space="preserve">, se </w:t>
      </w:r>
      <w:r w:rsidR="001A7624">
        <w:rPr>
          <w:rFonts w:ascii="Book Antiqua" w:eastAsia="Calibri" w:hAnsi="Book Antiqua" w:cs="Arial"/>
          <w:sz w:val="24"/>
          <w:szCs w:val="24"/>
        </w:rPr>
        <w:t xml:space="preserve">considera que </w:t>
      </w:r>
      <w:r w:rsidR="008128A1">
        <w:rPr>
          <w:rFonts w:ascii="Book Antiqua" w:eastAsia="Calibri" w:hAnsi="Book Antiqua" w:cs="Arial"/>
          <w:sz w:val="24"/>
          <w:szCs w:val="24"/>
        </w:rPr>
        <w:t>no es necesari</w:t>
      </w:r>
      <w:r w:rsidR="007727F8">
        <w:rPr>
          <w:rFonts w:ascii="Book Antiqua" w:eastAsia="Calibri" w:hAnsi="Book Antiqua" w:cs="Arial"/>
          <w:sz w:val="24"/>
          <w:szCs w:val="24"/>
        </w:rPr>
        <w:t>a</w:t>
      </w:r>
      <w:r w:rsidR="00475A7F">
        <w:rPr>
          <w:rFonts w:ascii="Book Antiqua" w:eastAsia="Calibri" w:hAnsi="Book Antiqua" w:cs="Arial"/>
          <w:sz w:val="24"/>
          <w:szCs w:val="24"/>
        </w:rPr>
        <w:t xml:space="preserve"> </w:t>
      </w:r>
      <w:r w:rsidR="008128A1">
        <w:rPr>
          <w:rFonts w:ascii="Book Antiqua" w:eastAsia="Calibri" w:hAnsi="Book Antiqua" w:cs="Arial"/>
          <w:sz w:val="24"/>
          <w:szCs w:val="24"/>
        </w:rPr>
        <w:t xml:space="preserve">la especialización de una persona para </w:t>
      </w:r>
      <w:r w:rsidR="007727F8">
        <w:rPr>
          <w:rFonts w:ascii="Book Antiqua" w:eastAsia="Calibri" w:hAnsi="Book Antiqua" w:cs="Arial"/>
          <w:sz w:val="24"/>
          <w:szCs w:val="24"/>
        </w:rPr>
        <w:lastRenderedPageBreak/>
        <w:t xml:space="preserve">atender </w:t>
      </w:r>
      <w:r w:rsidR="008128A1">
        <w:rPr>
          <w:rFonts w:ascii="Book Antiqua" w:eastAsia="Calibri" w:hAnsi="Book Antiqua" w:cs="Arial"/>
          <w:sz w:val="24"/>
          <w:szCs w:val="24"/>
        </w:rPr>
        <w:t>el trámite</w:t>
      </w:r>
      <w:r w:rsidR="007727F8">
        <w:rPr>
          <w:rFonts w:ascii="Book Antiqua" w:eastAsia="Calibri" w:hAnsi="Book Antiqua" w:cs="Arial"/>
          <w:sz w:val="24"/>
          <w:szCs w:val="24"/>
        </w:rPr>
        <w:t xml:space="preserve"> de estos procesos</w:t>
      </w:r>
      <w:r w:rsidR="008128A1">
        <w:rPr>
          <w:rFonts w:ascii="Book Antiqua" w:eastAsia="Calibri" w:hAnsi="Book Antiqua" w:cs="Arial"/>
          <w:sz w:val="24"/>
          <w:szCs w:val="24"/>
        </w:rPr>
        <w:t xml:space="preserve">, por lo que se </w:t>
      </w:r>
      <w:r w:rsidR="007727F8">
        <w:rPr>
          <w:rFonts w:ascii="Book Antiqua" w:eastAsia="Calibri" w:hAnsi="Book Antiqua" w:cs="Arial"/>
          <w:sz w:val="24"/>
          <w:szCs w:val="24"/>
        </w:rPr>
        <w:t xml:space="preserve">reitera </w:t>
      </w:r>
      <w:r w:rsidR="008128A1">
        <w:rPr>
          <w:rFonts w:ascii="Book Antiqua" w:eastAsia="Calibri" w:hAnsi="Book Antiqua" w:cs="Arial"/>
          <w:sz w:val="24"/>
          <w:szCs w:val="24"/>
        </w:rPr>
        <w:t>lo indicado en el oficio 21-PLA-EV-2</w:t>
      </w:r>
      <w:r w:rsidR="007727F8">
        <w:rPr>
          <w:rFonts w:ascii="Book Antiqua" w:eastAsia="Calibri" w:hAnsi="Book Antiqua" w:cs="Arial"/>
          <w:sz w:val="24"/>
          <w:szCs w:val="24"/>
        </w:rPr>
        <w:t xml:space="preserve">021, aprobado por el Consejo Superior en la sesión 07-2021 del 26 de enero de 2021, artículo XLV, en el que se </w:t>
      </w:r>
      <w:r w:rsidR="00406E91">
        <w:rPr>
          <w:rFonts w:ascii="Book Antiqua" w:eastAsia="Calibri" w:hAnsi="Book Antiqua" w:cs="Arial"/>
          <w:sz w:val="24"/>
          <w:szCs w:val="24"/>
        </w:rPr>
        <w:t xml:space="preserve">estableció una estructura de trámite por equipos de trabajo en la que todas las personas </w:t>
      </w:r>
      <w:r w:rsidR="006E61F9">
        <w:rPr>
          <w:rFonts w:ascii="Book Antiqua" w:eastAsia="Calibri" w:hAnsi="Book Antiqua" w:cs="Arial"/>
          <w:sz w:val="24"/>
          <w:szCs w:val="24"/>
        </w:rPr>
        <w:t>conocerán</w:t>
      </w:r>
      <w:r w:rsidR="00406E91">
        <w:rPr>
          <w:rFonts w:ascii="Book Antiqua" w:eastAsia="Calibri" w:hAnsi="Book Antiqua" w:cs="Arial"/>
          <w:sz w:val="24"/>
          <w:szCs w:val="24"/>
        </w:rPr>
        <w:t xml:space="preserve"> todos los procesos. </w:t>
      </w:r>
      <w:r w:rsidR="005D3138">
        <w:rPr>
          <w:rFonts w:ascii="Book Antiqua" w:eastAsia="Calibri" w:hAnsi="Book Antiqua" w:cs="Arial"/>
          <w:sz w:val="24"/>
          <w:szCs w:val="24"/>
        </w:rPr>
        <w:t xml:space="preserve">Previo a esa recomendación si existía una persona </w:t>
      </w:r>
      <w:r w:rsidR="005445CE">
        <w:rPr>
          <w:rFonts w:ascii="Book Antiqua" w:eastAsia="Calibri" w:hAnsi="Book Antiqua" w:cs="Arial"/>
          <w:sz w:val="24"/>
          <w:szCs w:val="24"/>
        </w:rPr>
        <w:t>T</w:t>
      </w:r>
      <w:r w:rsidR="005D3138">
        <w:rPr>
          <w:rFonts w:ascii="Book Antiqua" w:eastAsia="Calibri" w:hAnsi="Book Antiqua" w:cs="Arial"/>
          <w:sz w:val="24"/>
          <w:szCs w:val="24"/>
        </w:rPr>
        <w:t xml:space="preserve">écnica Judicial encargada </w:t>
      </w:r>
      <w:r w:rsidR="00824A34">
        <w:rPr>
          <w:rFonts w:ascii="Book Antiqua" w:eastAsia="Calibri" w:hAnsi="Book Antiqua" w:cs="Arial"/>
          <w:sz w:val="24"/>
          <w:szCs w:val="24"/>
        </w:rPr>
        <w:t>específicamente</w:t>
      </w:r>
      <w:r w:rsidR="005D3138">
        <w:rPr>
          <w:rFonts w:ascii="Book Antiqua" w:eastAsia="Calibri" w:hAnsi="Book Antiqua" w:cs="Arial"/>
          <w:sz w:val="24"/>
          <w:szCs w:val="24"/>
        </w:rPr>
        <w:t xml:space="preserve"> de esos asuntos. </w:t>
      </w:r>
    </w:p>
    <w:p w14:paraId="43A60118" w14:textId="60600616" w:rsidR="009023C8" w:rsidRDefault="009023C8" w:rsidP="00355630">
      <w:pPr>
        <w:spacing w:after="0" w:line="276" w:lineRule="auto"/>
        <w:jc w:val="both"/>
        <w:rPr>
          <w:rFonts w:ascii="Book Antiqua" w:eastAsia="Calibri" w:hAnsi="Book Antiqua" w:cs="Arial"/>
          <w:sz w:val="24"/>
          <w:szCs w:val="24"/>
        </w:rPr>
      </w:pPr>
    </w:p>
    <w:p w14:paraId="5ED664EA" w14:textId="00D83C6A" w:rsidR="000C356C" w:rsidRDefault="000C356C"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Cabe indicar que esta Dirección actualmente analizará la estructura ideal de esta oficina, así como la parametrización de sus indicadores, para el informe de cierre del abordaje de este Juzgado. </w:t>
      </w:r>
      <w:r w:rsidRPr="001D0C10">
        <w:rPr>
          <w:rFonts w:ascii="Book Antiqua" w:eastAsia="Calibri" w:hAnsi="Book Antiqua" w:cs="Arial"/>
          <w:b/>
          <w:bCs/>
          <w:sz w:val="24"/>
          <w:szCs w:val="24"/>
        </w:rPr>
        <w:t>Referencia interna:</w:t>
      </w:r>
      <w:r>
        <w:rPr>
          <w:rFonts w:ascii="Book Antiqua" w:eastAsia="Calibri" w:hAnsi="Book Antiqua" w:cs="Arial"/>
          <w:sz w:val="24"/>
          <w:szCs w:val="24"/>
        </w:rPr>
        <w:t xml:space="preserve"> </w:t>
      </w:r>
      <w:r w:rsidRPr="001D0C10">
        <w:rPr>
          <w:rFonts w:ascii="Book Antiqua" w:eastAsia="Calibri" w:hAnsi="Book Antiqua" w:cs="Arial"/>
          <w:b/>
          <w:bCs/>
          <w:sz w:val="24"/>
          <w:szCs w:val="24"/>
        </w:rPr>
        <w:t>1741-20.</w:t>
      </w:r>
      <w:r>
        <w:rPr>
          <w:rFonts w:ascii="Book Antiqua" w:eastAsia="Calibri" w:hAnsi="Book Antiqua" w:cs="Arial"/>
          <w:sz w:val="24"/>
          <w:szCs w:val="24"/>
        </w:rPr>
        <w:t xml:space="preserve"> </w:t>
      </w:r>
    </w:p>
    <w:p w14:paraId="02926DE7" w14:textId="77777777" w:rsidR="000C356C" w:rsidRDefault="000C356C" w:rsidP="00355630">
      <w:pPr>
        <w:spacing w:after="0" w:line="276" w:lineRule="auto"/>
        <w:jc w:val="both"/>
        <w:rPr>
          <w:rFonts w:ascii="Book Antiqua" w:eastAsia="Calibri" w:hAnsi="Book Antiqua" w:cs="Arial"/>
          <w:sz w:val="24"/>
          <w:szCs w:val="24"/>
        </w:rPr>
      </w:pPr>
    </w:p>
    <w:p w14:paraId="227E0F87" w14:textId="77777777" w:rsidR="00234A2B" w:rsidRPr="004A3198" w:rsidRDefault="00234A2B"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Juzgados de Familia (mixtos de 2 materias)</w:t>
      </w:r>
    </w:p>
    <w:p w14:paraId="06613C7A" w14:textId="7FE7970F" w:rsidR="00FA0815" w:rsidRDefault="00FA0815" w:rsidP="00355630">
      <w:pPr>
        <w:spacing w:after="0" w:line="276" w:lineRule="auto"/>
        <w:jc w:val="both"/>
        <w:rPr>
          <w:rFonts w:ascii="Book Antiqua" w:eastAsia="Calibri" w:hAnsi="Book Antiqua" w:cs="Arial"/>
          <w:sz w:val="24"/>
          <w:szCs w:val="24"/>
        </w:rPr>
      </w:pPr>
    </w:p>
    <w:p w14:paraId="23FA5FFD" w14:textId="3E8B364F" w:rsidR="00234A2B" w:rsidRPr="00234A2B" w:rsidRDefault="00234A2B" w:rsidP="00234A2B">
      <w:pPr>
        <w:spacing w:after="0" w:line="276" w:lineRule="auto"/>
        <w:jc w:val="both"/>
        <w:rPr>
          <w:rFonts w:ascii="Book Antiqua" w:eastAsia="Calibri" w:hAnsi="Book Antiqua" w:cs="Arial"/>
          <w:sz w:val="24"/>
          <w:szCs w:val="24"/>
        </w:rPr>
      </w:pPr>
      <w:r w:rsidRPr="00234A2B">
        <w:rPr>
          <w:rFonts w:ascii="Book Antiqua" w:eastAsia="Calibri" w:hAnsi="Book Antiqua" w:cs="Arial"/>
          <w:sz w:val="24"/>
          <w:szCs w:val="24"/>
        </w:rPr>
        <w:t>En este bloque de despachos se ubican ocho juzgados: de Familia y Violencia Doméstica del Primer Circuito Judicial Guanacaste, de Familia y Violencia Doméstica del Segundo Circuito Judicial Guanacaste (Nicoya), de Familia y Violencia Doméstica del Segundo  Circuito Judicial Zona Sur, de Familia y Violencia Doméstica del Tercer Circuito Judicial Alajuela (San Ramón), de Familia y Violencia Doméstica Golfito, de Familia y Violencia Doméstica Santa Cruz, de Familia y Violencia Doméstica de Grecia y finalmente el Juzgado de Trabajo y Familia Hatillo, San Sebastián y Alajuelita.</w:t>
      </w:r>
      <w:r w:rsidR="00EA2D4E">
        <w:rPr>
          <w:rFonts w:ascii="Book Antiqua" w:eastAsia="Calibri" w:hAnsi="Book Antiqua" w:cs="Arial"/>
          <w:sz w:val="24"/>
          <w:szCs w:val="24"/>
        </w:rPr>
        <w:t xml:space="preserve"> </w:t>
      </w:r>
    </w:p>
    <w:p w14:paraId="5741458D" w14:textId="77777777" w:rsidR="00234A2B" w:rsidRPr="00234A2B" w:rsidRDefault="00234A2B" w:rsidP="00234A2B">
      <w:pPr>
        <w:spacing w:after="0" w:line="276" w:lineRule="auto"/>
        <w:jc w:val="both"/>
        <w:rPr>
          <w:rFonts w:ascii="Book Antiqua" w:eastAsia="Calibri" w:hAnsi="Book Antiqua" w:cs="Arial"/>
          <w:sz w:val="24"/>
          <w:szCs w:val="24"/>
        </w:rPr>
      </w:pPr>
    </w:p>
    <w:p w14:paraId="729B0DE9" w14:textId="7A719E4F" w:rsidR="00234A2B" w:rsidRDefault="00234A2B" w:rsidP="00234A2B">
      <w:pPr>
        <w:spacing w:after="0" w:line="276" w:lineRule="auto"/>
        <w:jc w:val="both"/>
        <w:rPr>
          <w:rFonts w:ascii="Book Antiqua" w:eastAsia="Calibri" w:hAnsi="Book Antiqua" w:cs="Arial"/>
          <w:sz w:val="24"/>
          <w:szCs w:val="24"/>
        </w:rPr>
      </w:pPr>
      <w:r w:rsidRPr="00234A2B">
        <w:rPr>
          <w:rFonts w:ascii="Book Antiqua" w:eastAsia="Calibri" w:hAnsi="Book Antiqua" w:cs="Arial"/>
          <w:sz w:val="24"/>
          <w:szCs w:val="24"/>
        </w:rPr>
        <w:t>Los despachos mixtos atienden Familia y Violencia Doméstica, a excepción del Juzgado de Trabajo y Familia de Hatillo, San Sebastián y Alajuelita que lleva materias Trabajo y Familia. Estos despachos cuentan con dos personas juzgadoras los cuales atienden cada materia en un 50%, a salvedad del Juzgado Familia y Violencia Doméstica de Golfito que solamente cuenta con una Jueza o Juez, como se muestra en el cuadro siguiente.</w:t>
      </w:r>
    </w:p>
    <w:p w14:paraId="73D32838" w14:textId="06BADF5D" w:rsidR="008F717E" w:rsidRDefault="008F717E" w:rsidP="00234A2B">
      <w:pPr>
        <w:spacing w:after="0" w:line="276" w:lineRule="auto"/>
        <w:jc w:val="both"/>
        <w:rPr>
          <w:rFonts w:ascii="Book Antiqua" w:eastAsia="Calibri" w:hAnsi="Book Antiqua" w:cs="Arial"/>
          <w:sz w:val="24"/>
          <w:szCs w:val="24"/>
        </w:rPr>
      </w:pPr>
    </w:p>
    <w:p w14:paraId="4A179F5E" w14:textId="0749B5EA" w:rsidR="008F717E" w:rsidRDefault="008F717E" w:rsidP="00234A2B">
      <w:pPr>
        <w:spacing w:after="0" w:line="276" w:lineRule="auto"/>
        <w:jc w:val="both"/>
        <w:rPr>
          <w:rFonts w:ascii="Book Antiqua" w:eastAsia="Calibri" w:hAnsi="Book Antiqua" w:cs="Arial"/>
          <w:sz w:val="24"/>
          <w:szCs w:val="24"/>
        </w:rPr>
      </w:pPr>
    </w:p>
    <w:p w14:paraId="31D4808A" w14:textId="40540041" w:rsidR="008F717E" w:rsidRDefault="008F717E" w:rsidP="00234A2B">
      <w:pPr>
        <w:spacing w:after="0" w:line="276" w:lineRule="auto"/>
        <w:jc w:val="both"/>
        <w:rPr>
          <w:rFonts w:ascii="Book Antiqua" w:eastAsia="Calibri" w:hAnsi="Book Antiqua" w:cs="Arial"/>
          <w:sz w:val="24"/>
          <w:szCs w:val="24"/>
        </w:rPr>
      </w:pPr>
    </w:p>
    <w:p w14:paraId="719A9A72" w14:textId="77777777" w:rsidR="008F717E" w:rsidRDefault="008F717E" w:rsidP="00234A2B">
      <w:pPr>
        <w:spacing w:after="0" w:line="276" w:lineRule="auto"/>
        <w:jc w:val="both"/>
        <w:rPr>
          <w:rFonts w:ascii="Book Antiqua" w:eastAsia="Calibri" w:hAnsi="Book Antiqua" w:cs="Arial"/>
          <w:sz w:val="24"/>
          <w:szCs w:val="24"/>
        </w:rPr>
      </w:pPr>
    </w:p>
    <w:p w14:paraId="3D0C83C8" w14:textId="6659F96D" w:rsidR="00234A2B" w:rsidRPr="00234A2B" w:rsidRDefault="00234A2B" w:rsidP="00234A2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34A2B">
        <w:rPr>
          <w:rFonts w:ascii="Book Antiqua" w:eastAsia="Calibri" w:hAnsi="Book Antiqua" w:cs="Arial"/>
          <w:b/>
          <w:bCs/>
          <w:color w:val="1F497D"/>
          <w:szCs w:val="24"/>
          <w:lang w:val="es-ES" w:eastAsia="es-ES"/>
        </w:rPr>
        <w:lastRenderedPageBreak/>
        <w:t xml:space="preserve">Cuadro </w:t>
      </w:r>
      <w:r w:rsidRPr="00234A2B">
        <w:rPr>
          <w:rFonts w:ascii="Book Antiqua" w:eastAsia="Calibri" w:hAnsi="Book Antiqua" w:cs="Arial"/>
          <w:b/>
          <w:bCs/>
          <w:color w:val="1F497D"/>
          <w:szCs w:val="24"/>
          <w:lang w:val="es-ES" w:eastAsia="es-ES"/>
        </w:rPr>
        <w:fldChar w:fldCharType="begin"/>
      </w:r>
      <w:r w:rsidRPr="00234A2B">
        <w:rPr>
          <w:rFonts w:ascii="Book Antiqua" w:eastAsia="Calibri" w:hAnsi="Book Antiqua" w:cs="Arial"/>
          <w:b/>
          <w:bCs/>
          <w:color w:val="1F497D"/>
          <w:szCs w:val="24"/>
          <w:lang w:val="es-ES" w:eastAsia="es-ES"/>
        </w:rPr>
        <w:instrText xml:space="preserve"> SEQ Cuadro \* ARABIC </w:instrText>
      </w:r>
      <w:r w:rsidRPr="00234A2B">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43</w:t>
      </w:r>
      <w:r w:rsidRPr="00234A2B">
        <w:rPr>
          <w:rFonts w:ascii="Book Antiqua" w:eastAsia="Calibri" w:hAnsi="Book Antiqua" w:cs="Arial"/>
          <w:b/>
          <w:bCs/>
          <w:color w:val="1F497D"/>
          <w:szCs w:val="24"/>
          <w:lang w:val="es-ES" w:eastAsia="es-ES"/>
        </w:rPr>
        <w:fldChar w:fldCharType="end"/>
      </w:r>
      <w:r w:rsidRPr="00234A2B">
        <w:rPr>
          <w:rFonts w:ascii="Book Antiqua" w:eastAsia="Calibri" w:hAnsi="Book Antiqua" w:cs="Arial"/>
          <w:b/>
          <w:bCs/>
          <w:color w:val="1F497D"/>
          <w:szCs w:val="24"/>
          <w:lang w:val="es-ES" w:eastAsia="es-ES"/>
        </w:rPr>
        <w:t xml:space="preserve"> </w:t>
      </w:r>
    </w:p>
    <w:p w14:paraId="242860BB" w14:textId="77777777" w:rsidR="00234A2B" w:rsidRPr="00234A2B" w:rsidRDefault="00234A2B" w:rsidP="00234A2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34A2B">
        <w:rPr>
          <w:rFonts w:ascii="Book Antiqua" w:eastAsia="Calibri" w:hAnsi="Book Antiqua" w:cs="Arial"/>
          <w:b/>
          <w:bCs/>
          <w:color w:val="1F497D"/>
          <w:szCs w:val="24"/>
          <w:lang w:val="es-ES" w:eastAsia="es-ES"/>
        </w:rPr>
        <w:t>Carga de trabajo juzgado de Familia mixtos</w:t>
      </w:r>
    </w:p>
    <w:p w14:paraId="3C13ADF1" w14:textId="7390551E" w:rsidR="00234A2B" w:rsidRPr="00234A2B" w:rsidRDefault="00234A2B" w:rsidP="00234A2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34A2B">
        <w:rPr>
          <w:rFonts w:ascii="Book Antiqua" w:eastAsia="Calibri" w:hAnsi="Book Antiqua" w:cs="Arial"/>
          <w:b/>
          <w:bCs/>
          <w:color w:val="1F497D"/>
          <w:szCs w:val="24"/>
          <w:lang w:val="es-ES" w:eastAsia="es-ES"/>
        </w:rPr>
        <w:t xml:space="preserve"> de Familia y Violencia Doméstica 201</w:t>
      </w:r>
      <w:r w:rsidR="00320EB1">
        <w:rPr>
          <w:rFonts w:ascii="Book Antiqua" w:eastAsia="Calibri" w:hAnsi="Book Antiqua" w:cs="Arial"/>
          <w:b/>
          <w:bCs/>
          <w:color w:val="1F497D"/>
          <w:szCs w:val="24"/>
          <w:lang w:val="es-ES" w:eastAsia="es-ES"/>
        </w:rPr>
        <w:t>7</w:t>
      </w:r>
      <w:r w:rsidRPr="00234A2B">
        <w:rPr>
          <w:rFonts w:ascii="Book Antiqua" w:eastAsia="Calibri" w:hAnsi="Book Antiqua" w:cs="Arial"/>
          <w:b/>
          <w:bCs/>
          <w:color w:val="1F497D"/>
          <w:szCs w:val="24"/>
          <w:lang w:val="es-ES" w:eastAsia="es-ES"/>
        </w:rPr>
        <w:t xml:space="preserve"> a 20</w:t>
      </w:r>
      <w:r w:rsidR="00320EB1">
        <w:rPr>
          <w:rFonts w:ascii="Book Antiqua" w:eastAsia="Calibri" w:hAnsi="Book Antiqua" w:cs="Arial"/>
          <w:b/>
          <w:bCs/>
          <w:color w:val="1F497D"/>
          <w:szCs w:val="24"/>
          <w:lang w:val="es-ES" w:eastAsia="es-ES"/>
        </w:rPr>
        <w:t>2</w:t>
      </w:r>
      <w:r w:rsidRPr="00234A2B">
        <w:rPr>
          <w:rFonts w:ascii="Book Antiqua" w:eastAsia="Calibri" w:hAnsi="Book Antiqua" w:cs="Arial"/>
          <w:b/>
          <w:bCs/>
          <w:color w:val="1F497D"/>
          <w:szCs w:val="24"/>
          <w:lang w:val="es-ES" w:eastAsia="es-ES"/>
        </w:rPr>
        <w:t>1</w:t>
      </w:r>
    </w:p>
    <w:tbl>
      <w:tblPr>
        <w:tblW w:w="5283" w:type="pct"/>
        <w:tblCellMar>
          <w:left w:w="70" w:type="dxa"/>
          <w:right w:w="70" w:type="dxa"/>
        </w:tblCellMar>
        <w:tblLook w:val="04A0" w:firstRow="1" w:lastRow="0" w:firstColumn="1" w:lastColumn="0" w:noHBand="0" w:noVBand="1"/>
      </w:tblPr>
      <w:tblGrid>
        <w:gridCol w:w="1090"/>
        <w:gridCol w:w="1010"/>
        <w:gridCol w:w="724"/>
        <w:gridCol w:w="791"/>
        <w:gridCol w:w="1001"/>
        <w:gridCol w:w="870"/>
        <w:gridCol w:w="1130"/>
        <w:gridCol w:w="971"/>
        <w:gridCol w:w="870"/>
        <w:gridCol w:w="860"/>
      </w:tblGrid>
      <w:tr w:rsidR="002C30B5" w:rsidRPr="00B833E5" w14:paraId="7A0F3859" w14:textId="77777777" w:rsidTr="00B833E5">
        <w:trPr>
          <w:trHeight w:val="433"/>
        </w:trPr>
        <w:tc>
          <w:tcPr>
            <w:tcW w:w="58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949C2BB"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Despacho</w:t>
            </w:r>
          </w:p>
        </w:tc>
        <w:tc>
          <w:tcPr>
            <w:tcW w:w="54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DC083BC"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Materia*</w:t>
            </w:r>
          </w:p>
        </w:tc>
        <w:tc>
          <w:tcPr>
            <w:tcW w:w="814" w:type="pct"/>
            <w:gridSpan w:val="2"/>
            <w:tcBorders>
              <w:top w:val="single" w:sz="8" w:space="0" w:color="auto"/>
              <w:left w:val="nil"/>
              <w:bottom w:val="single" w:sz="8" w:space="0" w:color="auto"/>
              <w:right w:val="single" w:sz="8" w:space="0" w:color="000000"/>
            </w:tcBorders>
            <w:shd w:val="clear" w:color="000000" w:fill="002060"/>
            <w:vAlign w:val="center"/>
            <w:hideMark/>
          </w:tcPr>
          <w:p w14:paraId="7D8A8A40"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Recurso humano</w:t>
            </w:r>
          </w:p>
        </w:tc>
        <w:tc>
          <w:tcPr>
            <w:tcW w:w="537"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6E6B9FA"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Porcentaje dedicado por materia por Juez o Jueza</w:t>
            </w:r>
          </w:p>
        </w:tc>
        <w:tc>
          <w:tcPr>
            <w:tcW w:w="1073" w:type="pct"/>
            <w:gridSpan w:val="2"/>
            <w:tcBorders>
              <w:top w:val="single" w:sz="8" w:space="0" w:color="auto"/>
              <w:left w:val="nil"/>
              <w:bottom w:val="single" w:sz="8" w:space="0" w:color="auto"/>
              <w:right w:val="single" w:sz="8" w:space="0" w:color="000000"/>
            </w:tcBorders>
            <w:shd w:val="clear" w:color="000000" w:fill="002060"/>
            <w:vAlign w:val="center"/>
            <w:hideMark/>
          </w:tcPr>
          <w:p w14:paraId="1C79880F"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Promedios totales mensual</w:t>
            </w:r>
          </w:p>
        </w:tc>
        <w:tc>
          <w:tcPr>
            <w:tcW w:w="521"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D6571ED"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Juzgadora</w:t>
            </w:r>
          </w:p>
        </w:tc>
        <w:tc>
          <w:tcPr>
            <w:tcW w:w="467"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7D08011"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Tec. Jud. Trámite</w:t>
            </w:r>
          </w:p>
        </w:tc>
        <w:tc>
          <w:tcPr>
            <w:tcW w:w="46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4CDE677"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Relación salida entre entrada</w:t>
            </w:r>
          </w:p>
        </w:tc>
      </w:tr>
      <w:tr w:rsidR="00320EB1" w:rsidRPr="00B833E5" w14:paraId="38568677" w14:textId="77777777" w:rsidTr="001D0C10">
        <w:trPr>
          <w:trHeight w:val="590"/>
        </w:trPr>
        <w:tc>
          <w:tcPr>
            <w:tcW w:w="585" w:type="pct"/>
            <w:vMerge/>
            <w:tcBorders>
              <w:top w:val="single" w:sz="8" w:space="0" w:color="auto"/>
              <w:left w:val="single" w:sz="8" w:space="0" w:color="auto"/>
              <w:bottom w:val="single" w:sz="8" w:space="0" w:color="000000"/>
              <w:right w:val="single" w:sz="8" w:space="0" w:color="auto"/>
            </w:tcBorders>
            <w:vAlign w:val="center"/>
            <w:hideMark/>
          </w:tcPr>
          <w:p w14:paraId="34F1955C"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542" w:type="pct"/>
            <w:vMerge/>
            <w:tcBorders>
              <w:top w:val="single" w:sz="8" w:space="0" w:color="auto"/>
              <w:left w:val="single" w:sz="8" w:space="0" w:color="auto"/>
              <w:bottom w:val="single" w:sz="8" w:space="0" w:color="000000"/>
              <w:right w:val="single" w:sz="8" w:space="0" w:color="auto"/>
            </w:tcBorders>
            <w:vAlign w:val="center"/>
            <w:hideMark/>
          </w:tcPr>
          <w:p w14:paraId="32FBBAF9"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389" w:type="pct"/>
            <w:tcBorders>
              <w:top w:val="nil"/>
              <w:left w:val="nil"/>
              <w:bottom w:val="single" w:sz="8" w:space="0" w:color="auto"/>
              <w:right w:val="single" w:sz="8" w:space="0" w:color="auto"/>
            </w:tcBorders>
            <w:shd w:val="clear" w:color="000000" w:fill="002060"/>
            <w:vAlign w:val="center"/>
            <w:hideMark/>
          </w:tcPr>
          <w:p w14:paraId="7E40A00B" w14:textId="77777777"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424" w:type="pct"/>
            <w:tcBorders>
              <w:top w:val="nil"/>
              <w:left w:val="nil"/>
              <w:bottom w:val="single" w:sz="8" w:space="0" w:color="auto"/>
              <w:right w:val="single" w:sz="8" w:space="0" w:color="auto"/>
            </w:tcBorders>
            <w:shd w:val="clear" w:color="000000" w:fill="002060"/>
            <w:vAlign w:val="center"/>
            <w:hideMark/>
          </w:tcPr>
          <w:p w14:paraId="1048D20A" w14:textId="0B8B4743" w:rsidR="00320EB1" w:rsidRPr="001D0C10" w:rsidRDefault="00320EB1" w:rsidP="00320EB1">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Téc. Jud. </w:t>
            </w:r>
            <w:r w:rsidR="00E85731" w:rsidRPr="00E85731">
              <w:rPr>
                <w:rFonts w:ascii="Book Antiqua" w:eastAsia="Times New Roman" w:hAnsi="Book Antiqua" w:cs="Calibri"/>
                <w:b/>
                <w:bCs/>
                <w:color w:val="FFFFFF"/>
                <w:sz w:val="18"/>
                <w:szCs w:val="18"/>
                <w:lang w:eastAsia="es-CR"/>
              </w:rPr>
              <w:t>D</w:t>
            </w:r>
            <w:r w:rsidRPr="001D0C10">
              <w:rPr>
                <w:rFonts w:ascii="Book Antiqua" w:eastAsia="Times New Roman" w:hAnsi="Book Antiqua" w:cs="Calibri"/>
                <w:b/>
                <w:bCs/>
                <w:color w:val="FFFFFF"/>
                <w:sz w:val="18"/>
                <w:szCs w:val="18"/>
                <w:lang w:eastAsia="es-CR"/>
              </w:rPr>
              <w:t>e Trámite</w:t>
            </w:r>
          </w:p>
        </w:tc>
        <w:tc>
          <w:tcPr>
            <w:tcW w:w="537" w:type="pct"/>
            <w:vMerge/>
            <w:tcBorders>
              <w:top w:val="single" w:sz="8" w:space="0" w:color="auto"/>
              <w:left w:val="single" w:sz="8" w:space="0" w:color="auto"/>
              <w:bottom w:val="single" w:sz="8" w:space="0" w:color="000000"/>
              <w:right w:val="single" w:sz="8" w:space="0" w:color="auto"/>
            </w:tcBorders>
            <w:vAlign w:val="center"/>
            <w:hideMark/>
          </w:tcPr>
          <w:p w14:paraId="54AE8FD7"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467" w:type="pct"/>
            <w:tcBorders>
              <w:top w:val="nil"/>
              <w:left w:val="nil"/>
              <w:bottom w:val="single" w:sz="8" w:space="0" w:color="auto"/>
              <w:right w:val="single" w:sz="8" w:space="0" w:color="auto"/>
            </w:tcBorders>
            <w:shd w:val="clear" w:color="000000" w:fill="002060"/>
            <w:vAlign w:val="center"/>
            <w:hideMark/>
          </w:tcPr>
          <w:p w14:paraId="47D10C83"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w:t>
            </w:r>
          </w:p>
        </w:tc>
        <w:tc>
          <w:tcPr>
            <w:tcW w:w="606" w:type="pct"/>
            <w:tcBorders>
              <w:top w:val="nil"/>
              <w:left w:val="nil"/>
              <w:bottom w:val="single" w:sz="8" w:space="0" w:color="auto"/>
              <w:right w:val="single" w:sz="8" w:space="0" w:color="auto"/>
            </w:tcBorders>
            <w:shd w:val="clear" w:color="000000" w:fill="002060"/>
            <w:vAlign w:val="center"/>
            <w:hideMark/>
          </w:tcPr>
          <w:p w14:paraId="39D9DC86"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Terminados</w:t>
            </w:r>
          </w:p>
        </w:tc>
        <w:tc>
          <w:tcPr>
            <w:tcW w:w="521" w:type="pct"/>
            <w:vMerge/>
            <w:tcBorders>
              <w:top w:val="single" w:sz="8" w:space="0" w:color="auto"/>
              <w:left w:val="single" w:sz="8" w:space="0" w:color="auto"/>
              <w:bottom w:val="single" w:sz="8" w:space="0" w:color="000000"/>
              <w:right w:val="single" w:sz="8" w:space="0" w:color="auto"/>
            </w:tcBorders>
            <w:vAlign w:val="center"/>
            <w:hideMark/>
          </w:tcPr>
          <w:p w14:paraId="75EDDFD6"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467" w:type="pct"/>
            <w:vMerge/>
            <w:tcBorders>
              <w:top w:val="single" w:sz="8" w:space="0" w:color="auto"/>
              <w:left w:val="single" w:sz="8" w:space="0" w:color="auto"/>
              <w:bottom w:val="single" w:sz="8" w:space="0" w:color="000000"/>
              <w:right w:val="single" w:sz="8" w:space="0" w:color="auto"/>
            </w:tcBorders>
            <w:vAlign w:val="center"/>
            <w:hideMark/>
          </w:tcPr>
          <w:p w14:paraId="41B108CE"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c>
          <w:tcPr>
            <w:tcW w:w="462" w:type="pct"/>
            <w:vMerge/>
            <w:tcBorders>
              <w:top w:val="single" w:sz="8" w:space="0" w:color="auto"/>
              <w:left w:val="single" w:sz="8" w:space="0" w:color="auto"/>
              <w:bottom w:val="single" w:sz="8" w:space="0" w:color="000000"/>
              <w:right w:val="single" w:sz="8" w:space="0" w:color="auto"/>
            </w:tcBorders>
            <w:vAlign w:val="center"/>
            <w:hideMark/>
          </w:tcPr>
          <w:p w14:paraId="3FABAE9D" w14:textId="77777777" w:rsidR="00320EB1" w:rsidRPr="001D0C10" w:rsidRDefault="00320EB1" w:rsidP="00320EB1">
            <w:pPr>
              <w:spacing w:after="0" w:line="240" w:lineRule="auto"/>
              <w:rPr>
                <w:rFonts w:ascii="Book Antiqua" w:eastAsia="Times New Roman" w:hAnsi="Book Antiqua" w:cs="Calibri"/>
                <w:b/>
                <w:bCs/>
                <w:color w:val="FFFFFF"/>
                <w:sz w:val="18"/>
                <w:szCs w:val="18"/>
                <w:lang w:eastAsia="es-CR"/>
              </w:rPr>
            </w:pPr>
          </w:p>
        </w:tc>
      </w:tr>
      <w:tr w:rsidR="00B833E5" w:rsidRPr="00B833E5" w14:paraId="5DF7F164" w14:textId="77777777" w:rsidTr="00B833E5">
        <w:trPr>
          <w:trHeight w:val="538"/>
        </w:trPr>
        <w:tc>
          <w:tcPr>
            <w:tcW w:w="585"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6A715D5E"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y Viol. Dom. I Circ. Jud. Guanacaste </w:t>
            </w:r>
          </w:p>
        </w:tc>
        <w:tc>
          <w:tcPr>
            <w:tcW w:w="542" w:type="pct"/>
            <w:tcBorders>
              <w:top w:val="nil"/>
              <w:left w:val="nil"/>
              <w:bottom w:val="single" w:sz="8" w:space="0" w:color="auto"/>
              <w:right w:val="single" w:sz="8" w:space="0" w:color="auto"/>
            </w:tcBorders>
            <w:shd w:val="clear" w:color="000000" w:fill="D9D9D9"/>
            <w:vAlign w:val="center"/>
            <w:hideMark/>
          </w:tcPr>
          <w:p w14:paraId="1A17CCB2"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1E149192"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16215DC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w:t>
            </w:r>
          </w:p>
        </w:tc>
        <w:tc>
          <w:tcPr>
            <w:tcW w:w="537" w:type="pct"/>
            <w:tcBorders>
              <w:top w:val="nil"/>
              <w:left w:val="nil"/>
              <w:bottom w:val="single" w:sz="8" w:space="0" w:color="auto"/>
              <w:right w:val="single" w:sz="8" w:space="0" w:color="auto"/>
            </w:tcBorders>
            <w:shd w:val="clear" w:color="000000" w:fill="D9D9D9"/>
            <w:noWrap/>
            <w:vAlign w:val="center"/>
            <w:hideMark/>
          </w:tcPr>
          <w:p w14:paraId="1916E5D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1E7D624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90</w:t>
            </w:r>
          </w:p>
        </w:tc>
        <w:tc>
          <w:tcPr>
            <w:tcW w:w="606" w:type="pct"/>
            <w:tcBorders>
              <w:top w:val="nil"/>
              <w:left w:val="nil"/>
              <w:bottom w:val="single" w:sz="8" w:space="0" w:color="auto"/>
              <w:right w:val="single" w:sz="8" w:space="0" w:color="auto"/>
            </w:tcBorders>
            <w:shd w:val="clear" w:color="000000" w:fill="D9D9D9"/>
            <w:noWrap/>
            <w:vAlign w:val="center"/>
            <w:hideMark/>
          </w:tcPr>
          <w:p w14:paraId="4B30BF9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69</w:t>
            </w:r>
          </w:p>
        </w:tc>
        <w:tc>
          <w:tcPr>
            <w:tcW w:w="521" w:type="pct"/>
            <w:tcBorders>
              <w:top w:val="nil"/>
              <w:left w:val="nil"/>
              <w:bottom w:val="single" w:sz="8" w:space="0" w:color="auto"/>
              <w:right w:val="single" w:sz="8" w:space="0" w:color="auto"/>
            </w:tcBorders>
            <w:shd w:val="clear" w:color="000000" w:fill="D9D9D9"/>
            <w:noWrap/>
            <w:vAlign w:val="center"/>
            <w:hideMark/>
          </w:tcPr>
          <w:p w14:paraId="2834119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45</w:t>
            </w:r>
          </w:p>
        </w:tc>
        <w:tc>
          <w:tcPr>
            <w:tcW w:w="467" w:type="pct"/>
            <w:tcBorders>
              <w:top w:val="nil"/>
              <w:left w:val="nil"/>
              <w:bottom w:val="single" w:sz="8" w:space="0" w:color="auto"/>
              <w:right w:val="single" w:sz="8" w:space="0" w:color="auto"/>
            </w:tcBorders>
            <w:shd w:val="clear" w:color="000000" w:fill="D9D9D9"/>
            <w:noWrap/>
            <w:vAlign w:val="center"/>
            <w:hideMark/>
          </w:tcPr>
          <w:p w14:paraId="709313E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23</w:t>
            </w:r>
          </w:p>
        </w:tc>
        <w:tc>
          <w:tcPr>
            <w:tcW w:w="462" w:type="pct"/>
            <w:tcBorders>
              <w:top w:val="nil"/>
              <w:left w:val="nil"/>
              <w:bottom w:val="single" w:sz="8" w:space="0" w:color="auto"/>
              <w:right w:val="single" w:sz="8" w:space="0" w:color="auto"/>
            </w:tcBorders>
            <w:shd w:val="clear" w:color="000000" w:fill="D9D9D9"/>
            <w:noWrap/>
            <w:vAlign w:val="center"/>
            <w:hideMark/>
          </w:tcPr>
          <w:p w14:paraId="5570A85E"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77%</w:t>
            </w:r>
          </w:p>
        </w:tc>
      </w:tr>
      <w:tr w:rsidR="002C30B5" w:rsidRPr="00B833E5" w14:paraId="4BF9AE12" w14:textId="77777777" w:rsidTr="00B833E5">
        <w:trPr>
          <w:trHeight w:val="590"/>
        </w:trPr>
        <w:tc>
          <w:tcPr>
            <w:tcW w:w="585" w:type="pct"/>
            <w:vMerge/>
            <w:tcBorders>
              <w:top w:val="nil"/>
              <w:left w:val="single" w:sz="8" w:space="0" w:color="auto"/>
              <w:bottom w:val="single" w:sz="8" w:space="0" w:color="000000"/>
              <w:right w:val="single" w:sz="8" w:space="0" w:color="auto"/>
            </w:tcBorders>
            <w:vAlign w:val="center"/>
            <w:hideMark/>
          </w:tcPr>
          <w:p w14:paraId="0BF481F7"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3E2AA52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050E29B4"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0B6286C8"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000000" w:fill="D9D9D9"/>
            <w:noWrap/>
            <w:vAlign w:val="center"/>
            <w:hideMark/>
          </w:tcPr>
          <w:p w14:paraId="5DD9567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75D6C25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111</w:t>
            </w:r>
          </w:p>
        </w:tc>
        <w:tc>
          <w:tcPr>
            <w:tcW w:w="606" w:type="pct"/>
            <w:tcBorders>
              <w:top w:val="nil"/>
              <w:left w:val="nil"/>
              <w:bottom w:val="single" w:sz="8" w:space="0" w:color="auto"/>
              <w:right w:val="single" w:sz="8" w:space="0" w:color="auto"/>
            </w:tcBorders>
            <w:shd w:val="clear" w:color="000000" w:fill="D9D9D9"/>
            <w:noWrap/>
            <w:vAlign w:val="center"/>
            <w:hideMark/>
          </w:tcPr>
          <w:p w14:paraId="4AEB26E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110</w:t>
            </w:r>
          </w:p>
        </w:tc>
        <w:tc>
          <w:tcPr>
            <w:tcW w:w="521" w:type="pct"/>
            <w:tcBorders>
              <w:top w:val="nil"/>
              <w:left w:val="nil"/>
              <w:bottom w:val="single" w:sz="8" w:space="0" w:color="auto"/>
              <w:right w:val="single" w:sz="8" w:space="0" w:color="auto"/>
            </w:tcBorders>
            <w:shd w:val="clear" w:color="000000" w:fill="D9D9D9"/>
            <w:noWrap/>
            <w:vAlign w:val="center"/>
            <w:hideMark/>
          </w:tcPr>
          <w:p w14:paraId="3A41345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55</w:t>
            </w:r>
          </w:p>
        </w:tc>
        <w:tc>
          <w:tcPr>
            <w:tcW w:w="467" w:type="pct"/>
            <w:tcBorders>
              <w:top w:val="nil"/>
              <w:left w:val="nil"/>
              <w:bottom w:val="single" w:sz="8" w:space="0" w:color="auto"/>
              <w:right w:val="single" w:sz="8" w:space="0" w:color="auto"/>
            </w:tcBorders>
            <w:shd w:val="clear" w:color="000000" w:fill="D9D9D9"/>
            <w:noWrap/>
            <w:vAlign w:val="center"/>
            <w:hideMark/>
          </w:tcPr>
          <w:p w14:paraId="7281595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462" w:type="pct"/>
            <w:tcBorders>
              <w:top w:val="nil"/>
              <w:left w:val="nil"/>
              <w:bottom w:val="single" w:sz="8" w:space="0" w:color="auto"/>
              <w:right w:val="single" w:sz="8" w:space="0" w:color="auto"/>
            </w:tcBorders>
            <w:shd w:val="clear" w:color="000000" w:fill="D9D9D9"/>
            <w:noWrap/>
            <w:vAlign w:val="center"/>
            <w:hideMark/>
          </w:tcPr>
          <w:p w14:paraId="674E901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r>
      <w:tr w:rsidR="00B833E5" w:rsidRPr="00B833E5" w14:paraId="0DA04895" w14:textId="77777777" w:rsidTr="00B833E5">
        <w:trPr>
          <w:trHeight w:val="327"/>
        </w:trPr>
        <w:tc>
          <w:tcPr>
            <w:tcW w:w="585" w:type="pct"/>
            <w:vMerge w:val="restart"/>
            <w:tcBorders>
              <w:top w:val="nil"/>
              <w:left w:val="single" w:sz="8" w:space="0" w:color="auto"/>
              <w:bottom w:val="single" w:sz="8" w:space="0" w:color="000000"/>
              <w:right w:val="single" w:sz="8" w:space="0" w:color="auto"/>
            </w:tcBorders>
            <w:shd w:val="clear" w:color="auto" w:fill="auto"/>
            <w:vAlign w:val="center"/>
            <w:hideMark/>
          </w:tcPr>
          <w:p w14:paraId="4497D6D5"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 Circ. Jud. Guanacaste (Nicoya)</w:t>
            </w:r>
          </w:p>
        </w:tc>
        <w:tc>
          <w:tcPr>
            <w:tcW w:w="542" w:type="pct"/>
            <w:tcBorders>
              <w:top w:val="nil"/>
              <w:left w:val="nil"/>
              <w:bottom w:val="single" w:sz="8" w:space="0" w:color="auto"/>
              <w:right w:val="single" w:sz="8" w:space="0" w:color="auto"/>
            </w:tcBorders>
            <w:shd w:val="clear" w:color="auto" w:fill="auto"/>
            <w:vAlign w:val="center"/>
            <w:hideMark/>
          </w:tcPr>
          <w:p w14:paraId="1019919B"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FF3B42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35456D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auto" w:fill="auto"/>
            <w:noWrap/>
            <w:vAlign w:val="center"/>
            <w:hideMark/>
          </w:tcPr>
          <w:p w14:paraId="5594B2A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44957E4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w:t>
            </w:r>
          </w:p>
        </w:tc>
        <w:tc>
          <w:tcPr>
            <w:tcW w:w="606" w:type="pct"/>
            <w:tcBorders>
              <w:top w:val="nil"/>
              <w:left w:val="nil"/>
              <w:bottom w:val="single" w:sz="8" w:space="0" w:color="auto"/>
              <w:right w:val="single" w:sz="8" w:space="0" w:color="auto"/>
            </w:tcBorders>
            <w:shd w:val="clear" w:color="auto" w:fill="auto"/>
            <w:noWrap/>
            <w:vAlign w:val="center"/>
            <w:hideMark/>
          </w:tcPr>
          <w:p w14:paraId="3619D4E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35</w:t>
            </w:r>
          </w:p>
        </w:tc>
        <w:tc>
          <w:tcPr>
            <w:tcW w:w="521" w:type="pct"/>
            <w:tcBorders>
              <w:top w:val="nil"/>
              <w:left w:val="nil"/>
              <w:bottom w:val="single" w:sz="8" w:space="0" w:color="auto"/>
              <w:right w:val="single" w:sz="8" w:space="0" w:color="auto"/>
            </w:tcBorders>
            <w:shd w:val="clear" w:color="auto" w:fill="auto"/>
            <w:noWrap/>
            <w:vAlign w:val="center"/>
            <w:hideMark/>
          </w:tcPr>
          <w:p w14:paraId="1808EEA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23</w:t>
            </w:r>
          </w:p>
        </w:tc>
        <w:tc>
          <w:tcPr>
            <w:tcW w:w="467" w:type="pct"/>
            <w:tcBorders>
              <w:top w:val="nil"/>
              <w:left w:val="nil"/>
              <w:bottom w:val="single" w:sz="8" w:space="0" w:color="auto"/>
              <w:right w:val="single" w:sz="8" w:space="0" w:color="auto"/>
            </w:tcBorders>
            <w:shd w:val="clear" w:color="auto" w:fill="auto"/>
            <w:noWrap/>
            <w:vAlign w:val="center"/>
            <w:hideMark/>
          </w:tcPr>
          <w:p w14:paraId="29B8E6A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15</w:t>
            </w:r>
          </w:p>
        </w:tc>
        <w:tc>
          <w:tcPr>
            <w:tcW w:w="462" w:type="pct"/>
            <w:tcBorders>
              <w:top w:val="nil"/>
              <w:left w:val="nil"/>
              <w:bottom w:val="single" w:sz="8" w:space="0" w:color="auto"/>
              <w:right w:val="single" w:sz="8" w:space="0" w:color="auto"/>
            </w:tcBorders>
            <w:shd w:val="clear" w:color="auto" w:fill="auto"/>
            <w:noWrap/>
            <w:vAlign w:val="center"/>
            <w:hideMark/>
          </w:tcPr>
          <w:p w14:paraId="3576121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75%</w:t>
            </w:r>
          </w:p>
        </w:tc>
      </w:tr>
      <w:tr w:rsidR="00320EB1" w:rsidRPr="00B833E5" w14:paraId="2F54DECA" w14:textId="77777777" w:rsidTr="001D0C10">
        <w:trPr>
          <w:trHeight w:val="590"/>
        </w:trPr>
        <w:tc>
          <w:tcPr>
            <w:tcW w:w="585" w:type="pct"/>
            <w:vMerge/>
            <w:tcBorders>
              <w:top w:val="nil"/>
              <w:left w:val="single" w:sz="8" w:space="0" w:color="auto"/>
              <w:bottom w:val="single" w:sz="8" w:space="0" w:color="000000"/>
              <w:right w:val="single" w:sz="8" w:space="0" w:color="auto"/>
            </w:tcBorders>
            <w:vAlign w:val="center"/>
            <w:hideMark/>
          </w:tcPr>
          <w:p w14:paraId="590D4243"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auto" w:fill="auto"/>
            <w:vAlign w:val="center"/>
            <w:hideMark/>
          </w:tcPr>
          <w:p w14:paraId="6CB3DEC7"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4B765B59"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169B4445"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auto" w:fill="auto"/>
            <w:noWrap/>
            <w:vAlign w:val="center"/>
            <w:hideMark/>
          </w:tcPr>
          <w:p w14:paraId="5D96C3D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7BE4C2F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w:t>
            </w:r>
          </w:p>
        </w:tc>
        <w:tc>
          <w:tcPr>
            <w:tcW w:w="606" w:type="pct"/>
            <w:tcBorders>
              <w:top w:val="nil"/>
              <w:left w:val="nil"/>
              <w:bottom w:val="single" w:sz="8" w:space="0" w:color="auto"/>
              <w:right w:val="single" w:sz="8" w:space="0" w:color="auto"/>
            </w:tcBorders>
            <w:shd w:val="clear" w:color="auto" w:fill="auto"/>
            <w:noWrap/>
            <w:vAlign w:val="center"/>
            <w:hideMark/>
          </w:tcPr>
          <w:p w14:paraId="1219254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101</w:t>
            </w:r>
          </w:p>
        </w:tc>
        <w:tc>
          <w:tcPr>
            <w:tcW w:w="521" w:type="pct"/>
            <w:tcBorders>
              <w:top w:val="nil"/>
              <w:left w:val="nil"/>
              <w:bottom w:val="single" w:sz="8" w:space="0" w:color="auto"/>
              <w:right w:val="single" w:sz="8" w:space="0" w:color="auto"/>
            </w:tcBorders>
            <w:shd w:val="clear" w:color="auto" w:fill="auto"/>
            <w:noWrap/>
            <w:vAlign w:val="center"/>
            <w:hideMark/>
          </w:tcPr>
          <w:p w14:paraId="69B6CAB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48</w:t>
            </w:r>
          </w:p>
        </w:tc>
        <w:tc>
          <w:tcPr>
            <w:tcW w:w="467" w:type="pct"/>
            <w:tcBorders>
              <w:top w:val="nil"/>
              <w:left w:val="nil"/>
              <w:bottom w:val="single" w:sz="8" w:space="0" w:color="auto"/>
              <w:right w:val="single" w:sz="8" w:space="0" w:color="auto"/>
            </w:tcBorders>
            <w:shd w:val="clear" w:color="auto" w:fill="auto"/>
            <w:noWrap/>
            <w:vAlign w:val="center"/>
            <w:hideMark/>
          </w:tcPr>
          <w:p w14:paraId="248B8661"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32</w:t>
            </w:r>
          </w:p>
        </w:tc>
        <w:tc>
          <w:tcPr>
            <w:tcW w:w="462" w:type="pct"/>
            <w:tcBorders>
              <w:top w:val="nil"/>
              <w:left w:val="nil"/>
              <w:bottom w:val="single" w:sz="8" w:space="0" w:color="auto"/>
              <w:right w:val="single" w:sz="8" w:space="0" w:color="auto"/>
            </w:tcBorders>
            <w:shd w:val="clear" w:color="auto" w:fill="auto"/>
            <w:noWrap/>
            <w:vAlign w:val="center"/>
            <w:hideMark/>
          </w:tcPr>
          <w:p w14:paraId="17AEFE0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104%</w:t>
            </w:r>
          </w:p>
        </w:tc>
      </w:tr>
      <w:tr w:rsidR="00B833E5" w:rsidRPr="00B833E5" w14:paraId="740EF3EE" w14:textId="77777777" w:rsidTr="001D0C10">
        <w:trPr>
          <w:trHeight w:val="448"/>
        </w:trPr>
        <w:tc>
          <w:tcPr>
            <w:tcW w:w="585"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65F3A959"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 Circ. Jud. Zona Sur</w:t>
            </w:r>
          </w:p>
        </w:tc>
        <w:tc>
          <w:tcPr>
            <w:tcW w:w="542" w:type="pct"/>
            <w:tcBorders>
              <w:top w:val="nil"/>
              <w:left w:val="nil"/>
              <w:bottom w:val="single" w:sz="8" w:space="0" w:color="auto"/>
              <w:right w:val="single" w:sz="8" w:space="0" w:color="auto"/>
            </w:tcBorders>
            <w:shd w:val="clear" w:color="000000" w:fill="D9D9D9"/>
            <w:vAlign w:val="center"/>
            <w:hideMark/>
          </w:tcPr>
          <w:p w14:paraId="4FB49D7D"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F0A9C4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351B1249"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000000" w:fill="D9D9D9"/>
            <w:noWrap/>
            <w:vAlign w:val="center"/>
            <w:hideMark/>
          </w:tcPr>
          <w:p w14:paraId="6A994BF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16042D95"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75</w:t>
            </w:r>
          </w:p>
        </w:tc>
        <w:tc>
          <w:tcPr>
            <w:tcW w:w="606" w:type="pct"/>
            <w:tcBorders>
              <w:top w:val="nil"/>
              <w:left w:val="nil"/>
              <w:bottom w:val="single" w:sz="8" w:space="0" w:color="auto"/>
              <w:right w:val="single" w:sz="8" w:space="0" w:color="auto"/>
            </w:tcBorders>
            <w:shd w:val="clear" w:color="000000" w:fill="D9D9D9"/>
            <w:noWrap/>
            <w:vAlign w:val="center"/>
            <w:hideMark/>
          </w:tcPr>
          <w:p w14:paraId="3955615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56</w:t>
            </w:r>
          </w:p>
        </w:tc>
        <w:tc>
          <w:tcPr>
            <w:tcW w:w="521" w:type="pct"/>
            <w:tcBorders>
              <w:top w:val="nil"/>
              <w:left w:val="nil"/>
              <w:bottom w:val="single" w:sz="8" w:space="0" w:color="auto"/>
              <w:right w:val="single" w:sz="8" w:space="0" w:color="auto"/>
            </w:tcBorders>
            <w:shd w:val="clear" w:color="000000" w:fill="D9D9D9"/>
            <w:noWrap/>
            <w:vAlign w:val="center"/>
            <w:hideMark/>
          </w:tcPr>
          <w:p w14:paraId="1B84AAB1"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37</w:t>
            </w:r>
          </w:p>
        </w:tc>
        <w:tc>
          <w:tcPr>
            <w:tcW w:w="467" w:type="pct"/>
            <w:tcBorders>
              <w:top w:val="nil"/>
              <w:left w:val="nil"/>
              <w:bottom w:val="single" w:sz="8" w:space="0" w:color="auto"/>
              <w:right w:val="single" w:sz="8" w:space="0" w:color="auto"/>
            </w:tcBorders>
            <w:shd w:val="clear" w:color="000000" w:fill="D9D9D9"/>
            <w:noWrap/>
            <w:vAlign w:val="center"/>
            <w:hideMark/>
          </w:tcPr>
          <w:p w14:paraId="4B94F87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w:t>
            </w:r>
          </w:p>
        </w:tc>
        <w:tc>
          <w:tcPr>
            <w:tcW w:w="462" w:type="pct"/>
            <w:tcBorders>
              <w:top w:val="nil"/>
              <w:left w:val="nil"/>
              <w:bottom w:val="single" w:sz="8" w:space="0" w:color="auto"/>
              <w:right w:val="single" w:sz="8" w:space="0" w:color="auto"/>
            </w:tcBorders>
            <w:shd w:val="clear" w:color="000000" w:fill="D9D9D9"/>
            <w:noWrap/>
            <w:vAlign w:val="center"/>
            <w:hideMark/>
          </w:tcPr>
          <w:p w14:paraId="2D0D58A8"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74%</w:t>
            </w:r>
          </w:p>
        </w:tc>
      </w:tr>
      <w:tr w:rsidR="002C30B5" w:rsidRPr="00B833E5" w14:paraId="1BD9CC5F" w14:textId="77777777" w:rsidTr="00B833E5">
        <w:trPr>
          <w:trHeight w:val="590"/>
        </w:trPr>
        <w:tc>
          <w:tcPr>
            <w:tcW w:w="585" w:type="pct"/>
            <w:vMerge/>
            <w:tcBorders>
              <w:top w:val="nil"/>
              <w:left w:val="single" w:sz="8" w:space="0" w:color="auto"/>
              <w:bottom w:val="single" w:sz="8" w:space="0" w:color="000000"/>
              <w:right w:val="single" w:sz="8" w:space="0" w:color="auto"/>
            </w:tcBorders>
            <w:vAlign w:val="center"/>
            <w:hideMark/>
          </w:tcPr>
          <w:p w14:paraId="7CB0D590"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26FDE8EE"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75DDB06C"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54C627C1"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000000" w:fill="D9D9D9"/>
            <w:noWrap/>
            <w:vAlign w:val="center"/>
            <w:hideMark/>
          </w:tcPr>
          <w:p w14:paraId="50EFEF2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1FB6956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84</w:t>
            </w:r>
          </w:p>
        </w:tc>
        <w:tc>
          <w:tcPr>
            <w:tcW w:w="606" w:type="pct"/>
            <w:tcBorders>
              <w:top w:val="nil"/>
              <w:left w:val="nil"/>
              <w:bottom w:val="single" w:sz="8" w:space="0" w:color="auto"/>
              <w:right w:val="single" w:sz="8" w:space="0" w:color="auto"/>
            </w:tcBorders>
            <w:shd w:val="clear" w:color="000000" w:fill="D9D9D9"/>
            <w:noWrap/>
            <w:vAlign w:val="center"/>
            <w:hideMark/>
          </w:tcPr>
          <w:p w14:paraId="3A8EF31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83</w:t>
            </w:r>
          </w:p>
        </w:tc>
        <w:tc>
          <w:tcPr>
            <w:tcW w:w="521" w:type="pct"/>
            <w:tcBorders>
              <w:top w:val="nil"/>
              <w:left w:val="nil"/>
              <w:bottom w:val="single" w:sz="8" w:space="0" w:color="auto"/>
              <w:right w:val="single" w:sz="8" w:space="0" w:color="auto"/>
            </w:tcBorders>
            <w:shd w:val="clear" w:color="000000" w:fill="D9D9D9"/>
            <w:noWrap/>
            <w:vAlign w:val="center"/>
            <w:hideMark/>
          </w:tcPr>
          <w:p w14:paraId="19100B81"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w:t>
            </w:r>
          </w:p>
        </w:tc>
        <w:tc>
          <w:tcPr>
            <w:tcW w:w="467" w:type="pct"/>
            <w:tcBorders>
              <w:top w:val="nil"/>
              <w:left w:val="nil"/>
              <w:bottom w:val="single" w:sz="8" w:space="0" w:color="auto"/>
              <w:right w:val="single" w:sz="8" w:space="0" w:color="auto"/>
            </w:tcBorders>
            <w:shd w:val="clear" w:color="000000" w:fill="D9D9D9"/>
            <w:noWrap/>
            <w:vAlign w:val="center"/>
            <w:hideMark/>
          </w:tcPr>
          <w:p w14:paraId="1796010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462" w:type="pct"/>
            <w:tcBorders>
              <w:top w:val="nil"/>
              <w:left w:val="nil"/>
              <w:bottom w:val="single" w:sz="8" w:space="0" w:color="auto"/>
              <w:right w:val="single" w:sz="8" w:space="0" w:color="auto"/>
            </w:tcBorders>
            <w:shd w:val="clear" w:color="000000" w:fill="D9D9D9"/>
            <w:noWrap/>
            <w:vAlign w:val="center"/>
            <w:hideMark/>
          </w:tcPr>
          <w:p w14:paraId="70B2F123"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98%</w:t>
            </w:r>
          </w:p>
        </w:tc>
      </w:tr>
      <w:tr w:rsidR="00B833E5" w:rsidRPr="00B833E5" w14:paraId="5326AE18" w14:textId="77777777" w:rsidTr="00B833E5">
        <w:trPr>
          <w:trHeight w:val="902"/>
        </w:trPr>
        <w:tc>
          <w:tcPr>
            <w:tcW w:w="585" w:type="pct"/>
            <w:vMerge w:val="restart"/>
            <w:tcBorders>
              <w:top w:val="nil"/>
              <w:left w:val="single" w:sz="8" w:space="0" w:color="auto"/>
              <w:bottom w:val="single" w:sz="8" w:space="0" w:color="000000"/>
              <w:right w:val="single" w:sz="8" w:space="0" w:color="auto"/>
            </w:tcBorders>
            <w:shd w:val="clear" w:color="auto" w:fill="auto"/>
            <w:vAlign w:val="center"/>
            <w:hideMark/>
          </w:tcPr>
          <w:p w14:paraId="0D820758"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III Circ. Jud. Alajuela (San Ramón)*</w:t>
            </w:r>
          </w:p>
        </w:tc>
        <w:tc>
          <w:tcPr>
            <w:tcW w:w="542" w:type="pct"/>
            <w:tcBorders>
              <w:top w:val="nil"/>
              <w:left w:val="nil"/>
              <w:bottom w:val="single" w:sz="8" w:space="0" w:color="auto"/>
              <w:right w:val="single" w:sz="8" w:space="0" w:color="auto"/>
            </w:tcBorders>
            <w:shd w:val="clear" w:color="auto" w:fill="auto"/>
            <w:vAlign w:val="center"/>
            <w:hideMark/>
          </w:tcPr>
          <w:p w14:paraId="50608299"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17F1A4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420B2F9"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auto" w:fill="auto"/>
            <w:noWrap/>
            <w:vAlign w:val="center"/>
            <w:hideMark/>
          </w:tcPr>
          <w:p w14:paraId="157EBA6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39C0A60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89</w:t>
            </w:r>
          </w:p>
        </w:tc>
        <w:tc>
          <w:tcPr>
            <w:tcW w:w="606" w:type="pct"/>
            <w:tcBorders>
              <w:top w:val="nil"/>
              <w:left w:val="nil"/>
              <w:bottom w:val="single" w:sz="8" w:space="0" w:color="auto"/>
              <w:right w:val="single" w:sz="8" w:space="0" w:color="auto"/>
            </w:tcBorders>
            <w:shd w:val="clear" w:color="auto" w:fill="auto"/>
            <w:noWrap/>
            <w:vAlign w:val="center"/>
            <w:hideMark/>
          </w:tcPr>
          <w:p w14:paraId="2EAE3A61"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70</w:t>
            </w:r>
          </w:p>
        </w:tc>
        <w:tc>
          <w:tcPr>
            <w:tcW w:w="521" w:type="pct"/>
            <w:tcBorders>
              <w:top w:val="nil"/>
              <w:left w:val="nil"/>
              <w:bottom w:val="single" w:sz="8" w:space="0" w:color="auto"/>
              <w:right w:val="single" w:sz="8" w:space="0" w:color="auto"/>
            </w:tcBorders>
            <w:shd w:val="clear" w:color="auto" w:fill="auto"/>
            <w:noWrap/>
            <w:vAlign w:val="center"/>
            <w:hideMark/>
          </w:tcPr>
          <w:p w14:paraId="6D025AE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45</w:t>
            </w:r>
          </w:p>
        </w:tc>
        <w:tc>
          <w:tcPr>
            <w:tcW w:w="467" w:type="pct"/>
            <w:tcBorders>
              <w:top w:val="nil"/>
              <w:left w:val="nil"/>
              <w:bottom w:val="single" w:sz="8" w:space="0" w:color="auto"/>
              <w:right w:val="single" w:sz="8" w:space="0" w:color="auto"/>
            </w:tcBorders>
            <w:shd w:val="clear" w:color="auto" w:fill="auto"/>
            <w:noWrap/>
            <w:vAlign w:val="center"/>
            <w:hideMark/>
          </w:tcPr>
          <w:p w14:paraId="0E671F13"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30</w:t>
            </w:r>
          </w:p>
        </w:tc>
        <w:tc>
          <w:tcPr>
            <w:tcW w:w="462" w:type="pct"/>
            <w:tcBorders>
              <w:top w:val="nil"/>
              <w:left w:val="nil"/>
              <w:bottom w:val="single" w:sz="8" w:space="0" w:color="auto"/>
              <w:right w:val="single" w:sz="8" w:space="0" w:color="auto"/>
            </w:tcBorders>
            <w:shd w:val="clear" w:color="auto" w:fill="auto"/>
            <w:noWrap/>
            <w:vAlign w:val="center"/>
            <w:hideMark/>
          </w:tcPr>
          <w:p w14:paraId="251FE1D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79%</w:t>
            </w:r>
          </w:p>
        </w:tc>
      </w:tr>
      <w:tr w:rsidR="00320EB1" w:rsidRPr="00B833E5" w14:paraId="6CAEFAFE" w14:textId="77777777" w:rsidTr="001D0C10">
        <w:trPr>
          <w:trHeight w:val="590"/>
        </w:trPr>
        <w:tc>
          <w:tcPr>
            <w:tcW w:w="585" w:type="pct"/>
            <w:vMerge/>
            <w:tcBorders>
              <w:top w:val="nil"/>
              <w:left w:val="single" w:sz="8" w:space="0" w:color="auto"/>
              <w:bottom w:val="single" w:sz="8" w:space="0" w:color="000000"/>
              <w:right w:val="single" w:sz="8" w:space="0" w:color="auto"/>
            </w:tcBorders>
            <w:vAlign w:val="center"/>
            <w:hideMark/>
          </w:tcPr>
          <w:p w14:paraId="0DF1BE2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auto" w:fill="auto"/>
            <w:vAlign w:val="center"/>
            <w:hideMark/>
          </w:tcPr>
          <w:p w14:paraId="0E182261"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4EEB98A9"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3F4C78CA"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auto" w:fill="auto"/>
            <w:noWrap/>
            <w:vAlign w:val="center"/>
            <w:hideMark/>
          </w:tcPr>
          <w:p w14:paraId="73C2BEB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111B4A73"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w:t>
            </w:r>
          </w:p>
        </w:tc>
        <w:tc>
          <w:tcPr>
            <w:tcW w:w="606" w:type="pct"/>
            <w:tcBorders>
              <w:top w:val="nil"/>
              <w:left w:val="nil"/>
              <w:bottom w:val="single" w:sz="8" w:space="0" w:color="auto"/>
              <w:right w:val="single" w:sz="8" w:space="0" w:color="auto"/>
            </w:tcBorders>
            <w:shd w:val="clear" w:color="auto" w:fill="auto"/>
            <w:noWrap/>
            <w:vAlign w:val="center"/>
            <w:hideMark/>
          </w:tcPr>
          <w:p w14:paraId="5F03DAD8"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w:t>
            </w:r>
          </w:p>
        </w:tc>
        <w:tc>
          <w:tcPr>
            <w:tcW w:w="521" w:type="pct"/>
            <w:tcBorders>
              <w:top w:val="nil"/>
              <w:left w:val="nil"/>
              <w:bottom w:val="single" w:sz="8" w:space="0" w:color="auto"/>
              <w:right w:val="single" w:sz="8" w:space="0" w:color="auto"/>
            </w:tcBorders>
            <w:shd w:val="clear" w:color="auto" w:fill="auto"/>
            <w:noWrap/>
            <w:vAlign w:val="center"/>
            <w:hideMark/>
          </w:tcPr>
          <w:p w14:paraId="31EF6BB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w:t>
            </w:r>
          </w:p>
        </w:tc>
        <w:tc>
          <w:tcPr>
            <w:tcW w:w="467" w:type="pct"/>
            <w:tcBorders>
              <w:top w:val="nil"/>
              <w:left w:val="nil"/>
              <w:bottom w:val="single" w:sz="8" w:space="0" w:color="auto"/>
              <w:right w:val="single" w:sz="8" w:space="0" w:color="auto"/>
            </w:tcBorders>
            <w:shd w:val="clear" w:color="auto" w:fill="auto"/>
            <w:noWrap/>
            <w:vAlign w:val="center"/>
            <w:hideMark/>
          </w:tcPr>
          <w:p w14:paraId="4904C7EA"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462" w:type="pct"/>
            <w:tcBorders>
              <w:top w:val="nil"/>
              <w:left w:val="nil"/>
              <w:bottom w:val="single" w:sz="8" w:space="0" w:color="auto"/>
              <w:right w:val="single" w:sz="8" w:space="0" w:color="auto"/>
            </w:tcBorders>
            <w:shd w:val="clear" w:color="auto" w:fill="auto"/>
            <w:noWrap/>
            <w:vAlign w:val="center"/>
            <w:hideMark/>
          </w:tcPr>
          <w:p w14:paraId="577633D3"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103%</w:t>
            </w:r>
          </w:p>
        </w:tc>
      </w:tr>
      <w:tr w:rsidR="002C30B5" w:rsidRPr="00B833E5" w14:paraId="1F29C48E" w14:textId="77777777" w:rsidTr="00B833E5">
        <w:trPr>
          <w:trHeight w:val="1140"/>
        </w:trPr>
        <w:tc>
          <w:tcPr>
            <w:tcW w:w="585"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0FDFDE35" w14:textId="3272E6DF"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Penal Juv. </w:t>
            </w:r>
            <w:r w:rsidR="00E85731" w:rsidRPr="00E85731">
              <w:rPr>
                <w:rFonts w:ascii="Book Antiqua" w:eastAsia="Times New Roman" w:hAnsi="Book Antiqua" w:cs="Calibri"/>
                <w:b/>
                <w:bCs/>
                <w:color w:val="000000"/>
                <w:sz w:val="18"/>
                <w:szCs w:val="18"/>
                <w:lang w:eastAsia="es-CR"/>
              </w:rPr>
              <w:t>Y</w:t>
            </w:r>
            <w:r w:rsidRPr="001D0C10">
              <w:rPr>
                <w:rFonts w:ascii="Book Antiqua" w:eastAsia="Times New Roman" w:hAnsi="Book Antiqua" w:cs="Calibri"/>
                <w:b/>
                <w:bCs/>
                <w:color w:val="000000"/>
                <w:sz w:val="18"/>
                <w:szCs w:val="18"/>
                <w:lang w:eastAsia="es-CR"/>
              </w:rPr>
              <w:t xml:space="preserve"> Viol. Dom. Doméstica de Golfito</w:t>
            </w:r>
          </w:p>
        </w:tc>
        <w:tc>
          <w:tcPr>
            <w:tcW w:w="542" w:type="pct"/>
            <w:tcBorders>
              <w:top w:val="nil"/>
              <w:left w:val="nil"/>
              <w:bottom w:val="nil"/>
              <w:right w:val="single" w:sz="8" w:space="0" w:color="auto"/>
            </w:tcBorders>
            <w:shd w:val="clear" w:color="000000" w:fill="D9D9D9"/>
            <w:vAlign w:val="center"/>
            <w:hideMark/>
          </w:tcPr>
          <w:p w14:paraId="1A5C5B8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w:t>
            </w:r>
          </w:p>
        </w:tc>
        <w:tc>
          <w:tcPr>
            <w:tcW w:w="389"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642F9CA2"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424"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1198F03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537"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3343F6A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c>
          <w:tcPr>
            <w:tcW w:w="467"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15B0105"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32</w:t>
            </w:r>
          </w:p>
        </w:tc>
        <w:tc>
          <w:tcPr>
            <w:tcW w:w="606"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2B43032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w:t>
            </w:r>
          </w:p>
        </w:tc>
        <w:tc>
          <w:tcPr>
            <w:tcW w:w="521"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44DD671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32</w:t>
            </w:r>
          </w:p>
        </w:tc>
        <w:tc>
          <w:tcPr>
            <w:tcW w:w="467"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7CC9528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16</w:t>
            </w:r>
          </w:p>
        </w:tc>
        <w:tc>
          <w:tcPr>
            <w:tcW w:w="462"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26F9EBE"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w:t>
            </w:r>
          </w:p>
        </w:tc>
      </w:tr>
      <w:tr w:rsidR="00B833E5" w:rsidRPr="00B833E5" w14:paraId="2C5BAFCA" w14:textId="77777777" w:rsidTr="001D0C10">
        <w:trPr>
          <w:trHeight w:val="40"/>
        </w:trPr>
        <w:tc>
          <w:tcPr>
            <w:tcW w:w="585" w:type="pct"/>
            <w:vMerge/>
            <w:tcBorders>
              <w:top w:val="nil"/>
              <w:left w:val="single" w:sz="8" w:space="0" w:color="auto"/>
              <w:bottom w:val="single" w:sz="8" w:space="0" w:color="000000"/>
              <w:right w:val="single" w:sz="8" w:space="0" w:color="auto"/>
            </w:tcBorders>
            <w:vAlign w:val="center"/>
            <w:hideMark/>
          </w:tcPr>
          <w:p w14:paraId="206633C9"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0BDD6257"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tcBorders>
              <w:top w:val="nil"/>
              <w:left w:val="single" w:sz="8" w:space="0" w:color="auto"/>
              <w:bottom w:val="single" w:sz="8" w:space="0" w:color="000000"/>
              <w:right w:val="single" w:sz="8" w:space="0" w:color="auto"/>
            </w:tcBorders>
            <w:vAlign w:val="center"/>
            <w:hideMark/>
          </w:tcPr>
          <w:p w14:paraId="47125F8C"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26E863B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vMerge/>
            <w:tcBorders>
              <w:top w:val="nil"/>
              <w:left w:val="single" w:sz="8" w:space="0" w:color="auto"/>
              <w:bottom w:val="single" w:sz="8" w:space="0" w:color="000000"/>
              <w:right w:val="single" w:sz="8" w:space="0" w:color="auto"/>
            </w:tcBorders>
            <w:vAlign w:val="center"/>
            <w:hideMark/>
          </w:tcPr>
          <w:p w14:paraId="3C452B02"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67" w:type="pct"/>
            <w:vMerge/>
            <w:tcBorders>
              <w:top w:val="nil"/>
              <w:left w:val="single" w:sz="8" w:space="0" w:color="auto"/>
              <w:bottom w:val="single" w:sz="8" w:space="0" w:color="000000"/>
              <w:right w:val="single" w:sz="8" w:space="0" w:color="auto"/>
            </w:tcBorders>
            <w:vAlign w:val="center"/>
            <w:hideMark/>
          </w:tcPr>
          <w:p w14:paraId="448FBDEC"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606" w:type="pct"/>
            <w:vMerge/>
            <w:tcBorders>
              <w:top w:val="nil"/>
              <w:left w:val="single" w:sz="8" w:space="0" w:color="auto"/>
              <w:bottom w:val="single" w:sz="8" w:space="0" w:color="000000"/>
              <w:right w:val="single" w:sz="8" w:space="0" w:color="auto"/>
            </w:tcBorders>
            <w:vAlign w:val="center"/>
            <w:hideMark/>
          </w:tcPr>
          <w:p w14:paraId="5975EA8A"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21" w:type="pct"/>
            <w:vMerge/>
            <w:tcBorders>
              <w:top w:val="nil"/>
              <w:left w:val="single" w:sz="8" w:space="0" w:color="auto"/>
              <w:bottom w:val="single" w:sz="8" w:space="0" w:color="000000"/>
              <w:right w:val="single" w:sz="8" w:space="0" w:color="auto"/>
            </w:tcBorders>
            <w:vAlign w:val="center"/>
            <w:hideMark/>
          </w:tcPr>
          <w:p w14:paraId="1BB387E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67" w:type="pct"/>
            <w:vMerge/>
            <w:tcBorders>
              <w:top w:val="nil"/>
              <w:left w:val="single" w:sz="8" w:space="0" w:color="auto"/>
              <w:bottom w:val="single" w:sz="8" w:space="0" w:color="000000"/>
              <w:right w:val="single" w:sz="8" w:space="0" w:color="auto"/>
            </w:tcBorders>
            <w:vAlign w:val="center"/>
            <w:hideMark/>
          </w:tcPr>
          <w:p w14:paraId="51706AC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62" w:type="pct"/>
            <w:vMerge/>
            <w:tcBorders>
              <w:top w:val="nil"/>
              <w:left w:val="single" w:sz="8" w:space="0" w:color="auto"/>
              <w:bottom w:val="single" w:sz="8" w:space="0" w:color="000000"/>
              <w:right w:val="single" w:sz="8" w:space="0" w:color="auto"/>
            </w:tcBorders>
            <w:vAlign w:val="center"/>
            <w:hideMark/>
          </w:tcPr>
          <w:p w14:paraId="60BC217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r>
      <w:tr w:rsidR="002C30B5" w:rsidRPr="00B833E5" w14:paraId="345551B5" w14:textId="77777777" w:rsidTr="00B833E5">
        <w:trPr>
          <w:trHeight w:val="590"/>
        </w:trPr>
        <w:tc>
          <w:tcPr>
            <w:tcW w:w="585" w:type="pct"/>
            <w:vMerge/>
            <w:tcBorders>
              <w:top w:val="nil"/>
              <w:left w:val="single" w:sz="8" w:space="0" w:color="auto"/>
              <w:bottom w:val="single" w:sz="8" w:space="0" w:color="000000"/>
              <w:right w:val="single" w:sz="8" w:space="0" w:color="auto"/>
            </w:tcBorders>
            <w:vAlign w:val="center"/>
            <w:hideMark/>
          </w:tcPr>
          <w:p w14:paraId="547393A6"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70F43B2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648DCD3C"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2F076C1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000000" w:fill="D9D9D9"/>
            <w:noWrap/>
            <w:vAlign w:val="center"/>
            <w:hideMark/>
          </w:tcPr>
          <w:p w14:paraId="4AC95F8E"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c>
          <w:tcPr>
            <w:tcW w:w="467" w:type="pct"/>
            <w:tcBorders>
              <w:top w:val="nil"/>
              <w:left w:val="nil"/>
              <w:bottom w:val="single" w:sz="8" w:space="0" w:color="auto"/>
              <w:right w:val="single" w:sz="8" w:space="0" w:color="auto"/>
            </w:tcBorders>
            <w:shd w:val="clear" w:color="000000" w:fill="D9D9D9"/>
            <w:noWrap/>
            <w:vAlign w:val="center"/>
            <w:hideMark/>
          </w:tcPr>
          <w:p w14:paraId="2A6397D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47</w:t>
            </w:r>
          </w:p>
        </w:tc>
        <w:tc>
          <w:tcPr>
            <w:tcW w:w="606" w:type="pct"/>
            <w:tcBorders>
              <w:top w:val="nil"/>
              <w:left w:val="nil"/>
              <w:bottom w:val="single" w:sz="8" w:space="0" w:color="auto"/>
              <w:right w:val="single" w:sz="8" w:space="0" w:color="auto"/>
            </w:tcBorders>
            <w:shd w:val="clear" w:color="000000" w:fill="D9D9D9"/>
            <w:noWrap/>
            <w:vAlign w:val="center"/>
            <w:hideMark/>
          </w:tcPr>
          <w:p w14:paraId="49C4D0F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49</w:t>
            </w:r>
          </w:p>
        </w:tc>
        <w:tc>
          <w:tcPr>
            <w:tcW w:w="521" w:type="pct"/>
            <w:tcBorders>
              <w:top w:val="nil"/>
              <w:left w:val="nil"/>
              <w:bottom w:val="single" w:sz="8" w:space="0" w:color="auto"/>
              <w:right w:val="single" w:sz="8" w:space="0" w:color="auto"/>
            </w:tcBorders>
            <w:shd w:val="clear" w:color="000000" w:fill="D9D9D9"/>
            <w:noWrap/>
            <w:vAlign w:val="center"/>
            <w:hideMark/>
          </w:tcPr>
          <w:p w14:paraId="1E92A1D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47</w:t>
            </w:r>
          </w:p>
        </w:tc>
        <w:tc>
          <w:tcPr>
            <w:tcW w:w="467" w:type="pct"/>
            <w:tcBorders>
              <w:top w:val="nil"/>
              <w:left w:val="nil"/>
              <w:bottom w:val="single" w:sz="8" w:space="0" w:color="auto"/>
              <w:right w:val="single" w:sz="8" w:space="0" w:color="auto"/>
            </w:tcBorders>
            <w:shd w:val="clear" w:color="000000" w:fill="D9D9D9"/>
            <w:noWrap/>
            <w:vAlign w:val="center"/>
            <w:hideMark/>
          </w:tcPr>
          <w:p w14:paraId="7A56F7A9"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23</w:t>
            </w:r>
          </w:p>
        </w:tc>
        <w:tc>
          <w:tcPr>
            <w:tcW w:w="462" w:type="pct"/>
            <w:tcBorders>
              <w:top w:val="nil"/>
              <w:left w:val="nil"/>
              <w:bottom w:val="single" w:sz="8" w:space="0" w:color="auto"/>
              <w:right w:val="single" w:sz="8" w:space="0" w:color="auto"/>
            </w:tcBorders>
            <w:shd w:val="clear" w:color="000000" w:fill="D9D9D9"/>
            <w:noWrap/>
            <w:vAlign w:val="center"/>
            <w:hideMark/>
          </w:tcPr>
          <w:p w14:paraId="756810B1"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w:t>
            </w:r>
          </w:p>
        </w:tc>
      </w:tr>
      <w:tr w:rsidR="00B833E5" w:rsidRPr="00B833E5" w14:paraId="517948C6" w14:textId="77777777" w:rsidTr="00B833E5">
        <w:trPr>
          <w:trHeight w:val="545"/>
        </w:trPr>
        <w:tc>
          <w:tcPr>
            <w:tcW w:w="585" w:type="pct"/>
            <w:vMerge w:val="restart"/>
            <w:tcBorders>
              <w:top w:val="nil"/>
              <w:left w:val="single" w:sz="8" w:space="0" w:color="auto"/>
              <w:bottom w:val="single" w:sz="8" w:space="0" w:color="000000"/>
              <w:right w:val="single" w:sz="8" w:space="0" w:color="auto"/>
            </w:tcBorders>
            <w:shd w:val="clear" w:color="auto" w:fill="auto"/>
            <w:vAlign w:val="center"/>
            <w:hideMark/>
          </w:tcPr>
          <w:p w14:paraId="482C6CE3"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Penal Juvenil y Viol. Dom. Santa Cruz</w:t>
            </w:r>
          </w:p>
        </w:tc>
        <w:tc>
          <w:tcPr>
            <w:tcW w:w="542" w:type="pct"/>
            <w:tcBorders>
              <w:top w:val="nil"/>
              <w:left w:val="nil"/>
              <w:bottom w:val="single" w:sz="8" w:space="0" w:color="auto"/>
              <w:right w:val="single" w:sz="8" w:space="0" w:color="auto"/>
            </w:tcBorders>
            <w:shd w:val="clear" w:color="auto" w:fill="auto"/>
            <w:vAlign w:val="center"/>
            <w:hideMark/>
          </w:tcPr>
          <w:p w14:paraId="6B5A1C06"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89"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AF21108"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3844DA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auto" w:fill="auto"/>
            <w:noWrap/>
            <w:vAlign w:val="center"/>
            <w:hideMark/>
          </w:tcPr>
          <w:p w14:paraId="75A4C3B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4CF5CDA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51</w:t>
            </w:r>
          </w:p>
        </w:tc>
        <w:tc>
          <w:tcPr>
            <w:tcW w:w="606" w:type="pct"/>
            <w:tcBorders>
              <w:top w:val="nil"/>
              <w:left w:val="nil"/>
              <w:bottom w:val="single" w:sz="8" w:space="0" w:color="auto"/>
              <w:right w:val="single" w:sz="8" w:space="0" w:color="auto"/>
            </w:tcBorders>
            <w:shd w:val="clear" w:color="auto" w:fill="auto"/>
            <w:noWrap/>
            <w:vAlign w:val="center"/>
            <w:hideMark/>
          </w:tcPr>
          <w:p w14:paraId="0CDE5429"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39</w:t>
            </w:r>
          </w:p>
        </w:tc>
        <w:tc>
          <w:tcPr>
            <w:tcW w:w="521" w:type="pct"/>
            <w:tcBorders>
              <w:top w:val="nil"/>
              <w:left w:val="nil"/>
              <w:bottom w:val="single" w:sz="8" w:space="0" w:color="auto"/>
              <w:right w:val="single" w:sz="8" w:space="0" w:color="auto"/>
            </w:tcBorders>
            <w:shd w:val="clear" w:color="auto" w:fill="auto"/>
            <w:noWrap/>
            <w:vAlign w:val="center"/>
            <w:hideMark/>
          </w:tcPr>
          <w:p w14:paraId="484F64F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67" w:type="pct"/>
            <w:tcBorders>
              <w:top w:val="nil"/>
              <w:left w:val="nil"/>
              <w:bottom w:val="single" w:sz="8" w:space="0" w:color="auto"/>
              <w:right w:val="single" w:sz="8" w:space="0" w:color="auto"/>
            </w:tcBorders>
            <w:shd w:val="clear" w:color="auto" w:fill="auto"/>
            <w:noWrap/>
            <w:vAlign w:val="center"/>
            <w:hideMark/>
          </w:tcPr>
          <w:p w14:paraId="28E20B5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62" w:type="pct"/>
            <w:tcBorders>
              <w:top w:val="nil"/>
              <w:left w:val="nil"/>
              <w:bottom w:val="single" w:sz="8" w:space="0" w:color="auto"/>
              <w:right w:val="single" w:sz="8" w:space="0" w:color="auto"/>
            </w:tcBorders>
            <w:shd w:val="clear" w:color="auto" w:fill="auto"/>
            <w:noWrap/>
            <w:vAlign w:val="center"/>
            <w:hideMark/>
          </w:tcPr>
          <w:p w14:paraId="02D8C7E5"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66%</w:t>
            </w:r>
          </w:p>
        </w:tc>
      </w:tr>
      <w:tr w:rsidR="00320EB1" w:rsidRPr="00B833E5" w14:paraId="59CE54D4" w14:textId="77777777" w:rsidTr="001D0C10">
        <w:trPr>
          <w:trHeight w:val="590"/>
        </w:trPr>
        <w:tc>
          <w:tcPr>
            <w:tcW w:w="585" w:type="pct"/>
            <w:vMerge/>
            <w:tcBorders>
              <w:top w:val="nil"/>
              <w:left w:val="single" w:sz="8" w:space="0" w:color="auto"/>
              <w:bottom w:val="single" w:sz="8" w:space="0" w:color="000000"/>
              <w:right w:val="single" w:sz="8" w:space="0" w:color="auto"/>
            </w:tcBorders>
            <w:vAlign w:val="center"/>
            <w:hideMark/>
          </w:tcPr>
          <w:p w14:paraId="34E9B0B2"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auto" w:fill="auto"/>
            <w:vAlign w:val="center"/>
            <w:hideMark/>
          </w:tcPr>
          <w:p w14:paraId="042C623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35C00795"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22EFBCCB"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auto" w:fill="auto"/>
            <w:noWrap/>
            <w:vAlign w:val="center"/>
            <w:hideMark/>
          </w:tcPr>
          <w:p w14:paraId="622A6D2B"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auto" w:fill="auto"/>
            <w:noWrap/>
            <w:vAlign w:val="center"/>
            <w:hideMark/>
          </w:tcPr>
          <w:p w14:paraId="10AAF805"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133</w:t>
            </w:r>
          </w:p>
        </w:tc>
        <w:tc>
          <w:tcPr>
            <w:tcW w:w="606" w:type="pct"/>
            <w:tcBorders>
              <w:top w:val="nil"/>
              <w:left w:val="nil"/>
              <w:bottom w:val="single" w:sz="8" w:space="0" w:color="auto"/>
              <w:right w:val="single" w:sz="8" w:space="0" w:color="auto"/>
            </w:tcBorders>
            <w:shd w:val="clear" w:color="auto" w:fill="auto"/>
            <w:noWrap/>
            <w:vAlign w:val="center"/>
            <w:hideMark/>
          </w:tcPr>
          <w:p w14:paraId="09F992CA"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131</w:t>
            </w:r>
          </w:p>
        </w:tc>
        <w:tc>
          <w:tcPr>
            <w:tcW w:w="521" w:type="pct"/>
            <w:tcBorders>
              <w:top w:val="nil"/>
              <w:left w:val="nil"/>
              <w:bottom w:val="single" w:sz="8" w:space="0" w:color="auto"/>
              <w:right w:val="single" w:sz="8" w:space="0" w:color="auto"/>
            </w:tcBorders>
            <w:shd w:val="clear" w:color="auto" w:fill="auto"/>
            <w:noWrap/>
            <w:vAlign w:val="center"/>
            <w:hideMark/>
          </w:tcPr>
          <w:p w14:paraId="468100FC"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67</w:t>
            </w:r>
          </w:p>
        </w:tc>
        <w:tc>
          <w:tcPr>
            <w:tcW w:w="467" w:type="pct"/>
            <w:tcBorders>
              <w:top w:val="nil"/>
              <w:left w:val="nil"/>
              <w:bottom w:val="single" w:sz="8" w:space="0" w:color="auto"/>
              <w:right w:val="single" w:sz="8" w:space="0" w:color="auto"/>
            </w:tcBorders>
            <w:shd w:val="clear" w:color="auto" w:fill="auto"/>
            <w:noWrap/>
            <w:vAlign w:val="center"/>
            <w:hideMark/>
          </w:tcPr>
          <w:p w14:paraId="5E0FA6D3"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44</w:t>
            </w:r>
          </w:p>
        </w:tc>
        <w:tc>
          <w:tcPr>
            <w:tcW w:w="462" w:type="pct"/>
            <w:tcBorders>
              <w:top w:val="nil"/>
              <w:left w:val="nil"/>
              <w:bottom w:val="single" w:sz="8" w:space="0" w:color="auto"/>
              <w:right w:val="single" w:sz="8" w:space="0" w:color="auto"/>
            </w:tcBorders>
            <w:shd w:val="clear" w:color="auto" w:fill="auto"/>
            <w:noWrap/>
            <w:vAlign w:val="center"/>
            <w:hideMark/>
          </w:tcPr>
          <w:p w14:paraId="197FE058"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98%</w:t>
            </w:r>
          </w:p>
        </w:tc>
      </w:tr>
      <w:tr w:rsidR="002C30B5" w:rsidRPr="00B833E5" w14:paraId="5F249A6F" w14:textId="77777777" w:rsidTr="00B833E5">
        <w:trPr>
          <w:trHeight w:val="570"/>
        </w:trPr>
        <w:tc>
          <w:tcPr>
            <w:tcW w:w="585"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5B992015"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y </w:t>
            </w:r>
            <w:r w:rsidRPr="001D0C10">
              <w:rPr>
                <w:rFonts w:ascii="Book Antiqua" w:eastAsia="Times New Roman" w:hAnsi="Book Antiqua" w:cs="Calibri"/>
                <w:b/>
                <w:bCs/>
                <w:color w:val="000000"/>
                <w:sz w:val="18"/>
                <w:szCs w:val="18"/>
                <w:lang w:eastAsia="es-CR"/>
              </w:rPr>
              <w:lastRenderedPageBreak/>
              <w:t>Viol. Dom. Grecia</w:t>
            </w:r>
          </w:p>
        </w:tc>
        <w:tc>
          <w:tcPr>
            <w:tcW w:w="542" w:type="pct"/>
            <w:tcBorders>
              <w:top w:val="nil"/>
              <w:left w:val="nil"/>
              <w:bottom w:val="single" w:sz="8" w:space="0" w:color="auto"/>
              <w:right w:val="single" w:sz="8" w:space="0" w:color="auto"/>
            </w:tcBorders>
            <w:shd w:val="clear" w:color="000000" w:fill="D9D9D9"/>
            <w:vAlign w:val="center"/>
            <w:hideMark/>
          </w:tcPr>
          <w:p w14:paraId="1C70A205"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lastRenderedPageBreak/>
              <w:t>Familia</w:t>
            </w:r>
          </w:p>
        </w:tc>
        <w:tc>
          <w:tcPr>
            <w:tcW w:w="389"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28044BD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24"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47DF6A60"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37" w:type="pct"/>
            <w:tcBorders>
              <w:top w:val="nil"/>
              <w:left w:val="nil"/>
              <w:bottom w:val="single" w:sz="8" w:space="0" w:color="auto"/>
              <w:right w:val="single" w:sz="8" w:space="0" w:color="auto"/>
            </w:tcBorders>
            <w:shd w:val="clear" w:color="000000" w:fill="D9D9D9"/>
            <w:noWrap/>
            <w:vAlign w:val="center"/>
            <w:hideMark/>
          </w:tcPr>
          <w:p w14:paraId="6100BFD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74CC623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104</w:t>
            </w:r>
          </w:p>
        </w:tc>
        <w:tc>
          <w:tcPr>
            <w:tcW w:w="606" w:type="pct"/>
            <w:tcBorders>
              <w:top w:val="nil"/>
              <w:left w:val="nil"/>
              <w:bottom w:val="single" w:sz="8" w:space="0" w:color="auto"/>
              <w:right w:val="single" w:sz="8" w:space="0" w:color="auto"/>
            </w:tcBorders>
            <w:shd w:val="clear" w:color="000000" w:fill="D9D9D9"/>
            <w:noWrap/>
            <w:vAlign w:val="center"/>
            <w:hideMark/>
          </w:tcPr>
          <w:p w14:paraId="5FE099EA"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84</w:t>
            </w:r>
          </w:p>
        </w:tc>
        <w:tc>
          <w:tcPr>
            <w:tcW w:w="521" w:type="pct"/>
            <w:tcBorders>
              <w:top w:val="nil"/>
              <w:left w:val="nil"/>
              <w:bottom w:val="single" w:sz="8" w:space="0" w:color="auto"/>
              <w:right w:val="single" w:sz="8" w:space="0" w:color="auto"/>
            </w:tcBorders>
            <w:shd w:val="clear" w:color="000000" w:fill="D9D9D9"/>
            <w:noWrap/>
            <w:vAlign w:val="center"/>
            <w:hideMark/>
          </w:tcPr>
          <w:p w14:paraId="467DA03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52</w:t>
            </w:r>
          </w:p>
        </w:tc>
        <w:tc>
          <w:tcPr>
            <w:tcW w:w="467" w:type="pct"/>
            <w:tcBorders>
              <w:top w:val="nil"/>
              <w:left w:val="nil"/>
              <w:bottom w:val="single" w:sz="8" w:space="0" w:color="auto"/>
              <w:right w:val="single" w:sz="8" w:space="0" w:color="auto"/>
            </w:tcBorders>
            <w:shd w:val="clear" w:color="000000" w:fill="D9D9D9"/>
            <w:noWrap/>
            <w:vAlign w:val="center"/>
            <w:hideMark/>
          </w:tcPr>
          <w:p w14:paraId="5C7841A2"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35</w:t>
            </w:r>
          </w:p>
        </w:tc>
        <w:tc>
          <w:tcPr>
            <w:tcW w:w="462" w:type="pct"/>
            <w:tcBorders>
              <w:top w:val="nil"/>
              <w:left w:val="nil"/>
              <w:bottom w:val="single" w:sz="8" w:space="0" w:color="auto"/>
              <w:right w:val="single" w:sz="8" w:space="0" w:color="auto"/>
            </w:tcBorders>
            <w:shd w:val="clear" w:color="000000" w:fill="D9D9D9"/>
            <w:vAlign w:val="center"/>
            <w:hideMark/>
          </w:tcPr>
          <w:p w14:paraId="0C7AD40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81%</w:t>
            </w:r>
          </w:p>
        </w:tc>
      </w:tr>
      <w:tr w:rsidR="002C30B5" w:rsidRPr="00B833E5" w14:paraId="74E7B047" w14:textId="77777777" w:rsidTr="00B833E5">
        <w:trPr>
          <w:trHeight w:val="590"/>
        </w:trPr>
        <w:tc>
          <w:tcPr>
            <w:tcW w:w="585" w:type="pct"/>
            <w:vMerge/>
            <w:tcBorders>
              <w:top w:val="nil"/>
              <w:left w:val="single" w:sz="8" w:space="0" w:color="auto"/>
              <w:bottom w:val="single" w:sz="8" w:space="0" w:color="000000"/>
              <w:right w:val="single" w:sz="8" w:space="0" w:color="auto"/>
            </w:tcBorders>
            <w:vAlign w:val="center"/>
            <w:hideMark/>
          </w:tcPr>
          <w:p w14:paraId="1A456D44"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p>
        </w:tc>
        <w:tc>
          <w:tcPr>
            <w:tcW w:w="542" w:type="pct"/>
            <w:tcBorders>
              <w:top w:val="nil"/>
              <w:left w:val="nil"/>
              <w:bottom w:val="single" w:sz="8" w:space="0" w:color="auto"/>
              <w:right w:val="single" w:sz="8" w:space="0" w:color="auto"/>
            </w:tcBorders>
            <w:shd w:val="clear" w:color="000000" w:fill="D9D9D9"/>
            <w:vAlign w:val="center"/>
            <w:hideMark/>
          </w:tcPr>
          <w:p w14:paraId="747D947B" w14:textId="77777777" w:rsidR="00320EB1" w:rsidRPr="001D0C10" w:rsidRDefault="00320EB1" w:rsidP="00320EB1">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89" w:type="pct"/>
            <w:vMerge/>
            <w:tcBorders>
              <w:top w:val="nil"/>
              <w:left w:val="single" w:sz="8" w:space="0" w:color="auto"/>
              <w:bottom w:val="single" w:sz="8" w:space="0" w:color="000000"/>
              <w:right w:val="single" w:sz="8" w:space="0" w:color="auto"/>
            </w:tcBorders>
            <w:vAlign w:val="center"/>
            <w:hideMark/>
          </w:tcPr>
          <w:p w14:paraId="10B6172A"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424" w:type="pct"/>
            <w:vMerge/>
            <w:tcBorders>
              <w:top w:val="nil"/>
              <w:left w:val="single" w:sz="8" w:space="0" w:color="auto"/>
              <w:bottom w:val="single" w:sz="8" w:space="0" w:color="000000"/>
              <w:right w:val="single" w:sz="8" w:space="0" w:color="auto"/>
            </w:tcBorders>
            <w:vAlign w:val="center"/>
            <w:hideMark/>
          </w:tcPr>
          <w:p w14:paraId="34A37010" w14:textId="77777777" w:rsidR="00320EB1" w:rsidRPr="001D0C10" w:rsidRDefault="00320EB1" w:rsidP="00320EB1">
            <w:pPr>
              <w:spacing w:after="0" w:line="240" w:lineRule="auto"/>
              <w:rPr>
                <w:rFonts w:ascii="Book Antiqua" w:eastAsia="Times New Roman" w:hAnsi="Book Antiqua" w:cs="Calibri"/>
                <w:color w:val="000000"/>
                <w:sz w:val="18"/>
                <w:szCs w:val="18"/>
                <w:lang w:eastAsia="es-CR"/>
              </w:rPr>
            </w:pPr>
          </w:p>
        </w:tc>
        <w:tc>
          <w:tcPr>
            <w:tcW w:w="537" w:type="pct"/>
            <w:tcBorders>
              <w:top w:val="nil"/>
              <w:left w:val="nil"/>
              <w:bottom w:val="single" w:sz="8" w:space="0" w:color="auto"/>
              <w:right w:val="single" w:sz="8" w:space="0" w:color="auto"/>
            </w:tcBorders>
            <w:shd w:val="clear" w:color="000000" w:fill="D9D9D9"/>
            <w:noWrap/>
            <w:vAlign w:val="center"/>
            <w:hideMark/>
          </w:tcPr>
          <w:p w14:paraId="7D0EEC6D"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67" w:type="pct"/>
            <w:tcBorders>
              <w:top w:val="nil"/>
              <w:left w:val="nil"/>
              <w:bottom w:val="single" w:sz="8" w:space="0" w:color="auto"/>
              <w:right w:val="single" w:sz="8" w:space="0" w:color="auto"/>
            </w:tcBorders>
            <w:shd w:val="clear" w:color="000000" w:fill="D9D9D9"/>
            <w:noWrap/>
            <w:vAlign w:val="center"/>
            <w:hideMark/>
          </w:tcPr>
          <w:p w14:paraId="409110E7"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88</w:t>
            </w:r>
          </w:p>
        </w:tc>
        <w:tc>
          <w:tcPr>
            <w:tcW w:w="606" w:type="pct"/>
            <w:tcBorders>
              <w:top w:val="nil"/>
              <w:left w:val="nil"/>
              <w:bottom w:val="single" w:sz="8" w:space="0" w:color="auto"/>
              <w:right w:val="single" w:sz="8" w:space="0" w:color="auto"/>
            </w:tcBorders>
            <w:shd w:val="clear" w:color="000000" w:fill="D9D9D9"/>
            <w:noWrap/>
            <w:vAlign w:val="center"/>
            <w:hideMark/>
          </w:tcPr>
          <w:p w14:paraId="184238C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83</w:t>
            </w:r>
          </w:p>
        </w:tc>
        <w:tc>
          <w:tcPr>
            <w:tcW w:w="521" w:type="pct"/>
            <w:tcBorders>
              <w:top w:val="nil"/>
              <w:left w:val="nil"/>
              <w:bottom w:val="single" w:sz="8" w:space="0" w:color="auto"/>
              <w:right w:val="single" w:sz="8" w:space="0" w:color="auto"/>
            </w:tcBorders>
            <w:shd w:val="clear" w:color="000000" w:fill="D9D9D9"/>
            <w:noWrap/>
            <w:vAlign w:val="center"/>
            <w:hideMark/>
          </w:tcPr>
          <w:p w14:paraId="3F88C904"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44</w:t>
            </w:r>
          </w:p>
        </w:tc>
        <w:tc>
          <w:tcPr>
            <w:tcW w:w="467" w:type="pct"/>
            <w:tcBorders>
              <w:top w:val="nil"/>
              <w:left w:val="nil"/>
              <w:bottom w:val="single" w:sz="8" w:space="0" w:color="auto"/>
              <w:right w:val="single" w:sz="8" w:space="0" w:color="auto"/>
            </w:tcBorders>
            <w:shd w:val="clear" w:color="000000" w:fill="D9D9D9"/>
            <w:noWrap/>
            <w:vAlign w:val="center"/>
            <w:hideMark/>
          </w:tcPr>
          <w:p w14:paraId="7D94640F"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29</w:t>
            </w:r>
          </w:p>
        </w:tc>
        <w:tc>
          <w:tcPr>
            <w:tcW w:w="462" w:type="pct"/>
            <w:tcBorders>
              <w:top w:val="nil"/>
              <w:left w:val="nil"/>
              <w:bottom w:val="single" w:sz="8" w:space="0" w:color="auto"/>
              <w:right w:val="single" w:sz="8" w:space="0" w:color="auto"/>
            </w:tcBorders>
            <w:shd w:val="clear" w:color="000000" w:fill="D9D9D9"/>
            <w:vAlign w:val="center"/>
            <w:hideMark/>
          </w:tcPr>
          <w:p w14:paraId="40CF89D6" w14:textId="77777777" w:rsidR="00320EB1" w:rsidRPr="001D0C10" w:rsidRDefault="00320EB1" w:rsidP="00320EB1">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94%</w:t>
            </w:r>
          </w:p>
        </w:tc>
      </w:tr>
    </w:tbl>
    <w:p w14:paraId="3F235387" w14:textId="1F24A80C" w:rsidR="00234A2B" w:rsidRPr="00320EB1" w:rsidRDefault="00320EB1" w:rsidP="00355630">
      <w:pPr>
        <w:spacing w:after="0" w:line="276" w:lineRule="auto"/>
        <w:jc w:val="both"/>
        <w:rPr>
          <w:rFonts w:ascii="Book Antiqua" w:eastAsia="Calibri" w:hAnsi="Book Antiqua" w:cs="Arial"/>
          <w:i/>
          <w:iCs/>
          <w:sz w:val="20"/>
          <w:szCs w:val="20"/>
        </w:rPr>
      </w:pPr>
      <w:r w:rsidRPr="00320EB1">
        <w:rPr>
          <w:rFonts w:ascii="Book Antiqua" w:eastAsia="Calibri" w:hAnsi="Book Antiqua" w:cs="Arial"/>
          <w:i/>
          <w:iCs/>
          <w:sz w:val="20"/>
          <w:szCs w:val="20"/>
        </w:rPr>
        <w:t>Fuente: Modernización Institucional de la Dirección de Planificación con base en datos de Cuadros Estadísticos del Subproceso de Estadística de la Dirección de Planificación.</w:t>
      </w:r>
      <w:r>
        <w:rPr>
          <w:rFonts w:ascii="Book Antiqua" w:eastAsia="Calibri" w:hAnsi="Book Antiqua" w:cs="Arial"/>
          <w:i/>
          <w:iCs/>
          <w:sz w:val="20"/>
          <w:szCs w:val="20"/>
        </w:rPr>
        <w:t xml:space="preserve"> </w:t>
      </w:r>
      <w:r w:rsidRPr="00320EB1">
        <w:rPr>
          <w:rFonts w:ascii="Book Antiqua" w:eastAsia="Calibri" w:hAnsi="Book Antiqua" w:cs="Arial"/>
          <w:i/>
          <w:iCs/>
          <w:sz w:val="20"/>
          <w:szCs w:val="20"/>
        </w:rPr>
        <w:t>La entrada y terminados para materia Familia incluye Principales, reentrados, Incidentes y Segunda Instancia. Y la entrada en VD incluye nuevos, reentrados y testimonios.</w:t>
      </w:r>
    </w:p>
    <w:p w14:paraId="73D1F766" w14:textId="7461F869" w:rsidR="00234A2B" w:rsidRDefault="00E46376" w:rsidP="00355630">
      <w:pPr>
        <w:spacing w:after="0" w:line="276" w:lineRule="auto"/>
        <w:jc w:val="both"/>
        <w:rPr>
          <w:rFonts w:ascii="Book Antiqua" w:eastAsia="Calibri" w:hAnsi="Book Antiqua" w:cs="Arial"/>
          <w:i/>
          <w:iCs/>
          <w:sz w:val="20"/>
          <w:szCs w:val="20"/>
        </w:rPr>
      </w:pPr>
      <w:r w:rsidRPr="00E46376">
        <w:rPr>
          <w:rFonts w:ascii="Book Antiqua" w:eastAsia="Calibri" w:hAnsi="Book Antiqua" w:cs="Arial"/>
          <w:i/>
          <w:iCs/>
          <w:sz w:val="20"/>
          <w:szCs w:val="20"/>
        </w:rPr>
        <w:t>Nota *: El Juzgado de Familia y Violencia Doméstica de San Ramon, tiene 3 técnicos que tramitan y manifiestan, adicionalmente comparte una plaza de Técnico con el Juzgado Civil y Trabajo de San Ramón</w:t>
      </w:r>
      <w:r>
        <w:rPr>
          <w:rFonts w:ascii="Book Antiqua" w:eastAsia="Calibri" w:hAnsi="Book Antiqua" w:cs="Arial"/>
          <w:i/>
          <w:iCs/>
          <w:sz w:val="20"/>
          <w:szCs w:val="20"/>
        </w:rPr>
        <w:t>.</w:t>
      </w:r>
    </w:p>
    <w:p w14:paraId="6D83B8EC" w14:textId="77777777" w:rsidR="00845ADF" w:rsidRPr="00E46376" w:rsidRDefault="00845ADF" w:rsidP="00355630">
      <w:pPr>
        <w:spacing w:after="0" w:line="276" w:lineRule="auto"/>
        <w:jc w:val="both"/>
        <w:rPr>
          <w:rFonts w:ascii="Book Antiqua" w:eastAsia="Calibri" w:hAnsi="Book Antiqua" w:cs="Arial"/>
          <w:i/>
          <w:iCs/>
          <w:sz w:val="20"/>
          <w:szCs w:val="20"/>
        </w:rPr>
      </w:pPr>
    </w:p>
    <w:p w14:paraId="2E83582A" w14:textId="24C2A9FC" w:rsidR="00D026F9" w:rsidRPr="00D026F9" w:rsidRDefault="00D026F9" w:rsidP="00845AD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026F9">
        <w:rPr>
          <w:rFonts w:ascii="Book Antiqua" w:eastAsia="Calibri" w:hAnsi="Book Antiqua" w:cs="Arial"/>
          <w:b/>
          <w:bCs/>
          <w:color w:val="1F497D"/>
          <w:szCs w:val="24"/>
          <w:lang w:val="es-ES" w:eastAsia="es-ES"/>
        </w:rPr>
        <w:t xml:space="preserve">Cuadro </w:t>
      </w:r>
      <w:r w:rsidRPr="00D026F9">
        <w:rPr>
          <w:rFonts w:ascii="Book Antiqua" w:eastAsia="Calibri" w:hAnsi="Book Antiqua" w:cs="Arial"/>
          <w:b/>
          <w:bCs/>
          <w:color w:val="1F497D"/>
          <w:szCs w:val="24"/>
          <w:lang w:val="es-ES" w:eastAsia="es-ES"/>
        </w:rPr>
        <w:fldChar w:fldCharType="begin"/>
      </w:r>
      <w:r w:rsidRPr="00D026F9">
        <w:rPr>
          <w:rFonts w:ascii="Book Antiqua" w:eastAsia="Calibri" w:hAnsi="Book Antiqua" w:cs="Arial"/>
          <w:b/>
          <w:bCs/>
          <w:color w:val="1F497D"/>
          <w:szCs w:val="24"/>
          <w:lang w:val="es-ES" w:eastAsia="es-ES"/>
        </w:rPr>
        <w:instrText xml:space="preserve"> SEQ Cuadro \* ARABIC </w:instrText>
      </w:r>
      <w:r w:rsidRPr="00D026F9">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44</w:t>
      </w:r>
      <w:r w:rsidRPr="00D026F9">
        <w:rPr>
          <w:rFonts w:ascii="Book Antiqua" w:eastAsia="Calibri" w:hAnsi="Book Antiqua" w:cs="Arial"/>
          <w:b/>
          <w:bCs/>
          <w:color w:val="1F497D"/>
          <w:szCs w:val="24"/>
          <w:lang w:val="es-ES" w:eastAsia="es-ES"/>
        </w:rPr>
        <w:fldChar w:fldCharType="end"/>
      </w:r>
      <w:r w:rsidRPr="00D026F9">
        <w:rPr>
          <w:rFonts w:ascii="Book Antiqua" w:eastAsia="Calibri" w:hAnsi="Book Antiqua" w:cs="Arial"/>
          <w:b/>
          <w:bCs/>
          <w:color w:val="1F497D"/>
          <w:szCs w:val="24"/>
          <w:lang w:val="es-ES" w:eastAsia="es-ES"/>
        </w:rPr>
        <w:t xml:space="preserve"> </w:t>
      </w:r>
    </w:p>
    <w:p w14:paraId="7FDA0532" w14:textId="6AC9A96E" w:rsidR="00D026F9" w:rsidRPr="00D026F9" w:rsidRDefault="00D026F9" w:rsidP="00D026F9">
      <w:pPr>
        <w:keepNext/>
        <w:numPr>
          <w:ilvl w:val="12"/>
          <w:numId w:val="0"/>
        </w:numPr>
        <w:spacing w:after="0" w:line="240" w:lineRule="auto"/>
        <w:jc w:val="center"/>
        <w:rPr>
          <w:rFonts w:ascii="Book Antiqua" w:eastAsia="Calibri" w:hAnsi="Book Antiqua" w:cs="Arial"/>
          <w:b/>
          <w:bCs/>
          <w:color w:val="1F497D"/>
          <w:szCs w:val="24"/>
          <w:lang w:val="es-ES" w:eastAsia="es-ES"/>
        </w:rPr>
      </w:pPr>
      <w:r w:rsidRPr="00D026F9">
        <w:rPr>
          <w:rFonts w:ascii="Book Antiqua" w:eastAsia="Calibri" w:hAnsi="Book Antiqua" w:cs="Arial"/>
          <w:b/>
          <w:bCs/>
          <w:color w:val="1F497D"/>
          <w:szCs w:val="24"/>
          <w:lang w:val="es-ES" w:eastAsia="es-ES"/>
        </w:rPr>
        <w:t>Carga de trabajo juzgado de Familia mixtos de Familia y Trabajo 201</w:t>
      </w:r>
      <w:r>
        <w:rPr>
          <w:rFonts w:ascii="Book Antiqua" w:eastAsia="Calibri" w:hAnsi="Book Antiqua" w:cs="Arial"/>
          <w:b/>
          <w:bCs/>
          <w:color w:val="1F497D"/>
          <w:szCs w:val="24"/>
          <w:lang w:val="es-ES" w:eastAsia="es-ES"/>
        </w:rPr>
        <w:t>7</w:t>
      </w:r>
      <w:r w:rsidRPr="00D026F9">
        <w:rPr>
          <w:rFonts w:ascii="Book Antiqua" w:eastAsia="Calibri" w:hAnsi="Book Antiqua" w:cs="Arial"/>
          <w:b/>
          <w:bCs/>
          <w:color w:val="1F497D"/>
          <w:szCs w:val="24"/>
          <w:lang w:val="es-ES" w:eastAsia="es-ES"/>
        </w:rPr>
        <w:t xml:space="preserve"> a 20</w:t>
      </w:r>
      <w:r>
        <w:rPr>
          <w:rFonts w:ascii="Book Antiqua" w:eastAsia="Calibri" w:hAnsi="Book Antiqua" w:cs="Arial"/>
          <w:b/>
          <w:bCs/>
          <w:color w:val="1F497D"/>
          <w:szCs w:val="24"/>
          <w:lang w:val="es-ES" w:eastAsia="es-ES"/>
        </w:rPr>
        <w:t>2</w:t>
      </w:r>
      <w:r w:rsidRPr="00D026F9">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960"/>
        <w:gridCol w:w="840"/>
        <w:gridCol w:w="590"/>
        <w:gridCol w:w="730"/>
        <w:gridCol w:w="1000"/>
        <w:gridCol w:w="870"/>
        <w:gridCol w:w="1132"/>
        <w:gridCol w:w="962"/>
        <w:gridCol w:w="872"/>
        <w:gridCol w:w="862"/>
      </w:tblGrid>
      <w:tr w:rsidR="004C518F" w:rsidRPr="00B833E5" w14:paraId="29D26431" w14:textId="77777777" w:rsidTr="004C518F">
        <w:trPr>
          <w:trHeight w:val="860"/>
        </w:trPr>
        <w:tc>
          <w:tcPr>
            <w:tcW w:w="54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F2B2140"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Despacho</w:t>
            </w:r>
          </w:p>
        </w:tc>
        <w:tc>
          <w:tcPr>
            <w:tcW w:w="44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4A773C9"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Materia</w:t>
            </w:r>
          </w:p>
        </w:tc>
        <w:tc>
          <w:tcPr>
            <w:tcW w:w="755" w:type="pct"/>
            <w:gridSpan w:val="2"/>
            <w:tcBorders>
              <w:top w:val="single" w:sz="8" w:space="0" w:color="auto"/>
              <w:left w:val="nil"/>
              <w:bottom w:val="single" w:sz="8" w:space="0" w:color="auto"/>
              <w:right w:val="single" w:sz="8" w:space="0" w:color="000000"/>
            </w:tcBorders>
            <w:shd w:val="clear" w:color="000000" w:fill="002060"/>
            <w:vAlign w:val="center"/>
            <w:hideMark/>
          </w:tcPr>
          <w:p w14:paraId="6711B032"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Recurso humano</w:t>
            </w:r>
          </w:p>
        </w:tc>
        <w:tc>
          <w:tcPr>
            <w:tcW w:w="57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CA167A0"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Porcentaje dedicado por materia por juez</w:t>
            </w:r>
          </w:p>
        </w:tc>
        <w:tc>
          <w:tcPr>
            <w:tcW w:w="1144" w:type="pct"/>
            <w:gridSpan w:val="2"/>
            <w:tcBorders>
              <w:top w:val="single" w:sz="8" w:space="0" w:color="auto"/>
              <w:left w:val="nil"/>
              <w:bottom w:val="single" w:sz="8" w:space="0" w:color="auto"/>
              <w:right w:val="single" w:sz="8" w:space="0" w:color="000000"/>
            </w:tcBorders>
            <w:shd w:val="clear" w:color="000000" w:fill="002060"/>
            <w:vAlign w:val="center"/>
            <w:hideMark/>
          </w:tcPr>
          <w:p w14:paraId="47112976"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Promedios totales mensual</w:t>
            </w:r>
          </w:p>
        </w:tc>
        <w:tc>
          <w:tcPr>
            <w:tcW w:w="549"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8706084"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juzgadora</w:t>
            </w:r>
          </w:p>
        </w:tc>
        <w:tc>
          <w:tcPr>
            <w:tcW w:w="49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A33A131"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Tec. Jud. Trámite</w:t>
            </w:r>
          </w:p>
        </w:tc>
        <w:tc>
          <w:tcPr>
            <w:tcW w:w="49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9BB8461"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Relación salida entre entrada</w:t>
            </w:r>
          </w:p>
        </w:tc>
      </w:tr>
      <w:tr w:rsidR="004C518F" w:rsidRPr="00B833E5" w14:paraId="4FABADC6" w14:textId="77777777" w:rsidTr="004C518F">
        <w:trPr>
          <w:trHeight w:val="590"/>
        </w:trPr>
        <w:tc>
          <w:tcPr>
            <w:tcW w:w="543" w:type="pct"/>
            <w:vMerge/>
            <w:tcBorders>
              <w:top w:val="single" w:sz="8" w:space="0" w:color="auto"/>
              <w:left w:val="single" w:sz="8" w:space="0" w:color="auto"/>
              <w:bottom w:val="single" w:sz="8" w:space="0" w:color="000000"/>
              <w:right w:val="single" w:sz="8" w:space="0" w:color="auto"/>
            </w:tcBorders>
            <w:vAlign w:val="center"/>
            <w:hideMark/>
          </w:tcPr>
          <w:p w14:paraId="075A7576"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c>
          <w:tcPr>
            <w:tcW w:w="446" w:type="pct"/>
            <w:vMerge/>
            <w:tcBorders>
              <w:top w:val="single" w:sz="8" w:space="0" w:color="auto"/>
              <w:left w:val="single" w:sz="8" w:space="0" w:color="auto"/>
              <w:bottom w:val="single" w:sz="8" w:space="0" w:color="000000"/>
              <w:right w:val="single" w:sz="8" w:space="0" w:color="auto"/>
            </w:tcBorders>
            <w:vAlign w:val="center"/>
            <w:hideMark/>
          </w:tcPr>
          <w:p w14:paraId="3458D22F"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c>
          <w:tcPr>
            <w:tcW w:w="337" w:type="pct"/>
            <w:tcBorders>
              <w:top w:val="nil"/>
              <w:left w:val="nil"/>
              <w:bottom w:val="single" w:sz="8" w:space="0" w:color="auto"/>
              <w:right w:val="single" w:sz="8" w:space="0" w:color="auto"/>
            </w:tcBorders>
            <w:shd w:val="clear" w:color="000000" w:fill="002060"/>
            <w:vAlign w:val="center"/>
            <w:hideMark/>
          </w:tcPr>
          <w:p w14:paraId="4E843641" w14:textId="77777777"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418" w:type="pct"/>
            <w:tcBorders>
              <w:top w:val="nil"/>
              <w:left w:val="nil"/>
              <w:bottom w:val="single" w:sz="8" w:space="0" w:color="auto"/>
              <w:right w:val="single" w:sz="8" w:space="0" w:color="auto"/>
            </w:tcBorders>
            <w:shd w:val="clear" w:color="000000" w:fill="002060"/>
            <w:vAlign w:val="center"/>
            <w:hideMark/>
          </w:tcPr>
          <w:p w14:paraId="41224C02" w14:textId="6021E902" w:rsidR="004C518F" w:rsidRPr="001D0C10" w:rsidRDefault="004C518F" w:rsidP="004C518F">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Téc. Jud. </w:t>
            </w:r>
            <w:r w:rsidR="00E85731" w:rsidRPr="00E85731">
              <w:rPr>
                <w:rFonts w:ascii="Book Antiqua" w:eastAsia="Times New Roman" w:hAnsi="Book Antiqua" w:cs="Calibri"/>
                <w:b/>
                <w:bCs/>
                <w:color w:val="FFFFFF"/>
                <w:sz w:val="18"/>
                <w:szCs w:val="18"/>
                <w:lang w:eastAsia="es-CR"/>
              </w:rPr>
              <w:t>D</w:t>
            </w:r>
            <w:r w:rsidRPr="001D0C10">
              <w:rPr>
                <w:rFonts w:ascii="Book Antiqua" w:eastAsia="Times New Roman" w:hAnsi="Book Antiqua" w:cs="Calibri"/>
                <w:b/>
                <w:bCs/>
                <w:color w:val="FFFFFF"/>
                <w:sz w:val="18"/>
                <w:szCs w:val="18"/>
                <w:lang w:eastAsia="es-CR"/>
              </w:rPr>
              <w:t>e trámite</w:t>
            </w:r>
          </w:p>
        </w:tc>
        <w:tc>
          <w:tcPr>
            <w:tcW w:w="572" w:type="pct"/>
            <w:vMerge/>
            <w:tcBorders>
              <w:top w:val="single" w:sz="8" w:space="0" w:color="auto"/>
              <w:left w:val="single" w:sz="8" w:space="0" w:color="auto"/>
              <w:bottom w:val="single" w:sz="8" w:space="0" w:color="000000"/>
              <w:right w:val="single" w:sz="8" w:space="0" w:color="auto"/>
            </w:tcBorders>
            <w:vAlign w:val="center"/>
            <w:hideMark/>
          </w:tcPr>
          <w:p w14:paraId="5BCAADE2"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c>
          <w:tcPr>
            <w:tcW w:w="498" w:type="pct"/>
            <w:tcBorders>
              <w:top w:val="nil"/>
              <w:left w:val="nil"/>
              <w:bottom w:val="single" w:sz="8" w:space="0" w:color="auto"/>
              <w:right w:val="single" w:sz="8" w:space="0" w:color="auto"/>
            </w:tcBorders>
            <w:shd w:val="clear" w:color="000000" w:fill="002060"/>
            <w:vAlign w:val="center"/>
            <w:hideMark/>
          </w:tcPr>
          <w:p w14:paraId="097DAA0C"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w:t>
            </w:r>
          </w:p>
        </w:tc>
        <w:tc>
          <w:tcPr>
            <w:tcW w:w="646" w:type="pct"/>
            <w:tcBorders>
              <w:top w:val="nil"/>
              <w:left w:val="nil"/>
              <w:bottom w:val="single" w:sz="8" w:space="0" w:color="auto"/>
              <w:right w:val="single" w:sz="8" w:space="0" w:color="auto"/>
            </w:tcBorders>
            <w:shd w:val="clear" w:color="000000" w:fill="002060"/>
            <w:vAlign w:val="center"/>
            <w:hideMark/>
          </w:tcPr>
          <w:p w14:paraId="34F133E6"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Terminados</w:t>
            </w:r>
          </w:p>
        </w:tc>
        <w:tc>
          <w:tcPr>
            <w:tcW w:w="549" w:type="pct"/>
            <w:vMerge/>
            <w:tcBorders>
              <w:top w:val="single" w:sz="8" w:space="0" w:color="auto"/>
              <w:left w:val="single" w:sz="8" w:space="0" w:color="auto"/>
              <w:bottom w:val="single" w:sz="8" w:space="0" w:color="000000"/>
              <w:right w:val="single" w:sz="8" w:space="0" w:color="auto"/>
            </w:tcBorders>
            <w:vAlign w:val="center"/>
            <w:hideMark/>
          </w:tcPr>
          <w:p w14:paraId="2460D878"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c>
          <w:tcPr>
            <w:tcW w:w="498" w:type="pct"/>
            <w:vMerge/>
            <w:tcBorders>
              <w:top w:val="single" w:sz="8" w:space="0" w:color="auto"/>
              <w:left w:val="single" w:sz="8" w:space="0" w:color="auto"/>
              <w:bottom w:val="single" w:sz="8" w:space="0" w:color="000000"/>
              <w:right w:val="single" w:sz="8" w:space="0" w:color="auto"/>
            </w:tcBorders>
            <w:vAlign w:val="center"/>
            <w:hideMark/>
          </w:tcPr>
          <w:p w14:paraId="325D4C3C"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c>
          <w:tcPr>
            <w:tcW w:w="492" w:type="pct"/>
            <w:vMerge/>
            <w:tcBorders>
              <w:top w:val="single" w:sz="8" w:space="0" w:color="auto"/>
              <w:left w:val="single" w:sz="8" w:space="0" w:color="auto"/>
              <w:bottom w:val="single" w:sz="8" w:space="0" w:color="000000"/>
              <w:right w:val="single" w:sz="8" w:space="0" w:color="auto"/>
            </w:tcBorders>
            <w:vAlign w:val="center"/>
            <w:hideMark/>
          </w:tcPr>
          <w:p w14:paraId="40426F11" w14:textId="77777777" w:rsidR="004C518F" w:rsidRPr="001D0C10" w:rsidRDefault="004C518F" w:rsidP="004C518F">
            <w:pPr>
              <w:spacing w:after="0" w:line="240" w:lineRule="auto"/>
              <w:rPr>
                <w:rFonts w:ascii="Book Antiqua" w:eastAsia="Times New Roman" w:hAnsi="Book Antiqua" w:cs="Calibri"/>
                <w:b/>
                <w:bCs/>
                <w:color w:val="FFFFFF"/>
                <w:sz w:val="18"/>
                <w:szCs w:val="18"/>
                <w:lang w:eastAsia="es-CR"/>
              </w:rPr>
            </w:pPr>
          </w:p>
        </w:tc>
      </w:tr>
      <w:tr w:rsidR="004C518F" w:rsidRPr="00B833E5" w14:paraId="596C7756" w14:textId="77777777" w:rsidTr="001D0C10">
        <w:trPr>
          <w:trHeight w:val="610"/>
        </w:trPr>
        <w:tc>
          <w:tcPr>
            <w:tcW w:w="543" w:type="pct"/>
            <w:vMerge w:val="restart"/>
            <w:tcBorders>
              <w:top w:val="nil"/>
              <w:left w:val="single" w:sz="8" w:space="0" w:color="auto"/>
              <w:bottom w:val="single" w:sz="8" w:space="0" w:color="000000"/>
              <w:right w:val="single" w:sz="8" w:space="0" w:color="auto"/>
            </w:tcBorders>
            <w:shd w:val="clear" w:color="auto" w:fill="auto"/>
            <w:vAlign w:val="center"/>
            <w:hideMark/>
          </w:tcPr>
          <w:p w14:paraId="08367387" w14:textId="77777777" w:rsidR="004C518F" w:rsidRPr="001D0C10" w:rsidRDefault="004C518F" w:rsidP="004C518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Trabajo y Familia Hatillo, San Sebastián y Alajuelita</w:t>
            </w:r>
          </w:p>
        </w:tc>
        <w:tc>
          <w:tcPr>
            <w:tcW w:w="446" w:type="pct"/>
            <w:tcBorders>
              <w:top w:val="nil"/>
              <w:left w:val="nil"/>
              <w:bottom w:val="single" w:sz="8" w:space="0" w:color="auto"/>
              <w:right w:val="single" w:sz="8" w:space="0" w:color="auto"/>
            </w:tcBorders>
            <w:shd w:val="clear" w:color="auto" w:fill="auto"/>
            <w:vAlign w:val="center"/>
            <w:hideMark/>
          </w:tcPr>
          <w:p w14:paraId="2BFAB96B" w14:textId="77777777" w:rsidR="004C518F" w:rsidRPr="001D0C10" w:rsidRDefault="004C518F" w:rsidP="004C518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Laboral</w:t>
            </w:r>
          </w:p>
        </w:tc>
        <w:tc>
          <w:tcPr>
            <w:tcW w:w="337" w:type="pct"/>
            <w:tcBorders>
              <w:top w:val="nil"/>
              <w:left w:val="nil"/>
              <w:bottom w:val="single" w:sz="8" w:space="0" w:color="auto"/>
              <w:right w:val="single" w:sz="8" w:space="0" w:color="auto"/>
            </w:tcBorders>
            <w:shd w:val="clear" w:color="auto" w:fill="auto"/>
            <w:vAlign w:val="center"/>
            <w:hideMark/>
          </w:tcPr>
          <w:p w14:paraId="4CA7FA43"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418"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6338C59D"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72" w:type="pct"/>
            <w:tcBorders>
              <w:top w:val="nil"/>
              <w:left w:val="nil"/>
              <w:bottom w:val="single" w:sz="8" w:space="0" w:color="auto"/>
              <w:right w:val="single" w:sz="8" w:space="0" w:color="auto"/>
            </w:tcBorders>
            <w:shd w:val="clear" w:color="auto" w:fill="auto"/>
            <w:noWrap/>
            <w:vAlign w:val="center"/>
            <w:hideMark/>
          </w:tcPr>
          <w:p w14:paraId="1401F9BF"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c>
          <w:tcPr>
            <w:tcW w:w="498" w:type="pct"/>
            <w:tcBorders>
              <w:top w:val="nil"/>
              <w:left w:val="nil"/>
              <w:bottom w:val="single" w:sz="8" w:space="0" w:color="auto"/>
              <w:right w:val="single" w:sz="8" w:space="0" w:color="auto"/>
            </w:tcBorders>
            <w:shd w:val="clear" w:color="auto" w:fill="auto"/>
            <w:noWrap/>
            <w:vAlign w:val="center"/>
            <w:hideMark/>
          </w:tcPr>
          <w:p w14:paraId="2AD6C278"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646" w:type="pct"/>
            <w:tcBorders>
              <w:top w:val="nil"/>
              <w:left w:val="nil"/>
              <w:bottom w:val="single" w:sz="8" w:space="0" w:color="auto"/>
              <w:right w:val="single" w:sz="8" w:space="0" w:color="auto"/>
            </w:tcBorders>
            <w:shd w:val="clear" w:color="auto" w:fill="auto"/>
            <w:noWrap/>
            <w:vAlign w:val="center"/>
            <w:hideMark/>
          </w:tcPr>
          <w:p w14:paraId="0BEF4446"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w:t>
            </w:r>
          </w:p>
        </w:tc>
        <w:tc>
          <w:tcPr>
            <w:tcW w:w="549" w:type="pct"/>
            <w:tcBorders>
              <w:top w:val="nil"/>
              <w:left w:val="nil"/>
              <w:bottom w:val="single" w:sz="8" w:space="0" w:color="auto"/>
              <w:right w:val="single" w:sz="8" w:space="0" w:color="auto"/>
            </w:tcBorders>
            <w:shd w:val="clear" w:color="auto" w:fill="auto"/>
            <w:noWrap/>
            <w:vAlign w:val="center"/>
            <w:hideMark/>
          </w:tcPr>
          <w:p w14:paraId="751ADA43"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98" w:type="pct"/>
            <w:tcBorders>
              <w:top w:val="nil"/>
              <w:left w:val="nil"/>
              <w:bottom w:val="single" w:sz="8" w:space="0" w:color="auto"/>
              <w:right w:val="single" w:sz="8" w:space="0" w:color="auto"/>
            </w:tcBorders>
            <w:shd w:val="clear" w:color="auto" w:fill="auto"/>
            <w:noWrap/>
            <w:vAlign w:val="center"/>
            <w:hideMark/>
          </w:tcPr>
          <w:p w14:paraId="22343C52"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w:t>
            </w:r>
          </w:p>
        </w:tc>
        <w:tc>
          <w:tcPr>
            <w:tcW w:w="492" w:type="pct"/>
            <w:tcBorders>
              <w:top w:val="nil"/>
              <w:left w:val="nil"/>
              <w:bottom w:val="single" w:sz="8" w:space="0" w:color="auto"/>
              <w:right w:val="single" w:sz="8" w:space="0" w:color="auto"/>
            </w:tcBorders>
            <w:shd w:val="clear" w:color="auto" w:fill="auto"/>
            <w:vAlign w:val="center"/>
            <w:hideMark/>
          </w:tcPr>
          <w:p w14:paraId="48FAD28E"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w:t>
            </w:r>
          </w:p>
        </w:tc>
      </w:tr>
      <w:tr w:rsidR="004C518F" w:rsidRPr="00B833E5" w14:paraId="023B119A" w14:textId="77777777" w:rsidTr="004C518F">
        <w:trPr>
          <w:trHeight w:val="300"/>
        </w:trPr>
        <w:tc>
          <w:tcPr>
            <w:tcW w:w="543" w:type="pct"/>
            <w:vMerge/>
            <w:tcBorders>
              <w:top w:val="nil"/>
              <w:left w:val="single" w:sz="8" w:space="0" w:color="auto"/>
              <w:bottom w:val="single" w:sz="8" w:space="0" w:color="000000"/>
              <w:right w:val="single" w:sz="8" w:space="0" w:color="auto"/>
            </w:tcBorders>
            <w:vAlign w:val="center"/>
            <w:hideMark/>
          </w:tcPr>
          <w:p w14:paraId="312B11B5" w14:textId="77777777" w:rsidR="004C518F" w:rsidRPr="001D0C10" w:rsidRDefault="004C518F" w:rsidP="004C518F">
            <w:pPr>
              <w:spacing w:after="0" w:line="240" w:lineRule="auto"/>
              <w:rPr>
                <w:rFonts w:ascii="Book Antiqua" w:eastAsia="Times New Roman" w:hAnsi="Book Antiqua" w:cs="Calibri"/>
                <w:b/>
                <w:bCs/>
                <w:color w:val="000000"/>
                <w:sz w:val="18"/>
                <w:szCs w:val="18"/>
                <w:lang w:eastAsia="es-CR"/>
              </w:rPr>
            </w:pPr>
          </w:p>
        </w:tc>
        <w:tc>
          <w:tcPr>
            <w:tcW w:w="446" w:type="pct"/>
            <w:tcBorders>
              <w:top w:val="nil"/>
              <w:left w:val="nil"/>
              <w:bottom w:val="single" w:sz="8" w:space="0" w:color="auto"/>
              <w:right w:val="single" w:sz="8" w:space="0" w:color="auto"/>
            </w:tcBorders>
            <w:shd w:val="clear" w:color="auto" w:fill="auto"/>
            <w:vAlign w:val="center"/>
            <w:hideMark/>
          </w:tcPr>
          <w:p w14:paraId="5C532312" w14:textId="77777777" w:rsidR="004C518F" w:rsidRPr="001D0C10" w:rsidRDefault="004C518F" w:rsidP="004C518F">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37" w:type="pct"/>
            <w:tcBorders>
              <w:top w:val="nil"/>
              <w:left w:val="nil"/>
              <w:bottom w:val="single" w:sz="8" w:space="0" w:color="auto"/>
              <w:right w:val="single" w:sz="8" w:space="0" w:color="auto"/>
            </w:tcBorders>
            <w:shd w:val="clear" w:color="auto" w:fill="auto"/>
            <w:vAlign w:val="center"/>
            <w:hideMark/>
          </w:tcPr>
          <w:p w14:paraId="7C754CF7"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418" w:type="pct"/>
            <w:vMerge/>
            <w:tcBorders>
              <w:top w:val="nil"/>
              <w:left w:val="single" w:sz="8" w:space="0" w:color="auto"/>
              <w:bottom w:val="single" w:sz="8" w:space="0" w:color="000000"/>
              <w:right w:val="single" w:sz="8" w:space="0" w:color="auto"/>
            </w:tcBorders>
            <w:vAlign w:val="center"/>
            <w:hideMark/>
          </w:tcPr>
          <w:p w14:paraId="3B16A15B" w14:textId="77777777" w:rsidR="004C518F" w:rsidRPr="001D0C10" w:rsidRDefault="004C518F" w:rsidP="004C518F">
            <w:pPr>
              <w:spacing w:after="0" w:line="240" w:lineRule="auto"/>
              <w:rPr>
                <w:rFonts w:ascii="Book Antiqua" w:eastAsia="Times New Roman" w:hAnsi="Book Antiqua" w:cs="Calibri"/>
                <w:color w:val="000000"/>
                <w:sz w:val="18"/>
                <w:szCs w:val="18"/>
                <w:lang w:eastAsia="es-CR"/>
              </w:rPr>
            </w:pPr>
          </w:p>
        </w:tc>
        <w:tc>
          <w:tcPr>
            <w:tcW w:w="572" w:type="pct"/>
            <w:tcBorders>
              <w:top w:val="nil"/>
              <w:left w:val="nil"/>
              <w:bottom w:val="single" w:sz="8" w:space="0" w:color="auto"/>
              <w:right w:val="single" w:sz="8" w:space="0" w:color="auto"/>
            </w:tcBorders>
            <w:shd w:val="clear" w:color="auto" w:fill="auto"/>
            <w:noWrap/>
            <w:vAlign w:val="center"/>
            <w:hideMark/>
          </w:tcPr>
          <w:p w14:paraId="6E390330"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c>
          <w:tcPr>
            <w:tcW w:w="498" w:type="pct"/>
            <w:tcBorders>
              <w:top w:val="nil"/>
              <w:left w:val="nil"/>
              <w:bottom w:val="single" w:sz="8" w:space="0" w:color="auto"/>
              <w:right w:val="single" w:sz="8" w:space="0" w:color="auto"/>
            </w:tcBorders>
            <w:shd w:val="clear" w:color="auto" w:fill="auto"/>
            <w:noWrap/>
            <w:vAlign w:val="center"/>
            <w:hideMark/>
          </w:tcPr>
          <w:p w14:paraId="1C3C2E31"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w:t>
            </w:r>
          </w:p>
        </w:tc>
        <w:tc>
          <w:tcPr>
            <w:tcW w:w="646" w:type="pct"/>
            <w:tcBorders>
              <w:top w:val="nil"/>
              <w:left w:val="nil"/>
              <w:bottom w:val="single" w:sz="8" w:space="0" w:color="auto"/>
              <w:right w:val="single" w:sz="8" w:space="0" w:color="auto"/>
            </w:tcBorders>
            <w:shd w:val="clear" w:color="auto" w:fill="auto"/>
            <w:noWrap/>
            <w:vAlign w:val="center"/>
            <w:hideMark/>
          </w:tcPr>
          <w:p w14:paraId="4BC4DB0D"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69</w:t>
            </w:r>
          </w:p>
        </w:tc>
        <w:tc>
          <w:tcPr>
            <w:tcW w:w="549" w:type="pct"/>
            <w:tcBorders>
              <w:top w:val="nil"/>
              <w:left w:val="nil"/>
              <w:bottom w:val="single" w:sz="8" w:space="0" w:color="auto"/>
              <w:right w:val="single" w:sz="8" w:space="0" w:color="auto"/>
            </w:tcBorders>
            <w:shd w:val="clear" w:color="auto" w:fill="auto"/>
            <w:noWrap/>
            <w:vAlign w:val="center"/>
            <w:hideMark/>
          </w:tcPr>
          <w:p w14:paraId="5A1465FA"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w:t>
            </w:r>
          </w:p>
        </w:tc>
        <w:tc>
          <w:tcPr>
            <w:tcW w:w="498" w:type="pct"/>
            <w:tcBorders>
              <w:top w:val="nil"/>
              <w:left w:val="nil"/>
              <w:bottom w:val="single" w:sz="8" w:space="0" w:color="auto"/>
              <w:right w:val="single" w:sz="8" w:space="0" w:color="auto"/>
            </w:tcBorders>
            <w:shd w:val="clear" w:color="auto" w:fill="auto"/>
            <w:noWrap/>
            <w:vAlign w:val="center"/>
            <w:hideMark/>
          </w:tcPr>
          <w:p w14:paraId="5B990302"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492" w:type="pct"/>
            <w:tcBorders>
              <w:top w:val="nil"/>
              <w:left w:val="nil"/>
              <w:bottom w:val="single" w:sz="8" w:space="0" w:color="auto"/>
              <w:right w:val="single" w:sz="8" w:space="0" w:color="auto"/>
            </w:tcBorders>
            <w:shd w:val="clear" w:color="auto" w:fill="auto"/>
            <w:vAlign w:val="center"/>
            <w:hideMark/>
          </w:tcPr>
          <w:p w14:paraId="18153FBE" w14:textId="77777777" w:rsidR="004C518F" w:rsidRPr="001D0C10" w:rsidRDefault="004C518F" w:rsidP="004C518F">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81%</w:t>
            </w:r>
          </w:p>
        </w:tc>
      </w:tr>
    </w:tbl>
    <w:p w14:paraId="341B887F" w14:textId="09E412EE" w:rsidR="004C518F" w:rsidRPr="004C518F" w:rsidRDefault="004C518F" w:rsidP="004C518F">
      <w:pPr>
        <w:spacing w:after="0" w:line="276" w:lineRule="auto"/>
        <w:jc w:val="both"/>
        <w:rPr>
          <w:rFonts w:ascii="Book Antiqua" w:eastAsia="Calibri" w:hAnsi="Book Antiqua" w:cs="Arial"/>
          <w:i/>
          <w:iCs/>
          <w:sz w:val="20"/>
          <w:szCs w:val="20"/>
        </w:rPr>
      </w:pPr>
      <w:r w:rsidRPr="004C518F">
        <w:rPr>
          <w:rFonts w:ascii="Book Antiqua" w:eastAsia="Calibri" w:hAnsi="Book Antiqua" w:cs="Arial"/>
          <w:i/>
          <w:iCs/>
          <w:sz w:val="20"/>
          <w:szCs w:val="20"/>
        </w:rPr>
        <w:t xml:space="preserve">Fuente: Modernización Institucional con base en datos de Cuadros Estadísticos del Subproceso de Estadística de la Dirección de Planificación. </w:t>
      </w:r>
    </w:p>
    <w:p w14:paraId="5FED1F55" w14:textId="1F5034C6" w:rsidR="00320EB1" w:rsidRPr="004C518F" w:rsidRDefault="004C518F" w:rsidP="004C518F">
      <w:pPr>
        <w:spacing w:after="0" w:line="276" w:lineRule="auto"/>
        <w:jc w:val="both"/>
        <w:rPr>
          <w:rFonts w:ascii="Book Antiqua" w:eastAsia="Calibri" w:hAnsi="Book Antiqua" w:cs="Arial"/>
          <w:i/>
          <w:iCs/>
          <w:sz w:val="20"/>
          <w:szCs w:val="20"/>
        </w:rPr>
      </w:pPr>
      <w:r w:rsidRPr="004C518F">
        <w:rPr>
          <w:rFonts w:ascii="Book Antiqua" w:eastAsia="Calibri" w:hAnsi="Book Antiqua" w:cs="Arial"/>
          <w:i/>
          <w:iCs/>
          <w:sz w:val="20"/>
          <w:szCs w:val="20"/>
        </w:rPr>
        <w:t>*La entrada y terminados para materia Familia incluye Principales, reentrados, Incidentes y Segunda Instancia.</w:t>
      </w:r>
    </w:p>
    <w:p w14:paraId="21A8AF7E" w14:textId="5F6143BF" w:rsidR="00D026F9" w:rsidRDefault="00D026F9" w:rsidP="00355630">
      <w:pPr>
        <w:spacing w:after="0" w:line="276" w:lineRule="auto"/>
        <w:jc w:val="both"/>
        <w:rPr>
          <w:rFonts w:ascii="Book Antiqua" w:eastAsia="Calibri" w:hAnsi="Book Antiqua" w:cs="Arial"/>
          <w:sz w:val="24"/>
          <w:szCs w:val="24"/>
        </w:rPr>
      </w:pPr>
    </w:p>
    <w:p w14:paraId="2B43E4EB" w14:textId="7BBCE3F3" w:rsidR="004C518F" w:rsidRPr="004C518F" w:rsidRDefault="004C518F" w:rsidP="004C518F">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t>La entrada promedio en estas oficinas en materia de Familia es de 7</w:t>
      </w:r>
      <w:r w:rsidR="00712505">
        <w:rPr>
          <w:rFonts w:ascii="Book Antiqua" w:eastAsia="Calibri" w:hAnsi="Book Antiqua" w:cs="Arial"/>
          <w:sz w:val="24"/>
          <w:szCs w:val="24"/>
        </w:rPr>
        <w:t>0</w:t>
      </w:r>
      <w:r w:rsidRPr="004C518F">
        <w:rPr>
          <w:rFonts w:ascii="Book Antiqua" w:eastAsia="Calibri" w:hAnsi="Book Antiqua" w:cs="Arial"/>
          <w:sz w:val="24"/>
          <w:szCs w:val="24"/>
        </w:rPr>
        <w:t xml:space="preserve"> casos por mes y la salida de </w:t>
      </w:r>
      <w:r w:rsidR="00712505">
        <w:rPr>
          <w:rFonts w:ascii="Book Antiqua" w:eastAsia="Calibri" w:hAnsi="Book Antiqua" w:cs="Arial"/>
          <w:sz w:val="24"/>
          <w:szCs w:val="24"/>
        </w:rPr>
        <w:t>54</w:t>
      </w:r>
      <w:r w:rsidRPr="004C518F">
        <w:rPr>
          <w:rFonts w:ascii="Book Antiqua" w:eastAsia="Calibri" w:hAnsi="Book Antiqua" w:cs="Arial"/>
          <w:sz w:val="24"/>
          <w:szCs w:val="24"/>
        </w:rPr>
        <w:t xml:space="preserve"> para un </w:t>
      </w:r>
      <w:r w:rsidR="00712505">
        <w:rPr>
          <w:rFonts w:ascii="Book Antiqua" w:eastAsia="Calibri" w:hAnsi="Book Antiqua" w:cs="Arial"/>
          <w:sz w:val="24"/>
          <w:szCs w:val="24"/>
        </w:rPr>
        <w:t>76</w:t>
      </w:r>
      <w:r w:rsidRPr="004C518F">
        <w:rPr>
          <w:rFonts w:ascii="Book Antiqua" w:eastAsia="Calibri" w:hAnsi="Book Antiqua" w:cs="Arial"/>
          <w:sz w:val="24"/>
          <w:szCs w:val="24"/>
        </w:rPr>
        <w:t>% de rendimiento. Por persona juzgadora ingresan en promedio por mes 37 asuntos. Encontrándose por debajo del promedio de entrada por plaza los Juzgados de Familia y Violencia de Nicoya (23 nuevos por mes por plaza)</w:t>
      </w:r>
      <w:r w:rsidR="007E70CD">
        <w:rPr>
          <w:rFonts w:ascii="Book Antiqua" w:eastAsia="Calibri" w:hAnsi="Book Antiqua" w:cs="Arial"/>
          <w:sz w:val="24"/>
          <w:szCs w:val="24"/>
        </w:rPr>
        <w:t xml:space="preserve"> y </w:t>
      </w:r>
      <w:r w:rsidRPr="004C518F">
        <w:rPr>
          <w:rFonts w:ascii="Book Antiqua" w:eastAsia="Calibri" w:hAnsi="Book Antiqua" w:cs="Arial"/>
          <w:sz w:val="24"/>
          <w:szCs w:val="24"/>
        </w:rPr>
        <w:t>Santa Cruz (2</w:t>
      </w:r>
      <w:r w:rsidR="00712505">
        <w:rPr>
          <w:rFonts w:ascii="Book Antiqua" w:eastAsia="Calibri" w:hAnsi="Book Antiqua" w:cs="Arial"/>
          <w:sz w:val="24"/>
          <w:szCs w:val="24"/>
        </w:rPr>
        <w:t>6</w:t>
      </w:r>
      <w:r w:rsidRPr="004C518F">
        <w:rPr>
          <w:rFonts w:ascii="Book Antiqua" w:eastAsia="Calibri" w:hAnsi="Book Antiqua" w:cs="Arial"/>
          <w:sz w:val="24"/>
          <w:szCs w:val="24"/>
        </w:rPr>
        <w:t xml:space="preserve">).   </w:t>
      </w:r>
    </w:p>
    <w:p w14:paraId="66B1D5EC" w14:textId="77777777" w:rsidR="004C518F" w:rsidRPr="004C518F" w:rsidRDefault="004C518F" w:rsidP="004C518F">
      <w:pPr>
        <w:spacing w:after="0" w:line="276" w:lineRule="auto"/>
        <w:jc w:val="both"/>
        <w:rPr>
          <w:rFonts w:ascii="Book Antiqua" w:eastAsia="Calibri" w:hAnsi="Book Antiqua" w:cs="Arial"/>
          <w:sz w:val="24"/>
          <w:szCs w:val="24"/>
        </w:rPr>
      </w:pPr>
    </w:p>
    <w:p w14:paraId="4F68B4AC" w14:textId="3FCB8E48" w:rsidR="004C518F" w:rsidRPr="004C518F" w:rsidRDefault="004C518F" w:rsidP="004C518F">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t>Y superando la entrada mensual definida de 7</w:t>
      </w:r>
      <w:r w:rsidR="00A87815">
        <w:rPr>
          <w:rFonts w:ascii="Book Antiqua" w:eastAsia="Calibri" w:hAnsi="Book Antiqua" w:cs="Arial"/>
          <w:sz w:val="24"/>
          <w:szCs w:val="24"/>
        </w:rPr>
        <w:t>6</w:t>
      </w:r>
      <w:r w:rsidRPr="004C518F">
        <w:rPr>
          <w:rFonts w:ascii="Book Antiqua" w:eastAsia="Calibri" w:hAnsi="Book Antiqua" w:cs="Arial"/>
          <w:sz w:val="24"/>
          <w:szCs w:val="24"/>
        </w:rPr>
        <w:t xml:space="preserve"> casos (3</w:t>
      </w:r>
      <w:r w:rsidR="00A87815">
        <w:rPr>
          <w:rFonts w:ascii="Book Antiqua" w:eastAsia="Calibri" w:hAnsi="Book Antiqua" w:cs="Arial"/>
          <w:sz w:val="24"/>
          <w:szCs w:val="24"/>
        </w:rPr>
        <w:t>8</w:t>
      </w:r>
      <w:r w:rsidRPr="004C518F">
        <w:rPr>
          <w:rFonts w:ascii="Book Antiqua" w:eastAsia="Calibri" w:hAnsi="Book Antiqua" w:cs="Arial"/>
          <w:sz w:val="24"/>
          <w:szCs w:val="24"/>
        </w:rPr>
        <w:t xml:space="preserve"> para una persona dedicada el 50% de su tiempo a atender familia), se ubican los despachos del </w:t>
      </w:r>
      <w:r w:rsidR="00A87815">
        <w:rPr>
          <w:rFonts w:ascii="Book Antiqua" w:eastAsia="Calibri" w:hAnsi="Book Antiqua" w:cs="Arial"/>
          <w:sz w:val="24"/>
          <w:szCs w:val="24"/>
        </w:rPr>
        <w:t xml:space="preserve">Primer Circuito Judicial de Guanacaste </w:t>
      </w:r>
      <w:r w:rsidRPr="004C518F">
        <w:rPr>
          <w:rFonts w:ascii="Book Antiqua" w:eastAsia="Calibri" w:hAnsi="Book Antiqua" w:cs="Arial"/>
          <w:sz w:val="24"/>
          <w:szCs w:val="24"/>
        </w:rPr>
        <w:t>(</w:t>
      </w:r>
      <w:r w:rsidR="00A87815">
        <w:rPr>
          <w:rFonts w:ascii="Book Antiqua" w:eastAsia="Calibri" w:hAnsi="Book Antiqua" w:cs="Arial"/>
          <w:sz w:val="24"/>
          <w:szCs w:val="24"/>
        </w:rPr>
        <w:t>45</w:t>
      </w:r>
      <w:r w:rsidRPr="004C518F">
        <w:rPr>
          <w:rFonts w:ascii="Book Antiqua" w:eastAsia="Calibri" w:hAnsi="Book Antiqua" w:cs="Arial"/>
          <w:sz w:val="24"/>
          <w:szCs w:val="24"/>
        </w:rPr>
        <w:t xml:space="preserve"> nuevos por mes por plaza), Tercer Circuito Judicial de Alajuela-San Ramón (45) y Grecia (52). </w:t>
      </w:r>
    </w:p>
    <w:p w14:paraId="7EE80093" w14:textId="77777777" w:rsidR="004C518F" w:rsidRPr="004C518F" w:rsidRDefault="004C518F" w:rsidP="004C518F">
      <w:pPr>
        <w:spacing w:after="0" w:line="276" w:lineRule="auto"/>
        <w:jc w:val="both"/>
        <w:rPr>
          <w:rFonts w:ascii="Book Antiqua" w:eastAsia="Calibri" w:hAnsi="Book Antiqua" w:cs="Arial"/>
          <w:sz w:val="24"/>
          <w:szCs w:val="24"/>
        </w:rPr>
      </w:pPr>
    </w:p>
    <w:p w14:paraId="256AFC4B" w14:textId="29B7322A" w:rsidR="004C518F" w:rsidRPr="004C518F" w:rsidRDefault="004C518F" w:rsidP="004C518F">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lastRenderedPageBreak/>
        <w:t>Sin embargo, la diferencia no justifica la asignación de una plaza de persona juzgadora adicional.  La entrada eventualmente disminuiría a partir de la desjudicialización de algunos procesos con la entrada en vigencia de la Ley 9747 a partir del 1 de octubre 2022</w:t>
      </w:r>
      <w:r w:rsidR="00DC70A2">
        <w:rPr>
          <w:rFonts w:ascii="Book Antiqua" w:eastAsia="Calibri" w:hAnsi="Book Antiqua" w:cs="Arial"/>
          <w:sz w:val="24"/>
          <w:szCs w:val="24"/>
        </w:rPr>
        <w:t xml:space="preserve">, </w:t>
      </w:r>
      <w:r w:rsidRPr="004C518F">
        <w:rPr>
          <w:rFonts w:ascii="Book Antiqua" w:eastAsia="Calibri" w:hAnsi="Book Antiqua" w:cs="Arial"/>
          <w:sz w:val="24"/>
          <w:szCs w:val="24"/>
        </w:rPr>
        <w:t xml:space="preserve">ver estimación en el siguiente cuadro.  </w:t>
      </w:r>
    </w:p>
    <w:p w14:paraId="3170E176" w14:textId="528634FF" w:rsidR="00D026F9" w:rsidRDefault="00D026F9" w:rsidP="00355630">
      <w:pPr>
        <w:spacing w:after="0" w:line="276" w:lineRule="auto"/>
        <w:jc w:val="both"/>
        <w:rPr>
          <w:rFonts w:ascii="Book Antiqua" w:eastAsia="Calibri" w:hAnsi="Book Antiqua" w:cs="Arial"/>
          <w:sz w:val="24"/>
          <w:szCs w:val="24"/>
        </w:rPr>
      </w:pPr>
    </w:p>
    <w:p w14:paraId="76B490F1" w14:textId="77777777" w:rsidR="00565659" w:rsidRDefault="004C518F" w:rsidP="00355630">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t>La entrada promedio en estas oficinas en materia de Violencia Doméstica es de 9</w:t>
      </w:r>
      <w:r w:rsidR="00026705">
        <w:rPr>
          <w:rFonts w:ascii="Book Antiqua" w:eastAsia="Calibri" w:hAnsi="Book Antiqua" w:cs="Arial"/>
          <w:sz w:val="24"/>
          <w:szCs w:val="24"/>
        </w:rPr>
        <w:t>2</w:t>
      </w:r>
      <w:r w:rsidRPr="004C518F">
        <w:rPr>
          <w:rFonts w:ascii="Book Antiqua" w:eastAsia="Calibri" w:hAnsi="Book Antiqua" w:cs="Arial"/>
          <w:sz w:val="24"/>
          <w:szCs w:val="24"/>
        </w:rPr>
        <w:t xml:space="preserve"> casos por mes y la salida de 9</w:t>
      </w:r>
      <w:r w:rsidR="00026705">
        <w:rPr>
          <w:rFonts w:ascii="Book Antiqua" w:eastAsia="Calibri" w:hAnsi="Book Antiqua" w:cs="Arial"/>
          <w:sz w:val="24"/>
          <w:szCs w:val="24"/>
        </w:rPr>
        <w:t>2</w:t>
      </w:r>
      <w:r w:rsidRPr="004C518F">
        <w:rPr>
          <w:rFonts w:ascii="Book Antiqua" w:eastAsia="Calibri" w:hAnsi="Book Antiqua" w:cs="Arial"/>
          <w:sz w:val="24"/>
          <w:szCs w:val="24"/>
        </w:rPr>
        <w:t xml:space="preserve">, lo que representa un </w:t>
      </w:r>
      <w:r w:rsidR="00026705">
        <w:rPr>
          <w:rFonts w:ascii="Book Antiqua" w:eastAsia="Calibri" w:hAnsi="Book Antiqua" w:cs="Arial"/>
          <w:sz w:val="24"/>
          <w:szCs w:val="24"/>
        </w:rPr>
        <w:t>99</w:t>
      </w:r>
      <w:r w:rsidRPr="004C518F">
        <w:rPr>
          <w:rFonts w:ascii="Book Antiqua" w:eastAsia="Calibri" w:hAnsi="Book Antiqua" w:cs="Arial"/>
          <w:sz w:val="24"/>
          <w:szCs w:val="24"/>
        </w:rPr>
        <w:t xml:space="preserve">% de rendimiento general. </w:t>
      </w:r>
    </w:p>
    <w:p w14:paraId="35C0D52D" w14:textId="77777777" w:rsidR="00565659" w:rsidRDefault="00565659" w:rsidP="00355630">
      <w:pPr>
        <w:spacing w:after="0" w:line="276" w:lineRule="auto"/>
        <w:jc w:val="both"/>
        <w:rPr>
          <w:rFonts w:ascii="Book Antiqua" w:eastAsia="Calibri" w:hAnsi="Book Antiqua" w:cs="Arial"/>
          <w:sz w:val="24"/>
          <w:szCs w:val="24"/>
        </w:rPr>
      </w:pPr>
    </w:p>
    <w:p w14:paraId="01ABFF45" w14:textId="08295C26" w:rsidR="00D026F9" w:rsidRDefault="004C518F" w:rsidP="00355630">
      <w:pPr>
        <w:spacing w:after="0" w:line="276" w:lineRule="auto"/>
        <w:jc w:val="both"/>
        <w:rPr>
          <w:rFonts w:ascii="Book Antiqua" w:eastAsia="Calibri" w:hAnsi="Book Antiqua" w:cs="Arial"/>
          <w:sz w:val="24"/>
          <w:szCs w:val="24"/>
        </w:rPr>
      </w:pPr>
      <w:r w:rsidRPr="004C518F">
        <w:rPr>
          <w:rFonts w:ascii="Book Antiqua" w:eastAsia="Calibri" w:hAnsi="Book Antiqua" w:cs="Arial"/>
          <w:sz w:val="24"/>
          <w:szCs w:val="24"/>
        </w:rPr>
        <w:t xml:space="preserve">Por persona juzgadora ingresan en promedio </w:t>
      </w:r>
      <w:r w:rsidR="00026705">
        <w:rPr>
          <w:rFonts w:ascii="Book Antiqua" w:eastAsia="Calibri" w:hAnsi="Book Antiqua" w:cs="Arial"/>
          <w:sz w:val="24"/>
          <w:szCs w:val="24"/>
        </w:rPr>
        <w:t>49</w:t>
      </w:r>
      <w:r w:rsidRPr="004C518F">
        <w:rPr>
          <w:rFonts w:ascii="Book Antiqua" w:eastAsia="Calibri" w:hAnsi="Book Antiqua" w:cs="Arial"/>
          <w:sz w:val="24"/>
          <w:szCs w:val="24"/>
        </w:rPr>
        <w:t xml:space="preserve"> casos nuevos por mes. El caso más significativo es Santa Cruz que reporta una entrada de 6</w:t>
      </w:r>
      <w:r w:rsidR="00026705">
        <w:rPr>
          <w:rFonts w:ascii="Book Antiqua" w:eastAsia="Calibri" w:hAnsi="Book Antiqua" w:cs="Arial"/>
          <w:sz w:val="24"/>
          <w:szCs w:val="24"/>
        </w:rPr>
        <w:t>7</w:t>
      </w:r>
      <w:r w:rsidRPr="004C518F">
        <w:rPr>
          <w:rFonts w:ascii="Book Antiqua" w:eastAsia="Calibri" w:hAnsi="Book Antiqua" w:cs="Arial"/>
          <w:sz w:val="24"/>
          <w:szCs w:val="24"/>
        </w:rPr>
        <w:t xml:space="preserve"> nuevos por plaza, aun así, reporta un rendimiento del 9</w:t>
      </w:r>
      <w:r w:rsidR="00026705">
        <w:rPr>
          <w:rFonts w:ascii="Book Antiqua" w:eastAsia="Calibri" w:hAnsi="Book Antiqua" w:cs="Arial"/>
          <w:sz w:val="24"/>
          <w:szCs w:val="24"/>
        </w:rPr>
        <w:t>8</w:t>
      </w:r>
      <w:r w:rsidRPr="004C518F">
        <w:rPr>
          <w:rFonts w:ascii="Book Antiqua" w:eastAsia="Calibri" w:hAnsi="Book Antiqua" w:cs="Arial"/>
          <w:sz w:val="24"/>
          <w:szCs w:val="24"/>
        </w:rPr>
        <w:t xml:space="preserve">% respecto a la relación entrada/salida.  </w:t>
      </w:r>
    </w:p>
    <w:p w14:paraId="69F722EB" w14:textId="4903862F" w:rsidR="00D026F9" w:rsidRDefault="00D026F9" w:rsidP="00355630">
      <w:pPr>
        <w:spacing w:after="0" w:line="276" w:lineRule="auto"/>
        <w:jc w:val="both"/>
        <w:rPr>
          <w:rFonts w:ascii="Book Antiqua" w:eastAsia="Calibri" w:hAnsi="Book Antiqua" w:cs="Arial"/>
          <w:sz w:val="24"/>
          <w:szCs w:val="24"/>
        </w:rPr>
      </w:pPr>
    </w:p>
    <w:p w14:paraId="2A3B78E2" w14:textId="5AFFE4CA" w:rsidR="00026705" w:rsidRPr="00026705" w:rsidRDefault="00026705" w:rsidP="0002670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26705">
        <w:rPr>
          <w:rFonts w:ascii="Book Antiqua" w:eastAsia="Calibri" w:hAnsi="Book Antiqua" w:cs="Arial"/>
          <w:b/>
          <w:bCs/>
          <w:color w:val="1F497D"/>
          <w:szCs w:val="24"/>
          <w:lang w:val="es-ES" w:eastAsia="es-ES"/>
        </w:rPr>
        <w:t xml:space="preserve">Cuadro </w:t>
      </w:r>
      <w:r w:rsidRPr="00026705">
        <w:rPr>
          <w:rFonts w:ascii="Book Antiqua" w:eastAsia="Calibri" w:hAnsi="Book Antiqua" w:cs="Arial"/>
          <w:b/>
          <w:bCs/>
          <w:color w:val="1F497D"/>
          <w:szCs w:val="24"/>
          <w:lang w:val="es-ES" w:eastAsia="es-ES"/>
        </w:rPr>
        <w:fldChar w:fldCharType="begin"/>
      </w:r>
      <w:r w:rsidRPr="00026705">
        <w:rPr>
          <w:rFonts w:ascii="Book Antiqua" w:eastAsia="Calibri" w:hAnsi="Book Antiqua" w:cs="Arial"/>
          <w:b/>
          <w:bCs/>
          <w:color w:val="1F497D"/>
          <w:szCs w:val="24"/>
          <w:lang w:val="es-ES" w:eastAsia="es-ES"/>
        </w:rPr>
        <w:instrText xml:space="preserve"> SEQ Cuadro \* ARABIC </w:instrText>
      </w:r>
      <w:r w:rsidRPr="0002670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45</w:t>
      </w:r>
      <w:r w:rsidRPr="00026705">
        <w:rPr>
          <w:rFonts w:ascii="Book Antiqua" w:eastAsia="Calibri" w:hAnsi="Book Antiqua" w:cs="Arial"/>
          <w:b/>
          <w:bCs/>
          <w:color w:val="1F497D"/>
          <w:szCs w:val="24"/>
          <w:lang w:val="es-ES" w:eastAsia="es-ES"/>
        </w:rPr>
        <w:fldChar w:fldCharType="end"/>
      </w:r>
      <w:r w:rsidRPr="00026705">
        <w:rPr>
          <w:rFonts w:ascii="Book Antiqua" w:eastAsia="Calibri" w:hAnsi="Book Antiqua" w:cs="Arial"/>
          <w:b/>
          <w:bCs/>
          <w:color w:val="1F497D"/>
          <w:szCs w:val="24"/>
          <w:lang w:val="es-ES" w:eastAsia="es-ES"/>
        </w:rPr>
        <w:t xml:space="preserve"> </w:t>
      </w:r>
    </w:p>
    <w:p w14:paraId="46993724" w14:textId="77777777" w:rsidR="00026705" w:rsidRPr="00026705" w:rsidRDefault="00026705" w:rsidP="0002670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26705">
        <w:rPr>
          <w:rFonts w:ascii="Book Antiqua" w:eastAsia="Calibri" w:hAnsi="Book Antiqua" w:cs="Arial"/>
          <w:b/>
          <w:bCs/>
          <w:color w:val="1F497D"/>
          <w:szCs w:val="24"/>
          <w:lang w:val="es-ES" w:eastAsia="es-ES"/>
        </w:rPr>
        <w:t xml:space="preserve">Carga de trabajo por persona juzgadora y por </w:t>
      </w:r>
    </w:p>
    <w:p w14:paraId="7EE52D07" w14:textId="1532315B" w:rsidR="00026705" w:rsidRPr="00026705" w:rsidRDefault="00026705" w:rsidP="0002670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26705">
        <w:rPr>
          <w:rFonts w:ascii="Book Antiqua" w:eastAsia="Calibri" w:hAnsi="Book Antiqua" w:cs="Arial"/>
          <w:b/>
          <w:bCs/>
          <w:color w:val="1F497D"/>
          <w:szCs w:val="24"/>
          <w:lang w:val="es-ES" w:eastAsia="es-ES"/>
        </w:rPr>
        <w:t>persona técnica judicial con la desjudicialización</w:t>
      </w:r>
      <w:r w:rsidR="004D6EE2">
        <w:rPr>
          <w:rFonts w:ascii="Book Antiqua" w:eastAsia="Calibri" w:hAnsi="Book Antiqua" w:cs="Arial"/>
          <w:b/>
          <w:bCs/>
          <w:color w:val="1F497D"/>
          <w:szCs w:val="24"/>
          <w:lang w:val="es-ES" w:eastAsia="es-ES"/>
        </w:rPr>
        <w:t>, 2021</w:t>
      </w:r>
    </w:p>
    <w:tbl>
      <w:tblPr>
        <w:tblW w:w="5133" w:type="pct"/>
        <w:tblCellMar>
          <w:left w:w="70" w:type="dxa"/>
          <w:right w:w="70" w:type="dxa"/>
        </w:tblCellMar>
        <w:tblLook w:val="04A0" w:firstRow="1" w:lastRow="0" w:firstColumn="1" w:lastColumn="0" w:noHBand="0" w:noVBand="1"/>
      </w:tblPr>
      <w:tblGrid>
        <w:gridCol w:w="1090"/>
        <w:gridCol w:w="1010"/>
        <w:gridCol w:w="1050"/>
        <w:gridCol w:w="1130"/>
        <w:gridCol w:w="1050"/>
        <w:gridCol w:w="1130"/>
        <w:gridCol w:w="961"/>
        <w:gridCol w:w="870"/>
        <w:gridCol w:w="860"/>
      </w:tblGrid>
      <w:tr w:rsidR="004D6EE2" w:rsidRPr="00B833E5" w14:paraId="0B795621" w14:textId="77777777" w:rsidTr="001D0C10">
        <w:trPr>
          <w:trHeight w:val="2040"/>
        </w:trPr>
        <w:tc>
          <w:tcPr>
            <w:tcW w:w="580"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73E23031"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bookmarkStart w:id="45" w:name="RANGE!B3"/>
            <w:bookmarkStart w:id="46" w:name="_Hlk66920561" w:colFirst="1" w:colLast="8"/>
            <w:r w:rsidRPr="001D0C10">
              <w:rPr>
                <w:rFonts w:ascii="Book Antiqua" w:eastAsia="Times New Roman" w:hAnsi="Book Antiqua" w:cs="Calibri"/>
                <w:b/>
                <w:bCs/>
                <w:color w:val="FFFFFF"/>
                <w:sz w:val="18"/>
                <w:szCs w:val="18"/>
                <w:lang w:eastAsia="es-CR"/>
              </w:rPr>
              <w:t>Despacho</w:t>
            </w:r>
            <w:bookmarkEnd w:id="45"/>
          </w:p>
        </w:tc>
        <w:tc>
          <w:tcPr>
            <w:tcW w:w="667" w:type="pct"/>
            <w:tcBorders>
              <w:top w:val="single" w:sz="8" w:space="0" w:color="auto"/>
              <w:left w:val="nil"/>
              <w:bottom w:val="single" w:sz="8" w:space="0" w:color="auto"/>
              <w:right w:val="single" w:sz="8" w:space="0" w:color="auto"/>
            </w:tcBorders>
            <w:shd w:val="clear" w:color="000000" w:fill="002060"/>
            <w:vAlign w:val="center"/>
            <w:hideMark/>
          </w:tcPr>
          <w:p w14:paraId="475FB4E5"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Materia</w:t>
            </w:r>
          </w:p>
        </w:tc>
        <w:tc>
          <w:tcPr>
            <w:tcW w:w="559" w:type="pct"/>
            <w:tcBorders>
              <w:top w:val="single" w:sz="8" w:space="0" w:color="auto"/>
              <w:left w:val="nil"/>
              <w:bottom w:val="single" w:sz="8" w:space="0" w:color="auto"/>
              <w:right w:val="single" w:sz="8" w:space="0" w:color="auto"/>
            </w:tcBorders>
            <w:shd w:val="clear" w:color="000000" w:fill="002060"/>
            <w:vAlign w:val="center"/>
            <w:hideMark/>
          </w:tcPr>
          <w:p w14:paraId="3DABA104"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totales anual estimados con desjudicia-lización</w:t>
            </w:r>
          </w:p>
        </w:tc>
        <w:tc>
          <w:tcPr>
            <w:tcW w:w="601" w:type="pct"/>
            <w:tcBorders>
              <w:top w:val="single" w:sz="8" w:space="0" w:color="auto"/>
              <w:left w:val="nil"/>
              <w:bottom w:val="single" w:sz="8" w:space="0" w:color="auto"/>
              <w:right w:val="single" w:sz="8" w:space="0" w:color="auto"/>
            </w:tcBorders>
            <w:shd w:val="clear" w:color="000000" w:fill="002060"/>
            <w:vAlign w:val="center"/>
            <w:hideMark/>
          </w:tcPr>
          <w:p w14:paraId="7C4CD889"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Terminados totales anual</w:t>
            </w:r>
          </w:p>
        </w:tc>
        <w:tc>
          <w:tcPr>
            <w:tcW w:w="559" w:type="pct"/>
            <w:tcBorders>
              <w:top w:val="single" w:sz="8" w:space="0" w:color="auto"/>
              <w:left w:val="nil"/>
              <w:bottom w:val="single" w:sz="8" w:space="0" w:color="auto"/>
              <w:right w:val="single" w:sz="8" w:space="0" w:color="auto"/>
            </w:tcBorders>
            <w:shd w:val="clear" w:color="000000" w:fill="002060"/>
            <w:vAlign w:val="center"/>
            <w:hideMark/>
          </w:tcPr>
          <w:p w14:paraId="2B1C07EA"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estimados con desjudicia-lización</w:t>
            </w:r>
          </w:p>
        </w:tc>
        <w:tc>
          <w:tcPr>
            <w:tcW w:w="601" w:type="pct"/>
            <w:tcBorders>
              <w:top w:val="single" w:sz="8" w:space="0" w:color="auto"/>
              <w:left w:val="nil"/>
              <w:bottom w:val="single" w:sz="8" w:space="0" w:color="auto"/>
              <w:right w:val="single" w:sz="8" w:space="0" w:color="auto"/>
            </w:tcBorders>
            <w:shd w:val="clear" w:color="000000" w:fill="002060"/>
            <w:vAlign w:val="center"/>
            <w:hideMark/>
          </w:tcPr>
          <w:p w14:paraId="6D68777E"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Terminados al mes</w:t>
            </w:r>
          </w:p>
        </w:tc>
        <w:tc>
          <w:tcPr>
            <w:tcW w:w="511" w:type="pct"/>
            <w:tcBorders>
              <w:top w:val="single" w:sz="8" w:space="0" w:color="auto"/>
              <w:left w:val="nil"/>
              <w:bottom w:val="single" w:sz="8" w:space="0" w:color="auto"/>
              <w:right w:val="single" w:sz="8" w:space="0" w:color="auto"/>
            </w:tcBorders>
            <w:shd w:val="clear" w:color="000000" w:fill="002060"/>
            <w:vAlign w:val="center"/>
            <w:hideMark/>
          </w:tcPr>
          <w:p w14:paraId="5BBD14A8"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juzgadora</w:t>
            </w:r>
          </w:p>
        </w:tc>
        <w:tc>
          <w:tcPr>
            <w:tcW w:w="463" w:type="pct"/>
            <w:tcBorders>
              <w:top w:val="single" w:sz="8" w:space="0" w:color="auto"/>
              <w:left w:val="nil"/>
              <w:bottom w:val="single" w:sz="8" w:space="0" w:color="auto"/>
              <w:right w:val="single" w:sz="8" w:space="0" w:color="auto"/>
            </w:tcBorders>
            <w:shd w:val="clear" w:color="000000" w:fill="002060"/>
            <w:vAlign w:val="center"/>
            <w:hideMark/>
          </w:tcPr>
          <w:p w14:paraId="7FCE62D8" w14:textId="3F37B412"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Entrados al mes por persona Tec. Jud. </w:t>
            </w:r>
            <w:r w:rsidR="00E85731" w:rsidRPr="00E85731">
              <w:rPr>
                <w:rFonts w:ascii="Book Antiqua" w:eastAsia="Times New Roman" w:hAnsi="Book Antiqua" w:cs="Calibri"/>
                <w:b/>
                <w:bCs/>
                <w:color w:val="FFFFFF"/>
                <w:sz w:val="18"/>
                <w:szCs w:val="18"/>
                <w:lang w:eastAsia="es-CR"/>
              </w:rPr>
              <w:t>T</w:t>
            </w:r>
            <w:r w:rsidRPr="001D0C10">
              <w:rPr>
                <w:rFonts w:ascii="Book Antiqua" w:eastAsia="Times New Roman" w:hAnsi="Book Antiqua" w:cs="Calibri"/>
                <w:b/>
                <w:bCs/>
                <w:color w:val="FFFFFF"/>
                <w:sz w:val="18"/>
                <w:szCs w:val="18"/>
                <w:lang w:eastAsia="es-CR"/>
              </w:rPr>
              <w:t>rámite</w:t>
            </w:r>
          </w:p>
        </w:tc>
        <w:tc>
          <w:tcPr>
            <w:tcW w:w="458" w:type="pct"/>
            <w:tcBorders>
              <w:top w:val="single" w:sz="8" w:space="0" w:color="auto"/>
              <w:left w:val="nil"/>
              <w:bottom w:val="single" w:sz="8" w:space="0" w:color="auto"/>
              <w:right w:val="single" w:sz="8" w:space="0" w:color="auto"/>
            </w:tcBorders>
            <w:shd w:val="clear" w:color="000000" w:fill="002060"/>
            <w:vAlign w:val="center"/>
            <w:hideMark/>
          </w:tcPr>
          <w:p w14:paraId="2BB2F54D" w14:textId="77777777" w:rsidR="004D6EE2" w:rsidRPr="001D0C10" w:rsidRDefault="004D6EE2" w:rsidP="004D6EE2">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Relación salida entre entrada</w:t>
            </w:r>
          </w:p>
        </w:tc>
      </w:tr>
      <w:tr w:rsidR="004D6EE2" w:rsidRPr="00B833E5" w14:paraId="544EFA72" w14:textId="77777777" w:rsidTr="001D0C10">
        <w:trPr>
          <w:trHeight w:val="765"/>
        </w:trPr>
        <w:tc>
          <w:tcPr>
            <w:tcW w:w="58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48E9EA95"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y Viol. Dom. I Circ. Jud. Guanacaste </w:t>
            </w:r>
          </w:p>
        </w:tc>
        <w:tc>
          <w:tcPr>
            <w:tcW w:w="667" w:type="pct"/>
            <w:tcBorders>
              <w:top w:val="nil"/>
              <w:left w:val="nil"/>
              <w:bottom w:val="single" w:sz="8" w:space="0" w:color="auto"/>
              <w:right w:val="single" w:sz="8" w:space="0" w:color="auto"/>
            </w:tcBorders>
            <w:shd w:val="clear" w:color="000000" w:fill="D9D9D9"/>
            <w:vAlign w:val="center"/>
            <w:hideMark/>
          </w:tcPr>
          <w:p w14:paraId="50D9319E"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000000" w:fill="D9D9D9"/>
            <w:noWrap/>
            <w:vAlign w:val="center"/>
            <w:hideMark/>
          </w:tcPr>
          <w:p w14:paraId="37514BEC"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1027</w:t>
            </w:r>
          </w:p>
        </w:tc>
        <w:tc>
          <w:tcPr>
            <w:tcW w:w="601" w:type="pct"/>
            <w:tcBorders>
              <w:top w:val="nil"/>
              <w:left w:val="nil"/>
              <w:bottom w:val="single" w:sz="8" w:space="0" w:color="auto"/>
              <w:right w:val="single" w:sz="8" w:space="0" w:color="auto"/>
            </w:tcBorders>
            <w:shd w:val="clear" w:color="000000" w:fill="D9D9D9"/>
            <w:noWrap/>
            <w:vAlign w:val="center"/>
            <w:hideMark/>
          </w:tcPr>
          <w:p w14:paraId="44DA683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721</w:t>
            </w:r>
          </w:p>
        </w:tc>
        <w:tc>
          <w:tcPr>
            <w:tcW w:w="559" w:type="pct"/>
            <w:tcBorders>
              <w:top w:val="nil"/>
              <w:left w:val="nil"/>
              <w:bottom w:val="single" w:sz="8" w:space="0" w:color="auto"/>
              <w:right w:val="single" w:sz="8" w:space="0" w:color="auto"/>
            </w:tcBorders>
            <w:shd w:val="clear" w:color="000000" w:fill="D9D9D9"/>
            <w:noWrap/>
            <w:vAlign w:val="center"/>
            <w:hideMark/>
          </w:tcPr>
          <w:p w14:paraId="09DBCFE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80</w:t>
            </w:r>
          </w:p>
        </w:tc>
        <w:tc>
          <w:tcPr>
            <w:tcW w:w="601" w:type="pct"/>
            <w:tcBorders>
              <w:top w:val="nil"/>
              <w:left w:val="nil"/>
              <w:bottom w:val="single" w:sz="8" w:space="0" w:color="auto"/>
              <w:right w:val="single" w:sz="8" w:space="0" w:color="auto"/>
            </w:tcBorders>
            <w:shd w:val="clear" w:color="000000" w:fill="D9D9D9"/>
            <w:noWrap/>
            <w:vAlign w:val="center"/>
            <w:hideMark/>
          </w:tcPr>
          <w:p w14:paraId="50C3C24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64</w:t>
            </w:r>
          </w:p>
        </w:tc>
        <w:tc>
          <w:tcPr>
            <w:tcW w:w="511" w:type="pct"/>
            <w:tcBorders>
              <w:top w:val="nil"/>
              <w:left w:val="nil"/>
              <w:bottom w:val="single" w:sz="8" w:space="0" w:color="auto"/>
              <w:right w:val="single" w:sz="8" w:space="0" w:color="auto"/>
            </w:tcBorders>
            <w:shd w:val="clear" w:color="000000" w:fill="D9D9D9"/>
            <w:noWrap/>
            <w:vAlign w:val="center"/>
            <w:hideMark/>
          </w:tcPr>
          <w:p w14:paraId="01013D8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40</w:t>
            </w:r>
          </w:p>
        </w:tc>
        <w:tc>
          <w:tcPr>
            <w:tcW w:w="463" w:type="pct"/>
            <w:tcBorders>
              <w:top w:val="nil"/>
              <w:left w:val="nil"/>
              <w:bottom w:val="single" w:sz="8" w:space="0" w:color="auto"/>
              <w:right w:val="single" w:sz="8" w:space="0" w:color="auto"/>
            </w:tcBorders>
            <w:shd w:val="clear" w:color="000000" w:fill="D9D9D9"/>
            <w:noWrap/>
            <w:vAlign w:val="center"/>
            <w:hideMark/>
          </w:tcPr>
          <w:p w14:paraId="27A2BADD"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20</w:t>
            </w:r>
          </w:p>
        </w:tc>
        <w:tc>
          <w:tcPr>
            <w:tcW w:w="458" w:type="pct"/>
            <w:tcBorders>
              <w:top w:val="nil"/>
              <w:left w:val="nil"/>
              <w:bottom w:val="single" w:sz="8" w:space="0" w:color="auto"/>
              <w:right w:val="single" w:sz="8" w:space="0" w:color="auto"/>
            </w:tcBorders>
            <w:shd w:val="clear" w:color="000000" w:fill="D9D9D9"/>
            <w:noWrap/>
            <w:vAlign w:val="center"/>
            <w:hideMark/>
          </w:tcPr>
          <w:p w14:paraId="28E7811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80%</w:t>
            </w:r>
          </w:p>
        </w:tc>
      </w:tr>
      <w:tr w:rsidR="004D6EE2" w:rsidRPr="00B833E5" w14:paraId="7546A648"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74EACF60"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000000" w:fill="D9D9D9"/>
            <w:vAlign w:val="center"/>
            <w:hideMark/>
          </w:tcPr>
          <w:p w14:paraId="6F2283DE"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000000" w:fill="D9D9D9"/>
            <w:noWrap/>
            <w:vAlign w:val="center"/>
            <w:hideMark/>
          </w:tcPr>
          <w:p w14:paraId="1A29CE5E"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1151</w:t>
            </w:r>
          </w:p>
        </w:tc>
        <w:tc>
          <w:tcPr>
            <w:tcW w:w="601" w:type="pct"/>
            <w:tcBorders>
              <w:top w:val="nil"/>
              <w:left w:val="nil"/>
              <w:bottom w:val="single" w:sz="8" w:space="0" w:color="auto"/>
              <w:right w:val="single" w:sz="8" w:space="0" w:color="auto"/>
            </w:tcBorders>
            <w:shd w:val="clear" w:color="000000" w:fill="D9D9D9"/>
            <w:noWrap/>
            <w:vAlign w:val="center"/>
            <w:hideMark/>
          </w:tcPr>
          <w:p w14:paraId="50DEA33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1134</w:t>
            </w:r>
          </w:p>
        </w:tc>
        <w:tc>
          <w:tcPr>
            <w:tcW w:w="559" w:type="pct"/>
            <w:tcBorders>
              <w:top w:val="nil"/>
              <w:left w:val="nil"/>
              <w:bottom w:val="single" w:sz="8" w:space="0" w:color="auto"/>
              <w:right w:val="single" w:sz="8" w:space="0" w:color="auto"/>
            </w:tcBorders>
            <w:shd w:val="clear" w:color="000000" w:fill="D9D9D9"/>
            <w:noWrap/>
            <w:vAlign w:val="center"/>
            <w:hideMark/>
          </w:tcPr>
          <w:p w14:paraId="0828889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102</w:t>
            </w:r>
          </w:p>
        </w:tc>
        <w:tc>
          <w:tcPr>
            <w:tcW w:w="601" w:type="pct"/>
            <w:tcBorders>
              <w:top w:val="nil"/>
              <w:left w:val="nil"/>
              <w:bottom w:val="single" w:sz="8" w:space="0" w:color="auto"/>
              <w:right w:val="single" w:sz="8" w:space="0" w:color="auto"/>
            </w:tcBorders>
            <w:shd w:val="clear" w:color="000000" w:fill="D9D9D9"/>
            <w:noWrap/>
            <w:vAlign w:val="center"/>
            <w:hideMark/>
          </w:tcPr>
          <w:p w14:paraId="160CDC4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101</w:t>
            </w:r>
          </w:p>
        </w:tc>
        <w:tc>
          <w:tcPr>
            <w:tcW w:w="511" w:type="pct"/>
            <w:tcBorders>
              <w:top w:val="nil"/>
              <w:left w:val="nil"/>
              <w:bottom w:val="single" w:sz="8" w:space="0" w:color="auto"/>
              <w:right w:val="single" w:sz="8" w:space="0" w:color="auto"/>
            </w:tcBorders>
            <w:shd w:val="clear" w:color="000000" w:fill="D9D9D9"/>
            <w:noWrap/>
            <w:vAlign w:val="center"/>
            <w:hideMark/>
          </w:tcPr>
          <w:p w14:paraId="066A6376"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51</w:t>
            </w:r>
          </w:p>
        </w:tc>
        <w:tc>
          <w:tcPr>
            <w:tcW w:w="463" w:type="pct"/>
            <w:tcBorders>
              <w:top w:val="nil"/>
              <w:left w:val="nil"/>
              <w:bottom w:val="single" w:sz="8" w:space="0" w:color="auto"/>
              <w:right w:val="single" w:sz="8" w:space="0" w:color="auto"/>
            </w:tcBorders>
            <w:shd w:val="clear" w:color="000000" w:fill="D9D9D9"/>
            <w:noWrap/>
            <w:vAlign w:val="center"/>
            <w:hideMark/>
          </w:tcPr>
          <w:p w14:paraId="3A76620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58" w:type="pct"/>
            <w:tcBorders>
              <w:top w:val="nil"/>
              <w:left w:val="nil"/>
              <w:bottom w:val="single" w:sz="8" w:space="0" w:color="auto"/>
              <w:right w:val="single" w:sz="8" w:space="0" w:color="auto"/>
            </w:tcBorders>
            <w:shd w:val="clear" w:color="000000" w:fill="D9D9D9"/>
            <w:noWrap/>
            <w:vAlign w:val="center"/>
            <w:hideMark/>
          </w:tcPr>
          <w:p w14:paraId="6A9BC7A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99%</w:t>
            </w:r>
          </w:p>
        </w:tc>
      </w:tr>
      <w:tr w:rsidR="004D6EE2" w:rsidRPr="00B833E5" w14:paraId="08FCAC72" w14:textId="77777777" w:rsidTr="001D0C10">
        <w:trPr>
          <w:trHeight w:val="785"/>
        </w:trPr>
        <w:tc>
          <w:tcPr>
            <w:tcW w:w="580" w:type="pct"/>
            <w:vMerge w:val="restart"/>
            <w:tcBorders>
              <w:top w:val="nil"/>
              <w:left w:val="single" w:sz="8" w:space="0" w:color="auto"/>
              <w:bottom w:val="single" w:sz="8" w:space="0" w:color="000000"/>
              <w:right w:val="single" w:sz="8" w:space="0" w:color="auto"/>
            </w:tcBorders>
            <w:shd w:val="clear" w:color="auto" w:fill="auto"/>
            <w:vAlign w:val="center"/>
            <w:hideMark/>
          </w:tcPr>
          <w:p w14:paraId="326611D7"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 Circ. Jud. Guanacaste (Nicoya)</w:t>
            </w:r>
          </w:p>
        </w:tc>
        <w:tc>
          <w:tcPr>
            <w:tcW w:w="667" w:type="pct"/>
            <w:tcBorders>
              <w:top w:val="nil"/>
              <w:left w:val="nil"/>
              <w:bottom w:val="single" w:sz="8" w:space="0" w:color="auto"/>
              <w:right w:val="single" w:sz="8" w:space="0" w:color="auto"/>
            </w:tcBorders>
            <w:shd w:val="clear" w:color="auto" w:fill="auto"/>
            <w:vAlign w:val="center"/>
            <w:hideMark/>
          </w:tcPr>
          <w:p w14:paraId="10C73E59"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auto" w:fill="auto"/>
            <w:noWrap/>
            <w:vAlign w:val="center"/>
            <w:hideMark/>
          </w:tcPr>
          <w:p w14:paraId="46AF9C9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713</w:t>
            </w:r>
          </w:p>
        </w:tc>
        <w:tc>
          <w:tcPr>
            <w:tcW w:w="601" w:type="pct"/>
            <w:tcBorders>
              <w:top w:val="nil"/>
              <w:left w:val="nil"/>
              <w:bottom w:val="single" w:sz="8" w:space="0" w:color="auto"/>
              <w:right w:val="single" w:sz="8" w:space="0" w:color="auto"/>
            </w:tcBorders>
            <w:shd w:val="clear" w:color="auto" w:fill="auto"/>
            <w:noWrap/>
            <w:vAlign w:val="center"/>
            <w:hideMark/>
          </w:tcPr>
          <w:p w14:paraId="5A1853C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452</w:t>
            </w:r>
          </w:p>
        </w:tc>
        <w:tc>
          <w:tcPr>
            <w:tcW w:w="559" w:type="pct"/>
            <w:tcBorders>
              <w:top w:val="nil"/>
              <w:left w:val="nil"/>
              <w:bottom w:val="single" w:sz="8" w:space="0" w:color="auto"/>
              <w:right w:val="single" w:sz="8" w:space="0" w:color="auto"/>
            </w:tcBorders>
            <w:shd w:val="clear" w:color="auto" w:fill="auto"/>
            <w:noWrap/>
            <w:vAlign w:val="center"/>
            <w:hideMark/>
          </w:tcPr>
          <w:p w14:paraId="725204B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55</w:t>
            </w:r>
          </w:p>
        </w:tc>
        <w:tc>
          <w:tcPr>
            <w:tcW w:w="601" w:type="pct"/>
            <w:tcBorders>
              <w:top w:val="nil"/>
              <w:left w:val="nil"/>
              <w:bottom w:val="single" w:sz="8" w:space="0" w:color="auto"/>
              <w:right w:val="single" w:sz="8" w:space="0" w:color="auto"/>
            </w:tcBorders>
            <w:shd w:val="clear" w:color="auto" w:fill="auto"/>
            <w:noWrap/>
            <w:vAlign w:val="center"/>
            <w:hideMark/>
          </w:tcPr>
          <w:p w14:paraId="4F8B555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40</w:t>
            </w:r>
          </w:p>
        </w:tc>
        <w:tc>
          <w:tcPr>
            <w:tcW w:w="511" w:type="pct"/>
            <w:tcBorders>
              <w:top w:val="nil"/>
              <w:left w:val="nil"/>
              <w:bottom w:val="single" w:sz="8" w:space="0" w:color="auto"/>
              <w:right w:val="single" w:sz="8" w:space="0" w:color="auto"/>
            </w:tcBorders>
            <w:shd w:val="clear" w:color="auto" w:fill="auto"/>
            <w:noWrap/>
            <w:vAlign w:val="center"/>
            <w:hideMark/>
          </w:tcPr>
          <w:p w14:paraId="2F54DBDE"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463" w:type="pct"/>
            <w:tcBorders>
              <w:top w:val="nil"/>
              <w:left w:val="nil"/>
              <w:bottom w:val="single" w:sz="8" w:space="0" w:color="auto"/>
              <w:right w:val="single" w:sz="8" w:space="0" w:color="auto"/>
            </w:tcBorders>
            <w:shd w:val="clear" w:color="auto" w:fill="auto"/>
            <w:noWrap/>
            <w:vAlign w:val="center"/>
            <w:hideMark/>
          </w:tcPr>
          <w:p w14:paraId="6583AC8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18</w:t>
            </w:r>
          </w:p>
        </w:tc>
        <w:tc>
          <w:tcPr>
            <w:tcW w:w="458" w:type="pct"/>
            <w:tcBorders>
              <w:top w:val="nil"/>
              <w:left w:val="nil"/>
              <w:bottom w:val="single" w:sz="8" w:space="0" w:color="auto"/>
              <w:right w:val="single" w:sz="8" w:space="0" w:color="auto"/>
            </w:tcBorders>
            <w:shd w:val="clear" w:color="auto" w:fill="auto"/>
            <w:noWrap/>
            <w:vAlign w:val="center"/>
            <w:hideMark/>
          </w:tcPr>
          <w:p w14:paraId="077E07C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w:t>
            </w:r>
          </w:p>
        </w:tc>
      </w:tr>
      <w:tr w:rsidR="004D6EE2" w:rsidRPr="00B833E5" w14:paraId="01BF9F6B"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60703467"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auto" w:fill="auto"/>
            <w:vAlign w:val="center"/>
            <w:hideMark/>
          </w:tcPr>
          <w:p w14:paraId="4B974CF4"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auto" w:fill="auto"/>
            <w:noWrap/>
            <w:vAlign w:val="center"/>
            <w:hideMark/>
          </w:tcPr>
          <w:p w14:paraId="066FF7F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1239</w:t>
            </w:r>
          </w:p>
        </w:tc>
        <w:tc>
          <w:tcPr>
            <w:tcW w:w="601" w:type="pct"/>
            <w:tcBorders>
              <w:top w:val="nil"/>
              <w:left w:val="nil"/>
              <w:bottom w:val="single" w:sz="8" w:space="0" w:color="auto"/>
              <w:right w:val="single" w:sz="8" w:space="0" w:color="auto"/>
            </w:tcBorders>
            <w:shd w:val="clear" w:color="auto" w:fill="auto"/>
            <w:noWrap/>
            <w:vAlign w:val="center"/>
            <w:hideMark/>
          </w:tcPr>
          <w:p w14:paraId="1087C77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1082</w:t>
            </w:r>
          </w:p>
        </w:tc>
        <w:tc>
          <w:tcPr>
            <w:tcW w:w="559" w:type="pct"/>
            <w:tcBorders>
              <w:top w:val="nil"/>
              <w:left w:val="nil"/>
              <w:bottom w:val="single" w:sz="8" w:space="0" w:color="auto"/>
              <w:right w:val="single" w:sz="8" w:space="0" w:color="auto"/>
            </w:tcBorders>
            <w:shd w:val="clear" w:color="auto" w:fill="auto"/>
            <w:noWrap/>
            <w:vAlign w:val="center"/>
            <w:hideMark/>
          </w:tcPr>
          <w:p w14:paraId="43FB33A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110</w:t>
            </w:r>
          </w:p>
        </w:tc>
        <w:tc>
          <w:tcPr>
            <w:tcW w:w="601" w:type="pct"/>
            <w:tcBorders>
              <w:top w:val="nil"/>
              <w:left w:val="nil"/>
              <w:bottom w:val="single" w:sz="8" w:space="0" w:color="auto"/>
              <w:right w:val="single" w:sz="8" w:space="0" w:color="auto"/>
            </w:tcBorders>
            <w:shd w:val="clear" w:color="auto" w:fill="auto"/>
            <w:noWrap/>
            <w:vAlign w:val="center"/>
            <w:hideMark/>
          </w:tcPr>
          <w:p w14:paraId="16F9ACA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96</w:t>
            </w:r>
          </w:p>
        </w:tc>
        <w:tc>
          <w:tcPr>
            <w:tcW w:w="511" w:type="pct"/>
            <w:tcBorders>
              <w:top w:val="nil"/>
              <w:left w:val="nil"/>
              <w:bottom w:val="single" w:sz="8" w:space="0" w:color="auto"/>
              <w:right w:val="single" w:sz="8" w:space="0" w:color="auto"/>
            </w:tcBorders>
            <w:shd w:val="clear" w:color="auto" w:fill="auto"/>
            <w:noWrap/>
            <w:vAlign w:val="center"/>
            <w:hideMark/>
          </w:tcPr>
          <w:p w14:paraId="0361E08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55</w:t>
            </w:r>
          </w:p>
        </w:tc>
        <w:tc>
          <w:tcPr>
            <w:tcW w:w="463" w:type="pct"/>
            <w:tcBorders>
              <w:top w:val="nil"/>
              <w:left w:val="nil"/>
              <w:bottom w:val="single" w:sz="8" w:space="0" w:color="auto"/>
              <w:right w:val="single" w:sz="8" w:space="0" w:color="auto"/>
            </w:tcBorders>
            <w:shd w:val="clear" w:color="auto" w:fill="auto"/>
            <w:noWrap/>
            <w:vAlign w:val="center"/>
            <w:hideMark/>
          </w:tcPr>
          <w:p w14:paraId="5CEF9506"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37</w:t>
            </w:r>
          </w:p>
        </w:tc>
        <w:tc>
          <w:tcPr>
            <w:tcW w:w="458" w:type="pct"/>
            <w:tcBorders>
              <w:top w:val="nil"/>
              <w:left w:val="nil"/>
              <w:bottom w:val="single" w:sz="8" w:space="0" w:color="auto"/>
              <w:right w:val="single" w:sz="8" w:space="0" w:color="auto"/>
            </w:tcBorders>
            <w:shd w:val="clear" w:color="auto" w:fill="auto"/>
            <w:noWrap/>
            <w:vAlign w:val="center"/>
            <w:hideMark/>
          </w:tcPr>
          <w:p w14:paraId="6E34FC4A"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w:t>
            </w:r>
          </w:p>
        </w:tc>
      </w:tr>
      <w:tr w:rsidR="004D6EE2" w:rsidRPr="00B833E5" w14:paraId="630CAEA4" w14:textId="77777777" w:rsidTr="001D0C10">
        <w:trPr>
          <w:trHeight w:val="650"/>
        </w:trPr>
        <w:tc>
          <w:tcPr>
            <w:tcW w:w="58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2F537B27"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II Circ. Jud. Zona Sur</w:t>
            </w:r>
          </w:p>
        </w:tc>
        <w:tc>
          <w:tcPr>
            <w:tcW w:w="667" w:type="pct"/>
            <w:tcBorders>
              <w:top w:val="nil"/>
              <w:left w:val="nil"/>
              <w:bottom w:val="single" w:sz="8" w:space="0" w:color="auto"/>
              <w:right w:val="single" w:sz="8" w:space="0" w:color="auto"/>
            </w:tcBorders>
            <w:shd w:val="clear" w:color="000000" w:fill="D9D9D9"/>
            <w:vAlign w:val="center"/>
            <w:hideMark/>
          </w:tcPr>
          <w:p w14:paraId="30A85240"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000000" w:fill="D9D9D9"/>
            <w:noWrap/>
            <w:vAlign w:val="center"/>
            <w:hideMark/>
          </w:tcPr>
          <w:p w14:paraId="44682BE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965</w:t>
            </w:r>
          </w:p>
        </w:tc>
        <w:tc>
          <w:tcPr>
            <w:tcW w:w="601" w:type="pct"/>
            <w:tcBorders>
              <w:top w:val="nil"/>
              <w:left w:val="nil"/>
              <w:bottom w:val="single" w:sz="8" w:space="0" w:color="auto"/>
              <w:right w:val="single" w:sz="8" w:space="0" w:color="auto"/>
            </w:tcBorders>
            <w:shd w:val="clear" w:color="000000" w:fill="D9D9D9"/>
            <w:noWrap/>
            <w:vAlign w:val="center"/>
            <w:hideMark/>
          </w:tcPr>
          <w:p w14:paraId="6B682D47"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771</w:t>
            </w:r>
          </w:p>
        </w:tc>
        <w:tc>
          <w:tcPr>
            <w:tcW w:w="559" w:type="pct"/>
            <w:tcBorders>
              <w:top w:val="nil"/>
              <w:left w:val="nil"/>
              <w:bottom w:val="single" w:sz="8" w:space="0" w:color="auto"/>
              <w:right w:val="single" w:sz="8" w:space="0" w:color="auto"/>
            </w:tcBorders>
            <w:shd w:val="clear" w:color="000000" w:fill="D9D9D9"/>
            <w:noWrap/>
            <w:vAlign w:val="center"/>
            <w:hideMark/>
          </w:tcPr>
          <w:p w14:paraId="169DF52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75</w:t>
            </w:r>
          </w:p>
        </w:tc>
        <w:tc>
          <w:tcPr>
            <w:tcW w:w="601" w:type="pct"/>
            <w:tcBorders>
              <w:top w:val="nil"/>
              <w:left w:val="nil"/>
              <w:bottom w:val="single" w:sz="8" w:space="0" w:color="auto"/>
              <w:right w:val="single" w:sz="8" w:space="0" w:color="auto"/>
            </w:tcBorders>
            <w:shd w:val="clear" w:color="000000" w:fill="D9D9D9"/>
            <w:noWrap/>
            <w:vAlign w:val="center"/>
            <w:hideMark/>
          </w:tcPr>
          <w:p w14:paraId="44D1C20A"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69</w:t>
            </w:r>
          </w:p>
        </w:tc>
        <w:tc>
          <w:tcPr>
            <w:tcW w:w="511" w:type="pct"/>
            <w:tcBorders>
              <w:top w:val="nil"/>
              <w:left w:val="nil"/>
              <w:bottom w:val="single" w:sz="8" w:space="0" w:color="auto"/>
              <w:right w:val="single" w:sz="8" w:space="0" w:color="auto"/>
            </w:tcBorders>
            <w:shd w:val="clear" w:color="000000" w:fill="D9D9D9"/>
            <w:noWrap/>
            <w:vAlign w:val="center"/>
            <w:hideMark/>
          </w:tcPr>
          <w:p w14:paraId="3E0DC55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38</w:t>
            </w:r>
          </w:p>
        </w:tc>
        <w:tc>
          <w:tcPr>
            <w:tcW w:w="463" w:type="pct"/>
            <w:tcBorders>
              <w:top w:val="nil"/>
              <w:left w:val="nil"/>
              <w:bottom w:val="single" w:sz="8" w:space="0" w:color="auto"/>
              <w:right w:val="single" w:sz="8" w:space="0" w:color="auto"/>
            </w:tcBorders>
            <w:shd w:val="clear" w:color="000000" w:fill="D9D9D9"/>
            <w:noWrap/>
            <w:vAlign w:val="center"/>
            <w:hideMark/>
          </w:tcPr>
          <w:p w14:paraId="3157531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w:t>
            </w:r>
          </w:p>
        </w:tc>
        <w:tc>
          <w:tcPr>
            <w:tcW w:w="458" w:type="pct"/>
            <w:tcBorders>
              <w:top w:val="nil"/>
              <w:left w:val="nil"/>
              <w:bottom w:val="single" w:sz="8" w:space="0" w:color="auto"/>
              <w:right w:val="single" w:sz="8" w:space="0" w:color="auto"/>
            </w:tcBorders>
            <w:shd w:val="clear" w:color="000000" w:fill="D9D9D9"/>
            <w:noWrap/>
            <w:vAlign w:val="center"/>
            <w:hideMark/>
          </w:tcPr>
          <w:p w14:paraId="7E1ABE8A"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91%</w:t>
            </w:r>
          </w:p>
        </w:tc>
      </w:tr>
      <w:tr w:rsidR="004D6EE2" w:rsidRPr="00B833E5" w14:paraId="382A0CDC"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7894A2D1"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000000" w:fill="D9D9D9"/>
            <w:vAlign w:val="center"/>
            <w:hideMark/>
          </w:tcPr>
          <w:p w14:paraId="79371293"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000000" w:fill="D9D9D9"/>
            <w:noWrap/>
            <w:vAlign w:val="center"/>
            <w:hideMark/>
          </w:tcPr>
          <w:p w14:paraId="50D08BE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855</w:t>
            </w:r>
          </w:p>
        </w:tc>
        <w:tc>
          <w:tcPr>
            <w:tcW w:w="601" w:type="pct"/>
            <w:tcBorders>
              <w:top w:val="nil"/>
              <w:left w:val="nil"/>
              <w:bottom w:val="single" w:sz="8" w:space="0" w:color="auto"/>
              <w:right w:val="single" w:sz="8" w:space="0" w:color="auto"/>
            </w:tcBorders>
            <w:shd w:val="clear" w:color="000000" w:fill="D9D9D9"/>
            <w:noWrap/>
            <w:vAlign w:val="center"/>
            <w:hideMark/>
          </w:tcPr>
          <w:p w14:paraId="6B9442E2"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790</w:t>
            </w:r>
          </w:p>
        </w:tc>
        <w:tc>
          <w:tcPr>
            <w:tcW w:w="559" w:type="pct"/>
            <w:tcBorders>
              <w:top w:val="nil"/>
              <w:left w:val="nil"/>
              <w:bottom w:val="single" w:sz="8" w:space="0" w:color="auto"/>
              <w:right w:val="single" w:sz="8" w:space="0" w:color="auto"/>
            </w:tcBorders>
            <w:shd w:val="clear" w:color="000000" w:fill="D9D9D9"/>
            <w:noWrap/>
            <w:vAlign w:val="center"/>
            <w:hideMark/>
          </w:tcPr>
          <w:p w14:paraId="31D6BEC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76</w:t>
            </w:r>
          </w:p>
        </w:tc>
        <w:tc>
          <w:tcPr>
            <w:tcW w:w="601" w:type="pct"/>
            <w:tcBorders>
              <w:top w:val="nil"/>
              <w:left w:val="nil"/>
              <w:bottom w:val="single" w:sz="8" w:space="0" w:color="auto"/>
              <w:right w:val="single" w:sz="8" w:space="0" w:color="auto"/>
            </w:tcBorders>
            <w:shd w:val="clear" w:color="000000" w:fill="D9D9D9"/>
            <w:noWrap/>
            <w:vAlign w:val="center"/>
            <w:hideMark/>
          </w:tcPr>
          <w:p w14:paraId="1660C64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70</w:t>
            </w:r>
          </w:p>
        </w:tc>
        <w:tc>
          <w:tcPr>
            <w:tcW w:w="511" w:type="pct"/>
            <w:tcBorders>
              <w:top w:val="nil"/>
              <w:left w:val="nil"/>
              <w:bottom w:val="single" w:sz="8" w:space="0" w:color="auto"/>
              <w:right w:val="single" w:sz="8" w:space="0" w:color="auto"/>
            </w:tcBorders>
            <w:shd w:val="clear" w:color="000000" w:fill="D9D9D9"/>
            <w:noWrap/>
            <w:vAlign w:val="center"/>
            <w:hideMark/>
          </w:tcPr>
          <w:p w14:paraId="19A2AB2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38</w:t>
            </w:r>
          </w:p>
        </w:tc>
        <w:tc>
          <w:tcPr>
            <w:tcW w:w="463" w:type="pct"/>
            <w:tcBorders>
              <w:top w:val="nil"/>
              <w:left w:val="nil"/>
              <w:bottom w:val="single" w:sz="8" w:space="0" w:color="auto"/>
              <w:right w:val="single" w:sz="8" w:space="0" w:color="auto"/>
            </w:tcBorders>
            <w:shd w:val="clear" w:color="000000" w:fill="D9D9D9"/>
            <w:noWrap/>
            <w:vAlign w:val="center"/>
            <w:hideMark/>
          </w:tcPr>
          <w:p w14:paraId="108C63C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w:t>
            </w:r>
          </w:p>
        </w:tc>
        <w:tc>
          <w:tcPr>
            <w:tcW w:w="458" w:type="pct"/>
            <w:tcBorders>
              <w:top w:val="nil"/>
              <w:left w:val="nil"/>
              <w:bottom w:val="single" w:sz="8" w:space="0" w:color="auto"/>
              <w:right w:val="single" w:sz="8" w:space="0" w:color="auto"/>
            </w:tcBorders>
            <w:shd w:val="clear" w:color="000000" w:fill="D9D9D9"/>
            <w:noWrap/>
            <w:vAlign w:val="center"/>
            <w:hideMark/>
          </w:tcPr>
          <w:p w14:paraId="74DC07F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92%</w:t>
            </w:r>
          </w:p>
        </w:tc>
      </w:tr>
      <w:tr w:rsidR="004D6EE2" w:rsidRPr="00B833E5" w14:paraId="525501AD" w14:textId="77777777" w:rsidTr="001D0C10">
        <w:trPr>
          <w:trHeight w:val="781"/>
        </w:trPr>
        <w:tc>
          <w:tcPr>
            <w:tcW w:w="580" w:type="pct"/>
            <w:vMerge w:val="restart"/>
            <w:tcBorders>
              <w:top w:val="nil"/>
              <w:left w:val="single" w:sz="8" w:space="0" w:color="auto"/>
              <w:bottom w:val="single" w:sz="8" w:space="0" w:color="000000"/>
              <w:right w:val="single" w:sz="8" w:space="0" w:color="auto"/>
            </w:tcBorders>
            <w:shd w:val="clear" w:color="auto" w:fill="auto"/>
            <w:vAlign w:val="center"/>
            <w:hideMark/>
          </w:tcPr>
          <w:p w14:paraId="403C1915" w14:textId="55634398"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y Viol. Dom. </w:t>
            </w:r>
            <w:r w:rsidRPr="001D0C10">
              <w:rPr>
                <w:rFonts w:ascii="Book Antiqua" w:eastAsia="Times New Roman" w:hAnsi="Book Antiqua" w:cs="Calibri"/>
                <w:b/>
                <w:bCs/>
                <w:color w:val="000000"/>
                <w:sz w:val="18"/>
                <w:szCs w:val="18"/>
                <w:lang w:eastAsia="es-CR"/>
              </w:rPr>
              <w:lastRenderedPageBreak/>
              <w:t>III Circ. Jud. Alajuela (San Ramón)</w:t>
            </w:r>
            <w:r w:rsidR="00567704">
              <w:rPr>
                <w:rFonts w:ascii="Book Antiqua" w:eastAsia="Times New Roman" w:hAnsi="Book Antiqua" w:cs="Calibri"/>
                <w:b/>
                <w:bCs/>
                <w:color w:val="000000"/>
                <w:sz w:val="18"/>
                <w:szCs w:val="18"/>
                <w:lang w:eastAsia="es-CR"/>
              </w:rPr>
              <w:t>*</w:t>
            </w:r>
          </w:p>
        </w:tc>
        <w:tc>
          <w:tcPr>
            <w:tcW w:w="667" w:type="pct"/>
            <w:tcBorders>
              <w:top w:val="nil"/>
              <w:left w:val="nil"/>
              <w:bottom w:val="single" w:sz="8" w:space="0" w:color="auto"/>
              <w:right w:val="single" w:sz="8" w:space="0" w:color="auto"/>
            </w:tcBorders>
            <w:shd w:val="clear" w:color="auto" w:fill="auto"/>
            <w:vAlign w:val="center"/>
            <w:hideMark/>
          </w:tcPr>
          <w:p w14:paraId="5C9B0734"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lastRenderedPageBreak/>
              <w:t>Familia</w:t>
            </w:r>
          </w:p>
        </w:tc>
        <w:tc>
          <w:tcPr>
            <w:tcW w:w="559" w:type="pct"/>
            <w:tcBorders>
              <w:top w:val="nil"/>
              <w:left w:val="nil"/>
              <w:bottom w:val="single" w:sz="8" w:space="0" w:color="auto"/>
              <w:right w:val="single" w:sz="8" w:space="0" w:color="auto"/>
            </w:tcBorders>
            <w:shd w:val="clear" w:color="auto" w:fill="auto"/>
            <w:noWrap/>
            <w:vAlign w:val="center"/>
            <w:hideMark/>
          </w:tcPr>
          <w:p w14:paraId="4270482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1178</w:t>
            </w:r>
          </w:p>
        </w:tc>
        <w:tc>
          <w:tcPr>
            <w:tcW w:w="601" w:type="pct"/>
            <w:tcBorders>
              <w:top w:val="nil"/>
              <w:left w:val="nil"/>
              <w:bottom w:val="single" w:sz="8" w:space="0" w:color="auto"/>
              <w:right w:val="single" w:sz="8" w:space="0" w:color="auto"/>
            </w:tcBorders>
            <w:shd w:val="clear" w:color="auto" w:fill="auto"/>
            <w:noWrap/>
            <w:vAlign w:val="center"/>
            <w:hideMark/>
          </w:tcPr>
          <w:p w14:paraId="688D007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948</w:t>
            </w:r>
          </w:p>
        </w:tc>
        <w:tc>
          <w:tcPr>
            <w:tcW w:w="559" w:type="pct"/>
            <w:tcBorders>
              <w:top w:val="nil"/>
              <w:left w:val="nil"/>
              <w:bottom w:val="single" w:sz="8" w:space="0" w:color="auto"/>
              <w:right w:val="single" w:sz="8" w:space="0" w:color="auto"/>
            </w:tcBorders>
            <w:shd w:val="clear" w:color="auto" w:fill="auto"/>
            <w:noWrap/>
            <w:vAlign w:val="center"/>
            <w:hideMark/>
          </w:tcPr>
          <w:p w14:paraId="0456EE0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92</w:t>
            </w:r>
          </w:p>
        </w:tc>
        <w:tc>
          <w:tcPr>
            <w:tcW w:w="601" w:type="pct"/>
            <w:tcBorders>
              <w:top w:val="nil"/>
              <w:left w:val="nil"/>
              <w:bottom w:val="single" w:sz="8" w:space="0" w:color="auto"/>
              <w:right w:val="single" w:sz="8" w:space="0" w:color="auto"/>
            </w:tcBorders>
            <w:shd w:val="clear" w:color="auto" w:fill="auto"/>
            <w:noWrap/>
            <w:vAlign w:val="center"/>
            <w:hideMark/>
          </w:tcPr>
          <w:p w14:paraId="15F7645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84</w:t>
            </w:r>
          </w:p>
        </w:tc>
        <w:tc>
          <w:tcPr>
            <w:tcW w:w="511" w:type="pct"/>
            <w:tcBorders>
              <w:top w:val="nil"/>
              <w:left w:val="nil"/>
              <w:bottom w:val="single" w:sz="8" w:space="0" w:color="auto"/>
              <w:right w:val="single" w:sz="8" w:space="0" w:color="auto"/>
            </w:tcBorders>
            <w:shd w:val="clear" w:color="auto" w:fill="auto"/>
            <w:noWrap/>
            <w:vAlign w:val="center"/>
            <w:hideMark/>
          </w:tcPr>
          <w:p w14:paraId="4ED1C5A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w:t>
            </w:r>
          </w:p>
        </w:tc>
        <w:tc>
          <w:tcPr>
            <w:tcW w:w="463" w:type="pct"/>
            <w:tcBorders>
              <w:top w:val="nil"/>
              <w:left w:val="nil"/>
              <w:bottom w:val="single" w:sz="8" w:space="0" w:color="auto"/>
              <w:right w:val="single" w:sz="8" w:space="0" w:color="auto"/>
            </w:tcBorders>
            <w:shd w:val="clear" w:color="auto" w:fill="auto"/>
            <w:noWrap/>
            <w:vAlign w:val="center"/>
            <w:hideMark/>
          </w:tcPr>
          <w:p w14:paraId="6098ACA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31</w:t>
            </w:r>
          </w:p>
        </w:tc>
        <w:tc>
          <w:tcPr>
            <w:tcW w:w="458" w:type="pct"/>
            <w:tcBorders>
              <w:top w:val="nil"/>
              <w:left w:val="nil"/>
              <w:bottom w:val="single" w:sz="8" w:space="0" w:color="auto"/>
              <w:right w:val="single" w:sz="8" w:space="0" w:color="auto"/>
            </w:tcBorders>
            <w:shd w:val="clear" w:color="auto" w:fill="auto"/>
            <w:noWrap/>
            <w:vAlign w:val="center"/>
            <w:hideMark/>
          </w:tcPr>
          <w:p w14:paraId="5C2353DC"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92%</w:t>
            </w:r>
          </w:p>
        </w:tc>
      </w:tr>
      <w:tr w:rsidR="004D6EE2" w:rsidRPr="00B833E5" w14:paraId="1B44CB8D"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222E3320"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auto" w:fill="auto"/>
            <w:vAlign w:val="center"/>
            <w:hideMark/>
          </w:tcPr>
          <w:p w14:paraId="616C0DF7"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auto" w:fill="auto"/>
            <w:noWrap/>
            <w:vAlign w:val="center"/>
            <w:hideMark/>
          </w:tcPr>
          <w:p w14:paraId="0960B78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877</w:t>
            </w:r>
          </w:p>
        </w:tc>
        <w:tc>
          <w:tcPr>
            <w:tcW w:w="601" w:type="pct"/>
            <w:tcBorders>
              <w:top w:val="nil"/>
              <w:left w:val="nil"/>
              <w:bottom w:val="single" w:sz="8" w:space="0" w:color="auto"/>
              <w:right w:val="single" w:sz="8" w:space="0" w:color="auto"/>
            </w:tcBorders>
            <w:shd w:val="clear" w:color="auto" w:fill="auto"/>
            <w:noWrap/>
            <w:vAlign w:val="center"/>
            <w:hideMark/>
          </w:tcPr>
          <w:p w14:paraId="5E6DF7CE"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859</w:t>
            </w:r>
          </w:p>
        </w:tc>
        <w:tc>
          <w:tcPr>
            <w:tcW w:w="559" w:type="pct"/>
            <w:tcBorders>
              <w:top w:val="nil"/>
              <w:left w:val="nil"/>
              <w:bottom w:val="single" w:sz="8" w:space="0" w:color="auto"/>
              <w:right w:val="single" w:sz="8" w:space="0" w:color="auto"/>
            </w:tcBorders>
            <w:shd w:val="clear" w:color="auto" w:fill="auto"/>
            <w:noWrap/>
            <w:vAlign w:val="center"/>
            <w:hideMark/>
          </w:tcPr>
          <w:p w14:paraId="3BC88F66"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w:t>
            </w:r>
          </w:p>
        </w:tc>
        <w:tc>
          <w:tcPr>
            <w:tcW w:w="601" w:type="pct"/>
            <w:tcBorders>
              <w:top w:val="nil"/>
              <w:left w:val="nil"/>
              <w:bottom w:val="single" w:sz="8" w:space="0" w:color="auto"/>
              <w:right w:val="single" w:sz="8" w:space="0" w:color="auto"/>
            </w:tcBorders>
            <w:shd w:val="clear" w:color="auto" w:fill="auto"/>
            <w:noWrap/>
            <w:vAlign w:val="center"/>
            <w:hideMark/>
          </w:tcPr>
          <w:p w14:paraId="183215AC"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76</w:t>
            </w:r>
          </w:p>
        </w:tc>
        <w:tc>
          <w:tcPr>
            <w:tcW w:w="511" w:type="pct"/>
            <w:tcBorders>
              <w:top w:val="nil"/>
              <w:left w:val="nil"/>
              <w:bottom w:val="single" w:sz="8" w:space="0" w:color="auto"/>
              <w:right w:val="single" w:sz="8" w:space="0" w:color="auto"/>
            </w:tcBorders>
            <w:shd w:val="clear" w:color="auto" w:fill="auto"/>
            <w:noWrap/>
            <w:vAlign w:val="center"/>
            <w:hideMark/>
          </w:tcPr>
          <w:p w14:paraId="5476244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39</w:t>
            </w:r>
          </w:p>
        </w:tc>
        <w:tc>
          <w:tcPr>
            <w:tcW w:w="463" w:type="pct"/>
            <w:tcBorders>
              <w:top w:val="nil"/>
              <w:left w:val="nil"/>
              <w:bottom w:val="single" w:sz="8" w:space="0" w:color="auto"/>
              <w:right w:val="single" w:sz="8" w:space="0" w:color="auto"/>
            </w:tcBorders>
            <w:shd w:val="clear" w:color="auto" w:fill="auto"/>
            <w:noWrap/>
            <w:vAlign w:val="center"/>
            <w:hideMark/>
          </w:tcPr>
          <w:p w14:paraId="5359910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58" w:type="pct"/>
            <w:tcBorders>
              <w:top w:val="nil"/>
              <w:left w:val="nil"/>
              <w:bottom w:val="single" w:sz="8" w:space="0" w:color="auto"/>
              <w:right w:val="single" w:sz="8" w:space="0" w:color="auto"/>
            </w:tcBorders>
            <w:shd w:val="clear" w:color="auto" w:fill="auto"/>
            <w:noWrap/>
            <w:vAlign w:val="center"/>
            <w:hideMark/>
          </w:tcPr>
          <w:p w14:paraId="2E1CA077"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98%</w:t>
            </w:r>
          </w:p>
        </w:tc>
      </w:tr>
      <w:tr w:rsidR="004D6EE2" w:rsidRPr="00B833E5" w14:paraId="0150AF2D" w14:textId="77777777" w:rsidTr="001D0C10">
        <w:trPr>
          <w:trHeight w:val="579"/>
        </w:trPr>
        <w:tc>
          <w:tcPr>
            <w:tcW w:w="58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39419D4A" w14:textId="4B29E1EE"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 xml:space="preserve">Juzgado Familia, Penal Juv. </w:t>
            </w:r>
            <w:r w:rsidR="00E85731" w:rsidRPr="00E85731">
              <w:rPr>
                <w:rFonts w:ascii="Book Antiqua" w:eastAsia="Times New Roman" w:hAnsi="Book Antiqua" w:cs="Calibri"/>
                <w:b/>
                <w:bCs/>
                <w:color w:val="000000"/>
                <w:sz w:val="18"/>
                <w:szCs w:val="18"/>
                <w:lang w:eastAsia="es-CR"/>
              </w:rPr>
              <w:t>Y</w:t>
            </w:r>
            <w:r w:rsidRPr="001D0C10">
              <w:rPr>
                <w:rFonts w:ascii="Book Antiqua" w:eastAsia="Times New Roman" w:hAnsi="Book Antiqua" w:cs="Calibri"/>
                <w:b/>
                <w:bCs/>
                <w:color w:val="000000"/>
                <w:sz w:val="18"/>
                <w:szCs w:val="18"/>
                <w:lang w:eastAsia="es-CR"/>
              </w:rPr>
              <w:t xml:space="preserve"> Viol. Dom. Doméstica Golfito</w:t>
            </w:r>
          </w:p>
        </w:tc>
        <w:tc>
          <w:tcPr>
            <w:tcW w:w="667" w:type="pct"/>
            <w:tcBorders>
              <w:top w:val="nil"/>
              <w:left w:val="nil"/>
              <w:bottom w:val="single" w:sz="8" w:space="0" w:color="auto"/>
              <w:right w:val="single" w:sz="8" w:space="0" w:color="auto"/>
            </w:tcBorders>
            <w:shd w:val="clear" w:color="000000" w:fill="D9D9D9"/>
            <w:vAlign w:val="center"/>
            <w:hideMark/>
          </w:tcPr>
          <w:p w14:paraId="253BFB26"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000000" w:fill="D9D9D9"/>
            <w:noWrap/>
            <w:vAlign w:val="center"/>
            <w:hideMark/>
          </w:tcPr>
          <w:p w14:paraId="091E9D6D"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509</w:t>
            </w:r>
          </w:p>
        </w:tc>
        <w:tc>
          <w:tcPr>
            <w:tcW w:w="601" w:type="pct"/>
            <w:tcBorders>
              <w:top w:val="nil"/>
              <w:left w:val="nil"/>
              <w:bottom w:val="single" w:sz="8" w:space="0" w:color="auto"/>
              <w:right w:val="single" w:sz="8" w:space="0" w:color="auto"/>
            </w:tcBorders>
            <w:shd w:val="clear" w:color="000000" w:fill="D9D9D9"/>
            <w:noWrap/>
            <w:vAlign w:val="center"/>
            <w:hideMark/>
          </w:tcPr>
          <w:p w14:paraId="768A100C"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339</w:t>
            </w:r>
          </w:p>
        </w:tc>
        <w:tc>
          <w:tcPr>
            <w:tcW w:w="559" w:type="pct"/>
            <w:tcBorders>
              <w:top w:val="nil"/>
              <w:left w:val="nil"/>
              <w:bottom w:val="single" w:sz="8" w:space="0" w:color="auto"/>
              <w:right w:val="single" w:sz="8" w:space="0" w:color="auto"/>
            </w:tcBorders>
            <w:shd w:val="clear" w:color="000000" w:fill="D9D9D9"/>
            <w:noWrap/>
            <w:vAlign w:val="center"/>
            <w:hideMark/>
          </w:tcPr>
          <w:p w14:paraId="2996981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40</w:t>
            </w:r>
          </w:p>
        </w:tc>
        <w:tc>
          <w:tcPr>
            <w:tcW w:w="601" w:type="pct"/>
            <w:tcBorders>
              <w:top w:val="nil"/>
              <w:left w:val="nil"/>
              <w:bottom w:val="single" w:sz="8" w:space="0" w:color="auto"/>
              <w:right w:val="single" w:sz="8" w:space="0" w:color="auto"/>
            </w:tcBorders>
            <w:shd w:val="clear" w:color="000000" w:fill="D9D9D9"/>
            <w:noWrap/>
            <w:vAlign w:val="center"/>
            <w:hideMark/>
          </w:tcPr>
          <w:p w14:paraId="115499D2"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30</w:t>
            </w:r>
          </w:p>
        </w:tc>
        <w:tc>
          <w:tcPr>
            <w:tcW w:w="511" w:type="pct"/>
            <w:tcBorders>
              <w:top w:val="nil"/>
              <w:left w:val="nil"/>
              <w:bottom w:val="single" w:sz="8" w:space="0" w:color="auto"/>
              <w:right w:val="single" w:sz="8" w:space="0" w:color="auto"/>
            </w:tcBorders>
            <w:shd w:val="clear" w:color="000000" w:fill="D9D9D9"/>
            <w:noWrap/>
            <w:vAlign w:val="center"/>
            <w:hideMark/>
          </w:tcPr>
          <w:p w14:paraId="759DD85D"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40</w:t>
            </w:r>
          </w:p>
        </w:tc>
        <w:tc>
          <w:tcPr>
            <w:tcW w:w="463" w:type="pct"/>
            <w:tcBorders>
              <w:top w:val="nil"/>
              <w:left w:val="nil"/>
              <w:bottom w:val="single" w:sz="8" w:space="0" w:color="auto"/>
              <w:right w:val="single" w:sz="8" w:space="0" w:color="auto"/>
            </w:tcBorders>
            <w:shd w:val="clear" w:color="000000" w:fill="D9D9D9"/>
            <w:noWrap/>
            <w:vAlign w:val="center"/>
            <w:hideMark/>
          </w:tcPr>
          <w:p w14:paraId="4382682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20</w:t>
            </w:r>
          </w:p>
        </w:tc>
        <w:tc>
          <w:tcPr>
            <w:tcW w:w="458" w:type="pct"/>
            <w:tcBorders>
              <w:top w:val="nil"/>
              <w:left w:val="nil"/>
              <w:bottom w:val="single" w:sz="8" w:space="0" w:color="auto"/>
              <w:right w:val="single" w:sz="8" w:space="0" w:color="auto"/>
            </w:tcBorders>
            <w:shd w:val="clear" w:color="000000" w:fill="D9D9D9"/>
            <w:noWrap/>
            <w:vAlign w:val="center"/>
            <w:hideMark/>
          </w:tcPr>
          <w:p w14:paraId="7CE1E66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76%</w:t>
            </w:r>
          </w:p>
        </w:tc>
      </w:tr>
      <w:tr w:rsidR="004D6EE2" w:rsidRPr="00B833E5" w14:paraId="2E88686C"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0F5CF5D7"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000000" w:fill="D9D9D9"/>
            <w:vAlign w:val="center"/>
            <w:hideMark/>
          </w:tcPr>
          <w:p w14:paraId="7C4FFE30"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000000" w:fill="D9D9D9"/>
            <w:noWrap/>
            <w:vAlign w:val="center"/>
            <w:hideMark/>
          </w:tcPr>
          <w:p w14:paraId="23D76EEA"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471</w:t>
            </w:r>
          </w:p>
        </w:tc>
        <w:tc>
          <w:tcPr>
            <w:tcW w:w="601" w:type="pct"/>
            <w:tcBorders>
              <w:top w:val="nil"/>
              <w:left w:val="nil"/>
              <w:bottom w:val="single" w:sz="8" w:space="0" w:color="auto"/>
              <w:right w:val="single" w:sz="8" w:space="0" w:color="auto"/>
            </w:tcBorders>
            <w:shd w:val="clear" w:color="000000" w:fill="D9D9D9"/>
            <w:noWrap/>
            <w:vAlign w:val="center"/>
            <w:hideMark/>
          </w:tcPr>
          <w:p w14:paraId="1AC6BF6E"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396</w:t>
            </w:r>
          </w:p>
        </w:tc>
        <w:tc>
          <w:tcPr>
            <w:tcW w:w="559" w:type="pct"/>
            <w:tcBorders>
              <w:top w:val="nil"/>
              <w:left w:val="nil"/>
              <w:bottom w:val="single" w:sz="8" w:space="0" w:color="auto"/>
              <w:right w:val="single" w:sz="8" w:space="0" w:color="auto"/>
            </w:tcBorders>
            <w:shd w:val="clear" w:color="000000" w:fill="D9D9D9"/>
            <w:noWrap/>
            <w:vAlign w:val="center"/>
            <w:hideMark/>
          </w:tcPr>
          <w:p w14:paraId="55AAB02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w:t>
            </w:r>
          </w:p>
        </w:tc>
        <w:tc>
          <w:tcPr>
            <w:tcW w:w="601" w:type="pct"/>
            <w:tcBorders>
              <w:top w:val="nil"/>
              <w:left w:val="nil"/>
              <w:bottom w:val="single" w:sz="8" w:space="0" w:color="auto"/>
              <w:right w:val="single" w:sz="8" w:space="0" w:color="auto"/>
            </w:tcBorders>
            <w:shd w:val="clear" w:color="000000" w:fill="D9D9D9"/>
            <w:noWrap/>
            <w:vAlign w:val="center"/>
            <w:hideMark/>
          </w:tcPr>
          <w:p w14:paraId="1035D10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35</w:t>
            </w:r>
          </w:p>
        </w:tc>
        <w:tc>
          <w:tcPr>
            <w:tcW w:w="511" w:type="pct"/>
            <w:tcBorders>
              <w:top w:val="nil"/>
              <w:left w:val="nil"/>
              <w:bottom w:val="single" w:sz="8" w:space="0" w:color="auto"/>
              <w:right w:val="single" w:sz="8" w:space="0" w:color="auto"/>
            </w:tcBorders>
            <w:shd w:val="clear" w:color="000000" w:fill="D9D9D9"/>
            <w:noWrap/>
            <w:vAlign w:val="center"/>
            <w:hideMark/>
          </w:tcPr>
          <w:p w14:paraId="7BA06D67"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w:t>
            </w:r>
          </w:p>
        </w:tc>
        <w:tc>
          <w:tcPr>
            <w:tcW w:w="463" w:type="pct"/>
            <w:tcBorders>
              <w:top w:val="nil"/>
              <w:left w:val="nil"/>
              <w:bottom w:val="single" w:sz="8" w:space="0" w:color="auto"/>
              <w:right w:val="single" w:sz="8" w:space="0" w:color="auto"/>
            </w:tcBorders>
            <w:shd w:val="clear" w:color="000000" w:fill="D9D9D9"/>
            <w:noWrap/>
            <w:vAlign w:val="center"/>
            <w:hideMark/>
          </w:tcPr>
          <w:p w14:paraId="5491F84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21</w:t>
            </w:r>
          </w:p>
        </w:tc>
        <w:tc>
          <w:tcPr>
            <w:tcW w:w="458" w:type="pct"/>
            <w:tcBorders>
              <w:top w:val="nil"/>
              <w:left w:val="nil"/>
              <w:bottom w:val="single" w:sz="8" w:space="0" w:color="auto"/>
              <w:right w:val="single" w:sz="8" w:space="0" w:color="auto"/>
            </w:tcBorders>
            <w:shd w:val="clear" w:color="000000" w:fill="D9D9D9"/>
            <w:noWrap/>
            <w:vAlign w:val="center"/>
            <w:hideMark/>
          </w:tcPr>
          <w:p w14:paraId="7EEEE9B3"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84%</w:t>
            </w:r>
          </w:p>
        </w:tc>
      </w:tr>
      <w:tr w:rsidR="004D6EE2" w:rsidRPr="00B833E5" w14:paraId="3395D711" w14:textId="77777777" w:rsidTr="001D0C10">
        <w:trPr>
          <w:trHeight w:val="744"/>
        </w:trPr>
        <w:tc>
          <w:tcPr>
            <w:tcW w:w="580" w:type="pct"/>
            <w:vMerge w:val="restart"/>
            <w:tcBorders>
              <w:top w:val="nil"/>
              <w:left w:val="single" w:sz="8" w:space="0" w:color="auto"/>
              <w:bottom w:val="single" w:sz="8" w:space="0" w:color="000000"/>
              <w:right w:val="single" w:sz="8" w:space="0" w:color="auto"/>
            </w:tcBorders>
            <w:shd w:val="clear" w:color="auto" w:fill="auto"/>
            <w:vAlign w:val="center"/>
            <w:hideMark/>
          </w:tcPr>
          <w:p w14:paraId="421ABC65"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Penal Juvenil y Viol. Dom. Santa Cruz</w:t>
            </w:r>
          </w:p>
        </w:tc>
        <w:tc>
          <w:tcPr>
            <w:tcW w:w="667" w:type="pct"/>
            <w:tcBorders>
              <w:top w:val="nil"/>
              <w:left w:val="nil"/>
              <w:bottom w:val="single" w:sz="8" w:space="0" w:color="auto"/>
              <w:right w:val="single" w:sz="8" w:space="0" w:color="auto"/>
            </w:tcBorders>
            <w:shd w:val="clear" w:color="auto" w:fill="auto"/>
            <w:vAlign w:val="center"/>
            <w:hideMark/>
          </w:tcPr>
          <w:p w14:paraId="16BA3B45"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auto" w:fill="auto"/>
            <w:noWrap/>
            <w:vAlign w:val="center"/>
            <w:hideMark/>
          </w:tcPr>
          <w:p w14:paraId="018091F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680</w:t>
            </w:r>
          </w:p>
        </w:tc>
        <w:tc>
          <w:tcPr>
            <w:tcW w:w="601" w:type="pct"/>
            <w:tcBorders>
              <w:top w:val="nil"/>
              <w:left w:val="nil"/>
              <w:bottom w:val="single" w:sz="8" w:space="0" w:color="auto"/>
              <w:right w:val="single" w:sz="8" w:space="0" w:color="auto"/>
            </w:tcBorders>
            <w:shd w:val="clear" w:color="auto" w:fill="auto"/>
            <w:noWrap/>
            <w:vAlign w:val="center"/>
            <w:hideMark/>
          </w:tcPr>
          <w:p w14:paraId="3C6CB102"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468</w:t>
            </w:r>
          </w:p>
        </w:tc>
        <w:tc>
          <w:tcPr>
            <w:tcW w:w="559" w:type="pct"/>
            <w:tcBorders>
              <w:top w:val="nil"/>
              <w:left w:val="nil"/>
              <w:bottom w:val="single" w:sz="8" w:space="0" w:color="auto"/>
              <w:right w:val="single" w:sz="8" w:space="0" w:color="auto"/>
            </w:tcBorders>
            <w:shd w:val="clear" w:color="auto" w:fill="auto"/>
            <w:noWrap/>
            <w:vAlign w:val="center"/>
            <w:hideMark/>
          </w:tcPr>
          <w:p w14:paraId="30CF725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60</w:t>
            </w:r>
          </w:p>
        </w:tc>
        <w:tc>
          <w:tcPr>
            <w:tcW w:w="601" w:type="pct"/>
            <w:tcBorders>
              <w:top w:val="nil"/>
              <w:left w:val="nil"/>
              <w:bottom w:val="single" w:sz="8" w:space="0" w:color="auto"/>
              <w:right w:val="single" w:sz="8" w:space="0" w:color="auto"/>
            </w:tcBorders>
            <w:shd w:val="clear" w:color="auto" w:fill="auto"/>
            <w:noWrap/>
            <w:vAlign w:val="center"/>
            <w:hideMark/>
          </w:tcPr>
          <w:p w14:paraId="216360E2"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42</w:t>
            </w:r>
          </w:p>
        </w:tc>
        <w:tc>
          <w:tcPr>
            <w:tcW w:w="511" w:type="pct"/>
            <w:tcBorders>
              <w:top w:val="nil"/>
              <w:left w:val="nil"/>
              <w:bottom w:val="single" w:sz="8" w:space="0" w:color="auto"/>
              <w:right w:val="single" w:sz="8" w:space="0" w:color="auto"/>
            </w:tcBorders>
            <w:shd w:val="clear" w:color="auto" w:fill="auto"/>
            <w:noWrap/>
            <w:vAlign w:val="center"/>
            <w:hideMark/>
          </w:tcPr>
          <w:p w14:paraId="7C8884AE"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30</w:t>
            </w:r>
          </w:p>
        </w:tc>
        <w:tc>
          <w:tcPr>
            <w:tcW w:w="463" w:type="pct"/>
            <w:tcBorders>
              <w:top w:val="nil"/>
              <w:left w:val="nil"/>
              <w:bottom w:val="single" w:sz="8" w:space="0" w:color="auto"/>
              <w:right w:val="single" w:sz="8" w:space="0" w:color="auto"/>
            </w:tcBorders>
            <w:shd w:val="clear" w:color="auto" w:fill="auto"/>
            <w:noWrap/>
            <w:vAlign w:val="center"/>
            <w:hideMark/>
          </w:tcPr>
          <w:p w14:paraId="1C570B76"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20</w:t>
            </w:r>
          </w:p>
        </w:tc>
        <w:tc>
          <w:tcPr>
            <w:tcW w:w="458" w:type="pct"/>
            <w:tcBorders>
              <w:top w:val="nil"/>
              <w:left w:val="nil"/>
              <w:bottom w:val="single" w:sz="8" w:space="0" w:color="auto"/>
              <w:right w:val="single" w:sz="8" w:space="0" w:color="auto"/>
            </w:tcBorders>
            <w:shd w:val="clear" w:color="auto" w:fill="auto"/>
            <w:noWrap/>
            <w:vAlign w:val="center"/>
            <w:hideMark/>
          </w:tcPr>
          <w:p w14:paraId="525F784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69%</w:t>
            </w:r>
          </w:p>
        </w:tc>
      </w:tr>
      <w:tr w:rsidR="004D6EE2" w:rsidRPr="00B833E5" w14:paraId="456FA027"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16688583"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auto" w:fill="auto"/>
            <w:vAlign w:val="center"/>
            <w:hideMark/>
          </w:tcPr>
          <w:p w14:paraId="42D6C05E"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auto" w:fill="auto"/>
            <w:noWrap/>
            <w:vAlign w:val="center"/>
            <w:hideMark/>
          </w:tcPr>
          <w:p w14:paraId="439E9E7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1400</w:t>
            </w:r>
          </w:p>
        </w:tc>
        <w:tc>
          <w:tcPr>
            <w:tcW w:w="601" w:type="pct"/>
            <w:tcBorders>
              <w:top w:val="nil"/>
              <w:left w:val="nil"/>
              <w:bottom w:val="single" w:sz="8" w:space="0" w:color="auto"/>
              <w:right w:val="single" w:sz="8" w:space="0" w:color="auto"/>
            </w:tcBorders>
            <w:shd w:val="clear" w:color="auto" w:fill="auto"/>
            <w:noWrap/>
            <w:vAlign w:val="center"/>
            <w:hideMark/>
          </w:tcPr>
          <w:p w14:paraId="3731ACD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1396</w:t>
            </w:r>
          </w:p>
        </w:tc>
        <w:tc>
          <w:tcPr>
            <w:tcW w:w="559" w:type="pct"/>
            <w:tcBorders>
              <w:top w:val="nil"/>
              <w:left w:val="nil"/>
              <w:bottom w:val="single" w:sz="8" w:space="0" w:color="auto"/>
              <w:right w:val="single" w:sz="8" w:space="0" w:color="auto"/>
            </w:tcBorders>
            <w:shd w:val="clear" w:color="auto" w:fill="auto"/>
            <w:noWrap/>
            <w:vAlign w:val="center"/>
            <w:hideMark/>
          </w:tcPr>
          <w:p w14:paraId="07C0B91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124</w:t>
            </w:r>
          </w:p>
        </w:tc>
        <w:tc>
          <w:tcPr>
            <w:tcW w:w="601" w:type="pct"/>
            <w:tcBorders>
              <w:top w:val="nil"/>
              <w:left w:val="nil"/>
              <w:bottom w:val="single" w:sz="8" w:space="0" w:color="auto"/>
              <w:right w:val="single" w:sz="8" w:space="0" w:color="auto"/>
            </w:tcBorders>
            <w:shd w:val="clear" w:color="auto" w:fill="auto"/>
            <w:noWrap/>
            <w:vAlign w:val="center"/>
            <w:hideMark/>
          </w:tcPr>
          <w:p w14:paraId="078A041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124</w:t>
            </w:r>
          </w:p>
        </w:tc>
        <w:tc>
          <w:tcPr>
            <w:tcW w:w="511" w:type="pct"/>
            <w:tcBorders>
              <w:top w:val="nil"/>
              <w:left w:val="nil"/>
              <w:bottom w:val="single" w:sz="8" w:space="0" w:color="auto"/>
              <w:right w:val="single" w:sz="8" w:space="0" w:color="auto"/>
            </w:tcBorders>
            <w:shd w:val="clear" w:color="auto" w:fill="auto"/>
            <w:noWrap/>
            <w:vAlign w:val="center"/>
            <w:hideMark/>
          </w:tcPr>
          <w:p w14:paraId="54CBEAE7"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62</w:t>
            </w:r>
          </w:p>
        </w:tc>
        <w:tc>
          <w:tcPr>
            <w:tcW w:w="463" w:type="pct"/>
            <w:tcBorders>
              <w:top w:val="nil"/>
              <w:left w:val="nil"/>
              <w:bottom w:val="single" w:sz="8" w:space="0" w:color="auto"/>
              <w:right w:val="single" w:sz="8" w:space="0" w:color="auto"/>
            </w:tcBorders>
            <w:shd w:val="clear" w:color="auto" w:fill="auto"/>
            <w:noWrap/>
            <w:vAlign w:val="center"/>
            <w:hideMark/>
          </w:tcPr>
          <w:p w14:paraId="2DFF861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41</w:t>
            </w:r>
          </w:p>
        </w:tc>
        <w:tc>
          <w:tcPr>
            <w:tcW w:w="458" w:type="pct"/>
            <w:tcBorders>
              <w:top w:val="nil"/>
              <w:left w:val="nil"/>
              <w:bottom w:val="single" w:sz="8" w:space="0" w:color="auto"/>
              <w:right w:val="single" w:sz="8" w:space="0" w:color="auto"/>
            </w:tcBorders>
            <w:shd w:val="clear" w:color="auto" w:fill="auto"/>
            <w:noWrap/>
            <w:vAlign w:val="center"/>
            <w:hideMark/>
          </w:tcPr>
          <w:p w14:paraId="3EC923C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w:t>
            </w:r>
          </w:p>
        </w:tc>
      </w:tr>
      <w:tr w:rsidR="004D6EE2" w:rsidRPr="00B833E5" w14:paraId="31781A23" w14:textId="77777777" w:rsidTr="001D0C10">
        <w:trPr>
          <w:trHeight w:val="570"/>
        </w:trPr>
        <w:tc>
          <w:tcPr>
            <w:tcW w:w="58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665FDDD8"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y Viol. Dom. Grecia</w:t>
            </w:r>
          </w:p>
        </w:tc>
        <w:tc>
          <w:tcPr>
            <w:tcW w:w="667" w:type="pct"/>
            <w:tcBorders>
              <w:top w:val="nil"/>
              <w:left w:val="nil"/>
              <w:bottom w:val="single" w:sz="8" w:space="0" w:color="auto"/>
              <w:right w:val="single" w:sz="8" w:space="0" w:color="auto"/>
            </w:tcBorders>
            <w:shd w:val="clear" w:color="000000" w:fill="D9D9D9"/>
            <w:vAlign w:val="center"/>
            <w:hideMark/>
          </w:tcPr>
          <w:p w14:paraId="06CE93F8"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000000" w:fill="D9D9D9"/>
            <w:noWrap/>
            <w:vAlign w:val="center"/>
            <w:hideMark/>
          </w:tcPr>
          <w:p w14:paraId="3E0F452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1116</w:t>
            </w:r>
          </w:p>
        </w:tc>
        <w:tc>
          <w:tcPr>
            <w:tcW w:w="601" w:type="pct"/>
            <w:tcBorders>
              <w:top w:val="nil"/>
              <w:left w:val="nil"/>
              <w:bottom w:val="single" w:sz="8" w:space="0" w:color="auto"/>
              <w:right w:val="single" w:sz="8" w:space="0" w:color="auto"/>
            </w:tcBorders>
            <w:shd w:val="clear" w:color="000000" w:fill="D9D9D9"/>
            <w:noWrap/>
            <w:vAlign w:val="center"/>
            <w:hideMark/>
          </w:tcPr>
          <w:p w14:paraId="6ADD65AD"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958</w:t>
            </w:r>
          </w:p>
        </w:tc>
        <w:tc>
          <w:tcPr>
            <w:tcW w:w="559" w:type="pct"/>
            <w:tcBorders>
              <w:top w:val="nil"/>
              <w:left w:val="nil"/>
              <w:bottom w:val="single" w:sz="8" w:space="0" w:color="auto"/>
              <w:right w:val="single" w:sz="8" w:space="0" w:color="auto"/>
            </w:tcBorders>
            <w:shd w:val="clear" w:color="000000" w:fill="D9D9D9"/>
            <w:noWrap/>
            <w:vAlign w:val="center"/>
            <w:hideMark/>
          </w:tcPr>
          <w:p w14:paraId="4A927CA2"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w:t>
            </w:r>
          </w:p>
        </w:tc>
        <w:tc>
          <w:tcPr>
            <w:tcW w:w="601" w:type="pct"/>
            <w:tcBorders>
              <w:top w:val="nil"/>
              <w:left w:val="nil"/>
              <w:bottom w:val="single" w:sz="8" w:space="0" w:color="auto"/>
              <w:right w:val="single" w:sz="8" w:space="0" w:color="auto"/>
            </w:tcBorders>
            <w:shd w:val="clear" w:color="000000" w:fill="D9D9D9"/>
            <w:noWrap/>
            <w:vAlign w:val="center"/>
            <w:hideMark/>
          </w:tcPr>
          <w:p w14:paraId="70C4242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w:t>
            </w:r>
          </w:p>
        </w:tc>
        <w:tc>
          <w:tcPr>
            <w:tcW w:w="511" w:type="pct"/>
            <w:tcBorders>
              <w:top w:val="nil"/>
              <w:left w:val="nil"/>
              <w:bottom w:val="single" w:sz="8" w:space="0" w:color="auto"/>
              <w:right w:val="single" w:sz="8" w:space="0" w:color="auto"/>
            </w:tcBorders>
            <w:shd w:val="clear" w:color="000000" w:fill="D9D9D9"/>
            <w:noWrap/>
            <w:vAlign w:val="center"/>
            <w:hideMark/>
          </w:tcPr>
          <w:p w14:paraId="2FABA2B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43</w:t>
            </w:r>
          </w:p>
        </w:tc>
        <w:tc>
          <w:tcPr>
            <w:tcW w:w="463" w:type="pct"/>
            <w:tcBorders>
              <w:top w:val="nil"/>
              <w:left w:val="nil"/>
              <w:bottom w:val="single" w:sz="8" w:space="0" w:color="auto"/>
              <w:right w:val="single" w:sz="8" w:space="0" w:color="auto"/>
            </w:tcBorders>
            <w:shd w:val="clear" w:color="000000" w:fill="D9D9D9"/>
            <w:noWrap/>
            <w:vAlign w:val="center"/>
            <w:hideMark/>
          </w:tcPr>
          <w:p w14:paraId="668E294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29</w:t>
            </w:r>
          </w:p>
        </w:tc>
        <w:tc>
          <w:tcPr>
            <w:tcW w:w="458" w:type="pct"/>
            <w:tcBorders>
              <w:top w:val="nil"/>
              <w:left w:val="nil"/>
              <w:bottom w:val="single" w:sz="8" w:space="0" w:color="auto"/>
              <w:right w:val="single" w:sz="8" w:space="0" w:color="auto"/>
            </w:tcBorders>
            <w:shd w:val="clear" w:color="000000" w:fill="D9D9D9"/>
            <w:vAlign w:val="center"/>
            <w:hideMark/>
          </w:tcPr>
          <w:p w14:paraId="76D3ABF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98%</w:t>
            </w:r>
          </w:p>
        </w:tc>
      </w:tr>
      <w:tr w:rsidR="004D6EE2" w:rsidRPr="00B833E5" w14:paraId="28CDE0B5" w14:textId="77777777" w:rsidTr="001D0C10">
        <w:trPr>
          <w:trHeight w:val="590"/>
        </w:trPr>
        <w:tc>
          <w:tcPr>
            <w:tcW w:w="580" w:type="pct"/>
            <w:vMerge/>
            <w:tcBorders>
              <w:top w:val="nil"/>
              <w:left w:val="single" w:sz="8" w:space="0" w:color="auto"/>
              <w:bottom w:val="single" w:sz="8" w:space="0" w:color="000000"/>
              <w:right w:val="single" w:sz="8" w:space="0" w:color="auto"/>
            </w:tcBorders>
            <w:vAlign w:val="center"/>
            <w:hideMark/>
          </w:tcPr>
          <w:p w14:paraId="678F859B"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000000" w:fill="D9D9D9"/>
            <w:vAlign w:val="center"/>
            <w:hideMark/>
          </w:tcPr>
          <w:p w14:paraId="080583CC"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Violencia Doméstica</w:t>
            </w:r>
          </w:p>
        </w:tc>
        <w:tc>
          <w:tcPr>
            <w:tcW w:w="559" w:type="pct"/>
            <w:tcBorders>
              <w:top w:val="nil"/>
              <w:left w:val="nil"/>
              <w:bottom w:val="single" w:sz="8" w:space="0" w:color="auto"/>
              <w:right w:val="single" w:sz="8" w:space="0" w:color="auto"/>
            </w:tcBorders>
            <w:shd w:val="clear" w:color="000000" w:fill="D9D9D9"/>
            <w:noWrap/>
            <w:vAlign w:val="center"/>
            <w:hideMark/>
          </w:tcPr>
          <w:p w14:paraId="569DDF9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1046</w:t>
            </w:r>
          </w:p>
        </w:tc>
        <w:tc>
          <w:tcPr>
            <w:tcW w:w="601" w:type="pct"/>
            <w:tcBorders>
              <w:top w:val="nil"/>
              <w:left w:val="nil"/>
              <w:bottom w:val="single" w:sz="8" w:space="0" w:color="auto"/>
              <w:right w:val="single" w:sz="8" w:space="0" w:color="auto"/>
            </w:tcBorders>
            <w:shd w:val="clear" w:color="000000" w:fill="D9D9D9"/>
            <w:noWrap/>
            <w:vAlign w:val="center"/>
            <w:hideMark/>
          </w:tcPr>
          <w:p w14:paraId="019732F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805</w:t>
            </w:r>
          </w:p>
        </w:tc>
        <w:tc>
          <w:tcPr>
            <w:tcW w:w="559" w:type="pct"/>
            <w:tcBorders>
              <w:top w:val="nil"/>
              <w:left w:val="nil"/>
              <w:bottom w:val="single" w:sz="8" w:space="0" w:color="auto"/>
              <w:right w:val="single" w:sz="8" w:space="0" w:color="auto"/>
            </w:tcBorders>
            <w:shd w:val="clear" w:color="000000" w:fill="D9D9D9"/>
            <w:noWrap/>
            <w:vAlign w:val="center"/>
            <w:hideMark/>
          </w:tcPr>
          <w:p w14:paraId="208C0847"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93</w:t>
            </w:r>
          </w:p>
        </w:tc>
        <w:tc>
          <w:tcPr>
            <w:tcW w:w="601" w:type="pct"/>
            <w:tcBorders>
              <w:top w:val="nil"/>
              <w:left w:val="nil"/>
              <w:bottom w:val="single" w:sz="8" w:space="0" w:color="auto"/>
              <w:right w:val="single" w:sz="8" w:space="0" w:color="auto"/>
            </w:tcBorders>
            <w:shd w:val="clear" w:color="000000" w:fill="D9D9D9"/>
            <w:noWrap/>
            <w:vAlign w:val="center"/>
            <w:hideMark/>
          </w:tcPr>
          <w:p w14:paraId="372642A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w:t>
            </w:r>
          </w:p>
        </w:tc>
        <w:tc>
          <w:tcPr>
            <w:tcW w:w="511" w:type="pct"/>
            <w:tcBorders>
              <w:top w:val="nil"/>
              <w:left w:val="nil"/>
              <w:bottom w:val="single" w:sz="8" w:space="0" w:color="auto"/>
              <w:right w:val="single" w:sz="8" w:space="0" w:color="auto"/>
            </w:tcBorders>
            <w:shd w:val="clear" w:color="000000" w:fill="D9D9D9"/>
            <w:noWrap/>
            <w:vAlign w:val="center"/>
            <w:hideMark/>
          </w:tcPr>
          <w:p w14:paraId="51D7716B"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w:t>
            </w:r>
          </w:p>
        </w:tc>
        <w:tc>
          <w:tcPr>
            <w:tcW w:w="463" w:type="pct"/>
            <w:tcBorders>
              <w:top w:val="nil"/>
              <w:left w:val="nil"/>
              <w:bottom w:val="single" w:sz="8" w:space="0" w:color="auto"/>
              <w:right w:val="single" w:sz="8" w:space="0" w:color="auto"/>
            </w:tcBorders>
            <w:shd w:val="clear" w:color="000000" w:fill="D9D9D9"/>
            <w:noWrap/>
            <w:vAlign w:val="center"/>
            <w:hideMark/>
          </w:tcPr>
          <w:p w14:paraId="5127045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31</w:t>
            </w:r>
          </w:p>
        </w:tc>
        <w:tc>
          <w:tcPr>
            <w:tcW w:w="458" w:type="pct"/>
            <w:tcBorders>
              <w:top w:val="nil"/>
              <w:left w:val="nil"/>
              <w:bottom w:val="single" w:sz="8" w:space="0" w:color="auto"/>
              <w:right w:val="single" w:sz="8" w:space="0" w:color="auto"/>
            </w:tcBorders>
            <w:shd w:val="clear" w:color="000000" w:fill="D9D9D9"/>
            <w:vAlign w:val="center"/>
            <w:hideMark/>
          </w:tcPr>
          <w:p w14:paraId="60DD6739"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77%</w:t>
            </w:r>
          </w:p>
        </w:tc>
      </w:tr>
      <w:tr w:rsidR="004D6EE2" w:rsidRPr="00B833E5" w14:paraId="7C09CD52" w14:textId="77777777" w:rsidTr="001D0C10">
        <w:trPr>
          <w:trHeight w:val="569"/>
        </w:trPr>
        <w:tc>
          <w:tcPr>
            <w:tcW w:w="580" w:type="pct"/>
            <w:vMerge w:val="restart"/>
            <w:tcBorders>
              <w:top w:val="nil"/>
              <w:left w:val="single" w:sz="8" w:space="0" w:color="auto"/>
              <w:bottom w:val="single" w:sz="8" w:space="0" w:color="000000"/>
              <w:right w:val="single" w:sz="8" w:space="0" w:color="auto"/>
            </w:tcBorders>
            <w:shd w:val="clear" w:color="auto" w:fill="auto"/>
            <w:vAlign w:val="center"/>
            <w:hideMark/>
          </w:tcPr>
          <w:p w14:paraId="7D3241EA"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Trabajo y Familia Hatillo, San Sebastián y Alajuelita</w:t>
            </w:r>
          </w:p>
        </w:tc>
        <w:tc>
          <w:tcPr>
            <w:tcW w:w="667" w:type="pct"/>
            <w:tcBorders>
              <w:top w:val="nil"/>
              <w:left w:val="nil"/>
              <w:bottom w:val="single" w:sz="8" w:space="0" w:color="auto"/>
              <w:right w:val="single" w:sz="8" w:space="0" w:color="auto"/>
            </w:tcBorders>
            <w:shd w:val="clear" w:color="auto" w:fill="auto"/>
            <w:vAlign w:val="center"/>
            <w:hideMark/>
          </w:tcPr>
          <w:p w14:paraId="0C1796C3"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Laboral</w:t>
            </w:r>
          </w:p>
        </w:tc>
        <w:tc>
          <w:tcPr>
            <w:tcW w:w="559" w:type="pct"/>
            <w:tcBorders>
              <w:top w:val="nil"/>
              <w:left w:val="nil"/>
              <w:bottom w:val="single" w:sz="8" w:space="0" w:color="auto"/>
              <w:right w:val="single" w:sz="8" w:space="0" w:color="auto"/>
            </w:tcBorders>
            <w:shd w:val="clear" w:color="auto" w:fill="auto"/>
            <w:noWrap/>
            <w:vAlign w:val="center"/>
            <w:hideMark/>
          </w:tcPr>
          <w:p w14:paraId="7FFF67EA"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196</w:t>
            </w:r>
          </w:p>
        </w:tc>
        <w:tc>
          <w:tcPr>
            <w:tcW w:w="601" w:type="pct"/>
            <w:tcBorders>
              <w:top w:val="nil"/>
              <w:left w:val="nil"/>
              <w:bottom w:val="single" w:sz="8" w:space="0" w:color="auto"/>
              <w:right w:val="single" w:sz="8" w:space="0" w:color="auto"/>
            </w:tcBorders>
            <w:shd w:val="clear" w:color="auto" w:fill="auto"/>
            <w:noWrap/>
            <w:vAlign w:val="center"/>
            <w:hideMark/>
          </w:tcPr>
          <w:p w14:paraId="04427B3D"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207</w:t>
            </w:r>
          </w:p>
        </w:tc>
        <w:tc>
          <w:tcPr>
            <w:tcW w:w="559" w:type="pct"/>
            <w:tcBorders>
              <w:top w:val="nil"/>
              <w:left w:val="nil"/>
              <w:bottom w:val="single" w:sz="8" w:space="0" w:color="auto"/>
              <w:right w:val="single" w:sz="8" w:space="0" w:color="auto"/>
            </w:tcBorders>
            <w:shd w:val="clear" w:color="auto" w:fill="auto"/>
            <w:noWrap/>
            <w:vAlign w:val="center"/>
            <w:hideMark/>
          </w:tcPr>
          <w:p w14:paraId="057E9720"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601" w:type="pct"/>
            <w:tcBorders>
              <w:top w:val="nil"/>
              <w:left w:val="nil"/>
              <w:bottom w:val="single" w:sz="8" w:space="0" w:color="auto"/>
              <w:right w:val="single" w:sz="8" w:space="0" w:color="auto"/>
            </w:tcBorders>
            <w:shd w:val="clear" w:color="auto" w:fill="auto"/>
            <w:noWrap/>
            <w:vAlign w:val="center"/>
            <w:hideMark/>
          </w:tcPr>
          <w:p w14:paraId="6478506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18</w:t>
            </w:r>
          </w:p>
        </w:tc>
        <w:tc>
          <w:tcPr>
            <w:tcW w:w="511" w:type="pct"/>
            <w:tcBorders>
              <w:top w:val="nil"/>
              <w:left w:val="nil"/>
              <w:bottom w:val="single" w:sz="8" w:space="0" w:color="auto"/>
              <w:right w:val="single" w:sz="8" w:space="0" w:color="auto"/>
            </w:tcBorders>
            <w:shd w:val="clear" w:color="auto" w:fill="auto"/>
            <w:noWrap/>
            <w:vAlign w:val="center"/>
            <w:hideMark/>
          </w:tcPr>
          <w:p w14:paraId="76B299CC"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63" w:type="pct"/>
            <w:tcBorders>
              <w:top w:val="nil"/>
              <w:left w:val="nil"/>
              <w:bottom w:val="single" w:sz="8" w:space="0" w:color="auto"/>
              <w:right w:val="single" w:sz="8" w:space="0" w:color="auto"/>
            </w:tcBorders>
            <w:shd w:val="clear" w:color="auto" w:fill="auto"/>
            <w:noWrap/>
            <w:vAlign w:val="center"/>
            <w:hideMark/>
          </w:tcPr>
          <w:p w14:paraId="3CC3216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w:t>
            </w:r>
          </w:p>
        </w:tc>
        <w:tc>
          <w:tcPr>
            <w:tcW w:w="458" w:type="pct"/>
            <w:tcBorders>
              <w:top w:val="nil"/>
              <w:left w:val="nil"/>
              <w:bottom w:val="single" w:sz="8" w:space="0" w:color="auto"/>
              <w:right w:val="single" w:sz="8" w:space="0" w:color="auto"/>
            </w:tcBorders>
            <w:shd w:val="clear" w:color="auto" w:fill="auto"/>
            <w:vAlign w:val="center"/>
            <w:hideMark/>
          </w:tcPr>
          <w:p w14:paraId="24E4E3F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106%</w:t>
            </w:r>
          </w:p>
        </w:tc>
      </w:tr>
      <w:tr w:rsidR="004D6EE2" w:rsidRPr="00B833E5" w14:paraId="532BC660" w14:textId="77777777" w:rsidTr="001D0C10">
        <w:trPr>
          <w:trHeight w:val="300"/>
        </w:trPr>
        <w:tc>
          <w:tcPr>
            <w:tcW w:w="580" w:type="pct"/>
            <w:vMerge/>
            <w:tcBorders>
              <w:top w:val="nil"/>
              <w:left w:val="single" w:sz="8" w:space="0" w:color="auto"/>
              <w:bottom w:val="single" w:sz="8" w:space="0" w:color="000000"/>
              <w:right w:val="single" w:sz="8" w:space="0" w:color="auto"/>
            </w:tcBorders>
            <w:vAlign w:val="center"/>
            <w:hideMark/>
          </w:tcPr>
          <w:p w14:paraId="1F16C025"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p>
        </w:tc>
        <w:tc>
          <w:tcPr>
            <w:tcW w:w="667" w:type="pct"/>
            <w:tcBorders>
              <w:top w:val="nil"/>
              <w:left w:val="nil"/>
              <w:bottom w:val="single" w:sz="8" w:space="0" w:color="auto"/>
              <w:right w:val="single" w:sz="8" w:space="0" w:color="auto"/>
            </w:tcBorders>
            <w:shd w:val="clear" w:color="auto" w:fill="auto"/>
            <w:vAlign w:val="center"/>
            <w:hideMark/>
          </w:tcPr>
          <w:p w14:paraId="46D620EF" w14:textId="77777777" w:rsidR="004D6EE2" w:rsidRPr="001D0C10" w:rsidRDefault="004D6EE2" w:rsidP="004D6EE2">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559" w:type="pct"/>
            <w:tcBorders>
              <w:top w:val="nil"/>
              <w:left w:val="nil"/>
              <w:bottom w:val="single" w:sz="8" w:space="0" w:color="auto"/>
              <w:right w:val="single" w:sz="8" w:space="0" w:color="auto"/>
            </w:tcBorders>
            <w:shd w:val="clear" w:color="auto" w:fill="auto"/>
            <w:noWrap/>
            <w:vAlign w:val="center"/>
            <w:hideMark/>
          </w:tcPr>
          <w:p w14:paraId="1FBA5455"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1001</w:t>
            </w:r>
          </w:p>
        </w:tc>
        <w:tc>
          <w:tcPr>
            <w:tcW w:w="601" w:type="pct"/>
            <w:tcBorders>
              <w:top w:val="nil"/>
              <w:left w:val="nil"/>
              <w:bottom w:val="single" w:sz="8" w:space="0" w:color="auto"/>
              <w:right w:val="single" w:sz="8" w:space="0" w:color="auto"/>
            </w:tcBorders>
            <w:shd w:val="clear" w:color="auto" w:fill="auto"/>
            <w:noWrap/>
            <w:vAlign w:val="center"/>
            <w:hideMark/>
          </w:tcPr>
          <w:p w14:paraId="4A41FCB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889</w:t>
            </w:r>
          </w:p>
        </w:tc>
        <w:tc>
          <w:tcPr>
            <w:tcW w:w="559" w:type="pct"/>
            <w:tcBorders>
              <w:top w:val="nil"/>
              <w:left w:val="nil"/>
              <w:bottom w:val="single" w:sz="8" w:space="0" w:color="auto"/>
              <w:right w:val="single" w:sz="8" w:space="0" w:color="auto"/>
            </w:tcBorders>
            <w:shd w:val="clear" w:color="auto" w:fill="auto"/>
            <w:noWrap/>
            <w:vAlign w:val="center"/>
            <w:hideMark/>
          </w:tcPr>
          <w:p w14:paraId="608A0A3F"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w:t>
            </w:r>
          </w:p>
        </w:tc>
        <w:tc>
          <w:tcPr>
            <w:tcW w:w="601" w:type="pct"/>
            <w:tcBorders>
              <w:top w:val="nil"/>
              <w:left w:val="nil"/>
              <w:bottom w:val="single" w:sz="8" w:space="0" w:color="auto"/>
              <w:right w:val="single" w:sz="8" w:space="0" w:color="auto"/>
            </w:tcBorders>
            <w:shd w:val="clear" w:color="auto" w:fill="auto"/>
            <w:noWrap/>
            <w:vAlign w:val="center"/>
            <w:hideMark/>
          </w:tcPr>
          <w:p w14:paraId="2AB7EB14"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79</w:t>
            </w:r>
          </w:p>
        </w:tc>
        <w:tc>
          <w:tcPr>
            <w:tcW w:w="511" w:type="pct"/>
            <w:tcBorders>
              <w:top w:val="nil"/>
              <w:left w:val="nil"/>
              <w:bottom w:val="single" w:sz="8" w:space="0" w:color="auto"/>
              <w:right w:val="single" w:sz="8" w:space="0" w:color="auto"/>
            </w:tcBorders>
            <w:shd w:val="clear" w:color="auto" w:fill="auto"/>
            <w:noWrap/>
            <w:vAlign w:val="center"/>
            <w:hideMark/>
          </w:tcPr>
          <w:p w14:paraId="6CC23016"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w:t>
            </w:r>
          </w:p>
        </w:tc>
        <w:tc>
          <w:tcPr>
            <w:tcW w:w="463" w:type="pct"/>
            <w:tcBorders>
              <w:top w:val="nil"/>
              <w:left w:val="nil"/>
              <w:bottom w:val="single" w:sz="8" w:space="0" w:color="auto"/>
              <w:right w:val="single" w:sz="8" w:space="0" w:color="auto"/>
            </w:tcBorders>
            <w:shd w:val="clear" w:color="auto" w:fill="auto"/>
            <w:noWrap/>
            <w:vAlign w:val="center"/>
            <w:hideMark/>
          </w:tcPr>
          <w:p w14:paraId="70BBA351"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58" w:type="pct"/>
            <w:tcBorders>
              <w:top w:val="nil"/>
              <w:left w:val="nil"/>
              <w:bottom w:val="single" w:sz="8" w:space="0" w:color="auto"/>
              <w:right w:val="single" w:sz="8" w:space="0" w:color="auto"/>
            </w:tcBorders>
            <w:shd w:val="clear" w:color="auto" w:fill="auto"/>
            <w:vAlign w:val="center"/>
            <w:hideMark/>
          </w:tcPr>
          <w:p w14:paraId="697546D8" w14:textId="77777777" w:rsidR="004D6EE2" w:rsidRPr="001D0C10" w:rsidRDefault="004D6EE2" w:rsidP="004D6EE2">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101%</w:t>
            </w:r>
          </w:p>
        </w:tc>
      </w:tr>
    </w:tbl>
    <w:bookmarkEnd w:id="46"/>
    <w:p w14:paraId="273F99BC" w14:textId="419983DA" w:rsidR="00D026F9" w:rsidRDefault="004D6EE2" w:rsidP="00355630">
      <w:pPr>
        <w:spacing w:after="0" w:line="276" w:lineRule="auto"/>
        <w:jc w:val="both"/>
        <w:rPr>
          <w:rFonts w:ascii="Book Antiqua" w:eastAsia="Calibri" w:hAnsi="Book Antiqua" w:cs="Arial"/>
          <w:i/>
          <w:iCs/>
          <w:sz w:val="20"/>
          <w:szCs w:val="20"/>
        </w:rPr>
      </w:pPr>
      <w:r w:rsidRPr="004D6EE2">
        <w:rPr>
          <w:rFonts w:ascii="Book Antiqua" w:eastAsia="Calibri" w:hAnsi="Book Antiqua" w:cs="Arial"/>
          <w:i/>
          <w:iCs/>
          <w:sz w:val="20"/>
          <w:szCs w:val="20"/>
        </w:rPr>
        <w:t xml:space="preserve">Fuente: Modernización Institucional con base en datos de Cuadros Estadísticos del Subproceso de Estadística de la Dirección de Planificación. </w:t>
      </w:r>
    </w:p>
    <w:p w14:paraId="3964190A" w14:textId="6F9151C5" w:rsidR="00567704" w:rsidRPr="004D6EE2" w:rsidRDefault="00567704" w:rsidP="00355630">
      <w:pPr>
        <w:spacing w:after="0" w:line="276" w:lineRule="auto"/>
        <w:jc w:val="both"/>
        <w:rPr>
          <w:rFonts w:ascii="Book Antiqua" w:eastAsia="Calibri" w:hAnsi="Book Antiqua" w:cs="Arial"/>
          <w:i/>
          <w:iCs/>
          <w:sz w:val="20"/>
          <w:szCs w:val="20"/>
        </w:rPr>
      </w:pPr>
      <w:r>
        <w:rPr>
          <w:rFonts w:ascii="Book Antiqua" w:eastAsia="Calibri" w:hAnsi="Book Antiqua" w:cs="Arial"/>
          <w:i/>
          <w:iCs/>
          <w:sz w:val="20"/>
          <w:szCs w:val="20"/>
        </w:rPr>
        <w:t xml:space="preserve">Nota:* En el informe 159-PLA-MI-2022, se recomienda que la plaza de </w:t>
      </w:r>
      <w:r w:rsidRPr="00567704">
        <w:rPr>
          <w:rFonts w:ascii="Book Antiqua" w:eastAsia="Calibri" w:hAnsi="Book Antiqua" w:cs="Arial"/>
          <w:i/>
          <w:iCs/>
          <w:sz w:val="20"/>
          <w:szCs w:val="20"/>
        </w:rPr>
        <w:t xml:space="preserve">Técnico Judicial 2 (código 44489) </w:t>
      </w:r>
      <w:r>
        <w:rPr>
          <w:rFonts w:ascii="Book Antiqua" w:eastAsia="Calibri" w:hAnsi="Book Antiqua" w:cs="Arial"/>
          <w:i/>
          <w:iCs/>
          <w:sz w:val="20"/>
          <w:szCs w:val="20"/>
        </w:rPr>
        <w:t xml:space="preserve">pase </w:t>
      </w:r>
      <w:r w:rsidRPr="00567704">
        <w:rPr>
          <w:rFonts w:ascii="Book Antiqua" w:eastAsia="Calibri" w:hAnsi="Book Antiqua" w:cs="Arial"/>
          <w:i/>
          <w:iCs/>
          <w:sz w:val="20"/>
          <w:szCs w:val="20"/>
        </w:rPr>
        <w:t>a tiempo completo en el Juzgado de Familia y Violencia Doméstica del Tercer Circuito Judicial de Alajuela, San Ramón, para atender la carga de trabajo que</w:t>
      </w:r>
      <w:r>
        <w:rPr>
          <w:rFonts w:ascii="Book Antiqua" w:eastAsia="Calibri" w:hAnsi="Book Antiqua" w:cs="Arial"/>
          <w:i/>
          <w:iCs/>
          <w:sz w:val="20"/>
          <w:szCs w:val="20"/>
        </w:rPr>
        <w:t xml:space="preserve"> tiene este despacho</w:t>
      </w:r>
      <w:r w:rsidRPr="00567704">
        <w:t xml:space="preserve"> </w:t>
      </w:r>
      <w:r w:rsidRPr="00567704">
        <w:rPr>
          <w:rFonts w:ascii="Book Antiqua" w:eastAsia="Calibri" w:hAnsi="Book Antiqua" w:cs="Arial"/>
          <w:i/>
          <w:iCs/>
          <w:sz w:val="20"/>
          <w:szCs w:val="20"/>
        </w:rPr>
        <w:t>en la tramitación de expedientes</w:t>
      </w:r>
      <w:r>
        <w:rPr>
          <w:rFonts w:ascii="Book Antiqua" w:eastAsia="Calibri" w:hAnsi="Book Antiqua" w:cs="Arial"/>
          <w:i/>
          <w:iCs/>
          <w:sz w:val="20"/>
          <w:szCs w:val="20"/>
        </w:rPr>
        <w:t xml:space="preserve"> </w:t>
      </w:r>
      <w:r w:rsidR="008B711E">
        <w:rPr>
          <w:rFonts w:ascii="Book Antiqua" w:eastAsia="Calibri" w:hAnsi="Book Antiqua" w:cs="Arial"/>
          <w:i/>
          <w:iCs/>
          <w:sz w:val="20"/>
          <w:szCs w:val="20"/>
        </w:rPr>
        <w:t>y en</w:t>
      </w:r>
      <w:r w:rsidRPr="00567704">
        <w:rPr>
          <w:rFonts w:ascii="Book Antiqua" w:eastAsia="Calibri" w:hAnsi="Book Antiqua" w:cs="Arial"/>
          <w:i/>
          <w:iCs/>
          <w:sz w:val="20"/>
          <w:szCs w:val="20"/>
        </w:rPr>
        <w:t xml:space="preserve"> la atención de usuarios en el área de manifestación.</w:t>
      </w:r>
    </w:p>
    <w:p w14:paraId="63F2B811" w14:textId="204C4CCE" w:rsidR="004D6EE2" w:rsidRDefault="004D6EE2" w:rsidP="00355630">
      <w:pPr>
        <w:spacing w:after="0" w:line="276" w:lineRule="auto"/>
        <w:jc w:val="both"/>
        <w:rPr>
          <w:rFonts w:ascii="Book Antiqua" w:eastAsia="Calibri" w:hAnsi="Book Antiqua" w:cs="Arial"/>
          <w:sz w:val="24"/>
          <w:szCs w:val="24"/>
        </w:rPr>
      </w:pPr>
    </w:p>
    <w:p w14:paraId="5521B9A5" w14:textId="1EF1D7C8" w:rsidR="004D6EE2" w:rsidRPr="004D6EE2" w:rsidRDefault="00B833E5" w:rsidP="004D6EE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En el</w:t>
      </w:r>
      <w:r w:rsidR="004D6EE2" w:rsidRPr="004D6EE2">
        <w:rPr>
          <w:rFonts w:ascii="Book Antiqua" w:eastAsia="Calibri" w:hAnsi="Book Antiqua" w:cs="Arial"/>
          <w:sz w:val="24"/>
          <w:szCs w:val="24"/>
        </w:rPr>
        <w:t xml:space="preserve"> caso específico del Juzgado de Familia y Violencia Doméstica del Primer Circuito Judicial de Guanacaste (Liberia</w:t>
      </w:r>
      <w:r w:rsidR="004D6EE2" w:rsidRPr="008B3659">
        <w:rPr>
          <w:rFonts w:ascii="Book Antiqua" w:eastAsia="Calibri" w:hAnsi="Book Antiqua" w:cs="Arial"/>
          <w:sz w:val="24"/>
          <w:szCs w:val="24"/>
        </w:rPr>
        <w:t>), Juzgado</w:t>
      </w:r>
      <w:r w:rsidR="004D6EE2" w:rsidRPr="004D6EE2">
        <w:rPr>
          <w:rFonts w:ascii="Book Antiqua" w:eastAsia="Calibri" w:hAnsi="Book Antiqua" w:cs="Arial"/>
          <w:sz w:val="24"/>
          <w:szCs w:val="24"/>
        </w:rPr>
        <w:t xml:space="preserve"> Familia y Violencia Doméstica del Tercer Circuito Judicial Alajuela (San Ramón), Juzgado Familia y Violencia Doméstica de Grecia y el Juzgado Trabajo y Fam. Hatillo, San Sebastián y Alajuelita, que presentan el promedio mensual de asuntos ingresados totales más altos, y se valor</w:t>
      </w:r>
      <w:r>
        <w:rPr>
          <w:rFonts w:ascii="Book Antiqua" w:eastAsia="Calibri" w:hAnsi="Book Antiqua" w:cs="Arial"/>
          <w:sz w:val="24"/>
          <w:szCs w:val="24"/>
        </w:rPr>
        <w:t>ó desde el 2021 la posibilidad de especialización, sin embargo, la carga de trabajo ni la cantidad de persona</w:t>
      </w:r>
      <w:r w:rsidR="00B55CDC">
        <w:rPr>
          <w:rFonts w:ascii="Book Antiqua" w:eastAsia="Calibri" w:hAnsi="Book Antiqua" w:cs="Arial"/>
          <w:sz w:val="24"/>
          <w:szCs w:val="24"/>
        </w:rPr>
        <w:t>l</w:t>
      </w:r>
      <w:r>
        <w:rPr>
          <w:rFonts w:ascii="Book Antiqua" w:eastAsia="Calibri" w:hAnsi="Book Antiqua" w:cs="Arial"/>
          <w:sz w:val="24"/>
          <w:szCs w:val="24"/>
        </w:rPr>
        <w:t xml:space="preserve"> justificó la especialización</w:t>
      </w:r>
      <w:r w:rsidR="00B55CDC">
        <w:rPr>
          <w:rFonts w:ascii="Book Antiqua" w:eastAsia="Calibri" w:hAnsi="Book Antiqua" w:cs="Arial"/>
          <w:sz w:val="24"/>
          <w:szCs w:val="24"/>
        </w:rPr>
        <w:t xml:space="preserve">; ya que en todos los casos se requeriría personal adicional y (o) recalificaciones de puestos; </w:t>
      </w:r>
      <w:r w:rsidR="00A15DBE">
        <w:rPr>
          <w:rFonts w:ascii="Book Antiqua" w:eastAsia="Calibri" w:hAnsi="Book Antiqua" w:cs="Arial"/>
          <w:sz w:val="24"/>
          <w:szCs w:val="24"/>
        </w:rPr>
        <w:t>existiendo</w:t>
      </w:r>
      <w:r w:rsidR="00B55CDC">
        <w:rPr>
          <w:rFonts w:ascii="Book Antiqua" w:eastAsia="Calibri" w:hAnsi="Book Antiqua" w:cs="Arial"/>
          <w:sz w:val="24"/>
          <w:szCs w:val="24"/>
        </w:rPr>
        <w:t xml:space="preserve"> las limitaciones presupuestarias de crecimiento en plazas no solo en la Institución sino </w:t>
      </w:r>
      <w:r w:rsidR="00B55CDC">
        <w:rPr>
          <w:rFonts w:ascii="Book Antiqua" w:eastAsia="Calibri" w:hAnsi="Book Antiqua" w:cs="Arial"/>
          <w:sz w:val="24"/>
          <w:szCs w:val="24"/>
        </w:rPr>
        <w:lastRenderedPageBreak/>
        <w:t>a nivel país; además considerando que en los ejercicios de formulación presupuestaria anteriores, por la situación fiscal del país no se otorgó contenido presupuestario para la implementación de la Ley 9747 “Código Procesal de Familia”. En el caso de la materia de Violencia Doméstica actualmente se está trabajando en la creación conjunta entre personas juzgadoras y la Dirección de Planificación de una “</w:t>
      </w:r>
      <w:r w:rsidR="00B55CDC" w:rsidRPr="001D0C10">
        <w:rPr>
          <w:rFonts w:ascii="Book Antiqua" w:eastAsia="Calibri" w:hAnsi="Book Antiqua" w:cs="Arial"/>
          <w:i/>
          <w:iCs/>
          <w:sz w:val="24"/>
          <w:szCs w:val="24"/>
        </w:rPr>
        <w:t>oficina Modelo</w:t>
      </w:r>
      <w:r w:rsidR="00B55CDC">
        <w:rPr>
          <w:rFonts w:ascii="Book Antiqua" w:eastAsia="Calibri" w:hAnsi="Book Antiqua" w:cs="Arial"/>
          <w:sz w:val="24"/>
          <w:szCs w:val="24"/>
        </w:rPr>
        <w:t xml:space="preserve">”, estudio a partir del cual podrían generarse oportunidades de mejora para los despachos mixtos del país, además de establecer la conformación ideal de oficina contra Violencia Doméstica. </w:t>
      </w:r>
      <w:r>
        <w:rPr>
          <w:rFonts w:ascii="Book Antiqua" w:eastAsia="Calibri" w:hAnsi="Book Antiqua" w:cs="Arial"/>
          <w:sz w:val="24"/>
          <w:szCs w:val="24"/>
        </w:rPr>
        <w:t>Para la formulación de presupuesto 2023, se mantiene lo ya analizado, no existiendo variación pese a contemplar la entrada incluso del periodo 2021</w:t>
      </w:r>
      <w:r w:rsidR="00B55CDC">
        <w:rPr>
          <w:rFonts w:ascii="Book Antiqua" w:eastAsia="Calibri" w:hAnsi="Book Antiqua" w:cs="Arial"/>
          <w:sz w:val="24"/>
          <w:szCs w:val="24"/>
        </w:rPr>
        <w:t xml:space="preserve"> a la espera también de analizar nuevamente el próximo año pero contemplado los resultados de la oficina modelo. </w:t>
      </w:r>
      <w:r>
        <w:rPr>
          <w:rFonts w:ascii="Book Antiqua" w:eastAsia="Calibri" w:hAnsi="Book Antiqua" w:cs="Arial"/>
          <w:sz w:val="24"/>
          <w:szCs w:val="24"/>
        </w:rPr>
        <w:t xml:space="preserve"> </w:t>
      </w:r>
    </w:p>
    <w:p w14:paraId="2A2B2CBD" w14:textId="55602773" w:rsidR="004D6EE2" w:rsidRDefault="004D6EE2" w:rsidP="00355630">
      <w:pPr>
        <w:spacing w:after="0" w:line="276" w:lineRule="auto"/>
        <w:jc w:val="both"/>
        <w:rPr>
          <w:rFonts w:ascii="Book Antiqua" w:eastAsia="Calibri" w:hAnsi="Book Antiqua" w:cs="Arial"/>
          <w:sz w:val="24"/>
          <w:szCs w:val="24"/>
        </w:rPr>
      </w:pPr>
    </w:p>
    <w:p w14:paraId="120F5DC0" w14:textId="77777777" w:rsidR="002C7F01" w:rsidRPr="004A3198" w:rsidRDefault="002C7F01" w:rsidP="004A3198">
      <w:pPr>
        <w:spacing w:after="0" w:line="276" w:lineRule="auto"/>
        <w:jc w:val="both"/>
        <w:rPr>
          <w:rFonts w:ascii="Book Antiqua" w:eastAsia="Calibri" w:hAnsi="Book Antiqua" w:cs="Arial"/>
          <w:b/>
          <w:bCs/>
          <w:sz w:val="24"/>
          <w:szCs w:val="24"/>
        </w:rPr>
      </w:pPr>
      <w:r w:rsidRPr="004A3198">
        <w:rPr>
          <w:rFonts w:ascii="Book Antiqua" w:eastAsia="Calibri" w:hAnsi="Book Antiqua" w:cs="Arial"/>
          <w:b/>
          <w:bCs/>
          <w:sz w:val="24"/>
          <w:szCs w:val="24"/>
        </w:rPr>
        <w:t>Juzgados de Familia (mixtos de 3 materias)</w:t>
      </w:r>
    </w:p>
    <w:p w14:paraId="728C4179" w14:textId="77777777" w:rsidR="002C7F01" w:rsidRPr="002C7F01" w:rsidRDefault="002C7F01" w:rsidP="002C7F01">
      <w:pPr>
        <w:spacing w:after="0" w:line="240" w:lineRule="auto"/>
        <w:jc w:val="both"/>
        <w:rPr>
          <w:rFonts w:ascii="Book Antiqua" w:eastAsia="Calibri" w:hAnsi="Book Antiqua" w:cs="Arial"/>
        </w:rPr>
      </w:pPr>
    </w:p>
    <w:p w14:paraId="09B8BE0A" w14:textId="22A71E5E" w:rsidR="002C7F01" w:rsidRPr="002C7F01" w:rsidRDefault="002C7F01" w:rsidP="002C7F01">
      <w:pPr>
        <w:spacing w:after="0" w:line="276" w:lineRule="auto"/>
        <w:jc w:val="both"/>
        <w:rPr>
          <w:rFonts w:ascii="Book Antiqua" w:eastAsia="Calibri" w:hAnsi="Book Antiqua" w:cs="Arial"/>
          <w:sz w:val="24"/>
          <w:szCs w:val="24"/>
        </w:rPr>
      </w:pPr>
      <w:r w:rsidRPr="002C7F01">
        <w:rPr>
          <w:rFonts w:ascii="Book Antiqua" w:eastAsia="Calibri" w:hAnsi="Book Antiqua" w:cs="Arial"/>
          <w:sz w:val="24"/>
          <w:szCs w:val="24"/>
        </w:rPr>
        <w:t>En este bloque de despachos se ubican tres juzgados: Familia, Penal Juvenil y Violencia Doméstica de Cañas; Familia, Penal Juvenil y Violencia Doméstica Turrialba y Familia, Penal Juvenil y Violencia Doméstica Quepos.</w:t>
      </w:r>
    </w:p>
    <w:p w14:paraId="0F5F3B82" w14:textId="77777777" w:rsidR="002C7F01" w:rsidRPr="002C7F01" w:rsidRDefault="002C7F01" w:rsidP="002C7F01">
      <w:pPr>
        <w:spacing w:after="0" w:line="276" w:lineRule="auto"/>
        <w:jc w:val="both"/>
        <w:rPr>
          <w:rFonts w:ascii="Book Antiqua" w:eastAsia="Calibri" w:hAnsi="Book Antiqua" w:cs="Arial"/>
          <w:sz w:val="24"/>
          <w:szCs w:val="24"/>
        </w:rPr>
      </w:pPr>
    </w:p>
    <w:p w14:paraId="537AB4B4" w14:textId="77777777" w:rsidR="002C7F01" w:rsidRPr="002C7F01" w:rsidRDefault="002C7F01" w:rsidP="002C7F01">
      <w:pPr>
        <w:spacing w:after="0" w:line="276" w:lineRule="auto"/>
        <w:jc w:val="both"/>
        <w:rPr>
          <w:rFonts w:ascii="Book Antiqua" w:eastAsia="Calibri" w:hAnsi="Book Antiqua" w:cs="Arial"/>
          <w:sz w:val="24"/>
          <w:szCs w:val="24"/>
        </w:rPr>
      </w:pPr>
      <w:r w:rsidRPr="002C7F01">
        <w:rPr>
          <w:rFonts w:ascii="Book Antiqua" w:eastAsia="Calibri" w:hAnsi="Book Antiqua" w:cs="Arial"/>
          <w:sz w:val="24"/>
          <w:szCs w:val="24"/>
        </w:rPr>
        <w:t>Al tratarse de despachos que conocen varias materias, los cálculos se realizaron sobre la carga laboral total, como se muestra en el siguiente cuadro.</w:t>
      </w:r>
    </w:p>
    <w:p w14:paraId="294D4A3B" w14:textId="483FE8D8" w:rsidR="00357D09" w:rsidRDefault="00357D09" w:rsidP="00355630">
      <w:pPr>
        <w:spacing w:after="0" w:line="276" w:lineRule="auto"/>
        <w:jc w:val="both"/>
        <w:rPr>
          <w:rFonts w:ascii="Book Antiqua" w:eastAsia="Calibri" w:hAnsi="Book Antiqua" w:cs="Arial"/>
          <w:sz w:val="24"/>
          <w:szCs w:val="24"/>
        </w:rPr>
      </w:pPr>
    </w:p>
    <w:p w14:paraId="583F70C0" w14:textId="25F8F4B9" w:rsidR="002C7F01" w:rsidRPr="002C7F01" w:rsidRDefault="002C7F01" w:rsidP="002C7F01">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7F01">
        <w:rPr>
          <w:rFonts w:ascii="Book Antiqua" w:eastAsia="Calibri" w:hAnsi="Book Antiqua" w:cs="Arial"/>
          <w:b/>
          <w:bCs/>
          <w:color w:val="1F497D"/>
          <w:szCs w:val="24"/>
          <w:lang w:val="es-ES" w:eastAsia="es-ES"/>
        </w:rPr>
        <w:t xml:space="preserve">Cuadro </w:t>
      </w:r>
      <w:r w:rsidRPr="002C7F01">
        <w:rPr>
          <w:rFonts w:ascii="Book Antiqua" w:eastAsia="Calibri" w:hAnsi="Book Antiqua" w:cs="Arial"/>
          <w:b/>
          <w:bCs/>
          <w:color w:val="1F497D"/>
          <w:szCs w:val="24"/>
          <w:lang w:val="es-ES" w:eastAsia="es-ES"/>
        </w:rPr>
        <w:fldChar w:fldCharType="begin"/>
      </w:r>
      <w:r w:rsidRPr="002C7F01">
        <w:rPr>
          <w:rFonts w:ascii="Book Antiqua" w:eastAsia="Calibri" w:hAnsi="Book Antiqua" w:cs="Arial"/>
          <w:b/>
          <w:bCs/>
          <w:color w:val="1F497D"/>
          <w:szCs w:val="24"/>
          <w:lang w:val="es-ES" w:eastAsia="es-ES"/>
        </w:rPr>
        <w:instrText xml:space="preserve"> SEQ Cuadro \* ARABIC </w:instrText>
      </w:r>
      <w:r w:rsidRPr="002C7F01">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46</w:t>
      </w:r>
      <w:r w:rsidRPr="002C7F01">
        <w:rPr>
          <w:rFonts w:ascii="Book Antiqua" w:eastAsia="Calibri" w:hAnsi="Book Antiqua" w:cs="Arial"/>
          <w:b/>
          <w:bCs/>
          <w:color w:val="1F497D"/>
          <w:szCs w:val="24"/>
          <w:lang w:val="es-ES" w:eastAsia="es-ES"/>
        </w:rPr>
        <w:fldChar w:fldCharType="end"/>
      </w:r>
    </w:p>
    <w:p w14:paraId="14D5659F" w14:textId="0C9A2B68" w:rsidR="002C7F01" w:rsidRPr="002C7F01" w:rsidRDefault="002C7F01" w:rsidP="002C7F01">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7F01">
        <w:rPr>
          <w:rFonts w:ascii="Book Antiqua" w:eastAsia="Calibri" w:hAnsi="Book Antiqua" w:cs="Arial"/>
          <w:b/>
          <w:bCs/>
          <w:color w:val="1F497D"/>
          <w:szCs w:val="24"/>
          <w:lang w:val="es-ES" w:eastAsia="es-ES"/>
        </w:rPr>
        <w:t>Carga de trabajo juzgado de Familia mixtos de tres materias 201</w:t>
      </w:r>
      <w:r>
        <w:rPr>
          <w:rFonts w:ascii="Book Antiqua" w:eastAsia="Calibri" w:hAnsi="Book Antiqua" w:cs="Arial"/>
          <w:b/>
          <w:bCs/>
          <w:color w:val="1F497D"/>
          <w:szCs w:val="24"/>
          <w:lang w:val="es-ES" w:eastAsia="es-ES"/>
        </w:rPr>
        <w:t>7</w:t>
      </w:r>
      <w:r w:rsidRPr="002C7F01">
        <w:rPr>
          <w:rFonts w:ascii="Book Antiqua" w:eastAsia="Calibri" w:hAnsi="Book Antiqua" w:cs="Arial"/>
          <w:b/>
          <w:bCs/>
          <w:color w:val="1F497D"/>
          <w:szCs w:val="24"/>
          <w:lang w:val="es-ES" w:eastAsia="es-ES"/>
        </w:rPr>
        <w:t xml:space="preserve"> a 20</w:t>
      </w:r>
      <w:r>
        <w:rPr>
          <w:rFonts w:ascii="Book Antiqua" w:eastAsia="Calibri" w:hAnsi="Book Antiqua" w:cs="Arial"/>
          <w:b/>
          <w:bCs/>
          <w:color w:val="1F497D"/>
          <w:szCs w:val="24"/>
          <w:lang w:val="es-ES" w:eastAsia="es-ES"/>
        </w:rPr>
        <w:t>2</w:t>
      </w:r>
      <w:r w:rsidRPr="002C7F01">
        <w:rPr>
          <w:rFonts w:ascii="Book Antiqua" w:eastAsia="Calibri" w:hAnsi="Book Antiqua" w:cs="Arial"/>
          <w:b/>
          <w:bCs/>
          <w:color w:val="1F497D"/>
          <w:szCs w:val="24"/>
          <w:lang w:val="es-ES" w:eastAsia="es-ES"/>
        </w:rPr>
        <w:t>1</w:t>
      </w:r>
    </w:p>
    <w:tbl>
      <w:tblPr>
        <w:tblW w:w="5074" w:type="pct"/>
        <w:tblCellMar>
          <w:left w:w="70" w:type="dxa"/>
          <w:right w:w="70" w:type="dxa"/>
        </w:tblCellMar>
        <w:tblLook w:val="04A0" w:firstRow="1" w:lastRow="0" w:firstColumn="1" w:lastColumn="0" w:noHBand="0" w:noVBand="1"/>
      </w:tblPr>
      <w:tblGrid>
        <w:gridCol w:w="1010"/>
        <w:gridCol w:w="1010"/>
        <w:gridCol w:w="590"/>
        <w:gridCol w:w="730"/>
        <w:gridCol w:w="1000"/>
        <w:gridCol w:w="870"/>
        <w:gridCol w:w="1130"/>
        <w:gridCol w:w="961"/>
        <w:gridCol w:w="870"/>
        <w:gridCol w:w="860"/>
      </w:tblGrid>
      <w:tr w:rsidR="001D0C10" w:rsidRPr="00B55CDC" w14:paraId="15199CFC" w14:textId="77777777" w:rsidTr="001D0C10">
        <w:trPr>
          <w:trHeight w:val="1150"/>
        </w:trPr>
        <w:tc>
          <w:tcPr>
            <w:tcW w:w="55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1AA4367"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Despacho</w:t>
            </w:r>
          </w:p>
        </w:tc>
        <w:tc>
          <w:tcPr>
            <w:tcW w:w="551"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BE86E34"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Materia</w:t>
            </w:r>
          </w:p>
        </w:tc>
        <w:tc>
          <w:tcPr>
            <w:tcW w:w="794" w:type="pct"/>
            <w:gridSpan w:val="2"/>
            <w:tcBorders>
              <w:top w:val="single" w:sz="8" w:space="0" w:color="auto"/>
              <w:left w:val="nil"/>
              <w:bottom w:val="single" w:sz="8" w:space="0" w:color="auto"/>
              <w:right w:val="single" w:sz="8" w:space="0" w:color="000000"/>
            </w:tcBorders>
            <w:shd w:val="clear" w:color="000000" w:fill="002060"/>
            <w:vAlign w:val="center"/>
            <w:hideMark/>
          </w:tcPr>
          <w:p w14:paraId="2ED8AC0A"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Recurso humano actual</w:t>
            </w:r>
          </w:p>
        </w:tc>
        <w:tc>
          <w:tcPr>
            <w:tcW w:w="54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94CCBBB"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Porcentaje de dedicado por materia por juez</w:t>
            </w:r>
          </w:p>
        </w:tc>
        <w:tc>
          <w:tcPr>
            <w:tcW w:w="47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230A572"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w:t>
            </w:r>
          </w:p>
        </w:tc>
        <w:tc>
          <w:tcPr>
            <w:tcW w:w="61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F47B818"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Terminados al mes</w:t>
            </w:r>
          </w:p>
        </w:tc>
        <w:tc>
          <w:tcPr>
            <w:tcW w:w="52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D6E349B"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juzgadora</w:t>
            </w:r>
          </w:p>
        </w:tc>
        <w:tc>
          <w:tcPr>
            <w:tcW w:w="475"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7E4E783"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Entrados al mes por persona Tec. Jud. Trámite</w:t>
            </w:r>
          </w:p>
        </w:tc>
        <w:tc>
          <w:tcPr>
            <w:tcW w:w="469"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3927830"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Relación salida entre entrada</w:t>
            </w:r>
          </w:p>
        </w:tc>
      </w:tr>
      <w:tr w:rsidR="00D75070" w:rsidRPr="00B55CDC" w14:paraId="38646A55" w14:textId="77777777" w:rsidTr="001D0C10">
        <w:trPr>
          <w:trHeight w:val="590"/>
        </w:trPr>
        <w:tc>
          <w:tcPr>
            <w:tcW w:w="550" w:type="pct"/>
            <w:vMerge/>
            <w:tcBorders>
              <w:top w:val="single" w:sz="8" w:space="0" w:color="auto"/>
              <w:left w:val="single" w:sz="8" w:space="0" w:color="auto"/>
              <w:bottom w:val="single" w:sz="8" w:space="0" w:color="000000"/>
              <w:right w:val="single" w:sz="8" w:space="0" w:color="auto"/>
            </w:tcBorders>
            <w:vAlign w:val="center"/>
            <w:hideMark/>
          </w:tcPr>
          <w:p w14:paraId="12A83755"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551" w:type="pct"/>
            <w:vMerge/>
            <w:tcBorders>
              <w:top w:val="single" w:sz="8" w:space="0" w:color="auto"/>
              <w:left w:val="single" w:sz="8" w:space="0" w:color="auto"/>
              <w:bottom w:val="single" w:sz="8" w:space="0" w:color="000000"/>
              <w:right w:val="single" w:sz="8" w:space="0" w:color="auto"/>
            </w:tcBorders>
            <w:vAlign w:val="center"/>
            <w:hideMark/>
          </w:tcPr>
          <w:p w14:paraId="5A5F6BCE"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322" w:type="pct"/>
            <w:tcBorders>
              <w:top w:val="nil"/>
              <w:left w:val="nil"/>
              <w:bottom w:val="single" w:sz="8" w:space="0" w:color="auto"/>
              <w:right w:val="single" w:sz="8" w:space="0" w:color="auto"/>
            </w:tcBorders>
            <w:shd w:val="clear" w:color="000000" w:fill="002060"/>
            <w:vAlign w:val="center"/>
            <w:hideMark/>
          </w:tcPr>
          <w:p w14:paraId="19B792F5" w14:textId="77777777"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Jueza o Juez</w:t>
            </w:r>
          </w:p>
        </w:tc>
        <w:tc>
          <w:tcPr>
            <w:tcW w:w="472" w:type="pct"/>
            <w:tcBorders>
              <w:top w:val="nil"/>
              <w:left w:val="nil"/>
              <w:bottom w:val="single" w:sz="8" w:space="0" w:color="auto"/>
              <w:right w:val="single" w:sz="8" w:space="0" w:color="auto"/>
            </w:tcBorders>
            <w:shd w:val="clear" w:color="000000" w:fill="002060"/>
            <w:vAlign w:val="center"/>
            <w:hideMark/>
          </w:tcPr>
          <w:p w14:paraId="328D81AB" w14:textId="7DEFF166" w:rsidR="00D75070" w:rsidRPr="001D0C10" w:rsidRDefault="00D75070" w:rsidP="00D75070">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Téc. Jud. </w:t>
            </w:r>
            <w:r w:rsidR="00E85731" w:rsidRPr="00E85731">
              <w:rPr>
                <w:rFonts w:ascii="Book Antiqua" w:eastAsia="Times New Roman" w:hAnsi="Book Antiqua" w:cs="Calibri"/>
                <w:b/>
                <w:bCs/>
                <w:color w:val="FFFFFF"/>
                <w:sz w:val="18"/>
                <w:szCs w:val="18"/>
                <w:lang w:eastAsia="es-CR"/>
              </w:rPr>
              <w:t>D</w:t>
            </w:r>
            <w:r w:rsidRPr="001D0C10">
              <w:rPr>
                <w:rFonts w:ascii="Book Antiqua" w:eastAsia="Times New Roman" w:hAnsi="Book Antiqua" w:cs="Calibri"/>
                <w:b/>
                <w:bCs/>
                <w:color w:val="FFFFFF"/>
                <w:sz w:val="18"/>
                <w:szCs w:val="18"/>
                <w:lang w:eastAsia="es-CR"/>
              </w:rPr>
              <w:t>e trámite</w:t>
            </w:r>
          </w:p>
        </w:tc>
        <w:tc>
          <w:tcPr>
            <w:tcW w:w="545" w:type="pct"/>
            <w:vMerge/>
            <w:tcBorders>
              <w:top w:val="single" w:sz="8" w:space="0" w:color="auto"/>
              <w:left w:val="single" w:sz="8" w:space="0" w:color="auto"/>
              <w:bottom w:val="single" w:sz="8" w:space="0" w:color="000000"/>
              <w:right w:val="single" w:sz="8" w:space="0" w:color="auto"/>
            </w:tcBorders>
            <w:vAlign w:val="center"/>
            <w:hideMark/>
          </w:tcPr>
          <w:p w14:paraId="79B44D97"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475" w:type="pct"/>
            <w:vMerge/>
            <w:tcBorders>
              <w:top w:val="single" w:sz="8" w:space="0" w:color="auto"/>
              <w:left w:val="single" w:sz="8" w:space="0" w:color="auto"/>
              <w:bottom w:val="single" w:sz="8" w:space="0" w:color="000000"/>
              <w:right w:val="single" w:sz="8" w:space="0" w:color="auto"/>
            </w:tcBorders>
            <w:vAlign w:val="center"/>
            <w:hideMark/>
          </w:tcPr>
          <w:p w14:paraId="15119D35"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616" w:type="pct"/>
            <w:vMerge/>
            <w:tcBorders>
              <w:top w:val="single" w:sz="8" w:space="0" w:color="auto"/>
              <w:left w:val="single" w:sz="8" w:space="0" w:color="auto"/>
              <w:bottom w:val="single" w:sz="8" w:space="0" w:color="000000"/>
              <w:right w:val="single" w:sz="8" w:space="0" w:color="auto"/>
            </w:tcBorders>
            <w:vAlign w:val="center"/>
            <w:hideMark/>
          </w:tcPr>
          <w:p w14:paraId="5FC8BDC3"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524" w:type="pct"/>
            <w:vMerge/>
            <w:tcBorders>
              <w:top w:val="single" w:sz="8" w:space="0" w:color="auto"/>
              <w:left w:val="single" w:sz="8" w:space="0" w:color="auto"/>
              <w:bottom w:val="single" w:sz="8" w:space="0" w:color="000000"/>
              <w:right w:val="single" w:sz="8" w:space="0" w:color="auto"/>
            </w:tcBorders>
            <w:vAlign w:val="center"/>
            <w:hideMark/>
          </w:tcPr>
          <w:p w14:paraId="3324D4EE"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475" w:type="pct"/>
            <w:vMerge/>
            <w:tcBorders>
              <w:top w:val="single" w:sz="8" w:space="0" w:color="auto"/>
              <w:left w:val="single" w:sz="8" w:space="0" w:color="auto"/>
              <w:bottom w:val="single" w:sz="8" w:space="0" w:color="000000"/>
              <w:right w:val="single" w:sz="8" w:space="0" w:color="auto"/>
            </w:tcBorders>
            <w:vAlign w:val="center"/>
            <w:hideMark/>
          </w:tcPr>
          <w:p w14:paraId="2709884D"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c>
          <w:tcPr>
            <w:tcW w:w="469" w:type="pct"/>
            <w:vMerge/>
            <w:tcBorders>
              <w:top w:val="single" w:sz="8" w:space="0" w:color="auto"/>
              <w:left w:val="single" w:sz="8" w:space="0" w:color="auto"/>
              <w:bottom w:val="single" w:sz="8" w:space="0" w:color="000000"/>
              <w:right w:val="single" w:sz="8" w:space="0" w:color="auto"/>
            </w:tcBorders>
            <w:vAlign w:val="center"/>
            <w:hideMark/>
          </w:tcPr>
          <w:p w14:paraId="33BEC3A5" w14:textId="77777777" w:rsidR="00D75070" w:rsidRPr="001D0C10" w:rsidRDefault="00D75070" w:rsidP="00D75070">
            <w:pPr>
              <w:spacing w:after="0" w:line="240" w:lineRule="auto"/>
              <w:rPr>
                <w:rFonts w:ascii="Book Antiqua" w:eastAsia="Times New Roman" w:hAnsi="Book Antiqua" w:cs="Calibri"/>
                <w:b/>
                <w:bCs/>
                <w:color w:val="FFFFFF"/>
                <w:sz w:val="18"/>
                <w:szCs w:val="18"/>
                <w:lang w:eastAsia="es-CR"/>
              </w:rPr>
            </w:pPr>
          </w:p>
        </w:tc>
      </w:tr>
      <w:tr w:rsidR="002C30B5" w:rsidRPr="00B55CDC" w14:paraId="2D7A1827" w14:textId="77777777" w:rsidTr="00B55CDC">
        <w:trPr>
          <w:trHeight w:val="850"/>
        </w:trPr>
        <w:tc>
          <w:tcPr>
            <w:tcW w:w="55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7F500D1A"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Familia, Penal Juvenil y Viol. Dom. Cañas</w:t>
            </w:r>
          </w:p>
        </w:tc>
        <w:tc>
          <w:tcPr>
            <w:tcW w:w="551" w:type="pct"/>
            <w:tcBorders>
              <w:top w:val="nil"/>
              <w:left w:val="nil"/>
              <w:bottom w:val="single" w:sz="8" w:space="0" w:color="auto"/>
              <w:right w:val="single" w:sz="8" w:space="0" w:color="auto"/>
            </w:tcBorders>
            <w:shd w:val="clear" w:color="000000" w:fill="D9D9D9"/>
            <w:vAlign w:val="center"/>
            <w:hideMark/>
          </w:tcPr>
          <w:p w14:paraId="3D139090"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22"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329DB05E"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72"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6683C7A2"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545" w:type="pct"/>
            <w:tcBorders>
              <w:top w:val="nil"/>
              <w:left w:val="nil"/>
              <w:bottom w:val="single" w:sz="8" w:space="0" w:color="auto"/>
              <w:right w:val="single" w:sz="8" w:space="0" w:color="auto"/>
            </w:tcBorders>
            <w:shd w:val="clear" w:color="000000" w:fill="D9D9D9"/>
            <w:noWrap/>
            <w:vAlign w:val="center"/>
            <w:hideMark/>
          </w:tcPr>
          <w:p w14:paraId="688E889C"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3F1BC50E"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48</w:t>
            </w:r>
          </w:p>
        </w:tc>
        <w:tc>
          <w:tcPr>
            <w:tcW w:w="616" w:type="pct"/>
            <w:tcBorders>
              <w:top w:val="nil"/>
              <w:left w:val="nil"/>
              <w:bottom w:val="single" w:sz="8" w:space="0" w:color="auto"/>
              <w:right w:val="single" w:sz="8" w:space="0" w:color="auto"/>
            </w:tcBorders>
            <w:shd w:val="clear" w:color="000000" w:fill="D9D9D9"/>
            <w:noWrap/>
            <w:vAlign w:val="center"/>
            <w:hideMark/>
          </w:tcPr>
          <w:p w14:paraId="276371A5"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34</w:t>
            </w:r>
          </w:p>
        </w:tc>
        <w:tc>
          <w:tcPr>
            <w:tcW w:w="524" w:type="pct"/>
            <w:tcBorders>
              <w:top w:val="nil"/>
              <w:left w:val="nil"/>
              <w:bottom w:val="single" w:sz="8" w:space="0" w:color="auto"/>
              <w:right w:val="single" w:sz="8" w:space="0" w:color="auto"/>
            </w:tcBorders>
            <w:shd w:val="clear" w:color="000000" w:fill="D9D9D9"/>
            <w:noWrap/>
            <w:vAlign w:val="center"/>
            <w:hideMark/>
          </w:tcPr>
          <w:p w14:paraId="2D0B8C5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24</w:t>
            </w:r>
          </w:p>
        </w:tc>
        <w:tc>
          <w:tcPr>
            <w:tcW w:w="475" w:type="pct"/>
            <w:tcBorders>
              <w:top w:val="nil"/>
              <w:left w:val="nil"/>
              <w:bottom w:val="single" w:sz="8" w:space="0" w:color="auto"/>
              <w:right w:val="single" w:sz="8" w:space="0" w:color="auto"/>
            </w:tcBorders>
            <w:shd w:val="clear" w:color="000000" w:fill="D9D9D9"/>
            <w:noWrap/>
            <w:vAlign w:val="center"/>
            <w:hideMark/>
          </w:tcPr>
          <w:p w14:paraId="2F132DA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24</w:t>
            </w:r>
          </w:p>
        </w:tc>
        <w:tc>
          <w:tcPr>
            <w:tcW w:w="469" w:type="pct"/>
            <w:tcBorders>
              <w:top w:val="nil"/>
              <w:left w:val="nil"/>
              <w:bottom w:val="single" w:sz="8" w:space="0" w:color="auto"/>
              <w:right w:val="single" w:sz="8" w:space="0" w:color="auto"/>
            </w:tcBorders>
            <w:shd w:val="clear" w:color="000000" w:fill="D9D9D9"/>
            <w:noWrap/>
            <w:vAlign w:val="center"/>
            <w:hideMark/>
          </w:tcPr>
          <w:p w14:paraId="0DCA85C2"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72%</w:t>
            </w:r>
          </w:p>
        </w:tc>
      </w:tr>
      <w:tr w:rsidR="001D0C10" w:rsidRPr="00B55CDC" w14:paraId="70819815"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3FFD5E3E"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000000" w:fill="D9D9D9"/>
            <w:vAlign w:val="center"/>
            <w:hideMark/>
          </w:tcPr>
          <w:p w14:paraId="761554B3"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22" w:type="pct"/>
            <w:vMerge/>
            <w:tcBorders>
              <w:top w:val="nil"/>
              <w:left w:val="single" w:sz="8" w:space="0" w:color="auto"/>
              <w:bottom w:val="single" w:sz="8" w:space="0" w:color="000000"/>
              <w:right w:val="single" w:sz="8" w:space="0" w:color="auto"/>
            </w:tcBorders>
            <w:vAlign w:val="center"/>
            <w:hideMark/>
          </w:tcPr>
          <w:p w14:paraId="2B5F519D"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02CAADCF"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000000" w:fill="D9D9D9"/>
            <w:noWrap/>
            <w:vAlign w:val="center"/>
            <w:hideMark/>
          </w:tcPr>
          <w:p w14:paraId="347A9366"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5D75888C"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44</w:t>
            </w:r>
          </w:p>
        </w:tc>
        <w:tc>
          <w:tcPr>
            <w:tcW w:w="616" w:type="pct"/>
            <w:tcBorders>
              <w:top w:val="nil"/>
              <w:left w:val="nil"/>
              <w:bottom w:val="single" w:sz="8" w:space="0" w:color="auto"/>
              <w:right w:val="single" w:sz="8" w:space="0" w:color="auto"/>
            </w:tcBorders>
            <w:shd w:val="clear" w:color="000000" w:fill="D9D9D9"/>
            <w:noWrap/>
            <w:vAlign w:val="center"/>
            <w:hideMark/>
          </w:tcPr>
          <w:p w14:paraId="0104413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46</w:t>
            </w:r>
          </w:p>
        </w:tc>
        <w:tc>
          <w:tcPr>
            <w:tcW w:w="524" w:type="pct"/>
            <w:tcBorders>
              <w:top w:val="nil"/>
              <w:left w:val="nil"/>
              <w:bottom w:val="single" w:sz="8" w:space="0" w:color="auto"/>
              <w:right w:val="single" w:sz="8" w:space="0" w:color="auto"/>
            </w:tcBorders>
            <w:shd w:val="clear" w:color="000000" w:fill="D9D9D9"/>
            <w:noWrap/>
            <w:vAlign w:val="center"/>
            <w:hideMark/>
          </w:tcPr>
          <w:p w14:paraId="1B45E8F1"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22</w:t>
            </w:r>
          </w:p>
        </w:tc>
        <w:tc>
          <w:tcPr>
            <w:tcW w:w="475" w:type="pct"/>
            <w:tcBorders>
              <w:top w:val="nil"/>
              <w:left w:val="nil"/>
              <w:bottom w:val="single" w:sz="8" w:space="0" w:color="auto"/>
              <w:right w:val="single" w:sz="8" w:space="0" w:color="auto"/>
            </w:tcBorders>
            <w:shd w:val="clear" w:color="000000" w:fill="D9D9D9"/>
            <w:noWrap/>
            <w:vAlign w:val="center"/>
            <w:hideMark/>
          </w:tcPr>
          <w:p w14:paraId="64062DDB"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22</w:t>
            </w:r>
          </w:p>
        </w:tc>
        <w:tc>
          <w:tcPr>
            <w:tcW w:w="469" w:type="pct"/>
            <w:tcBorders>
              <w:top w:val="nil"/>
              <w:left w:val="nil"/>
              <w:bottom w:val="single" w:sz="8" w:space="0" w:color="auto"/>
              <w:right w:val="single" w:sz="8" w:space="0" w:color="auto"/>
            </w:tcBorders>
            <w:shd w:val="clear" w:color="000000" w:fill="D9D9D9"/>
            <w:noWrap/>
            <w:vAlign w:val="center"/>
            <w:hideMark/>
          </w:tcPr>
          <w:p w14:paraId="5C1A1AC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103%</w:t>
            </w:r>
          </w:p>
        </w:tc>
      </w:tr>
      <w:tr w:rsidR="001D0C10" w:rsidRPr="00B55CDC" w14:paraId="72D5CBD9"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36B45763"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000000" w:fill="D9D9D9"/>
            <w:vAlign w:val="center"/>
            <w:hideMark/>
          </w:tcPr>
          <w:p w14:paraId="3F895140"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Penal Juvenil</w:t>
            </w:r>
          </w:p>
        </w:tc>
        <w:tc>
          <w:tcPr>
            <w:tcW w:w="322" w:type="pct"/>
            <w:vMerge/>
            <w:tcBorders>
              <w:top w:val="nil"/>
              <w:left w:val="single" w:sz="8" w:space="0" w:color="auto"/>
              <w:bottom w:val="single" w:sz="8" w:space="0" w:color="000000"/>
              <w:right w:val="single" w:sz="8" w:space="0" w:color="auto"/>
            </w:tcBorders>
            <w:vAlign w:val="center"/>
            <w:hideMark/>
          </w:tcPr>
          <w:p w14:paraId="11FEC764"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7633F136"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000000" w:fill="D9D9D9"/>
            <w:noWrap/>
            <w:vAlign w:val="center"/>
            <w:hideMark/>
          </w:tcPr>
          <w:p w14:paraId="41B99310"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074B9CC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12</w:t>
            </w:r>
          </w:p>
        </w:tc>
        <w:tc>
          <w:tcPr>
            <w:tcW w:w="616" w:type="pct"/>
            <w:tcBorders>
              <w:top w:val="nil"/>
              <w:left w:val="nil"/>
              <w:bottom w:val="single" w:sz="8" w:space="0" w:color="auto"/>
              <w:right w:val="single" w:sz="8" w:space="0" w:color="auto"/>
            </w:tcBorders>
            <w:shd w:val="clear" w:color="000000" w:fill="D9D9D9"/>
            <w:noWrap/>
            <w:vAlign w:val="center"/>
            <w:hideMark/>
          </w:tcPr>
          <w:p w14:paraId="7AC9B768"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w:t>
            </w:r>
          </w:p>
        </w:tc>
        <w:tc>
          <w:tcPr>
            <w:tcW w:w="524" w:type="pct"/>
            <w:tcBorders>
              <w:top w:val="nil"/>
              <w:left w:val="nil"/>
              <w:bottom w:val="single" w:sz="8" w:space="0" w:color="auto"/>
              <w:right w:val="single" w:sz="8" w:space="0" w:color="auto"/>
            </w:tcBorders>
            <w:shd w:val="clear" w:color="000000" w:fill="D9D9D9"/>
            <w:noWrap/>
            <w:vAlign w:val="center"/>
            <w:hideMark/>
          </w:tcPr>
          <w:p w14:paraId="278E176E"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w:t>
            </w:r>
          </w:p>
        </w:tc>
        <w:tc>
          <w:tcPr>
            <w:tcW w:w="475" w:type="pct"/>
            <w:tcBorders>
              <w:top w:val="nil"/>
              <w:left w:val="nil"/>
              <w:bottom w:val="single" w:sz="8" w:space="0" w:color="auto"/>
              <w:right w:val="single" w:sz="8" w:space="0" w:color="auto"/>
            </w:tcBorders>
            <w:shd w:val="clear" w:color="000000" w:fill="D9D9D9"/>
            <w:noWrap/>
            <w:vAlign w:val="center"/>
            <w:hideMark/>
          </w:tcPr>
          <w:p w14:paraId="11259A2D"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w:t>
            </w:r>
          </w:p>
        </w:tc>
        <w:tc>
          <w:tcPr>
            <w:tcW w:w="469" w:type="pct"/>
            <w:tcBorders>
              <w:top w:val="nil"/>
              <w:left w:val="nil"/>
              <w:bottom w:val="single" w:sz="8" w:space="0" w:color="auto"/>
              <w:right w:val="single" w:sz="8" w:space="0" w:color="auto"/>
            </w:tcBorders>
            <w:shd w:val="clear" w:color="000000" w:fill="D9D9D9"/>
            <w:noWrap/>
            <w:vAlign w:val="center"/>
            <w:hideMark/>
          </w:tcPr>
          <w:p w14:paraId="6A98613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108%</w:t>
            </w:r>
          </w:p>
        </w:tc>
      </w:tr>
      <w:tr w:rsidR="00D75070" w:rsidRPr="00B55CDC" w14:paraId="6B0D7CAF" w14:textId="77777777" w:rsidTr="001D0C10">
        <w:trPr>
          <w:trHeight w:val="850"/>
        </w:trPr>
        <w:tc>
          <w:tcPr>
            <w:tcW w:w="550" w:type="pct"/>
            <w:vMerge w:val="restart"/>
            <w:tcBorders>
              <w:top w:val="nil"/>
              <w:left w:val="single" w:sz="8" w:space="0" w:color="auto"/>
              <w:bottom w:val="single" w:sz="8" w:space="0" w:color="000000"/>
              <w:right w:val="single" w:sz="8" w:space="0" w:color="auto"/>
            </w:tcBorders>
            <w:shd w:val="clear" w:color="auto" w:fill="auto"/>
            <w:vAlign w:val="center"/>
            <w:hideMark/>
          </w:tcPr>
          <w:p w14:paraId="0EFA3A5F"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lastRenderedPageBreak/>
              <w:t>Juzgado Familia, Penal Juvenil y Viol. Dom. Turrialba</w:t>
            </w:r>
          </w:p>
        </w:tc>
        <w:tc>
          <w:tcPr>
            <w:tcW w:w="551" w:type="pct"/>
            <w:tcBorders>
              <w:top w:val="nil"/>
              <w:left w:val="nil"/>
              <w:bottom w:val="single" w:sz="8" w:space="0" w:color="auto"/>
              <w:right w:val="single" w:sz="8" w:space="0" w:color="auto"/>
            </w:tcBorders>
            <w:shd w:val="clear" w:color="auto" w:fill="auto"/>
            <w:vAlign w:val="center"/>
            <w:hideMark/>
          </w:tcPr>
          <w:p w14:paraId="309E0FC7"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22"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AD000C9"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72"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8BB0166"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45" w:type="pct"/>
            <w:tcBorders>
              <w:top w:val="nil"/>
              <w:left w:val="nil"/>
              <w:bottom w:val="single" w:sz="8" w:space="0" w:color="auto"/>
              <w:right w:val="single" w:sz="8" w:space="0" w:color="auto"/>
            </w:tcBorders>
            <w:shd w:val="clear" w:color="auto" w:fill="auto"/>
            <w:noWrap/>
            <w:vAlign w:val="center"/>
            <w:hideMark/>
          </w:tcPr>
          <w:p w14:paraId="193192DA"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auto" w:fill="auto"/>
            <w:noWrap/>
            <w:vAlign w:val="center"/>
            <w:hideMark/>
          </w:tcPr>
          <w:p w14:paraId="1DDB8525"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52</w:t>
            </w:r>
          </w:p>
        </w:tc>
        <w:tc>
          <w:tcPr>
            <w:tcW w:w="616" w:type="pct"/>
            <w:tcBorders>
              <w:top w:val="nil"/>
              <w:left w:val="nil"/>
              <w:bottom w:val="single" w:sz="8" w:space="0" w:color="auto"/>
              <w:right w:val="single" w:sz="8" w:space="0" w:color="auto"/>
            </w:tcBorders>
            <w:shd w:val="clear" w:color="auto" w:fill="auto"/>
            <w:noWrap/>
            <w:vAlign w:val="center"/>
            <w:hideMark/>
          </w:tcPr>
          <w:p w14:paraId="098FAF0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44</w:t>
            </w:r>
          </w:p>
        </w:tc>
        <w:tc>
          <w:tcPr>
            <w:tcW w:w="524" w:type="pct"/>
            <w:tcBorders>
              <w:top w:val="nil"/>
              <w:left w:val="nil"/>
              <w:bottom w:val="single" w:sz="8" w:space="0" w:color="auto"/>
              <w:right w:val="single" w:sz="8" w:space="0" w:color="auto"/>
            </w:tcBorders>
            <w:shd w:val="clear" w:color="auto" w:fill="auto"/>
            <w:noWrap/>
            <w:vAlign w:val="center"/>
            <w:hideMark/>
          </w:tcPr>
          <w:p w14:paraId="6839E65F"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75" w:type="pct"/>
            <w:tcBorders>
              <w:top w:val="nil"/>
              <w:left w:val="nil"/>
              <w:bottom w:val="single" w:sz="8" w:space="0" w:color="auto"/>
              <w:right w:val="single" w:sz="8" w:space="0" w:color="auto"/>
            </w:tcBorders>
            <w:shd w:val="clear" w:color="auto" w:fill="auto"/>
            <w:noWrap/>
            <w:vAlign w:val="center"/>
            <w:hideMark/>
          </w:tcPr>
          <w:p w14:paraId="1047B40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69" w:type="pct"/>
            <w:tcBorders>
              <w:top w:val="nil"/>
              <w:left w:val="nil"/>
              <w:bottom w:val="single" w:sz="8" w:space="0" w:color="auto"/>
              <w:right w:val="single" w:sz="8" w:space="0" w:color="auto"/>
            </w:tcBorders>
            <w:shd w:val="clear" w:color="auto" w:fill="auto"/>
            <w:noWrap/>
            <w:vAlign w:val="center"/>
            <w:hideMark/>
          </w:tcPr>
          <w:p w14:paraId="29D1A757"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85%</w:t>
            </w:r>
          </w:p>
        </w:tc>
      </w:tr>
      <w:tr w:rsidR="00D75070" w:rsidRPr="00B55CDC" w14:paraId="23DF2CE4"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7F753BBC"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auto" w:fill="auto"/>
            <w:vAlign w:val="center"/>
            <w:hideMark/>
          </w:tcPr>
          <w:p w14:paraId="4F81865E"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22" w:type="pct"/>
            <w:vMerge/>
            <w:tcBorders>
              <w:top w:val="nil"/>
              <w:left w:val="single" w:sz="8" w:space="0" w:color="auto"/>
              <w:bottom w:val="single" w:sz="8" w:space="0" w:color="000000"/>
              <w:right w:val="single" w:sz="8" w:space="0" w:color="auto"/>
            </w:tcBorders>
            <w:vAlign w:val="center"/>
            <w:hideMark/>
          </w:tcPr>
          <w:p w14:paraId="370CB3B8"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7D575F13"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auto" w:fill="auto"/>
            <w:noWrap/>
            <w:vAlign w:val="center"/>
            <w:hideMark/>
          </w:tcPr>
          <w:p w14:paraId="1BE755D0"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auto" w:fill="auto"/>
            <w:noWrap/>
            <w:vAlign w:val="center"/>
            <w:hideMark/>
          </w:tcPr>
          <w:p w14:paraId="14D3D46C"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79</w:t>
            </w:r>
          </w:p>
        </w:tc>
        <w:tc>
          <w:tcPr>
            <w:tcW w:w="616" w:type="pct"/>
            <w:tcBorders>
              <w:top w:val="nil"/>
              <w:left w:val="nil"/>
              <w:bottom w:val="single" w:sz="8" w:space="0" w:color="auto"/>
              <w:right w:val="single" w:sz="8" w:space="0" w:color="auto"/>
            </w:tcBorders>
            <w:shd w:val="clear" w:color="auto" w:fill="auto"/>
            <w:noWrap/>
            <w:vAlign w:val="center"/>
            <w:hideMark/>
          </w:tcPr>
          <w:p w14:paraId="1D88EE21"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82</w:t>
            </w:r>
          </w:p>
        </w:tc>
        <w:tc>
          <w:tcPr>
            <w:tcW w:w="524" w:type="pct"/>
            <w:tcBorders>
              <w:top w:val="nil"/>
              <w:left w:val="nil"/>
              <w:bottom w:val="single" w:sz="8" w:space="0" w:color="auto"/>
              <w:right w:val="single" w:sz="8" w:space="0" w:color="auto"/>
            </w:tcBorders>
            <w:shd w:val="clear" w:color="auto" w:fill="auto"/>
            <w:noWrap/>
            <w:vAlign w:val="center"/>
            <w:hideMark/>
          </w:tcPr>
          <w:p w14:paraId="292438FD"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39</w:t>
            </w:r>
          </w:p>
        </w:tc>
        <w:tc>
          <w:tcPr>
            <w:tcW w:w="475" w:type="pct"/>
            <w:tcBorders>
              <w:top w:val="nil"/>
              <w:left w:val="nil"/>
              <w:bottom w:val="single" w:sz="8" w:space="0" w:color="auto"/>
              <w:right w:val="single" w:sz="8" w:space="0" w:color="auto"/>
            </w:tcBorders>
            <w:shd w:val="clear" w:color="auto" w:fill="auto"/>
            <w:noWrap/>
            <w:vAlign w:val="center"/>
            <w:hideMark/>
          </w:tcPr>
          <w:p w14:paraId="6DAB02F2"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26</w:t>
            </w:r>
          </w:p>
        </w:tc>
        <w:tc>
          <w:tcPr>
            <w:tcW w:w="469" w:type="pct"/>
            <w:tcBorders>
              <w:top w:val="nil"/>
              <w:left w:val="nil"/>
              <w:bottom w:val="single" w:sz="8" w:space="0" w:color="auto"/>
              <w:right w:val="single" w:sz="8" w:space="0" w:color="auto"/>
            </w:tcBorders>
            <w:shd w:val="clear" w:color="auto" w:fill="auto"/>
            <w:noWrap/>
            <w:vAlign w:val="center"/>
            <w:hideMark/>
          </w:tcPr>
          <w:p w14:paraId="549CF13A"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104%</w:t>
            </w:r>
          </w:p>
        </w:tc>
      </w:tr>
      <w:tr w:rsidR="00D75070" w:rsidRPr="00B55CDC" w14:paraId="4C509A68"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43C9F31B"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auto" w:fill="auto"/>
            <w:vAlign w:val="center"/>
            <w:hideMark/>
          </w:tcPr>
          <w:p w14:paraId="35802934"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Penal Juvenil</w:t>
            </w:r>
          </w:p>
        </w:tc>
        <w:tc>
          <w:tcPr>
            <w:tcW w:w="322" w:type="pct"/>
            <w:vMerge/>
            <w:tcBorders>
              <w:top w:val="nil"/>
              <w:left w:val="single" w:sz="8" w:space="0" w:color="auto"/>
              <w:bottom w:val="single" w:sz="8" w:space="0" w:color="000000"/>
              <w:right w:val="single" w:sz="8" w:space="0" w:color="auto"/>
            </w:tcBorders>
            <w:vAlign w:val="center"/>
            <w:hideMark/>
          </w:tcPr>
          <w:p w14:paraId="10B973EE"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35A1223D"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auto" w:fill="auto"/>
            <w:noWrap/>
            <w:vAlign w:val="center"/>
            <w:hideMark/>
          </w:tcPr>
          <w:p w14:paraId="01AB6185"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auto" w:fill="auto"/>
            <w:noWrap/>
            <w:vAlign w:val="center"/>
            <w:hideMark/>
          </w:tcPr>
          <w:p w14:paraId="26C8D940"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w:t>
            </w:r>
          </w:p>
        </w:tc>
        <w:tc>
          <w:tcPr>
            <w:tcW w:w="616" w:type="pct"/>
            <w:tcBorders>
              <w:top w:val="nil"/>
              <w:left w:val="nil"/>
              <w:bottom w:val="single" w:sz="8" w:space="0" w:color="auto"/>
              <w:right w:val="single" w:sz="8" w:space="0" w:color="auto"/>
            </w:tcBorders>
            <w:shd w:val="clear" w:color="auto" w:fill="auto"/>
            <w:noWrap/>
            <w:vAlign w:val="center"/>
            <w:hideMark/>
          </w:tcPr>
          <w:p w14:paraId="02432CFF"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14</w:t>
            </w:r>
          </w:p>
        </w:tc>
        <w:tc>
          <w:tcPr>
            <w:tcW w:w="524" w:type="pct"/>
            <w:tcBorders>
              <w:top w:val="nil"/>
              <w:left w:val="nil"/>
              <w:bottom w:val="single" w:sz="8" w:space="0" w:color="auto"/>
              <w:right w:val="single" w:sz="8" w:space="0" w:color="auto"/>
            </w:tcBorders>
            <w:shd w:val="clear" w:color="auto" w:fill="auto"/>
            <w:noWrap/>
            <w:vAlign w:val="center"/>
            <w:hideMark/>
          </w:tcPr>
          <w:p w14:paraId="6621D45A"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w:t>
            </w:r>
          </w:p>
        </w:tc>
        <w:tc>
          <w:tcPr>
            <w:tcW w:w="475" w:type="pct"/>
            <w:tcBorders>
              <w:top w:val="nil"/>
              <w:left w:val="nil"/>
              <w:bottom w:val="single" w:sz="8" w:space="0" w:color="auto"/>
              <w:right w:val="single" w:sz="8" w:space="0" w:color="auto"/>
            </w:tcBorders>
            <w:shd w:val="clear" w:color="auto" w:fill="auto"/>
            <w:noWrap/>
            <w:vAlign w:val="center"/>
            <w:hideMark/>
          </w:tcPr>
          <w:p w14:paraId="3ADC76DC"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w:t>
            </w:r>
          </w:p>
        </w:tc>
        <w:tc>
          <w:tcPr>
            <w:tcW w:w="469" w:type="pct"/>
            <w:tcBorders>
              <w:top w:val="nil"/>
              <w:left w:val="nil"/>
              <w:bottom w:val="single" w:sz="8" w:space="0" w:color="auto"/>
              <w:right w:val="single" w:sz="8" w:space="0" w:color="auto"/>
            </w:tcBorders>
            <w:shd w:val="clear" w:color="auto" w:fill="auto"/>
            <w:noWrap/>
            <w:vAlign w:val="center"/>
            <w:hideMark/>
          </w:tcPr>
          <w:p w14:paraId="36C8B18F"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109%</w:t>
            </w:r>
          </w:p>
        </w:tc>
      </w:tr>
      <w:tr w:rsidR="002C30B5" w:rsidRPr="00B55CDC" w14:paraId="2CFDBF0F" w14:textId="77777777" w:rsidTr="00B55CDC">
        <w:trPr>
          <w:trHeight w:val="1140"/>
        </w:trPr>
        <w:tc>
          <w:tcPr>
            <w:tcW w:w="550" w:type="pct"/>
            <w:vMerge w:val="restart"/>
            <w:tcBorders>
              <w:top w:val="nil"/>
              <w:left w:val="single" w:sz="8" w:space="0" w:color="auto"/>
              <w:bottom w:val="single" w:sz="8" w:space="0" w:color="000000"/>
              <w:right w:val="single" w:sz="8" w:space="0" w:color="auto"/>
            </w:tcBorders>
            <w:shd w:val="clear" w:color="000000" w:fill="D9D9D9"/>
            <w:vAlign w:val="center"/>
            <w:hideMark/>
          </w:tcPr>
          <w:p w14:paraId="4B40715B"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Juzgado de Familia, Penal Juvenil y Viol. Doméstica de Quepos</w:t>
            </w:r>
          </w:p>
        </w:tc>
        <w:tc>
          <w:tcPr>
            <w:tcW w:w="551" w:type="pct"/>
            <w:tcBorders>
              <w:top w:val="nil"/>
              <w:left w:val="nil"/>
              <w:bottom w:val="single" w:sz="8" w:space="0" w:color="auto"/>
              <w:right w:val="single" w:sz="8" w:space="0" w:color="auto"/>
            </w:tcBorders>
            <w:shd w:val="clear" w:color="000000" w:fill="D9D9D9"/>
            <w:vAlign w:val="center"/>
            <w:hideMark/>
          </w:tcPr>
          <w:p w14:paraId="02498747"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Familia</w:t>
            </w:r>
          </w:p>
        </w:tc>
        <w:tc>
          <w:tcPr>
            <w:tcW w:w="322"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9D772C0"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w:t>
            </w:r>
          </w:p>
        </w:tc>
        <w:tc>
          <w:tcPr>
            <w:tcW w:w="472" w:type="pct"/>
            <w:vMerge w:val="restart"/>
            <w:tcBorders>
              <w:top w:val="nil"/>
              <w:left w:val="single" w:sz="8" w:space="0" w:color="auto"/>
              <w:bottom w:val="single" w:sz="8" w:space="0" w:color="000000"/>
              <w:right w:val="single" w:sz="8" w:space="0" w:color="auto"/>
            </w:tcBorders>
            <w:shd w:val="clear" w:color="000000" w:fill="D9D9D9"/>
            <w:noWrap/>
            <w:vAlign w:val="center"/>
            <w:hideMark/>
          </w:tcPr>
          <w:p w14:paraId="395A264A"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545" w:type="pct"/>
            <w:tcBorders>
              <w:top w:val="nil"/>
              <w:left w:val="nil"/>
              <w:bottom w:val="single" w:sz="8" w:space="0" w:color="auto"/>
              <w:right w:val="single" w:sz="8" w:space="0" w:color="auto"/>
            </w:tcBorders>
            <w:shd w:val="clear" w:color="000000" w:fill="D9D9D9"/>
            <w:noWrap/>
            <w:vAlign w:val="center"/>
            <w:hideMark/>
          </w:tcPr>
          <w:p w14:paraId="527BBCFF"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700E73DA"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34</w:t>
            </w:r>
          </w:p>
        </w:tc>
        <w:tc>
          <w:tcPr>
            <w:tcW w:w="616" w:type="pct"/>
            <w:tcBorders>
              <w:top w:val="nil"/>
              <w:left w:val="nil"/>
              <w:bottom w:val="single" w:sz="8" w:space="0" w:color="auto"/>
              <w:right w:val="single" w:sz="8" w:space="0" w:color="auto"/>
            </w:tcBorders>
            <w:shd w:val="clear" w:color="000000" w:fill="D9D9D9"/>
            <w:noWrap/>
            <w:vAlign w:val="center"/>
            <w:hideMark/>
          </w:tcPr>
          <w:p w14:paraId="757F5DA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28</w:t>
            </w:r>
          </w:p>
        </w:tc>
        <w:tc>
          <w:tcPr>
            <w:tcW w:w="524" w:type="pct"/>
            <w:tcBorders>
              <w:top w:val="nil"/>
              <w:left w:val="nil"/>
              <w:bottom w:val="single" w:sz="8" w:space="0" w:color="auto"/>
              <w:right w:val="single" w:sz="8" w:space="0" w:color="auto"/>
            </w:tcBorders>
            <w:shd w:val="clear" w:color="000000" w:fill="D9D9D9"/>
            <w:noWrap/>
            <w:vAlign w:val="center"/>
            <w:hideMark/>
          </w:tcPr>
          <w:p w14:paraId="323848B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75" w:type="pct"/>
            <w:tcBorders>
              <w:top w:val="nil"/>
              <w:left w:val="nil"/>
              <w:bottom w:val="single" w:sz="8" w:space="0" w:color="auto"/>
              <w:right w:val="single" w:sz="8" w:space="0" w:color="auto"/>
            </w:tcBorders>
            <w:shd w:val="clear" w:color="000000" w:fill="D9D9D9"/>
            <w:noWrap/>
            <w:vAlign w:val="center"/>
            <w:hideMark/>
          </w:tcPr>
          <w:p w14:paraId="3449D910"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w:t>
            </w:r>
          </w:p>
        </w:tc>
        <w:tc>
          <w:tcPr>
            <w:tcW w:w="469" w:type="pct"/>
            <w:tcBorders>
              <w:top w:val="nil"/>
              <w:left w:val="nil"/>
              <w:bottom w:val="single" w:sz="8" w:space="0" w:color="auto"/>
              <w:right w:val="single" w:sz="8" w:space="0" w:color="auto"/>
            </w:tcBorders>
            <w:shd w:val="clear" w:color="000000" w:fill="D9D9D9"/>
            <w:noWrap/>
            <w:vAlign w:val="center"/>
            <w:hideMark/>
          </w:tcPr>
          <w:p w14:paraId="10191315"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82%</w:t>
            </w:r>
          </w:p>
        </w:tc>
      </w:tr>
      <w:tr w:rsidR="001D0C10" w:rsidRPr="00B55CDC" w14:paraId="3A0FF5D0"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1D975F4B"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000000" w:fill="D9D9D9"/>
            <w:vAlign w:val="center"/>
            <w:hideMark/>
          </w:tcPr>
          <w:p w14:paraId="532F869A"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Viol. Doméstica</w:t>
            </w:r>
          </w:p>
        </w:tc>
        <w:tc>
          <w:tcPr>
            <w:tcW w:w="322" w:type="pct"/>
            <w:vMerge/>
            <w:tcBorders>
              <w:top w:val="nil"/>
              <w:left w:val="single" w:sz="8" w:space="0" w:color="auto"/>
              <w:bottom w:val="single" w:sz="8" w:space="0" w:color="000000"/>
              <w:right w:val="single" w:sz="8" w:space="0" w:color="auto"/>
            </w:tcBorders>
            <w:vAlign w:val="center"/>
            <w:hideMark/>
          </w:tcPr>
          <w:p w14:paraId="614BB149"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2FDD3A93"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000000" w:fill="D9D9D9"/>
            <w:noWrap/>
            <w:vAlign w:val="center"/>
            <w:hideMark/>
          </w:tcPr>
          <w:p w14:paraId="551CF94F"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539538B8"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51</w:t>
            </w:r>
          </w:p>
        </w:tc>
        <w:tc>
          <w:tcPr>
            <w:tcW w:w="616" w:type="pct"/>
            <w:tcBorders>
              <w:top w:val="nil"/>
              <w:left w:val="nil"/>
              <w:bottom w:val="single" w:sz="8" w:space="0" w:color="auto"/>
              <w:right w:val="single" w:sz="8" w:space="0" w:color="auto"/>
            </w:tcBorders>
            <w:shd w:val="clear" w:color="000000" w:fill="D9D9D9"/>
            <w:noWrap/>
            <w:vAlign w:val="center"/>
            <w:hideMark/>
          </w:tcPr>
          <w:p w14:paraId="1EADCFB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51</w:t>
            </w:r>
          </w:p>
        </w:tc>
        <w:tc>
          <w:tcPr>
            <w:tcW w:w="524" w:type="pct"/>
            <w:tcBorders>
              <w:top w:val="nil"/>
              <w:left w:val="nil"/>
              <w:bottom w:val="single" w:sz="8" w:space="0" w:color="auto"/>
              <w:right w:val="single" w:sz="8" w:space="0" w:color="auto"/>
            </w:tcBorders>
            <w:shd w:val="clear" w:color="000000" w:fill="D9D9D9"/>
            <w:noWrap/>
            <w:vAlign w:val="center"/>
            <w:hideMark/>
          </w:tcPr>
          <w:p w14:paraId="0D05CC3D"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25</w:t>
            </w:r>
          </w:p>
        </w:tc>
        <w:tc>
          <w:tcPr>
            <w:tcW w:w="475" w:type="pct"/>
            <w:tcBorders>
              <w:top w:val="nil"/>
              <w:left w:val="nil"/>
              <w:bottom w:val="single" w:sz="8" w:space="0" w:color="auto"/>
              <w:right w:val="single" w:sz="8" w:space="0" w:color="auto"/>
            </w:tcBorders>
            <w:shd w:val="clear" w:color="000000" w:fill="D9D9D9"/>
            <w:noWrap/>
            <w:vAlign w:val="center"/>
            <w:hideMark/>
          </w:tcPr>
          <w:p w14:paraId="3278FB34"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17</w:t>
            </w:r>
          </w:p>
        </w:tc>
        <w:tc>
          <w:tcPr>
            <w:tcW w:w="469" w:type="pct"/>
            <w:tcBorders>
              <w:top w:val="nil"/>
              <w:left w:val="nil"/>
              <w:bottom w:val="single" w:sz="8" w:space="0" w:color="auto"/>
              <w:right w:val="single" w:sz="8" w:space="0" w:color="auto"/>
            </w:tcBorders>
            <w:shd w:val="clear" w:color="000000" w:fill="D9D9D9"/>
            <w:noWrap/>
            <w:vAlign w:val="center"/>
            <w:hideMark/>
          </w:tcPr>
          <w:p w14:paraId="6649D8D3"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102%</w:t>
            </w:r>
          </w:p>
        </w:tc>
      </w:tr>
      <w:tr w:rsidR="001D0C10" w:rsidRPr="00B55CDC" w14:paraId="36D2DD66" w14:textId="77777777" w:rsidTr="001D0C10">
        <w:trPr>
          <w:trHeight w:val="590"/>
        </w:trPr>
        <w:tc>
          <w:tcPr>
            <w:tcW w:w="550" w:type="pct"/>
            <w:vMerge/>
            <w:tcBorders>
              <w:top w:val="nil"/>
              <w:left w:val="single" w:sz="8" w:space="0" w:color="auto"/>
              <w:bottom w:val="single" w:sz="8" w:space="0" w:color="000000"/>
              <w:right w:val="single" w:sz="8" w:space="0" w:color="auto"/>
            </w:tcBorders>
            <w:vAlign w:val="center"/>
            <w:hideMark/>
          </w:tcPr>
          <w:p w14:paraId="1155FA44"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p>
        </w:tc>
        <w:tc>
          <w:tcPr>
            <w:tcW w:w="551" w:type="pct"/>
            <w:tcBorders>
              <w:top w:val="nil"/>
              <w:left w:val="nil"/>
              <w:bottom w:val="single" w:sz="8" w:space="0" w:color="auto"/>
              <w:right w:val="single" w:sz="8" w:space="0" w:color="auto"/>
            </w:tcBorders>
            <w:shd w:val="clear" w:color="000000" w:fill="D9D9D9"/>
            <w:vAlign w:val="center"/>
            <w:hideMark/>
          </w:tcPr>
          <w:p w14:paraId="2A6EC40B" w14:textId="77777777" w:rsidR="00D75070" w:rsidRPr="001D0C10" w:rsidRDefault="00D75070" w:rsidP="00D75070">
            <w:pPr>
              <w:spacing w:after="0" w:line="240" w:lineRule="auto"/>
              <w:rPr>
                <w:rFonts w:ascii="Book Antiqua" w:eastAsia="Times New Roman" w:hAnsi="Book Antiqua" w:cs="Calibri"/>
                <w:b/>
                <w:bCs/>
                <w:color w:val="000000"/>
                <w:sz w:val="18"/>
                <w:szCs w:val="18"/>
                <w:lang w:eastAsia="es-CR"/>
              </w:rPr>
            </w:pPr>
            <w:r w:rsidRPr="001D0C10">
              <w:rPr>
                <w:rFonts w:ascii="Book Antiqua" w:eastAsia="Times New Roman" w:hAnsi="Book Antiqua" w:cs="Calibri"/>
                <w:b/>
                <w:bCs/>
                <w:color w:val="000000"/>
                <w:sz w:val="18"/>
                <w:szCs w:val="18"/>
                <w:lang w:eastAsia="es-CR"/>
              </w:rPr>
              <w:t>Penal Juvenil</w:t>
            </w:r>
          </w:p>
        </w:tc>
        <w:tc>
          <w:tcPr>
            <w:tcW w:w="322" w:type="pct"/>
            <w:vMerge/>
            <w:tcBorders>
              <w:top w:val="nil"/>
              <w:left w:val="single" w:sz="8" w:space="0" w:color="auto"/>
              <w:bottom w:val="single" w:sz="8" w:space="0" w:color="000000"/>
              <w:right w:val="single" w:sz="8" w:space="0" w:color="auto"/>
            </w:tcBorders>
            <w:vAlign w:val="center"/>
            <w:hideMark/>
          </w:tcPr>
          <w:p w14:paraId="76639C74"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472" w:type="pct"/>
            <w:vMerge/>
            <w:tcBorders>
              <w:top w:val="nil"/>
              <w:left w:val="single" w:sz="8" w:space="0" w:color="auto"/>
              <w:bottom w:val="single" w:sz="8" w:space="0" w:color="000000"/>
              <w:right w:val="single" w:sz="8" w:space="0" w:color="auto"/>
            </w:tcBorders>
            <w:vAlign w:val="center"/>
            <w:hideMark/>
          </w:tcPr>
          <w:p w14:paraId="667612C3" w14:textId="77777777" w:rsidR="00D75070" w:rsidRPr="001D0C10" w:rsidRDefault="00D75070" w:rsidP="00D75070">
            <w:pPr>
              <w:spacing w:after="0" w:line="240" w:lineRule="auto"/>
              <w:rPr>
                <w:rFonts w:ascii="Book Antiqua" w:eastAsia="Times New Roman" w:hAnsi="Book Antiqua" w:cs="Calibri"/>
                <w:color w:val="000000"/>
                <w:sz w:val="18"/>
                <w:szCs w:val="18"/>
                <w:lang w:eastAsia="es-CR"/>
              </w:rPr>
            </w:pPr>
          </w:p>
        </w:tc>
        <w:tc>
          <w:tcPr>
            <w:tcW w:w="545" w:type="pct"/>
            <w:tcBorders>
              <w:top w:val="nil"/>
              <w:left w:val="nil"/>
              <w:bottom w:val="single" w:sz="8" w:space="0" w:color="auto"/>
              <w:right w:val="single" w:sz="8" w:space="0" w:color="auto"/>
            </w:tcBorders>
            <w:shd w:val="clear" w:color="000000" w:fill="D9D9D9"/>
            <w:noWrap/>
            <w:vAlign w:val="center"/>
            <w:hideMark/>
          </w:tcPr>
          <w:p w14:paraId="5ABAB029"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w:t>
            </w:r>
          </w:p>
        </w:tc>
        <w:tc>
          <w:tcPr>
            <w:tcW w:w="475" w:type="pct"/>
            <w:tcBorders>
              <w:top w:val="nil"/>
              <w:left w:val="nil"/>
              <w:bottom w:val="single" w:sz="8" w:space="0" w:color="auto"/>
              <w:right w:val="single" w:sz="8" w:space="0" w:color="auto"/>
            </w:tcBorders>
            <w:shd w:val="clear" w:color="000000" w:fill="D9D9D9"/>
            <w:noWrap/>
            <w:vAlign w:val="center"/>
            <w:hideMark/>
          </w:tcPr>
          <w:p w14:paraId="4704EF42"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w:t>
            </w:r>
          </w:p>
        </w:tc>
        <w:tc>
          <w:tcPr>
            <w:tcW w:w="616" w:type="pct"/>
            <w:tcBorders>
              <w:top w:val="nil"/>
              <w:left w:val="nil"/>
              <w:bottom w:val="single" w:sz="8" w:space="0" w:color="auto"/>
              <w:right w:val="single" w:sz="8" w:space="0" w:color="auto"/>
            </w:tcBorders>
            <w:shd w:val="clear" w:color="000000" w:fill="D9D9D9"/>
            <w:noWrap/>
            <w:vAlign w:val="center"/>
            <w:hideMark/>
          </w:tcPr>
          <w:p w14:paraId="235B9311"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w:t>
            </w:r>
          </w:p>
        </w:tc>
        <w:tc>
          <w:tcPr>
            <w:tcW w:w="524" w:type="pct"/>
            <w:tcBorders>
              <w:top w:val="nil"/>
              <w:left w:val="nil"/>
              <w:bottom w:val="single" w:sz="8" w:space="0" w:color="auto"/>
              <w:right w:val="single" w:sz="8" w:space="0" w:color="auto"/>
            </w:tcBorders>
            <w:shd w:val="clear" w:color="000000" w:fill="D9D9D9"/>
            <w:noWrap/>
            <w:vAlign w:val="center"/>
            <w:hideMark/>
          </w:tcPr>
          <w:p w14:paraId="0B25AFB9"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w:t>
            </w:r>
          </w:p>
        </w:tc>
        <w:tc>
          <w:tcPr>
            <w:tcW w:w="475" w:type="pct"/>
            <w:tcBorders>
              <w:top w:val="nil"/>
              <w:left w:val="nil"/>
              <w:bottom w:val="single" w:sz="8" w:space="0" w:color="auto"/>
              <w:right w:val="single" w:sz="8" w:space="0" w:color="auto"/>
            </w:tcBorders>
            <w:shd w:val="clear" w:color="000000" w:fill="D9D9D9"/>
            <w:noWrap/>
            <w:vAlign w:val="center"/>
            <w:hideMark/>
          </w:tcPr>
          <w:p w14:paraId="3FD2F6B1"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469" w:type="pct"/>
            <w:tcBorders>
              <w:top w:val="nil"/>
              <w:left w:val="nil"/>
              <w:bottom w:val="single" w:sz="8" w:space="0" w:color="auto"/>
              <w:right w:val="single" w:sz="8" w:space="0" w:color="auto"/>
            </w:tcBorders>
            <w:shd w:val="clear" w:color="000000" w:fill="D9D9D9"/>
            <w:noWrap/>
            <w:vAlign w:val="center"/>
            <w:hideMark/>
          </w:tcPr>
          <w:p w14:paraId="1B4EBDC5" w14:textId="77777777" w:rsidR="00D75070" w:rsidRPr="001D0C10" w:rsidRDefault="00D75070" w:rsidP="00D75070">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107%</w:t>
            </w:r>
          </w:p>
        </w:tc>
      </w:tr>
    </w:tbl>
    <w:p w14:paraId="7DA3946E" w14:textId="2DB81BD5" w:rsidR="00D75070" w:rsidRPr="00D75070" w:rsidRDefault="00D75070" w:rsidP="00D75070">
      <w:pPr>
        <w:spacing w:after="0" w:line="276" w:lineRule="auto"/>
        <w:jc w:val="both"/>
        <w:rPr>
          <w:rFonts w:ascii="Book Antiqua" w:eastAsia="Calibri" w:hAnsi="Book Antiqua" w:cs="Arial"/>
          <w:i/>
          <w:iCs/>
          <w:sz w:val="20"/>
          <w:szCs w:val="20"/>
        </w:rPr>
      </w:pPr>
      <w:r w:rsidRPr="00D75070">
        <w:rPr>
          <w:rFonts w:ascii="Book Antiqua" w:eastAsia="Calibri" w:hAnsi="Book Antiqua" w:cs="Arial"/>
          <w:i/>
          <w:iCs/>
          <w:sz w:val="20"/>
          <w:szCs w:val="20"/>
        </w:rPr>
        <w:t xml:space="preserve">Fuente: Modernización Institucional con base en datos de Cuadros Estadísticos del Subproceso de Estadística. </w:t>
      </w:r>
    </w:p>
    <w:p w14:paraId="0782463C" w14:textId="0B108E9A" w:rsidR="00D75070" w:rsidRPr="00D75070" w:rsidRDefault="00D75070" w:rsidP="00D75070">
      <w:pPr>
        <w:spacing w:after="0" w:line="276" w:lineRule="auto"/>
        <w:jc w:val="both"/>
        <w:rPr>
          <w:rFonts w:ascii="Book Antiqua" w:eastAsia="Calibri" w:hAnsi="Book Antiqua" w:cs="Arial"/>
          <w:i/>
          <w:iCs/>
          <w:sz w:val="20"/>
          <w:szCs w:val="20"/>
        </w:rPr>
      </w:pPr>
      <w:r w:rsidRPr="00D75070">
        <w:rPr>
          <w:rFonts w:ascii="Book Antiqua" w:eastAsia="Calibri" w:hAnsi="Book Antiqua" w:cs="Arial"/>
          <w:i/>
          <w:iCs/>
          <w:sz w:val="20"/>
          <w:szCs w:val="20"/>
        </w:rPr>
        <w:t xml:space="preserve">Nota *En Cañas solo hay 2 plazas de Técnico que manifiestan por rol. Además, un Auxiliar de Servicios Generales pero compartido con el Juzgado Civil y Trabajo de Cañas. </w:t>
      </w:r>
    </w:p>
    <w:p w14:paraId="2BCD3275" w14:textId="153B63B8" w:rsidR="00D75070" w:rsidRPr="00D75070" w:rsidRDefault="00D75070" w:rsidP="00D75070">
      <w:pPr>
        <w:spacing w:after="0" w:line="276" w:lineRule="auto"/>
        <w:jc w:val="both"/>
        <w:rPr>
          <w:rFonts w:ascii="Book Antiqua" w:eastAsia="Calibri" w:hAnsi="Book Antiqua" w:cs="Arial"/>
          <w:i/>
          <w:iCs/>
          <w:sz w:val="20"/>
          <w:szCs w:val="20"/>
        </w:rPr>
      </w:pPr>
      <w:r w:rsidRPr="00D75070">
        <w:rPr>
          <w:rFonts w:ascii="Book Antiqua" w:eastAsia="Calibri" w:hAnsi="Book Antiqua" w:cs="Arial"/>
          <w:i/>
          <w:iCs/>
          <w:sz w:val="20"/>
          <w:szCs w:val="20"/>
        </w:rPr>
        <w:t xml:space="preserve">Nota **En Turrialba las 3 plazas de Técnico tramitan y manifiestan por rol. </w:t>
      </w:r>
    </w:p>
    <w:p w14:paraId="25A5532D" w14:textId="7A1570FE" w:rsidR="00357D09" w:rsidRPr="00D75070" w:rsidRDefault="00D75070" w:rsidP="00D75070">
      <w:pPr>
        <w:spacing w:after="0" w:line="276" w:lineRule="auto"/>
        <w:jc w:val="both"/>
        <w:rPr>
          <w:rFonts w:ascii="Book Antiqua" w:eastAsia="Calibri" w:hAnsi="Book Antiqua" w:cs="Arial"/>
          <w:i/>
          <w:iCs/>
          <w:sz w:val="20"/>
          <w:szCs w:val="20"/>
        </w:rPr>
      </w:pPr>
      <w:r w:rsidRPr="00D75070">
        <w:rPr>
          <w:rFonts w:ascii="Book Antiqua" w:eastAsia="Calibri" w:hAnsi="Book Antiqua" w:cs="Arial"/>
          <w:i/>
          <w:iCs/>
          <w:sz w:val="20"/>
          <w:szCs w:val="20"/>
        </w:rPr>
        <w:t xml:space="preserve">Nota *** En Quepos existe además de 3 tramitadores, una plaza de Técnico Judicial manifestador y una de Auxiliar de Servicios Generales. Funciona como juzgado competente en 3 materias desde octubre 2018, con la especialización del Juzgado Civil y de Trabajo.  </w:t>
      </w:r>
    </w:p>
    <w:p w14:paraId="6178E165" w14:textId="0E512ED6" w:rsidR="00357D09" w:rsidRDefault="00357D09" w:rsidP="00355630">
      <w:pPr>
        <w:spacing w:after="0" w:line="276" w:lineRule="auto"/>
        <w:jc w:val="both"/>
        <w:rPr>
          <w:rFonts w:ascii="Book Antiqua" w:eastAsia="Calibri" w:hAnsi="Book Antiqua" w:cs="Arial"/>
          <w:sz w:val="24"/>
          <w:szCs w:val="24"/>
        </w:rPr>
      </w:pPr>
    </w:p>
    <w:p w14:paraId="1EB4403C" w14:textId="77777777" w:rsidR="00FD6A27" w:rsidRPr="00FD6A27" w:rsidRDefault="00FD6A27" w:rsidP="00FD6A27">
      <w:pPr>
        <w:spacing w:after="0" w:line="276" w:lineRule="auto"/>
        <w:jc w:val="both"/>
        <w:rPr>
          <w:rFonts w:ascii="Book Antiqua" w:eastAsia="Calibri" w:hAnsi="Book Antiqua" w:cs="Arial"/>
          <w:sz w:val="24"/>
          <w:szCs w:val="24"/>
        </w:rPr>
      </w:pPr>
      <w:r w:rsidRPr="00FD6A27">
        <w:rPr>
          <w:rFonts w:ascii="Book Antiqua" w:eastAsia="Calibri" w:hAnsi="Book Antiqua" w:cs="Arial"/>
          <w:sz w:val="24"/>
          <w:szCs w:val="24"/>
        </w:rPr>
        <w:t xml:space="preserve">Según los resultados obtenidos, la cantidad de casos entrados por persona juzgadora en las materias de Familia, Violencia Doméstica y Penal Juvenil en estos 3 despachos es de 54 asuntos (entre las 3 materias). Ese promedio solamente lo supera Turrialba con una entrada promedio por persona juzgadora de 64 asuntos por mes, sin embargo, no justifica la asignación de una plaza adicional. </w:t>
      </w:r>
    </w:p>
    <w:p w14:paraId="0410F1CD" w14:textId="77777777" w:rsidR="00FD6A27" w:rsidRPr="00FD6A27" w:rsidRDefault="00FD6A27" w:rsidP="00FD6A27">
      <w:pPr>
        <w:spacing w:after="0" w:line="276" w:lineRule="auto"/>
        <w:jc w:val="both"/>
        <w:rPr>
          <w:rFonts w:ascii="Book Antiqua" w:eastAsia="Calibri" w:hAnsi="Book Antiqua" w:cs="Arial"/>
          <w:sz w:val="24"/>
          <w:szCs w:val="24"/>
        </w:rPr>
      </w:pPr>
    </w:p>
    <w:p w14:paraId="1918FB33" w14:textId="77777777" w:rsidR="00FD6A27" w:rsidRPr="00FD6A27" w:rsidRDefault="00FD6A27" w:rsidP="00FD6A27">
      <w:pPr>
        <w:spacing w:after="0" w:line="276" w:lineRule="auto"/>
        <w:jc w:val="both"/>
        <w:rPr>
          <w:rFonts w:ascii="Book Antiqua" w:eastAsia="Calibri" w:hAnsi="Book Antiqua" w:cs="Arial"/>
          <w:sz w:val="24"/>
          <w:szCs w:val="24"/>
        </w:rPr>
      </w:pPr>
      <w:r w:rsidRPr="00FD6A27">
        <w:rPr>
          <w:rFonts w:ascii="Book Antiqua" w:eastAsia="Calibri" w:hAnsi="Book Antiqua" w:cs="Arial"/>
          <w:sz w:val="24"/>
          <w:szCs w:val="24"/>
        </w:rPr>
        <w:t xml:space="preserve">Respecto al personal técnico, la entrada promedio por plaza es de 43 asuntos (37 en Quepos, 45 en Turrialba y 48 en Cañas). </w:t>
      </w:r>
    </w:p>
    <w:p w14:paraId="5B7E7DFD" w14:textId="65908E16" w:rsidR="00FD6A27" w:rsidRDefault="00FD6A27" w:rsidP="00355630">
      <w:pPr>
        <w:spacing w:after="0" w:line="276" w:lineRule="auto"/>
        <w:jc w:val="both"/>
        <w:rPr>
          <w:rFonts w:ascii="Book Antiqua" w:eastAsia="Calibri" w:hAnsi="Book Antiqua" w:cs="Arial"/>
          <w:sz w:val="24"/>
          <w:szCs w:val="24"/>
        </w:rPr>
      </w:pPr>
    </w:p>
    <w:p w14:paraId="735F187A" w14:textId="77777777" w:rsidR="00FD6A27" w:rsidRPr="00FD6A27" w:rsidRDefault="00FD6A27" w:rsidP="00FD6A27">
      <w:pPr>
        <w:spacing w:after="0" w:line="276" w:lineRule="auto"/>
        <w:jc w:val="both"/>
        <w:rPr>
          <w:rFonts w:ascii="Book Antiqua" w:eastAsia="Calibri" w:hAnsi="Book Antiqua" w:cs="Arial"/>
          <w:sz w:val="24"/>
          <w:szCs w:val="24"/>
        </w:rPr>
      </w:pPr>
      <w:r w:rsidRPr="00FD6A27">
        <w:rPr>
          <w:rFonts w:ascii="Book Antiqua" w:eastAsia="Calibri" w:hAnsi="Book Antiqua" w:cs="Arial"/>
          <w:sz w:val="24"/>
          <w:szCs w:val="24"/>
        </w:rPr>
        <w:t xml:space="preserve">Como se observa la carga de asuntos nuevos en Turrialba y Cañas es superior a la de Quepos y adicionalmente estas plazas les corresponde atender la manifestación por rol. </w:t>
      </w:r>
    </w:p>
    <w:p w14:paraId="223AEF71" w14:textId="77777777" w:rsidR="00FD6A27" w:rsidRPr="00FD6A27" w:rsidRDefault="00FD6A27" w:rsidP="00FD6A27">
      <w:pPr>
        <w:spacing w:after="0" w:line="276" w:lineRule="auto"/>
        <w:jc w:val="both"/>
        <w:rPr>
          <w:rFonts w:ascii="Book Antiqua" w:eastAsia="Calibri" w:hAnsi="Book Antiqua" w:cs="Arial"/>
          <w:sz w:val="24"/>
          <w:szCs w:val="24"/>
        </w:rPr>
      </w:pPr>
    </w:p>
    <w:p w14:paraId="4A0083EA" w14:textId="09D754C0" w:rsidR="00FD6A27" w:rsidRPr="00FD6A27" w:rsidRDefault="00FD6A27" w:rsidP="00FD6A27">
      <w:pPr>
        <w:spacing w:after="0" w:line="276" w:lineRule="auto"/>
        <w:jc w:val="both"/>
        <w:rPr>
          <w:rFonts w:ascii="Book Antiqua" w:eastAsia="Calibri" w:hAnsi="Book Antiqua" w:cs="Arial"/>
          <w:sz w:val="24"/>
          <w:szCs w:val="24"/>
        </w:rPr>
      </w:pPr>
      <w:r w:rsidRPr="00FD6A27">
        <w:rPr>
          <w:rFonts w:ascii="Book Antiqua" w:eastAsia="Calibri" w:hAnsi="Book Antiqua" w:cs="Arial"/>
          <w:sz w:val="24"/>
          <w:szCs w:val="24"/>
        </w:rPr>
        <w:t>Respecto a Cañas, la Administración Regional contra</w:t>
      </w:r>
      <w:r w:rsidR="00366060">
        <w:rPr>
          <w:rFonts w:ascii="Book Antiqua" w:eastAsia="Calibri" w:hAnsi="Book Antiqua" w:cs="Arial"/>
          <w:sz w:val="24"/>
          <w:szCs w:val="24"/>
        </w:rPr>
        <w:t>ta</w:t>
      </w:r>
      <w:r w:rsidRPr="00FD6A27">
        <w:rPr>
          <w:rFonts w:ascii="Book Antiqua" w:eastAsia="Calibri" w:hAnsi="Book Antiqua" w:cs="Arial"/>
          <w:sz w:val="24"/>
          <w:szCs w:val="24"/>
        </w:rPr>
        <w:t xml:space="preserve"> el servicio de limpieza medio tiempo. </w:t>
      </w:r>
      <w:r w:rsidRPr="00366060">
        <w:rPr>
          <w:rFonts w:ascii="Book Antiqua" w:eastAsia="Calibri" w:hAnsi="Book Antiqua" w:cs="Arial"/>
          <w:sz w:val="24"/>
          <w:szCs w:val="24"/>
        </w:rPr>
        <w:t xml:space="preserve">Se recomienda realizar un estudio para analizar las implicaciones de asignar </w:t>
      </w:r>
      <w:r w:rsidRPr="00366060">
        <w:rPr>
          <w:rFonts w:ascii="Book Antiqua" w:eastAsia="Calibri" w:hAnsi="Book Antiqua" w:cs="Arial"/>
          <w:sz w:val="24"/>
          <w:szCs w:val="24"/>
        </w:rPr>
        <w:lastRenderedPageBreak/>
        <w:t>a tiempo completo la plaza de Auxiliar de Servicios Generales al Juzgado de Familia, Penal Juvenil y Violencia Doméstica de Cañas, valorando el impacto que pueda tener el Juzgado Civil y Trabajo de Cañas con quien comparte el recurso, ya que incluso ambas oficinas están en locales separados.</w:t>
      </w:r>
      <w:r w:rsidRPr="00FD6A27">
        <w:rPr>
          <w:rFonts w:ascii="Book Antiqua" w:eastAsia="Calibri" w:hAnsi="Book Antiqua" w:cs="Arial"/>
          <w:sz w:val="24"/>
          <w:szCs w:val="24"/>
        </w:rPr>
        <w:t xml:space="preserve">  </w:t>
      </w:r>
    </w:p>
    <w:p w14:paraId="10D174E3" w14:textId="77777777" w:rsidR="00FD6A27" w:rsidRPr="00FD6A27" w:rsidRDefault="00FD6A27" w:rsidP="00FD6A27">
      <w:pPr>
        <w:spacing w:after="0" w:line="276" w:lineRule="auto"/>
        <w:jc w:val="both"/>
        <w:rPr>
          <w:rFonts w:ascii="Book Antiqua" w:eastAsia="Calibri" w:hAnsi="Book Antiqua" w:cs="Arial"/>
          <w:sz w:val="24"/>
          <w:szCs w:val="24"/>
        </w:rPr>
      </w:pPr>
    </w:p>
    <w:p w14:paraId="4E7DE9E0" w14:textId="77777777" w:rsidR="00FD6A27" w:rsidRPr="00FD6A27" w:rsidRDefault="00FD6A27" w:rsidP="00FD6A27">
      <w:pPr>
        <w:spacing w:after="0" w:line="276" w:lineRule="auto"/>
        <w:jc w:val="both"/>
        <w:rPr>
          <w:rFonts w:ascii="Book Antiqua" w:eastAsia="Calibri" w:hAnsi="Book Antiqua" w:cs="Arial"/>
          <w:sz w:val="24"/>
          <w:szCs w:val="24"/>
        </w:rPr>
      </w:pPr>
      <w:r w:rsidRPr="00366060">
        <w:rPr>
          <w:rFonts w:ascii="Book Antiqua" w:eastAsia="Calibri" w:hAnsi="Book Antiqua" w:cs="Arial"/>
          <w:sz w:val="24"/>
          <w:szCs w:val="24"/>
        </w:rPr>
        <w:t>Cabe mencionar que estaría pendiente conocer el impacto en estas oficinas con la creación de Juzgados de Familia por Ministerio de Ley, lo que será objeto de análisis a partir de la información obtenida en el inventario en Familia 2021.</w:t>
      </w:r>
    </w:p>
    <w:p w14:paraId="75A7E1BE" w14:textId="77777777" w:rsidR="00FD6A27" w:rsidRDefault="00FD6A27" w:rsidP="00355630">
      <w:pPr>
        <w:spacing w:after="0" w:line="276" w:lineRule="auto"/>
        <w:jc w:val="both"/>
        <w:rPr>
          <w:rFonts w:ascii="Book Antiqua" w:eastAsia="Calibri" w:hAnsi="Book Antiqua" w:cs="Arial"/>
          <w:sz w:val="24"/>
          <w:szCs w:val="24"/>
        </w:rPr>
      </w:pPr>
    </w:p>
    <w:p w14:paraId="5AF761C7" w14:textId="77777777" w:rsidR="00FD6A27" w:rsidRPr="008456A9" w:rsidRDefault="00FD6A27"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Juzgados de Familia (mixtos de 5 o más materias)</w:t>
      </w:r>
    </w:p>
    <w:p w14:paraId="447C5CC1" w14:textId="06AD4181" w:rsidR="00357D09" w:rsidRDefault="00357D09" w:rsidP="00355630">
      <w:pPr>
        <w:spacing w:after="0" w:line="276" w:lineRule="auto"/>
        <w:jc w:val="both"/>
        <w:rPr>
          <w:rFonts w:ascii="Book Antiqua" w:eastAsia="Calibri" w:hAnsi="Book Antiqua" w:cs="Arial"/>
          <w:sz w:val="24"/>
          <w:szCs w:val="24"/>
        </w:rPr>
      </w:pPr>
    </w:p>
    <w:p w14:paraId="33A2215A" w14:textId="77777777" w:rsidR="00FD6A27" w:rsidRPr="00FD6A27" w:rsidRDefault="00FD6A27" w:rsidP="00FD6A27">
      <w:pPr>
        <w:spacing w:after="0" w:line="276" w:lineRule="auto"/>
        <w:jc w:val="both"/>
        <w:rPr>
          <w:rFonts w:ascii="Book Antiqua" w:eastAsia="Calibri" w:hAnsi="Book Antiqua" w:cs="Arial"/>
          <w:sz w:val="24"/>
          <w:szCs w:val="24"/>
        </w:rPr>
      </w:pPr>
      <w:r w:rsidRPr="00FD6A27">
        <w:rPr>
          <w:rFonts w:ascii="Book Antiqua" w:eastAsia="Calibri" w:hAnsi="Book Antiqua" w:cs="Arial"/>
          <w:sz w:val="24"/>
          <w:szCs w:val="24"/>
        </w:rPr>
        <w:t>En este bloque de despachos se ubican cinco juzgados: Civil, Trabajo y Familia Buenos Aires; Civil, Trabajo y Familia Puriscal; Civil y Trabajo del Segundo Circuito Judicial Alajuela, Sede Upala; Civil, Trabajo y Familia Osa; Civil, Trabajo, Familia, Penal Juvenil y Violencia Doméstica Sarapiquí. Está conformado de la siguiente manera.</w:t>
      </w:r>
    </w:p>
    <w:p w14:paraId="3FB69E5F" w14:textId="234C987A" w:rsidR="00FD6A27" w:rsidRDefault="00FD6A27" w:rsidP="00355630">
      <w:pPr>
        <w:spacing w:after="0" w:line="276" w:lineRule="auto"/>
        <w:jc w:val="both"/>
        <w:rPr>
          <w:rFonts w:ascii="Book Antiqua" w:eastAsia="Calibri" w:hAnsi="Book Antiqua" w:cs="Arial"/>
          <w:sz w:val="24"/>
          <w:szCs w:val="24"/>
        </w:rPr>
      </w:pPr>
    </w:p>
    <w:p w14:paraId="32FA73BB" w14:textId="5AD120CB" w:rsidR="00FD6A27" w:rsidRPr="00FD6A27" w:rsidRDefault="00FD6A27" w:rsidP="00FD6A27">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47" w:name="_Hlk98087613"/>
      <w:r w:rsidRPr="00FD6A27">
        <w:rPr>
          <w:rFonts w:ascii="Book Antiqua" w:eastAsia="Calibri" w:hAnsi="Book Antiqua" w:cs="Arial"/>
          <w:b/>
          <w:bCs/>
          <w:color w:val="1F497D"/>
          <w:szCs w:val="24"/>
          <w:lang w:val="es-ES" w:eastAsia="es-ES"/>
        </w:rPr>
        <w:t xml:space="preserve">Cuadro </w:t>
      </w:r>
      <w:r w:rsidRPr="00FD6A27">
        <w:rPr>
          <w:rFonts w:ascii="Book Antiqua" w:eastAsia="Calibri" w:hAnsi="Book Antiqua" w:cs="Arial"/>
          <w:b/>
          <w:bCs/>
          <w:color w:val="1F497D"/>
          <w:szCs w:val="24"/>
          <w:lang w:val="es-ES" w:eastAsia="es-ES"/>
        </w:rPr>
        <w:fldChar w:fldCharType="begin"/>
      </w:r>
      <w:r w:rsidRPr="00FD6A27">
        <w:rPr>
          <w:rFonts w:ascii="Book Antiqua" w:eastAsia="Calibri" w:hAnsi="Book Antiqua" w:cs="Arial"/>
          <w:b/>
          <w:bCs/>
          <w:color w:val="1F497D"/>
          <w:szCs w:val="24"/>
          <w:lang w:val="es-ES" w:eastAsia="es-ES"/>
        </w:rPr>
        <w:instrText xml:space="preserve"> SEQ Cuadro \* ARABIC </w:instrText>
      </w:r>
      <w:r w:rsidRPr="00FD6A27">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47</w:t>
      </w:r>
      <w:r w:rsidRPr="00FD6A27">
        <w:rPr>
          <w:rFonts w:ascii="Book Antiqua" w:eastAsia="Calibri" w:hAnsi="Book Antiqua" w:cs="Arial"/>
          <w:b/>
          <w:bCs/>
          <w:color w:val="1F497D"/>
          <w:szCs w:val="24"/>
          <w:lang w:val="es-ES" w:eastAsia="es-ES"/>
        </w:rPr>
        <w:fldChar w:fldCharType="end"/>
      </w:r>
      <w:r w:rsidRPr="00FD6A27">
        <w:rPr>
          <w:rFonts w:ascii="Book Antiqua" w:eastAsia="Calibri" w:hAnsi="Book Antiqua" w:cs="Arial"/>
          <w:b/>
          <w:bCs/>
          <w:color w:val="1F497D"/>
          <w:szCs w:val="24"/>
          <w:lang w:val="es-ES" w:eastAsia="es-ES"/>
        </w:rPr>
        <w:t xml:space="preserve"> </w:t>
      </w:r>
    </w:p>
    <w:p w14:paraId="4D368D12" w14:textId="0FD1C960" w:rsidR="00FD6A27" w:rsidRPr="00FD6A27" w:rsidRDefault="00FD6A27" w:rsidP="00FD6A2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D6A27">
        <w:rPr>
          <w:rFonts w:ascii="Book Antiqua" w:eastAsia="Calibri" w:hAnsi="Book Antiqua" w:cs="Arial"/>
          <w:b/>
          <w:bCs/>
          <w:color w:val="1F497D"/>
          <w:szCs w:val="24"/>
          <w:lang w:val="es-ES" w:eastAsia="es-ES"/>
        </w:rPr>
        <w:t xml:space="preserve">Carga de trabajo juzgado de Familia mixtos de cinco o más materias, </w:t>
      </w:r>
      <w:r w:rsidR="00F50DD3">
        <w:rPr>
          <w:rFonts w:ascii="Book Antiqua" w:eastAsia="Calibri" w:hAnsi="Book Antiqua" w:cs="Arial"/>
          <w:b/>
          <w:bCs/>
          <w:color w:val="1F497D"/>
          <w:szCs w:val="24"/>
          <w:lang w:val="es-ES" w:eastAsia="es-ES"/>
        </w:rPr>
        <w:t xml:space="preserve">2017 al </w:t>
      </w:r>
      <w:r w:rsidRPr="00FD6A27">
        <w:rPr>
          <w:rFonts w:ascii="Book Antiqua" w:eastAsia="Calibri" w:hAnsi="Book Antiqua" w:cs="Arial"/>
          <w:b/>
          <w:bCs/>
          <w:color w:val="1F497D"/>
          <w:szCs w:val="24"/>
          <w:lang w:val="es-ES" w:eastAsia="es-ES"/>
        </w:rPr>
        <w:t>20</w:t>
      </w:r>
      <w:r w:rsidR="00F50DD3">
        <w:rPr>
          <w:rFonts w:ascii="Book Antiqua" w:eastAsia="Calibri" w:hAnsi="Book Antiqua" w:cs="Arial"/>
          <w:b/>
          <w:bCs/>
          <w:color w:val="1F497D"/>
          <w:szCs w:val="24"/>
          <w:lang w:val="es-ES" w:eastAsia="es-ES"/>
        </w:rPr>
        <w:t>2</w:t>
      </w:r>
      <w:r w:rsidRPr="00FD6A27">
        <w:rPr>
          <w:rFonts w:ascii="Book Antiqua" w:eastAsia="Calibri" w:hAnsi="Book Antiqua" w:cs="Arial"/>
          <w:b/>
          <w:bCs/>
          <w:color w:val="1F497D"/>
          <w:szCs w:val="24"/>
          <w:lang w:val="es-ES" w:eastAsia="es-ES"/>
        </w:rPr>
        <w:t>1</w:t>
      </w:r>
    </w:p>
    <w:tbl>
      <w:tblPr>
        <w:tblW w:w="5611" w:type="pct"/>
        <w:tblCellMar>
          <w:left w:w="70" w:type="dxa"/>
          <w:right w:w="70" w:type="dxa"/>
        </w:tblCellMar>
        <w:tblLook w:val="04A0" w:firstRow="1" w:lastRow="0" w:firstColumn="1" w:lastColumn="0" w:noHBand="0" w:noVBand="1"/>
      </w:tblPr>
      <w:tblGrid>
        <w:gridCol w:w="1140"/>
        <w:gridCol w:w="852"/>
        <w:gridCol w:w="640"/>
        <w:gridCol w:w="797"/>
        <w:gridCol w:w="1096"/>
        <w:gridCol w:w="951"/>
        <w:gridCol w:w="1240"/>
        <w:gridCol w:w="1053"/>
        <w:gridCol w:w="951"/>
        <w:gridCol w:w="1176"/>
      </w:tblGrid>
      <w:tr w:rsidR="00560E06" w:rsidRPr="00F50DD3" w14:paraId="7018AD74" w14:textId="77777777" w:rsidTr="001D0C10">
        <w:trPr>
          <w:trHeight w:val="1150"/>
        </w:trPr>
        <w:tc>
          <w:tcPr>
            <w:tcW w:w="57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bookmarkEnd w:id="47"/>
          <w:p w14:paraId="07CF0781"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Despacho</w:t>
            </w:r>
          </w:p>
        </w:tc>
        <w:tc>
          <w:tcPr>
            <w:tcW w:w="43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C5F887A"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Materia</w:t>
            </w:r>
          </w:p>
        </w:tc>
        <w:tc>
          <w:tcPr>
            <w:tcW w:w="726" w:type="pct"/>
            <w:gridSpan w:val="2"/>
            <w:tcBorders>
              <w:top w:val="single" w:sz="8" w:space="0" w:color="auto"/>
              <w:left w:val="nil"/>
              <w:bottom w:val="single" w:sz="8" w:space="0" w:color="auto"/>
              <w:right w:val="single" w:sz="8" w:space="0" w:color="000000"/>
            </w:tcBorders>
            <w:shd w:val="clear" w:color="000000" w:fill="002060"/>
            <w:vAlign w:val="center"/>
            <w:hideMark/>
          </w:tcPr>
          <w:p w14:paraId="68037507"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Recurso humano actual</w:t>
            </w:r>
          </w:p>
        </w:tc>
        <w:tc>
          <w:tcPr>
            <w:tcW w:w="55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7AD7D09"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Porcentaje de dedicado por materia por juez</w:t>
            </w:r>
          </w:p>
        </w:tc>
        <w:tc>
          <w:tcPr>
            <w:tcW w:w="48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5A2A6E7"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Entrados al mes</w:t>
            </w:r>
          </w:p>
        </w:tc>
        <w:tc>
          <w:tcPr>
            <w:tcW w:w="627"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BE99D38"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Terminados al mes</w:t>
            </w:r>
          </w:p>
        </w:tc>
        <w:tc>
          <w:tcPr>
            <w:tcW w:w="532"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C415B1D"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Entrados al mes por persona juzgadora</w:t>
            </w:r>
          </w:p>
        </w:tc>
        <w:tc>
          <w:tcPr>
            <w:tcW w:w="480"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2514558"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Entrados al mes por persona Tec. Jud. Trámite</w:t>
            </w:r>
          </w:p>
        </w:tc>
        <w:tc>
          <w:tcPr>
            <w:tcW w:w="59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2DE2AB2"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Relación salida entre entrada</w:t>
            </w:r>
          </w:p>
        </w:tc>
      </w:tr>
      <w:tr w:rsidR="00560E06" w:rsidRPr="00F50DD3" w14:paraId="14E217BD" w14:textId="77777777" w:rsidTr="00F77D03">
        <w:trPr>
          <w:trHeight w:val="590"/>
        </w:trPr>
        <w:tc>
          <w:tcPr>
            <w:tcW w:w="576" w:type="pct"/>
            <w:vMerge/>
            <w:tcBorders>
              <w:top w:val="single" w:sz="8" w:space="0" w:color="auto"/>
              <w:left w:val="single" w:sz="8" w:space="0" w:color="auto"/>
              <w:bottom w:val="single" w:sz="8" w:space="0" w:color="000000"/>
              <w:right w:val="single" w:sz="8" w:space="0" w:color="auto"/>
            </w:tcBorders>
            <w:vAlign w:val="center"/>
            <w:hideMark/>
          </w:tcPr>
          <w:p w14:paraId="7DC31D38"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430" w:type="pct"/>
            <w:vMerge/>
            <w:tcBorders>
              <w:top w:val="single" w:sz="8" w:space="0" w:color="auto"/>
              <w:left w:val="single" w:sz="8" w:space="0" w:color="auto"/>
              <w:bottom w:val="single" w:sz="8" w:space="0" w:color="000000"/>
              <w:right w:val="single" w:sz="8" w:space="0" w:color="auto"/>
            </w:tcBorders>
            <w:vAlign w:val="center"/>
            <w:hideMark/>
          </w:tcPr>
          <w:p w14:paraId="4144E4B4"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323" w:type="pct"/>
            <w:tcBorders>
              <w:top w:val="nil"/>
              <w:left w:val="nil"/>
              <w:bottom w:val="single" w:sz="8" w:space="0" w:color="auto"/>
              <w:right w:val="single" w:sz="8" w:space="0" w:color="auto"/>
            </w:tcBorders>
            <w:shd w:val="clear" w:color="000000" w:fill="002060"/>
            <w:vAlign w:val="center"/>
            <w:hideMark/>
          </w:tcPr>
          <w:p w14:paraId="0B06B4DF" w14:textId="77777777"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Jueza o Juez</w:t>
            </w:r>
          </w:p>
        </w:tc>
        <w:tc>
          <w:tcPr>
            <w:tcW w:w="403" w:type="pct"/>
            <w:tcBorders>
              <w:top w:val="nil"/>
              <w:left w:val="nil"/>
              <w:bottom w:val="single" w:sz="8" w:space="0" w:color="auto"/>
              <w:right w:val="single" w:sz="8" w:space="0" w:color="auto"/>
            </w:tcBorders>
            <w:shd w:val="clear" w:color="000000" w:fill="002060"/>
            <w:vAlign w:val="center"/>
            <w:hideMark/>
          </w:tcPr>
          <w:p w14:paraId="1B557C92" w14:textId="7C5C3588" w:rsidR="00F50DD3" w:rsidRPr="001D0C10" w:rsidRDefault="00F50DD3" w:rsidP="00F50DD3">
            <w:pPr>
              <w:spacing w:after="0" w:line="240" w:lineRule="auto"/>
              <w:jc w:val="center"/>
              <w:rPr>
                <w:rFonts w:ascii="Book Antiqua" w:eastAsia="Times New Roman" w:hAnsi="Book Antiqua" w:cs="Calibri"/>
                <w:b/>
                <w:bCs/>
                <w:color w:val="FFFFFF"/>
                <w:sz w:val="20"/>
                <w:szCs w:val="20"/>
                <w:lang w:eastAsia="es-CR"/>
              </w:rPr>
            </w:pPr>
            <w:r w:rsidRPr="001D0C10">
              <w:rPr>
                <w:rFonts w:ascii="Book Antiqua" w:eastAsia="Times New Roman" w:hAnsi="Book Antiqua" w:cs="Calibri"/>
                <w:b/>
                <w:bCs/>
                <w:color w:val="FFFFFF"/>
                <w:sz w:val="20"/>
                <w:szCs w:val="20"/>
                <w:lang w:eastAsia="es-CR"/>
              </w:rPr>
              <w:t xml:space="preserve">Téc. Jud. </w:t>
            </w:r>
            <w:r w:rsidR="00E85731" w:rsidRPr="00E85731">
              <w:rPr>
                <w:rFonts w:ascii="Book Antiqua" w:eastAsia="Times New Roman" w:hAnsi="Book Antiqua" w:cs="Calibri"/>
                <w:b/>
                <w:bCs/>
                <w:color w:val="FFFFFF"/>
                <w:sz w:val="20"/>
                <w:szCs w:val="20"/>
                <w:lang w:eastAsia="es-CR"/>
              </w:rPr>
              <w:t>D</w:t>
            </w:r>
            <w:r w:rsidRPr="001D0C10">
              <w:rPr>
                <w:rFonts w:ascii="Book Antiqua" w:eastAsia="Times New Roman" w:hAnsi="Book Antiqua" w:cs="Calibri"/>
                <w:b/>
                <w:bCs/>
                <w:color w:val="FFFFFF"/>
                <w:sz w:val="20"/>
                <w:szCs w:val="20"/>
                <w:lang w:eastAsia="es-CR"/>
              </w:rPr>
              <w:t>e trámite</w:t>
            </w:r>
          </w:p>
        </w:tc>
        <w:tc>
          <w:tcPr>
            <w:tcW w:w="554" w:type="pct"/>
            <w:vMerge/>
            <w:tcBorders>
              <w:top w:val="single" w:sz="8" w:space="0" w:color="auto"/>
              <w:left w:val="single" w:sz="8" w:space="0" w:color="auto"/>
              <w:bottom w:val="single" w:sz="8" w:space="0" w:color="000000"/>
              <w:right w:val="single" w:sz="8" w:space="0" w:color="auto"/>
            </w:tcBorders>
            <w:vAlign w:val="center"/>
            <w:hideMark/>
          </w:tcPr>
          <w:p w14:paraId="3998B14D"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480" w:type="pct"/>
            <w:vMerge/>
            <w:tcBorders>
              <w:top w:val="single" w:sz="8" w:space="0" w:color="auto"/>
              <w:left w:val="single" w:sz="8" w:space="0" w:color="auto"/>
              <w:bottom w:val="single" w:sz="8" w:space="0" w:color="000000"/>
              <w:right w:val="single" w:sz="8" w:space="0" w:color="auto"/>
            </w:tcBorders>
            <w:vAlign w:val="center"/>
            <w:hideMark/>
          </w:tcPr>
          <w:p w14:paraId="31D69CA8"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627" w:type="pct"/>
            <w:vMerge/>
            <w:tcBorders>
              <w:top w:val="single" w:sz="8" w:space="0" w:color="auto"/>
              <w:left w:val="single" w:sz="8" w:space="0" w:color="auto"/>
              <w:bottom w:val="single" w:sz="8" w:space="0" w:color="000000"/>
              <w:right w:val="single" w:sz="8" w:space="0" w:color="auto"/>
            </w:tcBorders>
            <w:vAlign w:val="center"/>
            <w:hideMark/>
          </w:tcPr>
          <w:p w14:paraId="1144B007"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532" w:type="pct"/>
            <w:vMerge/>
            <w:tcBorders>
              <w:top w:val="single" w:sz="8" w:space="0" w:color="auto"/>
              <w:left w:val="single" w:sz="8" w:space="0" w:color="auto"/>
              <w:bottom w:val="single" w:sz="8" w:space="0" w:color="000000"/>
              <w:right w:val="single" w:sz="8" w:space="0" w:color="auto"/>
            </w:tcBorders>
            <w:vAlign w:val="center"/>
            <w:hideMark/>
          </w:tcPr>
          <w:p w14:paraId="1321AB9A"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480" w:type="pct"/>
            <w:vMerge/>
            <w:tcBorders>
              <w:top w:val="single" w:sz="8" w:space="0" w:color="auto"/>
              <w:left w:val="single" w:sz="8" w:space="0" w:color="auto"/>
              <w:bottom w:val="single" w:sz="8" w:space="0" w:color="000000"/>
              <w:right w:val="single" w:sz="8" w:space="0" w:color="auto"/>
            </w:tcBorders>
            <w:vAlign w:val="center"/>
            <w:hideMark/>
          </w:tcPr>
          <w:p w14:paraId="0DC0E91F"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c>
          <w:tcPr>
            <w:tcW w:w="594" w:type="pct"/>
            <w:vMerge/>
            <w:tcBorders>
              <w:top w:val="single" w:sz="8" w:space="0" w:color="auto"/>
              <w:left w:val="single" w:sz="8" w:space="0" w:color="auto"/>
              <w:bottom w:val="single" w:sz="8" w:space="0" w:color="000000"/>
              <w:right w:val="single" w:sz="8" w:space="0" w:color="auto"/>
            </w:tcBorders>
            <w:vAlign w:val="center"/>
            <w:hideMark/>
          </w:tcPr>
          <w:p w14:paraId="3CBC0A40" w14:textId="77777777" w:rsidR="00F50DD3" w:rsidRPr="001D0C10" w:rsidRDefault="00F50DD3" w:rsidP="00F50DD3">
            <w:pPr>
              <w:spacing w:after="0" w:line="240" w:lineRule="auto"/>
              <w:rPr>
                <w:rFonts w:ascii="Book Antiqua" w:eastAsia="Times New Roman" w:hAnsi="Book Antiqua" w:cs="Calibri"/>
                <w:b/>
                <w:bCs/>
                <w:color w:val="FFFFFF"/>
                <w:sz w:val="20"/>
                <w:szCs w:val="20"/>
                <w:lang w:eastAsia="es-CR"/>
              </w:rPr>
            </w:pPr>
          </w:p>
        </w:tc>
      </w:tr>
      <w:tr w:rsidR="00560E06" w:rsidRPr="00F50DD3" w14:paraId="16691CB5" w14:textId="77777777" w:rsidTr="00F77D03">
        <w:trPr>
          <w:trHeight w:val="300"/>
        </w:trPr>
        <w:tc>
          <w:tcPr>
            <w:tcW w:w="576" w:type="pct"/>
            <w:vMerge w:val="restart"/>
            <w:tcBorders>
              <w:top w:val="nil"/>
              <w:left w:val="single" w:sz="8" w:space="0" w:color="auto"/>
              <w:right w:val="single" w:sz="8" w:space="0" w:color="auto"/>
            </w:tcBorders>
            <w:shd w:val="clear" w:color="auto" w:fill="auto"/>
            <w:vAlign w:val="center"/>
            <w:hideMark/>
          </w:tcPr>
          <w:p w14:paraId="40B56302"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Juzgado Civil, Trabajo y Familia Buenos Aires*</w:t>
            </w:r>
          </w:p>
        </w:tc>
        <w:tc>
          <w:tcPr>
            <w:tcW w:w="430" w:type="pct"/>
            <w:tcBorders>
              <w:top w:val="nil"/>
              <w:left w:val="nil"/>
              <w:bottom w:val="single" w:sz="8" w:space="0" w:color="auto"/>
              <w:right w:val="single" w:sz="8" w:space="0" w:color="auto"/>
            </w:tcBorders>
            <w:shd w:val="clear" w:color="auto" w:fill="auto"/>
            <w:vAlign w:val="center"/>
            <w:hideMark/>
          </w:tcPr>
          <w:p w14:paraId="09A42A28"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Civil</w:t>
            </w:r>
          </w:p>
        </w:tc>
        <w:tc>
          <w:tcPr>
            <w:tcW w:w="32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9F1FF9E"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right w:val="single" w:sz="8" w:space="0" w:color="auto"/>
            </w:tcBorders>
            <w:shd w:val="clear" w:color="auto" w:fill="auto"/>
            <w:noWrap/>
            <w:vAlign w:val="center"/>
            <w:hideMark/>
          </w:tcPr>
          <w:p w14:paraId="53E84E5A"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554" w:type="pct"/>
            <w:tcBorders>
              <w:top w:val="nil"/>
              <w:left w:val="nil"/>
              <w:bottom w:val="single" w:sz="8" w:space="0" w:color="auto"/>
              <w:right w:val="single" w:sz="8" w:space="0" w:color="auto"/>
            </w:tcBorders>
            <w:shd w:val="clear" w:color="auto" w:fill="auto"/>
            <w:vAlign w:val="center"/>
            <w:hideMark/>
          </w:tcPr>
          <w:p w14:paraId="1212B993"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auto"/>
            <w:vAlign w:val="center"/>
            <w:hideMark/>
          </w:tcPr>
          <w:p w14:paraId="7365FEF0"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w:t>
            </w:r>
          </w:p>
        </w:tc>
        <w:tc>
          <w:tcPr>
            <w:tcW w:w="627" w:type="pct"/>
            <w:tcBorders>
              <w:top w:val="nil"/>
              <w:left w:val="nil"/>
              <w:bottom w:val="single" w:sz="8" w:space="0" w:color="auto"/>
              <w:right w:val="single" w:sz="8" w:space="0" w:color="auto"/>
            </w:tcBorders>
            <w:shd w:val="clear" w:color="auto" w:fill="auto"/>
            <w:vAlign w:val="center"/>
            <w:hideMark/>
          </w:tcPr>
          <w:p w14:paraId="2AF2226B"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532" w:type="pct"/>
            <w:tcBorders>
              <w:top w:val="nil"/>
              <w:left w:val="nil"/>
              <w:bottom w:val="single" w:sz="8" w:space="0" w:color="auto"/>
              <w:right w:val="single" w:sz="8" w:space="0" w:color="auto"/>
            </w:tcBorders>
            <w:shd w:val="clear" w:color="auto" w:fill="auto"/>
            <w:vAlign w:val="center"/>
            <w:hideMark/>
          </w:tcPr>
          <w:p w14:paraId="261F25A2" w14:textId="4E419D8F"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480" w:type="pct"/>
            <w:tcBorders>
              <w:top w:val="nil"/>
              <w:left w:val="nil"/>
              <w:bottom w:val="single" w:sz="8" w:space="0" w:color="auto"/>
              <w:right w:val="single" w:sz="8" w:space="0" w:color="auto"/>
            </w:tcBorders>
            <w:shd w:val="clear" w:color="auto" w:fill="auto"/>
            <w:vAlign w:val="center"/>
            <w:hideMark/>
          </w:tcPr>
          <w:p w14:paraId="13F38BA0"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auto"/>
            <w:vAlign w:val="center"/>
            <w:hideMark/>
          </w:tcPr>
          <w:p w14:paraId="01402F74"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61%</w:t>
            </w:r>
          </w:p>
        </w:tc>
      </w:tr>
      <w:tr w:rsidR="00560E06" w:rsidRPr="00F50DD3" w14:paraId="414F78A1" w14:textId="77777777" w:rsidTr="00F77D03">
        <w:trPr>
          <w:trHeight w:val="300"/>
        </w:trPr>
        <w:tc>
          <w:tcPr>
            <w:tcW w:w="576" w:type="pct"/>
            <w:vMerge/>
            <w:tcBorders>
              <w:left w:val="single" w:sz="8" w:space="0" w:color="auto"/>
              <w:right w:val="single" w:sz="8" w:space="0" w:color="auto"/>
            </w:tcBorders>
            <w:vAlign w:val="center"/>
            <w:hideMark/>
          </w:tcPr>
          <w:p w14:paraId="597EFBA2"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77885DD0"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Trabajo</w:t>
            </w:r>
          </w:p>
        </w:tc>
        <w:tc>
          <w:tcPr>
            <w:tcW w:w="323" w:type="pct"/>
            <w:vMerge/>
            <w:tcBorders>
              <w:top w:val="nil"/>
              <w:left w:val="single" w:sz="8" w:space="0" w:color="auto"/>
              <w:bottom w:val="single" w:sz="8" w:space="0" w:color="000000"/>
              <w:right w:val="single" w:sz="8" w:space="0" w:color="auto"/>
            </w:tcBorders>
            <w:vAlign w:val="center"/>
            <w:hideMark/>
          </w:tcPr>
          <w:p w14:paraId="4583E28F" w14:textId="77777777" w:rsidR="00421C5B" w:rsidRPr="001D0C10" w:rsidRDefault="00421C5B" w:rsidP="00F50DD3">
            <w:pPr>
              <w:spacing w:after="0" w:line="240" w:lineRule="auto"/>
              <w:rPr>
                <w:rFonts w:ascii="Book Antiqua" w:eastAsia="Times New Roman" w:hAnsi="Book Antiqua" w:cs="Calibri"/>
                <w:color w:val="000000"/>
                <w:sz w:val="20"/>
                <w:szCs w:val="20"/>
                <w:lang w:eastAsia="es-CR"/>
              </w:rPr>
            </w:pPr>
          </w:p>
        </w:tc>
        <w:tc>
          <w:tcPr>
            <w:tcW w:w="403" w:type="pct"/>
            <w:vMerge/>
            <w:tcBorders>
              <w:left w:val="single" w:sz="8" w:space="0" w:color="auto"/>
              <w:right w:val="single" w:sz="8" w:space="0" w:color="auto"/>
            </w:tcBorders>
            <w:vAlign w:val="center"/>
            <w:hideMark/>
          </w:tcPr>
          <w:p w14:paraId="6F97544C" w14:textId="77777777" w:rsidR="00421C5B" w:rsidRPr="001D0C10" w:rsidRDefault="00421C5B"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1B89EB56"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auto"/>
            <w:vAlign w:val="center"/>
            <w:hideMark/>
          </w:tcPr>
          <w:p w14:paraId="1516024F"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auto"/>
            <w:vAlign w:val="center"/>
            <w:hideMark/>
          </w:tcPr>
          <w:p w14:paraId="08634FCB"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w:t>
            </w:r>
          </w:p>
        </w:tc>
        <w:tc>
          <w:tcPr>
            <w:tcW w:w="532" w:type="pct"/>
            <w:tcBorders>
              <w:top w:val="nil"/>
              <w:left w:val="nil"/>
              <w:bottom w:val="single" w:sz="8" w:space="0" w:color="auto"/>
              <w:right w:val="single" w:sz="8" w:space="0" w:color="auto"/>
            </w:tcBorders>
            <w:shd w:val="clear" w:color="auto" w:fill="auto"/>
            <w:vAlign w:val="center"/>
            <w:hideMark/>
          </w:tcPr>
          <w:p w14:paraId="64F8CFF9" w14:textId="464666E4"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480" w:type="pct"/>
            <w:tcBorders>
              <w:top w:val="nil"/>
              <w:left w:val="nil"/>
              <w:bottom w:val="single" w:sz="8" w:space="0" w:color="auto"/>
              <w:right w:val="single" w:sz="8" w:space="0" w:color="auto"/>
            </w:tcBorders>
            <w:shd w:val="clear" w:color="auto" w:fill="auto"/>
            <w:vAlign w:val="center"/>
            <w:hideMark/>
          </w:tcPr>
          <w:p w14:paraId="384F6A42"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auto"/>
            <w:vAlign w:val="center"/>
            <w:hideMark/>
          </w:tcPr>
          <w:p w14:paraId="59AC47E8"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66%</w:t>
            </w:r>
          </w:p>
        </w:tc>
      </w:tr>
      <w:tr w:rsidR="00560E06" w:rsidRPr="00F50DD3" w14:paraId="03079177" w14:textId="77777777" w:rsidTr="00F77D03">
        <w:trPr>
          <w:trHeight w:val="300"/>
        </w:trPr>
        <w:tc>
          <w:tcPr>
            <w:tcW w:w="576" w:type="pct"/>
            <w:vMerge/>
            <w:tcBorders>
              <w:left w:val="single" w:sz="8" w:space="0" w:color="auto"/>
              <w:right w:val="single" w:sz="8" w:space="0" w:color="auto"/>
            </w:tcBorders>
            <w:vAlign w:val="center"/>
            <w:hideMark/>
          </w:tcPr>
          <w:p w14:paraId="20D3A12A"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71DA9894" w14:textId="77777777" w:rsidR="00421C5B" w:rsidRPr="001D0C10" w:rsidRDefault="00421C5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Agrario</w:t>
            </w:r>
          </w:p>
        </w:tc>
        <w:tc>
          <w:tcPr>
            <w:tcW w:w="323" w:type="pct"/>
            <w:vMerge/>
            <w:tcBorders>
              <w:top w:val="nil"/>
              <w:left w:val="single" w:sz="8" w:space="0" w:color="auto"/>
              <w:bottom w:val="single" w:sz="8" w:space="0" w:color="000000"/>
              <w:right w:val="single" w:sz="8" w:space="0" w:color="auto"/>
            </w:tcBorders>
            <w:vAlign w:val="center"/>
            <w:hideMark/>
          </w:tcPr>
          <w:p w14:paraId="6A1C5B2D" w14:textId="77777777" w:rsidR="00421C5B" w:rsidRPr="001D0C10" w:rsidRDefault="00421C5B" w:rsidP="00F50DD3">
            <w:pPr>
              <w:spacing w:after="0" w:line="240" w:lineRule="auto"/>
              <w:rPr>
                <w:rFonts w:ascii="Book Antiqua" w:eastAsia="Times New Roman" w:hAnsi="Book Antiqua" w:cs="Calibri"/>
                <w:color w:val="000000"/>
                <w:sz w:val="20"/>
                <w:szCs w:val="20"/>
                <w:lang w:eastAsia="es-CR"/>
              </w:rPr>
            </w:pPr>
          </w:p>
        </w:tc>
        <w:tc>
          <w:tcPr>
            <w:tcW w:w="403" w:type="pct"/>
            <w:vMerge/>
            <w:tcBorders>
              <w:left w:val="single" w:sz="8" w:space="0" w:color="auto"/>
              <w:right w:val="single" w:sz="8" w:space="0" w:color="auto"/>
            </w:tcBorders>
            <w:vAlign w:val="center"/>
            <w:hideMark/>
          </w:tcPr>
          <w:p w14:paraId="5CE2BF76" w14:textId="77777777" w:rsidR="00421C5B" w:rsidRPr="001D0C10" w:rsidRDefault="00421C5B"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01D80436"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57264623"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auto"/>
            <w:vAlign w:val="center"/>
            <w:hideMark/>
          </w:tcPr>
          <w:p w14:paraId="725D813C"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32" w:type="pct"/>
            <w:tcBorders>
              <w:top w:val="nil"/>
              <w:left w:val="nil"/>
              <w:bottom w:val="single" w:sz="8" w:space="0" w:color="auto"/>
              <w:right w:val="single" w:sz="8" w:space="0" w:color="auto"/>
            </w:tcBorders>
            <w:shd w:val="clear" w:color="auto" w:fill="auto"/>
            <w:vAlign w:val="center"/>
            <w:hideMark/>
          </w:tcPr>
          <w:p w14:paraId="0833C772"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480" w:type="pct"/>
            <w:tcBorders>
              <w:top w:val="nil"/>
              <w:left w:val="nil"/>
              <w:bottom w:val="single" w:sz="8" w:space="0" w:color="auto"/>
              <w:right w:val="single" w:sz="8" w:space="0" w:color="auto"/>
            </w:tcBorders>
            <w:shd w:val="clear" w:color="auto" w:fill="auto"/>
            <w:vAlign w:val="center"/>
            <w:hideMark/>
          </w:tcPr>
          <w:p w14:paraId="45772293"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auto"/>
            <w:vAlign w:val="center"/>
            <w:hideMark/>
          </w:tcPr>
          <w:p w14:paraId="06764A28" w14:textId="77777777" w:rsidR="00421C5B" w:rsidRPr="001D0C10" w:rsidRDefault="00421C5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81%</w:t>
            </w:r>
          </w:p>
        </w:tc>
      </w:tr>
      <w:tr w:rsidR="00560E06" w:rsidRPr="00F50DD3" w14:paraId="6CB77EEE" w14:textId="77777777" w:rsidTr="00F77D03">
        <w:trPr>
          <w:trHeight w:val="300"/>
        </w:trPr>
        <w:tc>
          <w:tcPr>
            <w:tcW w:w="576" w:type="pct"/>
            <w:vMerge/>
            <w:tcBorders>
              <w:left w:val="single" w:sz="8" w:space="0" w:color="auto"/>
              <w:right w:val="single" w:sz="8" w:space="0" w:color="auto"/>
            </w:tcBorders>
            <w:vAlign w:val="center"/>
            <w:hideMark/>
          </w:tcPr>
          <w:p w14:paraId="546426CB"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21312C2B"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Familia</w:t>
            </w:r>
          </w:p>
        </w:tc>
        <w:tc>
          <w:tcPr>
            <w:tcW w:w="323" w:type="pct"/>
            <w:vMerge w:val="restart"/>
            <w:tcBorders>
              <w:top w:val="nil"/>
              <w:left w:val="single" w:sz="8" w:space="0" w:color="auto"/>
              <w:right w:val="single" w:sz="8" w:space="0" w:color="auto"/>
            </w:tcBorders>
            <w:shd w:val="clear" w:color="auto" w:fill="auto"/>
            <w:noWrap/>
            <w:vAlign w:val="center"/>
            <w:hideMark/>
          </w:tcPr>
          <w:p w14:paraId="76781FBF"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left w:val="single" w:sz="8" w:space="0" w:color="auto"/>
              <w:right w:val="single" w:sz="8" w:space="0" w:color="auto"/>
            </w:tcBorders>
            <w:vAlign w:val="center"/>
            <w:hideMark/>
          </w:tcPr>
          <w:p w14:paraId="7966D014" w14:textId="77777777" w:rsidR="00D838DB" w:rsidRPr="001D0C10" w:rsidRDefault="00D838DB"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78498C78"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389EC584"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24</w:t>
            </w:r>
          </w:p>
        </w:tc>
        <w:tc>
          <w:tcPr>
            <w:tcW w:w="627" w:type="pct"/>
            <w:tcBorders>
              <w:top w:val="nil"/>
              <w:left w:val="nil"/>
              <w:bottom w:val="single" w:sz="8" w:space="0" w:color="auto"/>
              <w:right w:val="single" w:sz="8" w:space="0" w:color="auto"/>
            </w:tcBorders>
            <w:shd w:val="clear" w:color="auto" w:fill="auto"/>
            <w:vAlign w:val="center"/>
            <w:hideMark/>
          </w:tcPr>
          <w:p w14:paraId="3E0C1E69"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17</w:t>
            </w:r>
          </w:p>
        </w:tc>
        <w:tc>
          <w:tcPr>
            <w:tcW w:w="532" w:type="pct"/>
            <w:tcBorders>
              <w:top w:val="nil"/>
              <w:left w:val="nil"/>
              <w:bottom w:val="single" w:sz="8" w:space="0" w:color="auto"/>
              <w:right w:val="single" w:sz="8" w:space="0" w:color="auto"/>
            </w:tcBorders>
            <w:shd w:val="clear" w:color="auto" w:fill="auto"/>
            <w:vAlign w:val="center"/>
            <w:hideMark/>
          </w:tcPr>
          <w:p w14:paraId="71F78A98"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24</w:t>
            </w:r>
          </w:p>
        </w:tc>
        <w:tc>
          <w:tcPr>
            <w:tcW w:w="480" w:type="pct"/>
            <w:tcBorders>
              <w:top w:val="nil"/>
              <w:left w:val="nil"/>
              <w:bottom w:val="single" w:sz="8" w:space="0" w:color="auto"/>
              <w:right w:val="single" w:sz="8" w:space="0" w:color="auto"/>
            </w:tcBorders>
            <w:shd w:val="clear" w:color="auto" w:fill="auto"/>
            <w:vAlign w:val="center"/>
            <w:hideMark/>
          </w:tcPr>
          <w:p w14:paraId="408CCB00"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12</w:t>
            </w:r>
          </w:p>
        </w:tc>
        <w:tc>
          <w:tcPr>
            <w:tcW w:w="594" w:type="pct"/>
            <w:tcBorders>
              <w:top w:val="nil"/>
              <w:left w:val="nil"/>
              <w:bottom w:val="single" w:sz="8" w:space="0" w:color="auto"/>
              <w:right w:val="single" w:sz="8" w:space="0" w:color="auto"/>
            </w:tcBorders>
            <w:shd w:val="clear" w:color="auto" w:fill="auto"/>
            <w:vAlign w:val="center"/>
            <w:hideMark/>
          </w:tcPr>
          <w:p w14:paraId="74549A7C"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73%</w:t>
            </w:r>
          </w:p>
        </w:tc>
      </w:tr>
      <w:tr w:rsidR="00560E06" w:rsidRPr="00F50DD3" w14:paraId="46E0E9EF" w14:textId="77777777" w:rsidTr="00F77D03">
        <w:trPr>
          <w:trHeight w:val="300"/>
        </w:trPr>
        <w:tc>
          <w:tcPr>
            <w:tcW w:w="576" w:type="pct"/>
            <w:vMerge/>
            <w:tcBorders>
              <w:left w:val="single" w:sz="8" w:space="0" w:color="auto"/>
              <w:right w:val="single" w:sz="8" w:space="0" w:color="auto"/>
            </w:tcBorders>
            <w:vAlign w:val="center"/>
            <w:hideMark/>
          </w:tcPr>
          <w:p w14:paraId="568D6247"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09001457"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Viol. Dom.</w:t>
            </w:r>
          </w:p>
        </w:tc>
        <w:tc>
          <w:tcPr>
            <w:tcW w:w="323" w:type="pct"/>
            <w:vMerge/>
            <w:tcBorders>
              <w:left w:val="single" w:sz="8" w:space="0" w:color="auto"/>
              <w:right w:val="single" w:sz="8" w:space="0" w:color="auto"/>
            </w:tcBorders>
            <w:vAlign w:val="center"/>
            <w:hideMark/>
          </w:tcPr>
          <w:p w14:paraId="6318F936" w14:textId="77777777" w:rsidR="00D838DB" w:rsidRPr="001D0C10" w:rsidRDefault="00D838DB" w:rsidP="00F50DD3">
            <w:pPr>
              <w:spacing w:after="0" w:line="240" w:lineRule="auto"/>
              <w:rPr>
                <w:rFonts w:ascii="Book Antiqua" w:eastAsia="Times New Roman" w:hAnsi="Book Antiqua" w:cs="Calibri"/>
                <w:color w:val="000000"/>
                <w:sz w:val="20"/>
                <w:szCs w:val="20"/>
                <w:lang w:eastAsia="es-CR"/>
              </w:rPr>
            </w:pPr>
          </w:p>
        </w:tc>
        <w:tc>
          <w:tcPr>
            <w:tcW w:w="403" w:type="pct"/>
            <w:vMerge/>
            <w:tcBorders>
              <w:left w:val="single" w:sz="8" w:space="0" w:color="auto"/>
              <w:right w:val="single" w:sz="8" w:space="0" w:color="auto"/>
            </w:tcBorders>
            <w:vAlign w:val="center"/>
            <w:hideMark/>
          </w:tcPr>
          <w:p w14:paraId="501D81E1" w14:textId="77777777" w:rsidR="00D838DB" w:rsidRPr="001D0C10" w:rsidRDefault="00D838DB"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170C78D8"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5484C3B8"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48</w:t>
            </w:r>
          </w:p>
        </w:tc>
        <w:tc>
          <w:tcPr>
            <w:tcW w:w="627" w:type="pct"/>
            <w:tcBorders>
              <w:top w:val="nil"/>
              <w:left w:val="nil"/>
              <w:bottom w:val="single" w:sz="8" w:space="0" w:color="auto"/>
              <w:right w:val="single" w:sz="8" w:space="0" w:color="auto"/>
            </w:tcBorders>
            <w:shd w:val="clear" w:color="auto" w:fill="auto"/>
            <w:vAlign w:val="center"/>
            <w:hideMark/>
          </w:tcPr>
          <w:p w14:paraId="04554E1A"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44</w:t>
            </w:r>
          </w:p>
        </w:tc>
        <w:tc>
          <w:tcPr>
            <w:tcW w:w="532" w:type="pct"/>
            <w:tcBorders>
              <w:top w:val="nil"/>
              <w:left w:val="nil"/>
              <w:bottom w:val="single" w:sz="8" w:space="0" w:color="auto"/>
              <w:right w:val="single" w:sz="8" w:space="0" w:color="auto"/>
            </w:tcBorders>
            <w:shd w:val="clear" w:color="auto" w:fill="auto"/>
            <w:vAlign w:val="center"/>
            <w:hideMark/>
          </w:tcPr>
          <w:p w14:paraId="57A1F045"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48</w:t>
            </w:r>
          </w:p>
        </w:tc>
        <w:tc>
          <w:tcPr>
            <w:tcW w:w="480" w:type="pct"/>
            <w:tcBorders>
              <w:top w:val="nil"/>
              <w:left w:val="nil"/>
              <w:bottom w:val="single" w:sz="8" w:space="0" w:color="auto"/>
              <w:right w:val="single" w:sz="8" w:space="0" w:color="auto"/>
            </w:tcBorders>
            <w:shd w:val="clear" w:color="auto" w:fill="auto"/>
            <w:vAlign w:val="center"/>
            <w:hideMark/>
          </w:tcPr>
          <w:p w14:paraId="7A8B6313"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24</w:t>
            </w:r>
          </w:p>
        </w:tc>
        <w:tc>
          <w:tcPr>
            <w:tcW w:w="594" w:type="pct"/>
            <w:tcBorders>
              <w:top w:val="nil"/>
              <w:left w:val="nil"/>
              <w:bottom w:val="single" w:sz="8" w:space="0" w:color="auto"/>
              <w:right w:val="single" w:sz="8" w:space="0" w:color="auto"/>
            </w:tcBorders>
            <w:shd w:val="clear" w:color="auto" w:fill="auto"/>
            <w:vAlign w:val="center"/>
            <w:hideMark/>
          </w:tcPr>
          <w:p w14:paraId="5064D234"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93%</w:t>
            </w:r>
          </w:p>
        </w:tc>
      </w:tr>
      <w:tr w:rsidR="00560E06" w:rsidRPr="00F50DD3" w14:paraId="296B3113" w14:textId="77777777" w:rsidTr="00F77D03">
        <w:trPr>
          <w:trHeight w:val="590"/>
        </w:trPr>
        <w:tc>
          <w:tcPr>
            <w:tcW w:w="576" w:type="pct"/>
            <w:vMerge/>
            <w:tcBorders>
              <w:left w:val="single" w:sz="8" w:space="0" w:color="auto"/>
              <w:right w:val="single" w:sz="8" w:space="0" w:color="auto"/>
            </w:tcBorders>
            <w:vAlign w:val="center"/>
            <w:hideMark/>
          </w:tcPr>
          <w:p w14:paraId="3D7B55E2"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3F9A93B2" w14:textId="77777777" w:rsidR="00D838DB" w:rsidRPr="001D0C10" w:rsidRDefault="00D838DB"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Penal Juvenil</w:t>
            </w:r>
          </w:p>
        </w:tc>
        <w:tc>
          <w:tcPr>
            <w:tcW w:w="323" w:type="pct"/>
            <w:vMerge/>
            <w:tcBorders>
              <w:left w:val="single" w:sz="8" w:space="0" w:color="auto"/>
              <w:right w:val="single" w:sz="8" w:space="0" w:color="auto"/>
            </w:tcBorders>
            <w:vAlign w:val="center"/>
            <w:hideMark/>
          </w:tcPr>
          <w:p w14:paraId="2820F047" w14:textId="77777777" w:rsidR="00D838DB" w:rsidRPr="001D0C10" w:rsidRDefault="00D838DB" w:rsidP="00F50DD3">
            <w:pPr>
              <w:spacing w:after="0" w:line="240" w:lineRule="auto"/>
              <w:rPr>
                <w:rFonts w:ascii="Book Antiqua" w:eastAsia="Times New Roman" w:hAnsi="Book Antiqua" w:cs="Calibri"/>
                <w:color w:val="000000"/>
                <w:sz w:val="20"/>
                <w:szCs w:val="20"/>
                <w:lang w:eastAsia="es-CR"/>
              </w:rPr>
            </w:pPr>
          </w:p>
        </w:tc>
        <w:tc>
          <w:tcPr>
            <w:tcW w:w="403" w:type="pct"/>
            <w:vMerge/>
            <w:tcBorders>
              <w:left w:val="single" w:sz="8" w:space="0" w:color="auto"/>
              <w:right w:val="single" w:sz="8" w:space="0" w:color="auto"/>
            </w:tcBorders>
            <w:vAlign w:val="center"/>
            <w:hideMark/>
          </w:tcPr>
          <w:p w14:paraId="12AE9AC1" w14:textId="77777777" w:rsidR="00D838DB" w:rsidRPr="001D0C10" w:rsidRDefault="00D838DB"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4F73921D"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1FB93EA0"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627" w:type="pct"/>
            <w:tcBorders>
              <w:top w:val="nil"/>
              <w:left w:val="nil"/>
              <w:bottom w:val="single" w:sz="8" w:space="0" w:color="auto"/>
              <w:right w:val="single" w:sz="8" w:space="0" w:color="auto"/>
            </w:tcBorders>
            <w:shd w:val="clear" w:color="auto" w:fill="auto"/>
            <w:vAlign w:val="center"/>
            <w:hideMark/>
          </w:tcPr>
          <w:p w14:paraId="20A43CAB"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32" w:type="pct"/>
            <w:tcBorders>
              <w:top w:val="nil"/>
              <w:left w:val="nil"/>
              <w:bottom w:val="single" w:sz="8" w:space="0" w:color="auto"/>
              <w:right w:val="single" w:sz="8" w:space="0" w:color="auto"/>
            </w:tcBorders>
            <w:shd w:val="clear" w:color="auto" w:fill="auto"/>
            <w:vAlign w:val="center"/>
            <w:hideMark/>
          </w:tcPr>
          <w:p w14:paraId="57B83CF8"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480" w:type="pct"/>
            <w:tcBorders>
              <w:top w:val="nil"/>
              <w:left w:val="nil"/>
              <w:bottom w:val="single" w:sz="8" w:space="0" w:color="auto"/>
              <w:right w:val="single" w:sz="8" w:space="0" w:color="auto"/>
            </w:tcBorders>
            <w:shd w:val="clear" w:color="auto" w:fill="auto"/>
            <w:vAlign w:val="center"/>
            <w:hideMark/>
          </w:tcPr>
          <w:p w14:paraId="5207CF8F"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w:t>
            </w:r>
          </w:p>
        </w:tc>
        <w:tc>
          <w:tcPr>
            <w:tcW w:w="594" w:type="pct"/>
            <w:tcBorders>
              <w:top w:val="nil"/>
              <w:left w:val="nil"/>
              <w:bottom w:val="single" w:sz="8" w:space="0" w:color="auto"/>
              <w:right w:val="single" w:sz="8" w:space="0" w:color="auto"/>
            </w:tcBorders>
            <w:shd w:val="clear" w:color="auto" w:fill="auto"/>
            <w:vAlign w:val="center"/>
            <w:hideMark/>
          </w:tcPr>
          <w:p w14:paraId="10B27625" w14:textId="77777777" w:rsidR="00D838DB" w:rsidRPr="001D0C10" w:rsidRDefault="00D838DB"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106%</w:t>
            </w:r>
          </w:p>
        </w:tc>
      </w:tr>
      <w:tr w:rsidR="00560E06" w:rsidRPr="00F50DD3" w14:paraId="7CDCB22F" w14:textId="77777777" w:rsidTr="00F77D03">
        <w:trPr>
          <w:trHeight w:val="332"/>
        </w:trPr>
        <w:tc>
          <w:tcPr>
            <w:tcW w:w="576" w:type="pct"/>
            <w:vMerge/>
            <w:tcBorders>
              <w:left w:val="single" w:sz="8" w:space="0" w:color="auto"/>
              <w:right w:val="single" w:sz="8" w:space="0" w:color="auto"/>
            </w:tcBorders>
            <w:vAlign w:val="center"/>
          </w:tcPr>
          <w:p w14:paraId="043175BE" w14:textId="77777777" w:rsidR="00D838DB" w:rsidRPr="00421C5B" w:rsidRDefault="00D838DB" w:rsidP="00D838DB">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787EAAA6" w14:textId="0FA4F5DC" w:rsidR="00D838DB" w:rsidRPr="00421C5B" w:rsidRDefault="00D838DB" w:rsidP="00D838DB">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Civil</w:t>
            </w:r>
          </w:p>
        </w:tc>
        <w:tc>
          <w:tcPr>
            <w:tcW w:w="323" w:type="pct"/>
            <w:vMerge w:val="restart"/>
            <w:tcBorders>
              <w:left w:val="single" w:sz="8" w:space="0" w:color="auto"/>
              <w:right w:val="single" w:sz="8" w:space="0" w:color="auto"/>
            </w:tcBorders>
            <w:vAlign w:val="center"/>
          </w:tcPr>
          <w:p w14:paraId="2E659E16" w14:textId="77777777" w:rsidR="00D838DB" w:rsidRPr="00421C5B" w:rsidRDefault="00D838DB" w:rsidP="00D838DB">
            <w:pPr>
              <w:spacing w:after="0" w:line="240" w:lineRule="auto"/>
              <w:rPr>
                <w:rFonts w:ascii="Book Antiqua" w:eastAsia="Times New Roman" w:hAnsi="Book Antiqua" w:cs="Calibri"/>
                <w:color w:val="000000"/>
                <w:sz w:val="20"/>
                <w:szCs w:val="20"/>
                <w:lang w:eastAsia="es-CR"/>
              </w:rPr>
            </w:pPr>
          </w:p>
        </w:tc>
        <w:tc>
          <w:tcPr>
            <w:tcW w:w="403" w:type="pct"/>
            <w:vMerge w:val="restart"/>
            <w:tcBorders>
              <w:left w:val="single" w:sz="8" w:space="0" w:color="auto"/>
              <w:right w:val="single" w:sz="8" w:space="0" w:color="auto"/>
            </w:tcBorders>
            <w:vAlign w:val="center"/>
          </w:tcPr>
          <w:p w14:paraId="0B6E8E88" w14:textId="77777777" w:rsidR="00D838DB" w:rsidRPr="00421C5B" w:rsidRDefault="00D838DB" w:rsidP="00D838DB">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2B5EB766" w14:textId="0C4C3138"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auto"/>
            <w:vAlign w:val="center"/>
          </w:tcPr>
          <w:p w14:paraId="6BAE7C2C" w14:textId="6FE8571A"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9</w:t>
            </w:r>
          </w:p>
        </w:tc>
        <w:tc>
          <w:tcPr>
            <w:tcW w:w="627" w:type="pct"/>
            <w:tcBorders>
              <w:top w:val="nil"/>
              <w:left w:val="nil"/>
              <w:bottom w:val="single" w:sz="8" w:space="0" w:color="auto"/>
              <w:right w:val="single" w:sz="8" w:space="0" w:color="auto"/>
            </w:tcBorders>
            <w:shd w:val="clear" w:color="auto" w:fill="auto"/>
            <w:vAlign w:val="center"/>
          </w:tcPr>
          <w:p w14:paraId="1FDEA610" w14:textId="3F6273C3"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6</w:t>
            </w:r>
          </w:p>
        </w:tc>
        <w:tc>
          <w:tcPr>
            <w:tcW w:w="532" w:type="pct"/>
            <w:tcBorders>
              <w:top w:val="nil"/>
              <w:left w:val="nil"/>
              <w:bottom w:val="single" w:sz="8" w:space="0" w:color="auto"/>
              <w:right w:val="single" w:sz="8" w:space="0" w:color="auto"/>
            </w:tcBorders>
            <w:shd w:val="clear" w:color="auto" w:fill="auto"/>
            <w:vAlign w:val="center"/>
          </w:tcPr>
          <w:p w14:paraId="3B9573E0" w14:textId="6E01574C"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480" w:type="pct"/>
            <w:tcBorders>
              <w:top w:val="nil"/>
              <w:left w:val="nil"/>
              <w:bottom w:val="single" w:sz="8" w:space="0" w:color="auto"/>
              <w:right w:val="single" w:sz="8" w:space="0" w:color="auto"/>
            </w:tcBorders>
            <w:shd w:val="clear" w:color="auto" w:fill="auto"/>
            <w:vAlign w:val="center"/>
          </w:tcPr>
          <w:p w14:paraId="6F8B3DD3" w14:textId="0DE3C2F4"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auto"/>
            <w:vAlign w:val="center"/>
          </w:tcPr>
          <w:p w14:paraId="4BCFC59B" w14:textId="28AA2004"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61%</w:t>
            </w:r>
          </w:p>
        </w:tc>
      </w:tr>
      <w:tr w:rsidR="00560E06" w:rsidRPr="00F50DD3" w14:paraId="49E330BB" w14:textId="77777777" w:rsidTr="00F77D03">
        <w:trPr>
          <w:trHeight w:val="407"/>
        </w:trPr>
        <w:tc>
          <w:tcPr>
            <w:tcW w:w="576" w:type="pct"/>
            <w:vMerge/>
            <w:tcBorders>
              <w:left w:val="single" w:sz="8" w:space="0" w:color="auto"/>
              <w:bottom w:val="single" w:sz="8" w:space="0" w:color="000000"/>
              <w:right w:val="single" w:sz="8" w:space="0" w:color="auto"/>
            </w:tcBorders>
            <w:vAlign w:val="center"/>
          </w:tcPr>
          <w:p w14:paraId="5AA2929D" w14:textId="77777777" w:rsidR="00D838DB" w:rsidRPr="00421C5B" w:rsidRDefault="00D838DB" w:rsidP="00D838DB">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29DF6F5F" w14:textId="59617182" w:rsidR="00D838DB" w:rsidRPr="00421C5B" w:rsidRDefault="00D838DB" w:rsidP="00D838DB">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Trabajo</w:t>
            </w:r>
          </w:p>
        </w:tc>
        <w:tc>
          <w:tcPr>
            <w:tcW w:w="323" w:type="pct"/>
            <w:vMerge/>
            <w:tcBorders>
              <w:left w:val="single" w:sz="8" w:space="0" w:color="auto"/>
              <w:bottom w:val="single" w:sz="8" w:space="0" w:color="000000"/>
              <w:right w:val="single" w:sz="8" w:space="0" w:color="auto"/>
            </w:tcBorders>
            <w:vAlign w:val="center"/>
          </w:tcPr>
          <w:p w14:paraId="7BC05D49" w14:textId="77777777" w:rsidR="00D838DB" w:rsidRPr="00421C5B" w:rsidRDefault="00D838DB" w:rsidP="00D838DB">
            <w:pPr>
              <w:spacing w:after="0" w:line="240" w:lineRule="auto"/>
              <w:rPr>
                <w:rFonts w:ascii="Book Antiqua" w:eastAsia="Times New Roman" w:hAnsi="Book Antiqua" w:cs="Calibri"/>
                <w:color w:val="000000"/>
                <w:sz w:val="20"/>
                <w:szCs w:val="20"/>
                <w:lang w:eastAsia="es-CR"/>
              </w:rPr>
            </w:pPr>
          </w:p>
        </w:tc>
        <w:tc>
          <w:tcPr>
            <w:tcW w:w="403" w:type="pct"/>
            <w:vMerge/>
            <w:tcBorders>
              <w:left w:val="single" w:sz="8" w:space="0" w:color="auto"/>
              <w:bottom w:val="single" w:sz="8" w:space="0" w:color="000000"/>
              <w:right w:val="single" w:sz="8" w:space="0" w:color="auto"/>
            </w:tcBorders>
            <w:vAlign w:val="center"/>
          </w:tcPr>
          <w:p w14:paraId="1DC7A831" w14:textId="77777777" w:rsidR="00D838DB" w:rsidRPr="00421C5B" w:rsidRDefault="00D838DB" w:rsidP="00D838DB">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0F8C1E38" w14:textId="6208E6EA"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auto"/>
            <w:vAlign w:val="center"/>
          </w:tcPr>
          <w:p w14:paraId="0D700996" w14:textId="3EFFC84C"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auto"/>
            <w:vAlign w:val="center"/>
          </w:tcPr>
          <w:p w14:paraId="1E2C7EA9" w14:textId="75B3D7E2"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7</w:t>
            </w:r>
          </w:p>
        </w:tc>
        <w:tc>
          <w:tcPr>
            <w:tcW w:w="532" w:type="pct"/>
            <w:tcBorders>
              <w:top w:val="nil"/>
              <w:left w:val="nil"/>
              <w:bottom w:val="single" w:sz="8" w:space="0" w:color="auto"/>
              <w:right w:val="single" w:sz="8" w:space="0" w:color="auto"/>
            </w:tcBorders>
            <w:shd w:val="clear" w:color="auto" w:fill="auto"/>
            <w:vAlign w:val="center"/>
          </w:tcPr>
          <w:p w14:paraId="2C03D198" w14:textId="3B0E800B"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480" w:type="pct"/>
            <w:tcBorders>
              <w:top w:val="nil"/>
              <w:left w:val="nil"/>
              <w:bottom w:val="single" w:sz="8" w:space="0" w:color="auto"/>
              <w:right w:val="single" w:sz="8" w:space="0" w:color="auto"/>
            </w:tcBorders>
            <w:shd w:val="clear" w:color="auto" w:fill="auto"/>
            <w:vAlign w:val="center"/>
          </w:tcPr>
          <w:p w14:paraId="298C708A" w14:textId="5F8463B1"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auto"/>
            <w:vAlign w:val="center"/>
          </w:tcPr>
          <w:p w14:paraId="0BC61A14" w14:textId="219B14CB" w:rsidR="00D838DB" w:rsidRPr="00421C5B" w:rsidRDefault="00D838DB" w:rsidP="00D838DB">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66%</w:t>
            </w:r>
          </w:p>
        </w:tc>
      </w:tr>
      <w:tr w:rsidR="0001082E" w:rsidRPr="00F50DD3" w14:paraId="5A942195" w14:textId="77777777" w:rsidTr="00F77D03">
        <w:trPr>
          <w:trHeight w:val="272"/>
        </w:trPr>
        <w:tc>
          <w:tcPr>
            <w:tcW w:w="576" w:type="pct"/>
            <w:vMerge w:val="restart"/>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10467242" w14:textId="2B53E1E3"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lastRenderedPageBreak/>
              <w:t xml:space="preserve">Juzgado Civil, Trabajo y Familia II Circ. Jud. </w:t>
            </w:r>
            <w:r w:rsidR="00E85731" w:rsidRPr="00E85731">
              <w:rPr>
                <w:rFonts w:ascii="Book Antiqua" w:eastAsia="Times New Roman" w:hAnsi="Book Antiqua" w:cs="Calibri"/>
                <w:b/>
                <w:bCs/>
                <w:color w:val="000000"/>
                <w:sz w:val="20"/>
                <w:szCs w:val="20"/>
                <w:lang w:eastAsia="es-CR"/>
              </w:rPr>
              <w:t>D</w:t>
            </w:r>
            <w:r w:rsidRPr="001D0C10">
              <w:rPr>
                <w:rFonts w:ascii="Book Antiqua" w:eastAsia="Times New Roman" w:hAnsi="Book Antiqua" w:cs="Calibri"/>
                <w:b/>
                <w:bCs/>
                <w:color w:val="000000"/>
                <w:sz w:val="20"/>
                <w:szCs w:val="20"/>
                <w:lang w:eastAsia="es-CR"/>
              </w:rPr>
              <w:t>e Alajuela sede Upala**</w:t>
            </w: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799A04F9" w14:textId="77777777"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Civil</w:t>
            </w:r>
          </w:p>
        </w:tc>
        <w:tc>
          <w:tcPr>
            <w:tcW w:w="323" w:type="pct"/>
            <w:vMerge w:val="restart"/>
            <w:tcBorders>
              <w:top w:val="nil"/>
              <w:left w:val="single" w:sz="8" w:space="0" w:color="auto"/>
              <w:bottom w:val="single" w:sz="8" w:space="0" w:color="000000"/>
              <w:right w:val="single" w:sz="8" w:space="0" w:color="auto"/>
            </w:tcBorders>
            <w:shd w:val="clear" w:color="auto" w:fill="B4C6E7" w:themeFill="accent1" w:themeFillTint="66"/>
            <w:noWrap/>
            <w:vAlign w:val="center"/>
            <w:hideMark/>
          </w:tcPr>
          <w:p w14:paraId="24BDAABC"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bottom w:val="single" w:sz="8" w:space="0" w:color="000000"/>
              <w:right w:val="single" w:sz="8" w:space="0" w:color="auto"/>
            </w:tcBorders>
            <w:shd w:val="clear" w:color="auto" w:fill="B4C6E7" w:themeFill="accent1" w:themeFillTint="66"/>
            <w:noWrap/>
            <w:vAlign w:val="center"/>
            <w:hideMark/>
          </w:tcPr>
          <w:p w14:paraId="1B4BC5E4"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44F37C44"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4BF31EA2"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48EB1633"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7DBF8B33"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384C1A37"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5A967F07"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57%</w:t>
            </w:r>
          </w:p>
        </w:tc>
      </w:tr>
      <w:tr w:rsidR="00560E06" w:rsidRPr="00F50DD3" w14:paraId="10AEADFF" w14:textId="77777777" w:rsidTr="00F77D03">
        <w:trPr>
          <w:trHeight w:val="30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7FD93C7F" w14:textId="77777777"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4BF2DF81" w14:textId="77777777"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Familia</w:t>
            </w:r>
          </w:p>
        </w:tc>
        <w:tc>
          <w:tcPr>
            <w:tcW w:w="32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3F752C02" w14:textId="77777777" w:rsidR="00F50DD3" w:rsidRPr="001D0C10" w:rsidRDefault="00F50DD3" w:rsidP="00F50DD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0D2621E5" w14:textId="77777777" w:rsidR="00F50DD3" w:rsidRPr="001D0C10" w:rsidRDefault="00F50DD3"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0AEF0784"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0F0004B5"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35</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0EC15E9C"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27</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2B574BC2" w14:textId="15E620E8" w:rsidR="00F50DD3" w:rsidRPr="001D0C10" w:rsidRDefault="00F7660F" w:rsidP="00F50DD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18</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4F021716"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1E3C7705"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76%</w:t>
            </w:r>
          </w:p>
        </w:tc>
      </w:tr>
      <w:tr w:rsidR="00560E06" w:rsidRPr="00F50DD3" w14:paraId="1A15774B" w14:textId="77777777" w:rsidTr="00F77D03">
        <w:trPr>
          <w:trHeight w:val="30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1855C570" w14:textId="77777777"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2D841D33" w14:textId="77777777" w:rsidR="00F50DD3" w:rsidRPr="001D0C10" w:rsidRDefault="00F50DD3" w:rsidP="00F50DD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Trabajo</w:t>
            </w:r>
          </w:p>
        </w:tc>
        <w:tc>
          <w:tcPr>
            <w:tcW w:w="323" w:type="pct"/>
            <w:tcBorders>
              <w:top w:val="nil"/>
              <w:left w:val="nil"/>
              <w:bottom w:val="single" w:sz="8" w:space="0" w:color="000000"/>
              <w:right w:val="single" w:sz="8" w:space="0" w:color="auto"/>
            </w:tcBorders>
            <w:shd w:val="clear" w:color="auto" w:fill="B4C6E7" w:themeFill="accent1" w:themeFillTint="66"/>
            <w:noWrap/>
            <w:vAlign w:val="center"/>
            <w:hideMark/>
          </w:tcPr>
          <w:p w14:paraId="4060FA41"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636D6973" w14:textId="77777777" w:rsidR="00F50DD3" w:rsidRPr="001D0C10" w:rsidRDefault="00F50DD3" w:rsidP="00F50DD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777358CF"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1F22FCF4"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1C4EEAF1"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11</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1A97F246"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52362F49"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03C0E4C8" w14:textId="77777777" w:rsidR="00F50DD3" w:rsidRPr="001D0C10" w:rsidRDefault="00F50DD3" w:rsidP="00F50DD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79%</w:t>
            </w:r>
          </w:p>
        </w:tc>
      </w:tr>
      <w:tr w:rsidR="0001082E" w:rsidRPr="00F50DD3" w14:paraId="2013A388" w14:textId="77777777" w:rsidTr="00F77D03">
        <w:trPr>
          <w:trHeight w:val="30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tcPr>
          <w:p w14:paraId="0B61D189" w14:textId="77777777" w:rsidR="00F7660F" w:rsidRPr="00F7660F" w:rsidRDefault="00F7660F" w:rsidP="00F7660F">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tcPr>
          <w:p w14:paraId="42B02EB0" w14:textId="6F7E1764" w:rsidR="00F7660F" w:rsidRPr="00F7660F" w:rsidRDefault="00F7660F" w:rsidP="00F7660F">
            <w:pPr>
              <w:spacing w:after="0" w:line="240" w:lineRule="auto"/>
              <w:rPr>
                <w:rFonts w:ascii="Book Antiqua" w:eastAsia="Times New Roman" w:hAnsi="Book Antiqua" w:cs="Calibri"/>
                <w:b/>
                <w:bCs/>
                <w:color w:val="000000"/>
                <w:sz w:val="20"/>
                <w:szCs w:val="20"/>
                <w:lang w:eastAsia="es-CR"/>
              </w:rPr>
            </w:pPr>
            <w:r w:rsidRPr="00752132">
              <w:rPr>
                <w:rFonts w:ascii="Book Antiqua" w:eastAsia="Times New Roman" w:hAnsi="Book Antiqua" w:cs="Calibri"/>
                <w:b/>
                <w:bCs/>
                <w:color w:val="000000"/>
                <w:sz w:val="20"/>
                <w:szCs w:val="20"/>
                <w:lang w:eastAsia="es-CR"/>
              </w:rPr>
              <w:t>Familia</w:t>
            </w:r>
          </w:p>
        </w:tc>
        <w:tc>
          <w:tcPr>
            <w:tcW w:w="323" w:type="pct"/>
            <w:tcBorders>
              <w:top w:val="nil"/>
              <w:left w:val="nil"/>
              <w:bottom w:val="single" w:sz="8" w:space="0" w:color="000000"/>
              <w:right w:val="single" w:sz="8" w:space="0" w:color="auto"/>
            </w:tcBorders>
            <w:shd w:val="clear" w:color="auto" w:fill="B4C6E7" w:themeFill="accent1" w:themeFillTint="66"/>
            <w:noWrap/>
            <w:vAlign w:val="center"/>
          </w:tcPr>
          <w:p w14:paraId="7BFBFF6F" w14:textId="77777777"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p>
        </w:tc>
        <w:tc>
          <w:tcPr>
            <w:tcW w:w="403" w:type="pct"/>
            <w:tcBorders>
              <w:top w:val="nil"/>
              <w:left w:val="single" w:sz="8" w:space="0" w:color="auto"/>
              <w:bottom w:val="single" w:sz="8" w:space="0" w:color="000000"/>
              <w:right w:val="single" w:sz="8" w:space="0" w:color="auto"/>
            </w:tcBorders>
            <w:shd w:val="clear" w:color="auto" w:fill="B4C6E7" w:themeFill="accent1" w:themeFillTint="66"/>
            <w:vAlign w:val="center"/>
          </w:tcPr>
          <w:p w14:paraId="0D833BF0" w14:textId="77777777" w:rsidR="00F7660F" w:rsidRPr="00F7660F" w:rsidRDefault="00F7660F" w:rsidP="00F7660F">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tcPr>
          <w:p w14:paraId="7E9F2E57" w14:textId="434D91A0"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50%</w:t>
            </w:r>
          </w:p>
        </w:tc>
        <w:tc>
          <w:tcPr>
            <w:tcW w:w="480" w:type="pct"/>
            <w:tcBorders>
              <w:top w:val="nil"/>
              <w:left w:val="nil"/>
              <w:bottom w:val="single" w:sz="8" w:space="0" w:color="auto"/>
              <w:right w:val="single" w:sz="8" w:space="0" w:color="auto"/>
            </w:tcBorders>
            <w:shd w:val="clear" w:color="auto" w:fill="B4C6E7" w:themeFill="accent1" w:themeFillTint="66"/>
            <w:noWrap/>
            <w:vAlign w:val="center"/>
          </w:tcPr>
          <w:p w14:paraId="3BC1BCBC" w14:textId="11D8714F"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35</w:t>
            </w:r>
          </w:p>
        </w:tc>
        <w:tc>
          <w:tcPr>
            <w:tcW w:w="627" w:type="pct"/>
            <w:tcBorders>
              <w:top w:val="nil"/>
              <w:left w:val="nil"/>
              <w:bottom w:val="single" w:sz="8" w:space="0" w:color="auto"/>
              <w:right w:val="single" w:sz="8" w:space="0" w:color="auto"/>
            </w:tcBorders>
            <w:shd w:val="clear" w:color="auto" w:fill="B4C6E7" w:themeFill="accent1" w:themeFillTint="66"/>
            <w:noWrap/>
            <w:vAlign w:val="center"/>
          </w:tcPr>
          <w:p w14:paraId="12725F54" w14:textId="377F906F"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27</w:t>
            </w:r>
          </w:p>
        </w:tc>
        <w:tc>
          <w:tcPr>
            <w:tcW w:w="532" w:type="pct"/>
            <w:tcBorders>
              <w:top w:val="nil"/>
              <w:left w:val="nil"/>
              <w:bottom w:val="single" w:sz="8" w:space="0" w:color="auto"/>
              <w:right w:val="single" w:sz="8" w:space="0" w:color="auto"/>
            </w:tcBorders>
            <w:shd w:val="clear" w:color="auto" w:fill="B4C6E7" w:themeFill="accent1" w:themeFillTint="66"/>
            <w:noWrap/>
            <w:vAlign w:val="center"/>
          </w:tcPr>
          <w:p w14:paraId="48BFC3A0" w14:textId="6432AEEF"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18</w:t>
            </w:r>
          </w:p>
        </w:tc>
        <w:tc>
          <w:tcPr>
            <w:tcW w:w="480" w:type="pct"/>
            <w:tcBorders>
              <w:top w:val="nil"/>
              <w:left w:val="nil"/>
              <w:bottom w:val="single" w:sz="8" w:space="0" w:color="auto"/>
              <w:right w:val="single" w:sz="8" w:space="0" w:color="auto"/>
            </w:tcBorders>
            <w:shd w:val="clear" w:color="auto" w:fill="B4C6E7" w:themeFill="accent1" w:themeFillTint="66"/>
            <w:noWrap/>
            <w:vAlign w:val="center"/>
          </w:tcPr>
          <w:p w14:paraId="7FC0AE1C" w14:textId="02703E0D"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7</w:t>
            </w:r>
          </w:p>
        </w:tc>
        <w:tc>
          <w:tcPr>
            <w:tcW w:w="594" w:type="pct"/>
            <w:tcBorders>
              <w:top w:val="nil"/>
              <w:left w:val="nil"/>
              <w:bottom w:val="single" w:sz="8" w:space="0" w:color="auto"/>
              <w:right w:val="single" w:sz="8" w:space="0" w:color="auto"/>
            </w:tcBorders>
            <w:shd w:val="clear" w:color="auto" w:fill="B4C6E7" w:themeFill="accent1" w:themeFillTint="66"/>
            <w:vAlign w:val="center"/>
          </w:tcPr>
          <w:p w14:paraId="1DE451F9" w14:textId="2709253B" w:rsidR="00F7660F" w:rsidRPr="00F7660F" w:rsidRDefault="00F7660F" w:rsidP="00F7660F">
            <w:pPr>
              <w:spacing w:after="0" w:line="240" w:lineRule="auto"/>
              <w:jc w:val="center"/>
              <w:rPr>
                <w:rFonts w:ascii="Book Antiqua" w:eastAsia="Times New Roman" w:hAnsi="Book Antiqua" w:cs="Calibri"/>
                <w:color w:val="000000"/>
                <w:sz w:val="20"/>
                <w:szCs w:val="20"/>
                <w:lang w:eastAsia="es-CR"/>
              </w:rPr>
            </w:pPr>
            <w:r w:rsidRPr="00752132">
              <w:rPr>
                <w:rFonts w:ascii="Book Antiqua" w:eastAsia="Times New Roman" w:hAnsi="Book Antiqua" w:cs="Calibri"/>
                <w:color w:val="000000"/>
                <w:sz w:val="20"/>
                <w:szCs w:val="20"/>
                <w:lang w:eastAsia="es-CR"/>
              </w:rPr>
              <w:t>76%</w:t>
            </w:r>
          </w:p>
        </w:tc>
      </w:tr>
      <w:tr w:rsidR="00560E06" w:rsidRPr="00F50DD3" w14:paraId="5A99C2D3" w14:textId="77777777" w:rsidTr="00F77D03">
        <w:trPr>
          <w:trHeight w:val="30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448E3949"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1F387279"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Viol. Dom.</w:t>
            </w:r>
          </w:p>
        </w:tc>
        <w:tc>
          <w:tcPr>
            <w:tcW w:w="323" w:type="pct"/>
            <w:vMerge w:val="restart"/>
            <w:tcBorders>
              <w:top w:val="nil"/>
              <w:left w:val="single" w:sz="8" w:space="0" w:color="auto"/>
              <w:bottom w:val="single" w:sz="8" w:space="0" w:color="000000"/>
              <w:right w:val="single" w:sz="8" w:space="0" w:color="auto"/>
            </w:tcBorders>
            <w:shd w:val="clear" w:color="auto" w:fill="B4C6E7" w:themeFill="accent1" w:themeFillTint="66"/>
            <w:noWrap/>
            <w:vAlign w:val="center"/>
            <w:hideMark/>
          </w:tcPr>
          <w:p w14:paraId="538C5456"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498C52EA" w14:textId="77777777" w:rsidR="00F7660F" w:rsidRPr="001D0C10" w:rsidRDefault="00F7660F" w:rsidP="00F7660F">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2755B586"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1E219958"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71</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0A047946"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71</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68AD1DA9"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71</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5457D52E"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489A180F"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r>
      <w:tr w:rsidR="00560E06" w:rsidRPr="00F50DD3" w14:paraId="2EA30FD0" w14:textId="77777777" w:rsidTr="00F77D03">
        <w:trPr>
          <w:trHeight w:val="59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57D40E83"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7D3DAD13"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Penal Juvenil</w:t>
            </w:r>
          </w:p>
        </w:tc>
        <w:tc>
          <w:tcPr>
            <w:tcW w:w="32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4225AAE9" w14:textId="77777777" w:rsidR="00F7660F" w:rsidRPr="001D0C10" w:rsidRDefault="00F7660F" w:rsidP="00F7660F">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3A1A93F9" w14:textId="77777777" w:rsidR="00F7660F" w:rsidRPr="001D0C10" w:rsidRDefault="00F7660F" w:rsidP="00F7660F">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28AB7D71"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55F8248D"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2B9F2086"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11</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12AF6C5B"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6EDC90F5"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1EB20629"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108%</w:t>
            </w:r>
          </w:p>
        </w:tc>
      </w:tr>
      <w:tr w:rsidR="00560E06" w:rsidRPr="00F50DD3" w14:paraId="66BA24DB" w14:textId="77777777" w:rsidTr="00F77D03">
        <w:trPr>
          <w:trHeight w:val="300"/>
        </w:trPr>
        <w:tc>
          <w:tcPr>
            <w:tcW w:w="576"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40A26BE4"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B4C6E7" w:themeFill="accent1" w:themeFillTint="66"/>
            <w:vAlign w:val="center"/>
            <w:hideMark/>
          </w:tcPr>
          <w:p w14:paraId="3211CEB0" w14:textId="77777777" w:rsidR="00F7660F" w:rsidRPr="001D0C10" w:rsidRDefault="00F7660F" w:rsidP="00F7660F">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Agrario</w:t>
            </w:r>
          </w:p>
        </w:tc>
        <w:tc>
          <w:tcPr>
            <w:tcW w:w="323" w:type="pct"/>
            <w:tcBorders>
              <w:top w:val="nil"/>
              <w:left w:val="nil"/>
              <w:bottom w:val="single" w:sz="8" w:space="0" w:color="auto"/>
              <w:right w:val="single" w:sz="8" w:space="0" w:color="auto"/>
            </w:tcBorders>
            <w:shd w:val="clear" w:color="auto" w:fill="B4C6E7" w:themeFill="accent1" w:themeFillTint="66"/>
            <w:vAlign w:val="center"/>
            <w:hideMark/>
          </w:tcPr>
          <w:p w14:paraId="70330D00"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shd w:val="clear" w:color="auto" w:fill="B4C6E7" w:themeFill="accent1" w:themeFillTint="66"/>
            <w:vAlign w:val="center"/>
            <w:hideMark/>
          </w:tcPr>
          <w:p w14:paraId="7186BBBF" w14:textId="77777777" w:rsidR="00F7660F" w:rsidRPr="001D0C10" w:rsidRDefault="00F7660F" w:rsidP="00F7660F">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B4C6E7" w:themeFill="accent1" w:themeFillTint="66"/>
            <w:noWrap/>
            <w:vAlign w:val="center"/>
            <w:hideMark/>
          </w:tcPr>
          <w:p w14:paraId="58DD8D3D"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46804AEE"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24</w:t>
            </w:r>
          </w:p>
        </w:tc>
        <w:tc>
          <w:tcPr>
            <w:tcW w:w="627" w:type="pct"/>
            <w:tcBorders>
              <w:top w:val="nil"/>
              <w:left w:val="nil"/>
              <w:bottom w:val="single" w:sz="8" w:space="0" w:color="auto"/>
              <w:right w:val="single" w:sz="8" w:space="0" w:color="auto"/>
            </w:tcBorders>
            <w:shd w:val="clear" w:color="auto" w:fill="B4C6E7" w:themeFill="accent1" w:themeFillTint="66"/>
            <w:noWrap/>
            <w:vAlign w:val="center"/>
            <w:hideMark/>
          </w:tcPr>
          <w:p w14:paraId="42C76A45"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532" w:type="pct"/>
            <w:tcBorders>
              <w:top w:val="nil"/>
              <w:left w:val="nil"/>
              <w:bottom w:val="single" w:sz="8" w:space="0" w:color="auto"/>
              <w:right w:val="single" w:sz="8" w:space="0" w:color="auto"/>
            </w:tcBorders>
            <w:shd w:val="clear" w:color="auto" w:fill="B4C6E7" w:themeFill="accent1" w:themeFillTint="66"/>
            <w:noWrap/>
            <w:vAlign w:val="center"/>
            <w:hideMark/>
          </w:tcPr>
          <w:p w14:paraId="7744C2CA"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24</w:t>
            </w:r>
          </w:p>
        </w:tc>
        <w:tc>
          <w:tcPr>
            <w:tcW w:w="480" w:type="pct"/>
            <w:tcBorders>
              <w:top w:val="nil"/>
              <w:left w:val="nil"/>
              <w:bottom w:val="single" w:sz="8" w:space="0" w:color="auto"/>
              <w:right w:val="single" w:sz="8" w:space="0" w:color="auto"/>
            </w:tcBorders>
            <w:shd w:val="clear" w:color="auto" w:fill="B4C6E7" w:themeFill="accent1" w:themeFillTint="66"/>
            <w:noWrap/>
            <w:vAlign w:val="center"/>
            <w:hideMark/>
          </w:tcPr>
          <w:p w14:paraId="23F1A48A"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auto" w:fill="B4C6E7" w:themeFill="accent1" w:themeFillTint="66"/>
            <w:vAlign w:val="center"/>
            <w:hideMark/>
          </w:tcPr>
          <w:p w14:paraId="0841FE01" w14:textId="77777777" w:rsidR="00F7660F" w:rsidRPr="001D0C10" w:rsidRDefault="00F7660F" w:rsidP="00F7660F">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57%</w:t>
            </w:r>
          </w:p>
        </w:tc>
      </w:tr>
      <w:tr w:rsidR="00F77D03" w:rsidRPr="00F50DD3" w14:paraId="56D6776C" w14:textId="77777777" w:rsidTr="00DF289E">
        <w:trPr>
          <w:trHeight w:val="300"/>
        </w:trPr>
        <w:tc>
          <w:tcPr>
            <w:tcW w:w="576" w:type="pct"/>
            <w:vMerge w:val="restart"/>
            <w:tcBorders>
              <w:top w:val="nil"/>
              <w:left w:val="single" w:sz="8" w:space="0" w:color="auto"/>
              <w:bottom w:val="single" w:sz="8" w:space="0" w:color="000000"/>
              <w:right w:val="single" w:sz="8" w:space="0" w:color="auto"/>
            </w:tcBorders>
            <w:shd w:val="clear" w:color="auto" w:fill="auto"/>
            <w:vAlign w:val="center"/>
            <w:hideMark/>
          </w:tcPr>
          <w:p w14:paraId="0E24E41E"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Juzgado Civil, Trabajo y Familia Osa</w:t>
            </w:r>
          </w:p>
        </w:tc>
        <w:tc>
          <w:tcPr>
            <w:tcW w:w="430" w:type="pct"/>
            <w:tcBorders>
              <w:top w:val="nil"/>
              <w:left w:val="nil"/>
              <w:bottom w:val="single" w:sz="8" w:space="0" w:color="auto"/>
              <w:right w:val="single" w:sz="8" w:space="0" w:color="auto"/>
            </w:tcBorders>
            <w:shd w:val="clear" w:color="auto" w:fill="auto"/>
            <w:vAlign w:val="center"/>
          </w:tcPr>
          <w:p w14:paraId="384FFE5C" w14:textId="6C5D7F0B"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Familia</w:t>
            </w:r>
          </w:p>
        </w:tc>
        <w:tc>
          <w:tcPr>
            <w:tcW w:w="323" w:type="pct"/>
            <w:vMerge w:val="restart"/>
            <w:tcBorders>
              <w:top w:val="nil"/>
              <w:left w:val="single" w:sz="8" w:space="0" w:color="auto"/>
              <w:right w:val="single" w:sz="8" w:space="0" w:color="auto"/>
            </w:tcBorders>
            <w:shd w:val="clear" w:color="auto" w:fill="auto"/>
            <w:noWrap/>
            <w:vAlign w:val="center"/>
            <w:hideMark/>
          </w:tcPr>
          <w:p w14:paraId="6FDDD062" w14:textId="2F67DF7A"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B902BF3"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w:t>
            </w:r>
          </w:p>
        </w:tc>
        <w:tc>
          <w:tcPr>
            <w:tcW w:w="554" w:type="pct"/>
            <w:tcBorders>
              <w:top w:val="nil"/>
              <w:left w:val="nil"/>
              <w:bottom w:val="single" w:sz="8" w:space="0" w:color="auto"/>
              <w:right w:val="single" w:sz="8" w:space="0" w:color="auto"/>
            </w:tcBorders>
            <w:shd w:val="clear" w:color="auto" w:fill="auto"/>
            <w:vAlign w:val="center"/>
          </w:tcPr>
          <w:p w14:paraId="54F2D5EE" w14:textId="31CA1B4A"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68</w:t>
            </w:r>
            <w:r w:rsidRPr="001D0C10">
              <w:rPr>
                <w:rFonts w:ascii="Book Antiqua" w:eastAsia="Times New Roman" w:hAnsi="Book Antiqua" w:cs="Calibri"/>
                <w:color w:val="000000"/>
                <w:sz w:val="20"/>
                <w:szCs w:val="20"/>
                <w:lang w:eastAsia="es-CR"/>
              </w:rPr>
              <w:t>%</w:t>
            </w:r>
          </w:p>
        </w:tc>
        <w:tc>
          <w:tcPr>
            <w:tcW w:w="480" w:type="pct"/>
            <w:tcBorders>
              <w:top w:val="nil"/>
              <w:left w:val="nil"/>
              <w:bottom w:val="single" w:sz="8" w:space="0" w:color="auto"/>
              <w:right w:val="single" w:sz="8" w:space="0" w:color="auto"/>
            </w:tcBorders>
            <w:shd w:val="clear" w:color="auto" w:fill="auto"/>
            <w:vAlign w:val="center"/>
            <w:hideMark/>
          </w:tcPr>
          <w:p w14:paraId="0305DE56" w14:textId="7121E482"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33</w:t>
            </w:r>
          </w:p>
        </w:tc>
        <w:tc>
          <w:tcPr>
            <w:tcW w:w="627" w:type="pct"/>
            <w:tcBorders>
              <w:top w:val="nil"/>
              <w:left w:val="nil"/>
              <w:bottom w:val="single" w:sz="8" w:space="0" w:color="auto"/>
              <w:right w:val="single" w:sz="8" w:space="0" w:color="auto"/>
            </w:tcBorders>
            <w:shd w:val="clear" w:color="auto" w:fill="auto"/>
            <w:vAlign w:val="center"/>
            <w:hideMark/>
          </w:tcPr>
          <w:p w14:paraId="132F38AD" w14:textId="3BE2AEE1"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26</w:t>
            </w:r>
          </w:p>
        </w:tc>
        <w:tc>
          <w:tcPr>
            <w:tcW w:w="532" w:type="pct"/>
            <w:tcBorders>
              <w:top w:val="nil"/>
              <w:left w:val="nil"/>
              <w:bottom w:val="single" w:sz="8" w:space="0" w:color="auto"/>
              <w:right w:val="single" w:sz="8" w:space="0" w:color="auto"/>
            </w:tcBorders>
            <w:shd w:val="clear" w:color="auto" w:fill="auto"/>
            <w:vAlign w:val="center"/>
            <w:hideMark/>
          </w:tcPr>
          <w:p w14:paraId="159DF781" w14:textId="165D666E"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16</w:t>
            </w:r>
          </w:p>
        </w:tc>
        <w:tc>
          <w:tcPr>
            <w:tcW w:w="480" w:type="pct"/>
            <w:tcBorders>
              <w:top w:val="nil"/>
              <w:left w:val="nil"/>
              <w:bottom w:val="single" w:sz="8" w:space="0" w:color="auto"/>
              <w:right w:val="single" w:sz="8" w:space="0" w:color="auto"/>
            </w:tcBorders>
            <w:shd w:val="clear" w:color="auto" w:fill="auto"/>
            <w:vAlign w:val="center"/>
            <w:hideMark/>
          </w:tcPr>
          <w:p w14:paraId="682CD23F" w14:textId="6B1D8EC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94" w:type="pct"/>
            <w:tcBorders>
              <w:top w:val="nil"/>
              <w:left w:val="nil"/>
              <w:bottom w:val="single" w:sz="8" w:space="0" w:color="auto"/>
              <w:right w:val="single" w:sz="8" w:space="0" w:color="auto"/>
            </w:tcBorders>
            <w:shd w:val="clear" w:color="auto" w:fill="auto"/>
            <w:vAlign w:val="center"/>
            <w:hideMark/>
          </w:tcPr>
          <w:p w14:paraId="1A8AB88B" w14:textId="304F7FA1"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79%</w:t>
            </w:r>
          </w:p>
        </w:tc>
      </w:tr>
      <w:tr w:rsidR="00F77D03" w:rsidRPr="00F50DD3" w14:paraId="3C59153D" w14:textId="77777777" w:rsidTr="00DF289E">
        <w:trPr>
          <w:trHeight w:val="300"/>
        </w:trPr>
        <w:tc>
          <w:tcPr>
            <w:tcW w:w="576" w:type="pct"/>
            <w:vMerge/>
            <w:tcBorders>
              <w:top w:val="nil"/>
              <w:left w:val="single" w:sz="8" w:space="0" w:color="auto"/>
              <w:bottom w:val="single" w:sz="8" w:space="0" w:color="000000"/>
              <w:right w:val="single" w:sz="8" w:space="0" w:color="auto"/>
            </w:tcBorders>
            <w:vAlign w:val="center"/>
            <w:hideMark/>
          </w:tcPr>
          <w:p w14:paraId="7CB05CA6"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14DF3429" w14:textId="59DFBA9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Viol. Dom.</w:t>
            </w:r>
          </w:p>
        </w:tc>
        <w:tc>
          <w:tcPr>
            <w:tcW w:w="323" w:type="pct"/>
            <w:vMerge/>
            <w:tcBorders>
              <w:left w:val="single" w:sz="8" w:space="0" w:color="auto"/>
              <w:right w:val="single" w:sz="8" w:space="0" w:color="auto"/>
            </w:tcBorders>
            <w:shd w:val="clear" w:color="auto" w:fill="auto"/>
            <w:vAlign w:val="center"/>
            <w:hideMark/>
          </w:tcPr>
          <w:p w14:paraId="51E0B314"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hideMark/>
          </w:tcPr>
          <w:p w14:paraId="3442EA3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06204C06" w14:textId="74E0189B"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w:t>
            </w:r>
            <w:r w:rsidRPr="001D0C10">
              <w:rPr>
                <w:rFonts w:ascii="Book Antiqua" w:eastAsia="Times New Roman" w:hAnsi="Book Antiqua" w:cs="Calibri"/>
                <w:color w:val="000000"/>
                <w:sz w:val="20"/>
                <w:szCs w:val="20"/>
                <w:lang w:eastAsia="es-CR"/>
              </w:rPr>
              <w:t>0%</w:t>
            </w:r>
          </w:p>
        </w:tc>
        <w:tc>
          <w:tcPr>
            <w:tcW w:w="480" w:type="pct"/>
            <w:tcBorders>
              <w:top w:val="nil"/>
              <w:left w:val="nil"/>
              <w:bottom w:val="single" w:sz="8" w:space="0" w:color="auto"/>
              <w:right w:val="single" w:sz="8" w:space="0" w:color="auto"/>
            </w:tcBorders>
            <w:shd w:val="clear" w:color="auto" w:fill="auto"/>
            <w:vAlign w:val="center"/>
            <w:hideMark/>
          </w:tcPr>
          <w:p w14:paraId="20114851" w14:textId="71CA88CA"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53</w:t>
            </w:r>
          </w:p>
        </w:tc>
        <w:tc>
          <w:tcPr>
            <w:tcW w:w="627" w:type="pct"/>
            <w:tcBorders>
              <w:top w:val="nil"/>
              <w:left w:val="nil"/>
              <w:bottom w:val="single" w:sz="8" w:space="0" w:color="auto"/>
              <w:right w:val="single" w:sz="8" w:space="0" w:color="auto"/>
            </w:tcBorders>
            <w:shd w:val="clear" w:color="auto" w:fill="auto"/>
            <w:vAlign w:val="center"/>
            <w:hideMark/>
          </w:tcPr>
          <w:p w14:paraId="520FFF80" w14:textId="384A7612"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51</w:t>
            </w:r>
          </w:p>
        </w:tc>
        <w:tc>
          <w:tcPr>
            <w:tcW w:w="532" w:type="pct"/>
            <w:tcBorders>
              <w:top w:val="nil"/>
              <w:left w:val="nil"/>
              <w:bottom w:val="single" w:sz="8" w:space="0" w:color="auto"/>
              <w:right w:val="single" w:sz="8" w:space="0" w:color="auto"/>
            </w:tcBorders>
            <w:shd w:val="clear" w:color="auto" w:fill="auto"/>
            <w:vAlign w:val="center"/>
            <w:hideMark/>
          </w:tcPr>
          <w:p w14:paraId="4AC9B48E" w14:textId="73409DDE"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26</w:t>
            </w:r>
          </w:p>
        </w:tc>
        <w:tc>
          <w:tcPr>
            <w:tcW w:w="480" w:type="pct"/>
            <w:tcBorders>
              <w:top w:val="nil"/>
              <w:left w:val="nil"/>
              <w:bottom w:val="single" w:sz="8" w:space="0" w:color="auto"/>
              <w:right w:val="single" w:sz="8" w:space="0" w:color="auto"/>
            </w:tcBorders>
            <w:shd w:val="clear" w:color="auto" w:fill="auto"/>
            <w:vAlign w:val="center"/>
            <w:hideMark/>
          </w:tcPr>
          <w:p w14:paraId="37208A5F" w14:textId="2DDAF464"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13</w:t>
            </w:r>
          </w:p>
        </w:tc>
        <w:tc>
          <w:tcPr>
            <w:tcW w:w="594" w:type="pct"/>
            <w:tcBorders>
              <w:top w:val="nil"/>
              <w:left w:val="nil"/>
              <w:bottom w:val="single" w:sz="8" w:space="0" w:color="auto"/>
              <w:right w:val="single" w:sz="8" w:space="0" w:color="auto"/>
            </w:tcBorders>
            <w:shd w:val="clear" w:color="auto" w:fill="auto"/>
            <w:vAlign w:val="center"/>
            <w:hideMark/>
          </w:tcPr>
          <w:p w14:paraId="76692FBB" w14:textId="48523D2E"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97%</w:t>
            </w:r>
          </w:p>
        </w:tc>
      </w:tr>
      <w:tr w:rsidR="00F77D03" w:rsidRPr="00F50DD3" w14:paraId="077061A9" w14:textId="77777777" w:rsidTr="00DF289E">
        <w:trPr>
          <w:trHeight w:val="300"/>
        </w:trPr>
        <w:tc>
          <w:tcPr>
            <w:tcW w:w="576" w:type="pct"/>
            <w:vMerge/>
            <w:tcBorders>
              <w:top w:val="nil"/>
              <w:left w:val="single" w:sz="8" w:space="0" w:color="auto"/>
              <w:bottom w:val="single" w:sz="8" w:space="0" w:color="000000"/>
              <w:right w:val="single" w:sz="8" w:space="0" w:color="auto"/>
            </w:tcBorders>
            <w:vAlign w:val="center"/>
            <w:hideMark/>
          </w:tcPr>
          <w:p w14:paraId="4090AC30"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092A7DEA" w14:textId="77060B7E"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Penal Juvenil</w:t>
            </w:r>
          </w:p>
        </w:tc>
        <w:tc>
          <w:tcPr>
            <w:tcW w:w="323" w:type="pct"/>
            <w:vMerge/>
            <w:tcBorders>
              <w:left w:val="single" w:sz="8" w:space="0" w:color="auto"/>
              <w:bottom w:val="single" w:sz="8" w:space="0" w:color="000000"/>
              <w:right w:val="single" w:sz="8" w:space="0" w:color="auto"/>
            </w:tcBorders>
            <w:shd w:val="clear" w:color="auto" w:fill="auto"/>
            <w:vAlign w:val="center"/>
            <w:hideMark/>
          </w:tcPr>
          <w:p w14:paraId="3E2D30A2"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hideMark/>
          </w:tcPr>
          <w:p w14:paraId="66AF7A4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74F32EA3" w14:textId="1601FC4F"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100</w:t>
            </w:r>
            <w:r w:rsidRPr="001D0C10">
              <w:rPr>
                <w:rFonts w:ascii="Book Antiqua" w:eastAsia="Times New Roman" w:hAnsi="Book Antiqua" w:cs="Calibri"/>
                <w:color w:val="000000"/>
                <w:sz w:val="20"/>
                <w:szCs w:val="20"/>
                <w:lang w:eastAsia="es-CR"/>
              </w:rPr>
              <w:t>%</w:t>
            </w:r>
          </w:p>
        </w:tc>
        <w:tc>
          <w:tcPr>
            <w:tcW w:w="480" w:type="pct"/>
            <w:tcBorders>
              <w:top w:val="nil"/>
              <w:left w:val="nil"/>
              <w:bottom w:val="single" w:sz="8" w:space="0" w:color="auto"/>
              <w:right w:val="single" w:sz="8" w:space="0" w:color="auto"/>
            </w:tcBorders>
            <w:shd w:val="clear" w:color="auto" w:fill="auto"/>
            <w:vAlign w:val="center"/>
          </w:tcPr>
          <w:p w14:paraId="3051278A" w14:textId="65391A12"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627" w:type="pct"/>
            <w:tcBorders>
              <w:top w:val="nil"/>
              <w:left w:val="nil"/>
              <w:bottom w:val="single" w:sz="8" w:space="0" w:color="auto"/>
              <w:right w:val="single" w:sz="8" w:space="0" w:color="auto"/>
            </w:tcBorders>
            <w:shd w:val="clear" w:color="auto" w:fill="auto"/>
            <w:vAlign w:val="center"/>
          </w:tcPr>
          <w:p w14:paraId="3466AA95" w14:textId="5AAA074B"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32" w:type="pct"/>
            <w:tcBorders>
              <w:top w:val="nil"/>
              <w:left w:val="nil"/>
              <w:bottom w:val="single" w:sz="8" w:space="0" w:color="auto"/>
              <w:right w:val="single" w:sz="8" w:space="0" w:color="auto"/>
            </w:tcBorders>
            <w:shd w:val="clear" w:color="auto" w:fill="auto"/>
            <w:vAlign w:val="center"/>
          </w:tcPr>
          <w:p w14:paraId="61AADA9D" w14:textId="47E6B185"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480" w:type="pct"/>
            <w:tcBorders>
              <w:top w:val="nil"/>
              <w:left w:val="nil"/>
              <w:bottom w:val="single" w:sz="8" w:space="0" w:color="auto"/>
              <w:right w:val="single" w:sz="8" w:space="0" w:color="auto"/>
            </w:tcBorders>
            <w:shd w:val="clear" w:color="auto" w:fill="auto"/>
            <w:vAlign w:val="center"/>
          </w:tcPr>
          <w:p w14:paraId="7291939F" w14:textId="78351D05"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594" w:type="pct"/>
            <w:tcBorders>
              <w:top w:val="nil"/>
              <w:left w:val="nil"/>
              <w:bottom w:val="single" w:sz="8" w:space="0" w:color="auto"/>
              <w:right w:val="single" w:sz="8" w:space="0" w:color="auto"/>
            </w:tcBorders>
            <w:shd w:val="clear" w:color="auto" w:fill="auto"/>
            <w:vAlign w:val="center"/>
          </w:tcPr>
          <w:p w14:paraId="55D92BC1" w14:textId="28A743A0"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102%</w:t>
            </w:r>
          </w:p>
        </w:tc>
      </w:tr>
      <w:tr w:rsidR="00F77D03" w:rsidRPr="00F50DD3" w14:paraId="732482A8" w14:textId="77777777" w:rsidTr="00DF289E">
        <w:trPr>
          <w:trHeight w:val="300"/>
        </w:trPr>
        <w:tc>
          <w:tcPr>
            <w:tcW w:w="576" w:type="pct"/>
            <w:vMerge/>
            <w:tcBorders>
              <w:top w:val="nil"/>
              <w:left w:val="single" w:sz="8" w:space="0" w:color="auto"/>
              <w:bottom w:val="single" w:sz="8" w:space="0" w:color="000000"/>
              <w:right w:val="single" w:sz="8" w:space="0" w:color="auto"/>
            </w:tcBorders>
            <w:vAlign w:val="center"/>
            <w:hideMark/>
          </w:tcPr>
          <w:p w14:paraId="7D5F3C00"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498DC143" w14:textId="20112562"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Civil</w:t>
            </w:r>
          </w:p>
        </w:tc>
        <w:tc>
          <w:tcPr>
            <w:tcW w:w="323" w:type="pct"/>
            <w:vMerge w:val="restart"/>
            <w:tcBorders>
              <w:top w:val="nil"/>
              <w:left w:val="single" w:sz="8" w:space="0" w:color="auto"/>
              <w:right w:val="single" w:sz="8" w:space="0" w:color="auto"/>
            </w:tcBorders>
            <w:shd w:val="clear" w:color="auto" w:fill="auto"/>
            <w:vAlign w:val="center"/>
            <w:hideMark/>
          </w:tcPr>
          <w:p w14:paraId="5E3C0B84" w14:textId="38D3C20F" w:rsidR="00F77D03" w:rsidRPr="001D0C10" w:rsidRDefault="00F77D03" w:rsidP="00F77D03">
            <w:pPr>
              <w:spacing w:after="0" w:line="240" w:lineRule="auto"/>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4092C18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591784E7" w14:textId="67B66E1B"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tcPr>
          <w:p w14:paraId="76526D7A" w14:textId="5F5A698A"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auto"/>
            <w:vAlign w:val="center"/>
          </w:tcPr>
          <w:p w14:paraId="533EE02C" w14:textId="2A8FC15B"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8</w:t>
            </w:r>
          </w:p>
        </w:tc>
        <w:tc>
          <w:tcPr>
            <w:tcW w:w="532" w:type="pct"/>
            <w:tcBorders>
              <w:top w:val="nil"/>
              <w:left w:val="nil"/>
              <w:bottom w:val="single" w:sz="8" w:space="0" w:color="auto"/>
              <w:right w:val="single" w:sz="8" w:space="0" w:color="auto"/>
            </w:tcBorders>
            <w:shd w:val="clear" w:color="auto" w:fill="auto"/>
            <w:vAlign w:val="center"/>
          </w:tcPr>
          <w:p w14:paraId="2E2AE5C1" w14:textId="68EEB3A3"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w:t>
            </w:r>
          </w:p>
        </w:tc>
        <w:tc>
          <w:tcPr>
            <w:tcW w:w="480" w:type="pct"/>
            <w:tcBorders>
              <w:top w:val="nil"/>
              <w:left w:val="nil"/>
              <w:bottom w:val="single" w:sz="8" w:space="0" w:color="auto"/>
              <w:right w:val="single" w:sz="8" w:space="0" w:color="auto"/>
            </w:tcBorders>
            <w:shd w:val="clear" w:color="auto" w:fill="auto"/>
            <w:vAlign w:val="center"/>
          </w:tcPr>
          <w:p w14:paraId="3EBCFAED" w14:textId="7E4B0A13"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2,5</w:t>
            </w:r>
          </w:p>
        </w:tc>
        <w:tc>
          <w:tcPr>
            <w:tcW w:w="594" w:type="pct"/>
            <w:tcBorders>
              <w:top w:val="nil"/>
              <w:left w:val="nil"/>
              <w:bottom w:val="single" w:sz="8" w:space="0" w:color="auto"/>
              <w:right w:val="single" w:sz="8" w:space="0" w:color="auto"/>
            </w:tcBorders>
            <w:shd w:val="clear" w:color="auto" w:fill="auto"/>
            <w:vAlign w:val="center"/>
          </w:tcPr>
          <w:p w14:paraId="72F31975" w14:textId="18A0ADE8"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77%</w:t>
            </w:r>
          </w:p>
        </w:tc>
      </w:tr>
      <w:tr w:rsidR="00F77D03" w:rsidRPr="00F50DD3" w14:paraId="5FA910C9" w14:textId="77777777" w:rsidTr="00DF289E">
        <w:trPr>
          <w:trHeight w:val="590"/>
        </w:trPr>
        <w:tc>
          <w:tcPr>
            <w:tcW w:w="576" w:type="pct"/>
            <w:vMerge/>
            <w:tcBorders>
              <w:top w:val="nil"/>
              <w:left w:val="single" w:sz="8" w:space="0" w:color="auto"/>
              <w:bottom w:val="single" w:sz="8" w:space="0" w:color="000000"/>
              <w:right w:val="single" w:sz="8" w:space="0" w:color="auto"/>
            </w:tcBorders>
            <w:vAlign w:val="center"/>
          </w:tcPr>
          <w:p w14:paraId="65305419"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0A1728C3" w14:textId="331900F7" w:rsidR="00F77D03" w:rsidRDefault="00F77D03" w:rsidP="00F77D03">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Laboral</w:t>
            </w:r>
          </w:p>
        </w:tc>
        <w:tc>
          <w:tcPr>
            <w:tcW w:w="323" w:type="pct"/>
            <w:vMerge/>
            <w:tcBorders>
              <w:left w:val="single" w:sz="8" w:space="0" w:color="auto"/>
              <w:right w:val="single" w:sz="8" w:space="0" w:color="auto"/>
            </w:tcBorders>
            <w:shd w:val="clear" w:color="auto" w:fill="auto"/>
            <w:vAlign w:val="center"/>
          </w:tcPr>
          <w:p w14:paraId="358386F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tcPr>
          <w:p w14:paraId="11DDD8E6"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06D6AC40" w14:textId="369AE8F5" w:rsidR="00F77D03"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tcPr>
          <w:p w14:paraId="749ACBAB" w14:textId="0F7479D8"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16</w:t>
            </w:r>
          </w:p>
        </w:tc>
        <w:tc>
          <w:tcPr>
            <w:tcW w:w="627" w:type="pct"/>
            <w:tcBorders>
              <w:top w:val="nil"/>
              <w:left w:val="nil"/>
              <w:bottom w:val="single" w:sz="8" w:space="0" w:color="auto"/>
              <w:right w:val="single" w:sz="8" w:space="0" w:color="auto"/>
            </w:tcBorders>
            <w:shd w:val="clear" w:color="auto" w:fill="auto"/>
            <w:vAlign w:val="center"/>
          </w:tcPr>
          <w:p w14:paraId="718456B4" w14:textId="103A9679"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15</w:t>
            </w:r>
          </w:p>
        </w:tc>
        <w:tc>
          <w:tcPr>
            <w:tcW w:w="532" w:type="pct"/>
            <w:tcBorders>
              <w:top w:val="nil"/>
              <w:left w:val="nil"/>
              <w:bottom w:val="single" w:sz="8" w:space="0" w:color="auto"/>
              <w:right w:val="single" w:sz="8" w:space="0" w:color="auto"/>
            </w:tcBorders>
            <w:shd w:val="clear" w:color="auto" w:fill="auto"/>
            <w:vAlign w:val="center"/>
          </w:tcPr>
          <w:p w14:paraId="7CFF33B1" w14:textId="6FC9C7B9"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16</w:t>
            </w:r>
          </w:p>
        </w:tc>
        <w:tc>
          <w:tcPr>
            <w:tcW w:w="480" w:type="pct"/>
            <w:tcBorders>
              <w:top w:val="nil"/>
              <w:left w:val="nil"/>
              <w:bottom w:val="single" w:sz="8" w:space="0" w:color="auto"/>
              <w:right w:val="single" w:sz="8" w:space="0" w:color="auto"/>
            </w:tcBorders>
            <w:shd w:val="clear" w:color="auto" w:fill="auto"/>
            <w:vAlign w:val="center"/>
          </w:tcPr>
          <w:p w14:paraId="656F1AB0" w14:textId="2AFFFCB1"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w:t>
            </w:r>
          </w:p>
        </w:tc>
        <w:tc>
          <w:tcPr>
            <w:tcW w:w="594" w:type="pct"/>
            <w:tcBorders>
              <w:top w:val="nil"/>
              <w:left w:val="nil"/>
              <w:bottom w:val="single" w:sz="8" w:space="0" w:color="auto"/>
              <w:right w:val="single" w:sz="8" w:space="0" w:color="auto"/>
            </w:tcBorders>
            <w:shd w:val="clear" w:color="auto" w:fill="auto"/>
            <w:vAlign w:val="center"/>
          </w:tcPr>
          <w:p w14:paraId="725FC8D9" w14:textId="6B7614C3"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93%</w:t>
            </w:r>
          </w:p>
        </w:tc>
      </w:tr>
      <w:tr w:rsidR="00F77D03" w:rsidRPr="00F50DD3" w14:paraId="5E4AF097" w14:textId="77777777" w:rsidTr="00DF289E">
        <w:trPr>
          <w:trHeight w:val="590"/>
        </w:trPr>
        <w:tc>
          <w:tcPr>
            <w:tcW w:w="576" w:type="pct"/>
            <w:vMerge/>
            <w:tcBorders>
              <w:top w:val="nil"/>
              <w:left w:val="single" w:sz="8" w:space="0" w:color="auto"/>
              <w:bottom w:val="single" w:sz="8" w:space="0" w:color="000000"/>
              <w:right w:val="single" w:sz="8" w:space="0" w:color="auto"/>
            </w:tcBorders>
            <w:vAlign w:val="center"/>
            <w:hideMark/>
          </w:tcPr>
          <w:p w14:paraId="5AB54943"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tcPr>
          <w:p w14:paraId="77C86E45" w14:textId="48E69DD4"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Familia</w:t>
            </w:r>
          </w:p>
        </w:tc>
        <w:tc>
          <w:tcPr>
            <w:tcW w:w="323" w:type="pct"/>
            <w:vMerge/>
            <w:tcBorders>
              <w:left w:val="single" w:sz="8" w:space="0" w:color="auto"/>
              <w:bottom w:val="single" w:sz="8" w:space="0" w:color="000000"/>
              <w:right w:val="single" w:sz="8" w:space="0" w:color="auto"/>
            </w:tcBorders>
            <w:shd w:val="clear" w:color="auto" w:fill="auto"/>
            <w:vAlign w:val="center"/>
            <w:hideMark/>
          </w:tcPr>
          <w:p w14:paraId="5F3B5296"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hideMark/>
          </w:tcPr>
          <w:p w14:paraId="01DC38B6"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tcPr>
          <w:p w14:paraId="78784706" w14:textId="38D68239"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32%</w:t>
            </w:r>
          </w:p>
        </w:tc>
        <w:tc>
          <w:tcPr>
            <w:tcW w:w="480" w:type="pct"/>
            <w:tcBorders>
              <w:top w:val="nil"/>
              <w:left w:val="nil"/>
              <w:bottom w:val="single" w:sz="8" w:space="0" w:color="auto"/>
              <w:right w:val="single" w:sz="8" w:space="0" w:color="auto"/>
            </w:tcBorders>
            <w:shd w:val="clear" w:color="auto" w:fill="auto"/>
            <w:vAlign w:val="center"/>
          </w:tcPr>
          <w:p w14:paraId="3949B821" w14:textId="415D0361"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33</w:t>
            </w:r>
          </w:p>
        </w:tc>
        <w:tc>
          <w:tcPr>
            <w:tcW w:w="627" w:type="pct"/>
            <w:tcBorders>
              <w:top w:val="nil"/>
              <w:left w:val="nil"/>
              <w:bottom w:val="single" w:sz="8" w:space="0" w:color="auto"/>
              <w:right w:val="single" w:sz="8" w:space="0" w:color="auto"/>
            </w:tcBorders>
            <w:shd w:val="clear" w:color="auto" w:fill="auto"/>
            <w:vAlign w:val="center"/>
          </w:tcPr>
          <w:p w14:paraId="5C2999A3" w14:textId="285774E9"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26</w:t>
            </w:r>
          </w:p>
        </w:tc>
        <w:tc>
          <w:tcPr>
            <w:tcW w:w="532" w:type="pct"/>
            <w:tcBorders>
              <w:top w:val="nil"/>
              <w:left w:val="nil"/>
              <w:bottom w:val="single" w:sz="8" w:space="0" w:color="auto"/>
              <w:right w:val="single" w:sz="8" w:space="0" w:color="auto"/>
            </w:tcBorders>
            <w:shd w:val="clear" w:color="auto" w:fill="auto"/>
            <w:vAlign w:val="center"/>
          </w:tcPr>
          <w:p w14:paraId="42F7DF47" w14:textId="3E2CCBDD"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16</w:t>
            </w:r>
          </w:p>
        </w:tc>
        <w:tc>
          <w:tcPr>
            <w:tcW w:w="480" w:type="pct"/>
            <w:tcBorders>
              <w:top w:val="nil"/>
              <w:left w:val="nil"/>
              <w:bottom w:val="single" w:sz="8" w:space="0" w:color="auto"/>
              <w:right w:val="single" w:sz="8" w:space="0" w:color="auto"/>
            </w:tcBorders>
            <w:shd w:val="clear" w:color="auto" w:fill="auto"/>
            <w:vAlign w:val="center"/>
          </w:tcPr>
          <w:p w14:paraId="3A3D7133" w14:textId="5795A01F"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94" w:type="pct"/>
            <w:tcBorders>
              <w:top w:val="nil"/>
              <w:left w:val="nil"/>
              <w:bottom w:val="single" w:sz="8" w:space="0" w:color="auto"/>
              <w:right w:val="single" w:sz="8" w:space="0" w:color="auto"/>
            </w:tcBorders>
            <w:shd w:val="clear" w:color="auto" w:fill="auto"/>
            <w:vAlign w:val="center"/>
          </w:tcPr>
          <w:p w14:paraId="622C732A" w14:textId="2502F891"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79%</w:t>
            </w:r>
          </w:p>
        </w:tc>
      </w:tr>
      <w:tr w:rsidR="00F77D03" w:rsidRPr="00F50DD3" w14:paraId="7CC032CB" w14:textId="77777777" w:rsidTr="00F77D03">
        <w:trPr>
          <w:trHeight w:val="300"/>
        </w:trPr>
        <w:tc>
          <w:tcPr>
            <w:tcW w:w="576" w:type="pct"/>
            <w:vMerge w:val="restart"/>
            <w:tcBorders>
              <w:top w:val="nil"/>
              <w:left w:val="single" w:sz="8" w:space="0" w:color="auto"/>
              <w:bottom w:val="single" w:sz="8" w:space="0" w:color="000000"/>
              <w:right w:val="single" w:sz="8" w:space="0" w:color="auto"/>
            </w:tcBorders>
            <w:shd w:val="clear" w:color="000000" w:fill="C6D9F1"/>
            <w:vAlign w:val="center"/>
            <w:hideMark/>
          </w:tcPr>
          <w:p w14:paraId="7BFCC4FE" w14:textId="13C3919C"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Juzgado Civil, Trabajo y Familia de Puriscal***</w:t>
            </w:r>
          </w:p>
        </w:tc>
        <w:tc>
          <w:tcPr>
            <w:tcW w:w="430" w:type="pct"/>
            <w:tcBorders>
              <w:top w:val="nil"/>
              <w:left w:val="nil"/>
              <w:bottom w:val="single" w:sz="8" w:space="0" w:color="auto"/>
              <w:right w:val="single" w:sz="8" w:space="0" w:color="auto"/>
            </w:tcBorders>
            <w:shd w:val="clear" w:color="000000" w:fill="C6D9F1"/>
            <w:vAlign w:val="center"/>
            <w:hideMark/>
          </w:tcPr>
          <w:p w14:paraId="2B1E32F2"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Civil</w:t>
            </w:r>
          </w:p>
        </w:tc>
        <w:tc>
          <w:tcPr>
            <w:tcW w:w="323" w:type="pct"/>
            <w:tcBorders>
              <w:top w:val="nil"/>
              <w:left w:val="nil"/>
              <w:bottom w:val="single" w:sz="8" w:space="0" w:color="auto"/>
              <w:right w:val="single" w:sz="8" w:space="0" w:color="auto"/>
            </w:tcBorders>
            <w:shd w:val="clear" w:color="000000" w:fill="C6D9F1"/>
            <w:noWrap/>
            <w:vAlign w:val="center"/>
            <w:hideMark/>
          </w:tcPr>
          <w:p w14:paraId="40952C54"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bottom w:val="single" w:sz="8" w:space="0" w:color="000000"/>
              <w:right w:val="single" w:sz="8" w:space="0" w:color="auto"/>
            </w:tcBorders>
            <w:shd w:val="clear" w:color="000000" w:fill="C6D9F1"/>
            <w:noWrap/>
            <w:vAlign w:val="center"/>
            <w:hideMark/>
          </w:tcPr>
          <w:p w14:paraId="35D2781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w:t>
            </w:r>
          </w:p>
        </w:tc>
        <w:tc>
          <w:tcPr>
            <w:tcW w:w="554" w:type="pct"/>
            <w:tcBorders>
              <w:top w:val="nil"/>
              <w:left w:val="nil"/>
              <w:bottom w:val="single" w:sz="8" w:space="0" w:color="auto"/>
              <w:right w:val="single" w:sz="8" w:space="0" w:color="auto"/>
            </w:tcBorders>
            <w:shd w:val="clear" w:color="000000" w:fill="C6D9F1"/>
            <w:noWrap/>
            <w:vAlign w:val="center"/>
            <w:hideMark/>
          </w:tcPr>
          <w:p w14:paraId="6656FC6D"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000000" w:fill="C6D9F1"/>
            <w:noWrap/>
            <w:vAlign w:val="center"/>
            <w:hideMark/>
          </w:tcPr>
          <w:p w14:paraId="321EC02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28</w:t>
            </w:r>
          </w:p>
        </w:tc>
        <w:tc>
          <w:tcPr>
            <w:tcW w:w="627" w:type="pct"/>
            <w:tcBorders>
              <w:top w:val="nil"/>
              <w:left w:val="nil"/>
              <w:bottom w:val="single" w:sz="8" w:space="0" w:color="auto"/>
              <w:right w:val="single" w:sz="8" w:space="0" w:color="auto"/>
            </w:tcBorders>
            <w:shd w:val="clear" w:color="000000" w:fill="C6D9F1"/>
            <w:noWrap/>
            <w:vAlign w:val="center"/>
            <w:hideMark/>
          </w:tcPr>
          <w:p w14:paraId="60BEA136"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20</w:t>
            </w:r>
          </w:p>
        </w:tc>
        <w:tc>
          <w:tcPr>
            <w:tcW w:w="532" w:type="pct"/>
            <w:tcBorders>
              <w:top w:val="nil"/>
              <w:left w:val="nil"/>
              <w:bottom w:val="single" w:sz="8" w:space="0" w:color="auto"/>
              <w:right w:val="single" w:sz="8" w:space="0" w:color="auto"/>
            </w:tcBorders>
            <w:shd w:val="clear" w:color="000000" w:fill="C6D9F1"/>
            <w:noWrap/>
            <w:vAlign w:val="center"/>
            <w:hideMark/>
          </w:tcPr>
          <w:p w14:paraId="0C3B76ED"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28</w:t>
            </w:r>
          </w:p>
        </w:tc>
        <w:tc>
          <w:tcPr>
            <w:tcW w:w="480" w:type="pct"/>
            <w:tcBorders>
              <w:top w:val="nil"/>
              <w:left w:val="nil"/>
              <w:bottom w:val="single" w:sz="8" w:space="0" w:color="auto"/>
              <w:right w:val="single" w:sz="8" w:space="0" w:color="auto"/>
            </w:tcBorders>
            <w:shd w:val="clear" w:color="000000" w:fill="C6D9F1"/>
            <w:noWrap/>
            <w:vAlign w:val="center"/>
            <w:hideMark/>
          </w:tcPr>
          <w:p w14:paraId="604E218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w:t>
            </w:r>
          </w:p>
        </w:tc>
        <w:tc>
          <w:tcPr>
            <w:tcW w:w="594" w:type="pct"/>
            <w:tcBorders>
              <w:top w:val="nil"/>
              <w:left w:val="nil"/>
              <w:bottom w:val="single" w:sz="8" w:space="0" w:color="auto"/>
              <w:right w:val="single" w:sz="8" w:space="0" w:color="auto"/>
            </w:tcBorders>
            <w:shd w:val="clear" w:color="000000" w:fill="C6D9F1"/>
            <w:vAlign w:val="center"/>
            <w:hideMark/>
          </w:tcPr>
          <w:p w14:paraId="306A656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70%</w:t>
            </w:r>
          </w:p>
        </w:tc>
      </w:tr>
      <w:tr w:rsidR="00F77D03" w:rsidRPr="00F50DD3" w14:paraId="0BE5E866"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74699FE9"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000000" w:fill="C6D9F1"/>
            <w:vAlign w:val="center"/>
            <w:hideMark/>
          </w:tcPr>
          <w:p w14:paraId="1328ABC0"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Trabajo</w:t>
            </w:r>
          </w:p>
        </w:tc>
        <w:tc>
          <w:tcPr>
            <w:tcW w:w="323" w:type="pct"/>
            <w:tcBorders>
              <w:top w:val="nil"/>
              <w:left w:val="nil"/>
              <w:bottom w:val="single" w:sz="8" w:space="0" w:color="auto"/>
              <w:right w:val="single" w:sz="8" w:space="0" w:color="auto"/>
            </w:tcBorders>
            <w:shd w:val="clear" w:color="000000" w:fill="C6D9F1"/>
            <w:vAlign w:val="center"/>
            <w:hideMark/>
          </w:tcPr>
          <w:p w14:paraId="1A51B334"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4B548C2F"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000000" w:fill="C6D9F1"/>
            <w:noWrap/>
            <w:vAlign w:val="center"/>
            <w:hideMark/>
          </w:tcPr>
          <w:p w14:paraId="0592CD0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000000" w:fill="C6D9F1"/>
            <w:noWrap/>
            <w:vAlign w:val="center"/>
            <w:hideMark/>
          </w:tcPr>
          <w:p w14:paraId="6BD14DBA"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21</w:t>
            </w:r>
          </w:p>
        </w:tc>
        <w:tc>
          <w:tcPr>
            <w:tcW w:w="627" w:type="pct"/>
            <w:tcBorders>
              <w:top w:val="nil"/>
              <w:left w:val="nil"/>
              <w:bottom w:val="single" w:sz="8" w:space="0" w:color="auto"/>
              <w:right w:val="single" w:sz="8" w:space="0" w:color="auto"/>
            </w:tcBorders>
            <w:shd w:val="clear" w:color="000000" w:fill="C6D9F1"/>
            <w:noWrap/>
            <w:vAlign w:val="center"/>
            <w:hideMark/>
          </w:tcPr>
          <w:p w14:paraId="579FC8E3"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21</w:t>
            </w:r>
          </w:p>
        </w:tc>
        <w:tc>
          <w:tcPr>
            <w:tcW w:w="532" w:type="pct"/>
            <w:tcBorders>
              <w:top w:val="nil"/>
              <w:left w:val="nil"/>
              <w:bottom w:val="single" w:sz="8" w:space="0" w:color="auto"/>
              <w:right w:val="single" w:sz="8" w:space="0" w:color="auto"/>
            </w:tcBorders>
            <w:shd w:val="clear" w:color="000000" w:fill="C6D9F1"/>
            <w:noWrap/>
            <w:vAlign w:val="center"/>
            <w:hideMark/>
          </w:tcPr>
          <w:p w14:paraId="27EA9118"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21</w:t>
            </w:r>
          </w:p>
        </w:tc>
        <w:tc>
          <w:tcPr>
            <w:tcW w:w="480" w:type="pct"/>
            <w:tcBorders>
              <w:top w:val="nil"/>
              <w:left w:val="nil"/>
              <w:bottom w:val="single" w:sz="8" w:space="0" w:color="auto"/>
              <w:right w:val="single" w:sz="8" w:space="0" w:color="auto"/>
            </w:tcBorders>
            <w:shd w:val="clear" w:color="000000" w:fill="C6D9F1"/>
            <w:noWrap/>
            <w:vAlign w:val="center"/>
            <w:hideMark/>
          </w:tcPr>
          <w:p w14:paraId="6CCD1D6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94" w:type="pct"/>
            <w:tcBorders>
              <w:top w:val="nil"/>
              <w:left w:val="nil"/>
              <w:bottom w:val="single" w:sz="8" w:space="0" w:color="auto"/>
              <w:right w:val="single" w:sz="8" w:space="0" w:color="auto"/>
            </w:tcBorders>
            <w:shd w:val="clear" w:color="000000" w:fill="C6D9F1"/>
            <w:vAlign w:val="center"/>
            <w:hideMark/>
          </w:tcPr>
          <w:p w14:paraId="13ED2660"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97%</w:t>
            </w:r>
          </w:p>
        </w:tc>
      </w:tr>
      <w:tr w:rsidR="00F77D03" w:rsidRPr="00F50DD3" w14:paraId="294B29E6"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0E115B63"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000000" w:fill="C6D9F1"/>
            <w:vAlign w:val="center"/>
            <w:hideMark/>
          </w:tcPr>
          <w:p w14:paraId="4AEB9FA2"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Familia</w:t>
            </w:r>
          </w:p>
        </w:tc>
        <w:tc>
          <w:tcPr>
            <w:tcW w:w="323" w:type="pct"/>
            <w:tcBorders>
              <w:top w:val="nil"/>
              <w:left w:val="nil"/>
              <w:bottom w:val="single" w:sz="8" w:space="0" w:color="auto"/>
              <w:right w:val="single" w:sz="8" w:space="0" w:color="auto"/>
            </w:tcBorders>
            <w:shd w:val="clear" w:color="000000" w:fill="C6D9F1"/>
            <w:vAlign w:val="center"/>
            <w:hideMark/>
          </w:tcPr>
          <w:p w14:paraId="4C57EC4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6411601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000000" w:fill="C6D9F1"/>
            <w:noWrap/>
            <w:vAlign w:val="center"/>
            <w:hideMark/>
          </w:tcPr>
          <w:p w14:paraId="09A09147"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000000" w:fill="C6D9F1"/>
            <w:noWrap/>
            <w:vAlign w:val="center"/>
            <w:hideMark/>
          </w:tcPr>
          <w:p w14:paraId="6FF1FD5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48</w:t>
            </w:r>
          </w:p>
        </w:tc>
        <w:tc>
          <w:tcPr>
            <w:tcW w:w="627" w:type="pct"/>
            <w:tcBorders>
              <w:top w:val="nil"/>
              <w:left w:val="nil"/>
              <w:bottom w:val="single" w:sz="8" w:space="0" w:color="auto"/>
              <w:right w:val="single" w:sz="8" w:space="0" w:color="auto"/>
            </w:tcBorders>
            <w:shd w:val="clear" w:color="000000" w:fill="C6D9F1"/>
            <w:noWrap/>
            <w:vAlign w:val="center"/>
            <w:hideMark/>
          </w:tcPr>
          <w:p w14:paraId="319228A3"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38</w:t>
            </w:r>
          </w:p>
        </w:tc>
        <w:tc>
          <w:tcPr>
            <w:tcW w:w="532" w:type="pct"/>
            <w:tcBorders>
              <w:top w:val="nil"/>
              <w:left w:val="nil"/>
              <w:bottom w:val="single" w:sz="8" w:space="0" w:color="auto"/>
              <w:right w:val="single" w:sz="8" w:space="0" w:color="auto"/>
            </w:tcBorders>
            <w:shd w:val="clear" w:color="000000" w:fill="C6D9F1"/>
            <w:noWrap/>
            <w:vAlign w:val="center"/>
            <w:hideMark/>
          </w:tcPr>
          <w:p w14:paraId="4F2DCA4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48</w:t>
            </w:r>
          </w:p>
        </w:tc>
        <w:tc>
          <w:tcPr>
            <w:tcW w:w="480" w:type="pct"/>
            <w:tcBorders>
              <w:top w:val="nil"/>
              <w:left w:val="nil"/>
              <w:bottom w:val="single" w:sz="8" w:space="0" w:color="auto"/>
              <w:right w:val="single" w:sz="8" w:space="0" w:color="auto"/>
            </w:tcBorders>
            <w:shd w:val="clear" w:color="000000" w:fill="C6D9F1"/>
            <w:noWrap/>
            <w:vAlign w:val="center"/>
            <w:hideMark/>
          </w:tcPr>
          <w:p w14:paraId="2AB5260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12</w:t>
            </w:r>
          </w:p>
        </w:tc>
        <w:tc>
          <w:tcPr>
            <w:tcW w:w="594" w:type="pct"/>
            <w:tcBorders>
              <w:top w:val="nil"/>
              <w:left w:val="nil"/>
              <w:bottom w:val="single" w:sz="8" w:space="0" w:color="auto"/>
              <w:right w:val="single" w:sz="8" w:space="0" w:color="auto"/>
            </w:tcBorders>
            <w:shd w:val="clear" w:color="000000" w:fill="C6D9F1"/>
            <w:vAlign w:val="center"/>
            <w:hideMark/>
          </w:tcPr>
          <w:p w14:paraId="0280FBD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79%</w:t>
            </w:r>
          </w:p>
        </w:tc>
      </w:tr>
      <w:tr w:rsidR="00F77D03" w:rsidRPr="00F50DD3" w14:paraId="4049E909"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43932384"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vMerge w:val="restart"/>
            <w:tcBorders>
              <w:top w:val="nil"/>
              <w:left w:val="nil"/>
              <w:right w:val="single" w:sz="8" w:space="0" w:color="auto"/>
            </w:tcBorders>
            <w:shd w:val="clear" w:color="000000" w:fill="C6D9F1"/>
            <w:vAlign w:val="center"/>
            <w:hideMark/>
          </w:tcPr>
          <w:p w14:paraId="7EC649F4"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Viol. Dom.</w:t>
            </w:r>
          </w:p>
        </w:tc>
        <w:tc>
          <w:tcPr>
            <w:tcW w:w="323" w:type="pct"/>
            <w:tcBorders>
              <w:top w:val="nil"/>
              <w:left w:val="nil"/>
              <w:bottom w:val="single" w:sz="8" w:space="0" w:color="auto"/>
              <w:right w:val="single" w:sz="8" w:space="0" w:color="auto"/>
            </w:tcBorders>
            <w:shd w:val="clear" w:color="000000" w:fill="C6D9F1"/>
            <w:vAlign w:val="center"/>
            <w:hideMark/>
          </w:tcPr>
          <w:p w14:paraId="18100F07" w14:textId="580AB89F"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3B1D3CE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000000" w:fill="C6D9F1"/>
            <w:noWrap/>
            <w:vAlign w:val="center"/>
            <w:hideMark/>
          </w:tcPr>
          <w:p w14:paraId="6BB6876A" w14:textId="42FEAD13"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25,33%</w:t>
            </w:r>
          </w:p>
        </w:tc>
        <w:tc>
          <w:tcPr>
            <w:tcW w:w="480" w:type="pct"/>
            <w:vMerge w:val="restart"/>
            <w:tcBorders>
              <w:top w:val="nil"/>
              <w:left w:val="nil"/>
              <w:right w:val="single" w:sz="8" w:space="0" w:color="auto"/>
            </w:tcBorders>
            <w:shd w:val="clear" w:color="000000" w:fill="C6D9F1"/>
            <w:noWrap/>
            <w:vAlign w:val="center"/>
            <w:hideMark/>
          </w:tcPr>
          <w:p w14:paraId="5475E65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41</w:t>
            </w:r>
          </w:p>
        </w:tc>
        <w:tc>
          <w:tcPr>
            <w:tcW w:w="627" w:type="pct"/>
            <w:vMerge w:val="restart"/>
            <w:tcBorders>
              <w:top w:val="nil"/>
              <w:left w:val="nil"/>
              <w:right w:val="single" w:sz="8" w:space="0" w:color="auto"/>
            </w:tcBorders>
            <w:shd w:val="clear" w:color="000000" w:fill="C6D9F1"/>
            <w:noWrap/>
            <w:vAlign w:val="center"/>
            <w:hideMark/>
          </w:tcPr>
          <w:p w14:paraId="4A137D8A"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40</w:t>
            </w:r>
          </w:p>
        </w:tc>
        <w:tc>
          <w:tcPr>
            <w:tcW w:w="532" w:type="pct"/>
            <w:vMerge w:val="restart"/>
            <w:tcBorders>
              <w:top w:val="nil"/>
              <w:left w:val="nil"/>
              <w:right w:val="single" w:sz="8" w:space="0" w:color="auto"/>
            </w:tcBorders>
            <w:shd w:val="clear" w:color="000000" w:fill="C6D9F1"/>
            <w:noWrap/>
            <w:vAlign w:val="center"/>
            <w:hideMark/>
          </w:tcPr>
          <w:p w14:paraId="68C3E55B"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14</w:t>
            </w:r>
          </w:p>
        </w:tc>
        <w:tc>
          <w:tcPr>
            <w:tcW w:w="480" w:type="pct"/>
            <w:vMerge w:val="restart"/>
            <w:tcBorders>
              <w:top w:val="nil"/>
              <w:left w:val="nil"/>
              <w:right w:val="single" w:sz="8" w:space="0" w:color="auto"/>
            </w:tcBorders>
            <w:shd w:val="clear" w:color="000000" w:fill="C6D9F1"/>
            <w:noWrap/>
            <w:vAlign w:val="center"/>
            <w:hideMark/>
          </w:tcPr>
          <w:p w14:paraId="3E42C62D"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594" w:type="pct"/>
            <w:vMerge w:val="restart"/>
            <w:tcBorders>
              <w:top w:val="nil"/>
              <w:left w:val="nil"/>
              <w:right w:val="single" w:sz="8" w:space="0" w:color="auto"/>
            </w:tcBorders>
            <w:shd w:val="clear" w:color="000000" w:fill="C6D9F1"/>
            <w:vAlign w:val="center"/>
            <w:hideMark/>
          </w:tcPr>
          <w:p w14:paraId="22B97854"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97%</w:t>
            </w:r>
          </w:p>
        </w:tc>
      </w:tr>
      <w:tr w:rsidR="00F77D03" w:rsidRPr="00F50DD3" w14:paraId="5BDC713E" w14:textId="77777777" w:rsidTr="00F77D03">
        <w:trPr>
          <w:trHeight w:val="214"/>
        </w:trPr>
        <w:tc>
          <w:tcPr>
            <w:tcW w:w="576" w:type="pct"/>
            <w:vMerge/>
            <w:tcBorders>
              <w:top w:val="nil"/>
              <w:left w:val="single" w:sz="8" w:space="0" w:color="auto"/>
              <w:bottom w:val="single" w:sz="8" w:space="0" w:color="000000"/>
              <w:right w:val="single" w:sz="8" w:space="0" w:color="auto"/>
            </w:tcBorders>
            <w:vAlign w:val="center"/>
          </w:tcPr>
          <w:p w14:paraId="4F4BBB8E"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vMerge/>
            <w:tcBorders>
              <w:left w:val="nil"/>
              <w:bottom w:val="single" w:sz="8" w:space="0" w:color="auto"/>
              <w:right w:val="single" w:sz="8" w:space="0" w:color="auto"/>
            </w:tcBorders>
            <w:shd w:val="clear" w:color="000000" w:fill="C6D9F1"/>
            <w:vAlign w:val="center"/>
          </w:tcPr>
          <w:p w14:paraId="2767063D"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323" w:type="pct"/>
            <w:tcBorders>
              <w:top w:val="nil"/>
              <w:left w:val="nil"/>
              <w:bottom w:val="single" w:sz="8" w:space="0" w:color="auto"/>
              <w:right w:val="single" w:sz="8" w:space="0" w:color="auto"/>
            </w:tcBorders>
            <w:shd w:val="clear" w:color="000000" w:fill="C6D9F1"/>
            <w:vAlign w:val="center"/>
          </w:tcPr>
          <w:p w14:paraId="366708DC" w14:textId="54AAD206"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403" w:type="pct"/>
            <w:vMerge/>
            <w:tcBorders>
              <w:top w:val="nil"/>
              <w:left w:val="single" w:sz="8" w:space="0" w:color="auto"/>
              <w:bottom w:val="single" w:sz="8" w:space="0" w:color="000000"/>
              <w:right w:val="single" w:sz="8" w:space="0" w:color="auto"/>
            </w:tcBorders>
            <w:vAlign w:val="center"/>
          </w:tcPr>
          <w:p w14:paraId="29CBAA54"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000000" w:fill="C6D9F1"/>
            <w:noWrap/>
            <w:vAlign w:val="center"/>
          </w:tcPr>
          <w:p w14:paraId="05521A28" w14:textId="6CE134B4"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74,66%</w:t>
            </w:r>
          </w:p>
        </w:tc>
        <w:tc>
          <w:tcPr>
            <w:tcW w:w="480" w:type="pct"/>
            <w:vMerge/>
            <w:tcBorders>
              <w:left w:val="nil"/>
              <w:bottom w:val="single" w:sz="8" w:space="0" w:color="auto"/>
              <w:right w:val="single" w:sz="8" w:space="0" w:color="auto"/>
            </w:tcBorders>
            <w:shd w:val="clear" w:color="000000" w:fill="C6D9F1"/>
            <w:noWrap/>
            <w:vAlign w:val="center"/>
          </w:tcPr>
          <w:p w14:paraId="39C22881"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p>
        </w:tc>
        <w:tc>
          <w:tcPr>
            <w:tcW w:w="627" w:type="pct"/>
            <w:vMerge/>
            <w:tcBorders>
              <w:left w:val="nil"/>
              <w:bottom w:val="single" w:sz="8" w:space="0" w:color="auto"/>
              <w:right w:val="single" w:sz="8" w:space="0" w:color="auto"/>
            </w:tcBorders>
            <w:shd w:val="clear" w:color="000000" w:fill="C6D9F1"/>
            <w:noWrap/>
            <w:vAlign w:val="center"/>
          </w:tcPr>
          <w:p w14:paraId="6898AAA3"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p>
        </w:tc>
        <w:tc>
          <w:tcPr>
            <w:tcW w:w="532" w:type="pct"/>
            <w:vMerge/>
            <w:tcBorders>
              <w:left w:val="nil"/>
              <w:bottom w:val="single" w:sz="8" w:space="0" w:color="auto"/>
              <w:right w:val="single" w:sz="8" w:space="0" w:color="auto"/>
            </w:tcBorders>
            <w:shd w:val="clear" w:color="000000" w:fill="C6D9F1"/>
            <w:noWrap/>
            <w:vAlign w:val="center"/>
          </w:tcPr>
          <w:p w14:paraId="43D71DE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p>
        </w:tc>
        <w:tc>
          <w:tcPr>
            <w:tcW w:w="480" w:type="pct"/>
            <w:vMerge/>
            <w:tcBorders>
              <w:left w:val="nil"/>
              <w:bottom w:val="single" w:sz="8" w:space="0" w:color="auto"/>
              <w:right w:val="single" w:sz="8" w:space="0" w:color="auto"/>
            </w:tcBorders>
            <w:shd w:val="clear" w:color="000000" w:fill="C6D9F1"/>
            <w:noWrap/>
            <w:vAlign w:val="center"/>
          </w:tcPr>
          <w:p w14:paraId="2EA24BC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p>
        </w:tc>
        <w:tc>
          <w:tcPr>
            <w:tcW w:w="594" w:type="pct"/>
            <w:vMerge/>
            <w:tcBorders>
              <w:left w:val="nil"/>
              <w:bottom w:val="single" w:sz="8" w:space="0" w:color="auto"/>
              <w:right w:val="single" w:sz="8" w:space="0" w:color="auto"/>
            </w:tcBorders>
            <w:shd w:val="clear" w:color="000000" w:fill="C6D9F1"/>
            <w:vAlign w:val="center"/>
          </w:tcPr>
          <w:p w14:paraId="2342FC7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p>
        </w:tc>
      </w:tr>
      <w:tr w:rsidR="00F77D03" w:rsidRPr="00F50DD3" w14:paraId="7B32659A" w14:textId="77777777" w:rsidTr="00F77D03">
        <w:trPr>
          <w:trHeight w:val="590"/>
        </w:trPr>
        <w:tc>
          <w:tcPr>
            <w:tcW w:w="576" w:type="pct"/>
            <w:vMerge/>
            <w:tcBorders>
              <w:top w:val="nil"/>
              <w:left w:val="single" w:sz="8" w:space="0" w:color="auto"/>
              <w:bottom w:val="single" w:sz="8" w:space="0" w:color="000000"/>
              <w:right w:val="single" w:sz="8" w:space="0" w:color="auto"/>
            </w:tcBorders>
            <w:vAlign w:val="center"/>
            <w:hideMark/>
          </w:tcPr>
          <w:p w14:paraId="6E7DD2C9"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000000" w:fill="C6D9F1"/>
            <w:vAlign w:val="center"/>
            <w:hideMark/>
          </w:tcPr>
          <w:p w14:paraId="6C0C6506"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Penal Juvenil</w:t>
            </w:r>
          </w:p>
        </w:tc>
        <w:tc>
          <w:tcPr>
            <w:tcW w:w="323" w:type="pct"/>
            <w:tcBorders>
              <w:top w:val="nil"/>
              <w:left w:val="nil"/>
              <w:bottom w:val="single" w:sz="8" w:space="0" w:color="auto"/>
              <w:right w:val="single" w:sz="8" w:space="0" w:color="auto"/>
            </w:tcBorders>
            <w:shd w:val="clear" w:color="000000" w:fill="C6D9F1"/>
            <w:vAlign w:val="center"/>
            <w:hideMark/>
          </w:tcPr>
          <w:p w14:paraId="328C88B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5464F5B2"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000000" w:fill="C6D9F1"/>
            <w:noWrap/>
            <w:vAlign w:val="center"/>
            <w:hideMark/>
          </w:tcPr>
          <w:p w14:paraId="4032901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000000" w:fill="C6D9F1"/>
            <w:noWrap/>
            <w:vAlign w:val="center"/>
            <w:hideMark/>
          </w:tcPr>
          <w:p w14:paraId="6ECFC2A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627" w:type="pct"/>
            <w:tcBorders>
              <w:top w:val="nil"/>
              <w:left w:val="nil"/>
              <w:bottom w:val="single" w:sz="8" w:space="0" w:color="auto"/>
              <w:right w:val="single" w:sz="8" w:space="0" w:color="auto"/>
            </w:tcBorders>
            <w:shd w:val="clear" w:color="000000" w:fill="C6D9F1"/>
            <w:noWrap/>
            <w:vAlign w:val="center"/>
            <w:hideMark/>
          </w:tcPr>
          <w:p w14:paraId="336BBF96"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532" w:type="pct"/>
            <w:tcBorders>
              <w:top w:val="nil"/>
              <w:left w:val="nil"/>
              <w:bottom w:val="single" w:sz="8" w:space="0" w:color="auto"/>
              <w:right w:val="single" w:sz="8" w:space="0" w:color="auto"/>
            </w:tcBorders>
            <w:shd w:val="clear" w:color="000000" w:fill="C6D9F1"/>
            <w:noWrap/>
            <w:vAlign w:val="center"/>
            <w:hideMark/>
          </w:tcPr>
          <w:p w14:paraId="47A1B070"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480" w:type="pct"/>
            <w:tcBorders>
              <w:top w:val="nil"/>
              <w:left w:val="nil"/>
              <w:bottom w:val="single" w:sz="8" w:space="0" w:color="auto"/>
              <w:right w:val="single" w:sz="8" w:space="0" w:color="auto"/>
            </w:tcBorders>
            <w:shd w:val="clear" w:color="000000" w:fill="C6D9F1"/>
            <w:noWrap/>
            <w:vAlign w:val="center"/>
            <w:hideMark/>
          </w:tcPr>
          <w:p w14:paraId="20FA9573"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594" w:type="pct"/>
            <w:tcBorders>
              <w:top w:val="nil"/>
              <w:left w:val="nil"/>
              <w:bottom w:val="single" w:sz="8" w:space="0" w:color="auto"/>
              <w:right w:val="single" w:sz="8" w:space="0" w:color="auto"/>
            </w:tcBorders>
            <w:shd w:val="clear" w:color="000000" w:fill="C6D9F1"/>
            <w:vAlign w:val="center"/>
            <w:hideMark/>
          </w:tcPr>
          <w:p w14:paraId="484431AC"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108%</w:t>
            </w:r>
          </w:p>
        </w:tc>
      </w:tr>
      <w:tr w:rsidR="00F77D03" w:rsidRPr="00F50DD3" w14:paraId="4178EE25" w14:textId="77777777" w:rsidTr="00F77D03">
        <w:trPr>
          <w:trHeight w:val="299"/>
        </w:trPr>
        <w:tc>
          <w:tcPr>
            <w:tcW w:w="576" w:type="pct"/>
            <w:vMerge w:val="restart"/>
            <w:tcBorders>
              <w:top w:val="nil"/>
              <w:left w:val="single" w:sz="8" w:space="0" w:color="auto"/>
              <w:bottom w:val="single" w:sz="8" w:space="0" w:color="000000"/>
              <w:right w:val="single" w:sz="8" w:space="0" w:color="auto"/>
            </w:tcBorders>
            <w:shd w:val="clear" w:color="auto" w:fill="auto"/>
            <w:vAlign w:val="center"/>
            <w:hideMark/>
          </w:tcPr>
          <w:p w14:paraId="5770C825" w14:textId="411190C0"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 xml:space="preserve">Juzgado Civ., Trab., Fam. Penal Juv. </w:t>
            </w:r>
            <w:r w:rsidRPr="00E85731">
              <w:rPr>
                <w:rFonts w:ascii="Book Antiqua" w:eastAsia="Times New Roman" w:hAnsi="Book Antiqua" w:cs="Calibri"/>
                <w:b/>
                <w:bCs/>
                <w:color w:val="000000"/>
                <w:sz w:val="20"/>
                <w:szCs w:val="20"/>
                <w:lang w:eastAsia="es-CR"/>
              </w:rPr>
              <w:t>Y</w:t>
            </w:r>
            <w:r w:rsidRPr="001D0C10">
              <w:rPr>
                <w:rFonts w:ascii="Book Antiqua" w:eastAsia="Times New Roman" w:hAnsi="Book Antiqua" w:cs="Calibri"/>
                <w:b/>
                <w:bCs/>
                <w:color w:val="000000"/>
                <w:sz w:val="20"/>
                <w:szCs w:val="20"/>
                <w:lang w:eastAsia="es-CR"/>
              </w:rPr>
              <w:t xml:space="preserve"> Viol. Doméstica Sarapiquí</w:t>
            </w:r>
          </w:p>
        </w:tc>
        <w:tc>
          <w:tcPr>
            <w:tcW w:w="430" w:type="pct"/>
            <w:tcBorders>
              <w:top w:val="nil"/>
              <w:left w:val="nil"/>
              <w:bottom w:val="single" w:sz="8" w:space="0" w:color="auto"/>
              <w:right w:val="single" w:sz="8" w:space="0" w:color="auto"/>
            </w:tcBorders>
            <w:shd w:val="clear" w:color="auto" w:fill="auto"/>
            <w:vAlign w:val="center"/>
            <w:hideMark/>
          </w:tcPr>
          <w:p w14:paraId="1CBB0F62"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Civil</w:t>
            </w:r>
          </w:p>
        </w:tc>
        <w:tc>
          <w:tcPr>
            <w:tcW w:w="32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4F49D135"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DEBB758"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5</w:t>
            </w:r>
          </w:p>
        </w:tc>
        <w:tc>
          <w:tcPr>
            <w:tcW w:w="554" w:type="pct"/>
            <w:tcBorders>
              <w:top w:val="nil"/>
              <w:left w:val="nil"/>
              <w:bottom w:val="single" w:sz="8" w:space="0" w:color="auto"/>
              <w:right w:val="single" w:sz="8" w:space="0" w:color="auto"/>
            </w:tcBorders>
            <w:shd w:val="clear" w:color="auto" w:fill="auto"/>
            <w:noWrap/>
            <w:vAlign w:val="center"/>
            <w:hideMark/>
          </w:tcPr>
          <w:p w14:paraId="36E583A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noWrap/>
            <w:vAlign w:val="center"/>
            <w:hideMark/>
          </w:tcPr>
          <w:p w14:paraId="1DF9ACD0"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w:t>
            </w:r>
          </w:p>
        </w:tc>
        <w:tc>
          <w:tcPr>
            <w:tcW w:w="627" w:type="pct"/>
            <w:tcBorders>
              <w:top w:val="nil"/>
              <w:left w:val="nil"/>
              <w:bottom w:val="single" w:sz="8" w:space="0" w:color="auto"/>
              <w:right w:val="single" w:sz="8" w:space="0" w:color="auto"/>
            </w:tcBorders>
            <w:shd w:val="clear" w:color="auto" w:fill="auto"/>
            <w:noWrap/>
            <w:vAlign w:val="center"/>
            <w:hideMark/>
          </w:tcPr>
          <w:p w14:paraId="0E67720B"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532" w:type="pct"/>
            <w:tcBorders>
              <w:top w:val="nil"/>
              <w:left w:val="nil"/>
              <w:bottom w:val="single" w:sz="8" w:space="0" w:color="auto"/>
              <w:right w:val="single" w:sz="8" w:space="0" w:color="auto"/>
            </w:tcBorders>
            <w:shd w:val="clear" w:color="auto" w:fill="auto"/>
            <w:vAlign w:val="center"/>
            <w:hideMark/>
          </w:tcPr>
          <w:p w14:paraId="318ED89A"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w:t>
            </w:r>
          </w:p>
        </w:tc>
        <w:tc>
          <w:tcPr>
            <w:tcW w:w="480" w:type="pct"/>
            <w:tcBorders>
              <w:top w:val="nil"/>
              <w:left w:val="nil"/>
              <w:bottom w:val="single" w:sz="8" w:space="0" w:color="auto"/>
              <w:right w:val="single" w:sz="8" w:space="0" w:color="auto"/>
            </w:tcBorders>
            <w:shd w:val="clear" w:color="auto" w:fill="auto"/>
            <w:vAlign w:val="center"/>
            <w:hideMark/>
          </w:tcPr>
          <w:p w14:paraId="5018662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594" w:type="pct"/>
            <w:tcBorders>
              <w:top w:val="nil"/>
              <w:left w:val="nil"/>
              <w:bottom w:val="single" w:sz="8" w:space="0" w:color="auto"/>
              <w:right w:val="single" w:sz="8" w:space="0" w:color="auto"/>
            </w:tcBorders>
            <w:shd w:val="clear" w:color="auto" w:fill="auto"/>
            <w:vAlign w:val="center"/>
            <w:hideMark/>
          </w:tcPr>
          <w:p w14:paraId="5314010B"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69%</w:t>
            </w:r>
          </w:p>
        </w:tc>
      </w:tr>
      <w:tr w:rsidR="00F77D03" w:rsidRPr="00F50DD3" w14:paraId="392FB3B7"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5754D18A"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6BF77BA3"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Trabajo</w:t>
            </w:r>
          </w:p>
        </w:tc>
        <w:tc>
          <w:tcPr>
            <w:tcW w:w="323" w:type="pct"/>
            <w:vMerge/>
            <w:tcBorders>
              <w:top w:val="nil"/>
              <w:left w:val="single" w:sz="8" w:space="0" w:color="auto"/>
              <w:bottom w:val="single" w:sz="8" w:space="0" w:color="000000"/>
              <w:right w:val="single" w:sz="8" w:space="0" w:color="auto"/>
            </w:tcBorders>
            <w:vAlign w:val="center"/>
            <w:hideMark/>
          </w:tcPr>
          <w:p w14:paraId="104F1A9F"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hideMark/>
          </w:tcPr>
          <w:p w14:paraId="45BD09B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noWrap/>
            <w:vAlign w:val="center"/>
            <w:hideMark/>
          </w:tcPr>
          <w:p w14:paraId="002ACE62"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noWrap/>
            <w:vAlign w:val="center"/>
            <w:hideMark/>
          </w:tcPr>
          <w:p w14:paraId="053C46B8"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29</w:t>
            </w:r>
          </w:p>
        </w:tc>
        <w:tc>
          <w:tcPr>
            <w:tcW w:w="627" w:type="pct"/>
            <w:tcBorders>
              <w:top w:val="nil"/>
              <w:left w:val="nil"/>
              <w:bottom w:val="single" w:sz="8" w:space="0" w:color="auto"/>
              <w:right w:val="single" w:sz="8" w:space="0" w:color="auto"/>
            </w:tcBorders>
            <w:shd w:val="clear" w:color="auto" w:fill="auto"/>
            <w:noWrap/>
            <w:vAlign w:val="center"/>
            <w:hideMark/>
          </w:tcPr>
          <w:p w14:paraId="7471AE66"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27</w:t>
            </w:r>
          </w:p>
        </w:tc>
        <w:tc>
          <w:tcPr>
            <w:tcW w:w="532" w:type="pct"/>
            <w:tcBorders>
              <w:top w:val="nil"/>
              <w:left w:val="nil"/>
              <w:bottom w:val="single" w:sz="8" w:space="0" w:color="auto"/>
              <w:right w:val="single" w:sz="8" w:space="0" w:color="auto"/>
            </w:tcBorders>
            <w:shd w:val="clear" w:color="auto" w:fill="auto"/>
            <w:vAlign w:val="center"/>
            <w:hideMark/>
          </w:tcPr>
          <w:p w14:paraId="483C780D"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29</w:t>
            </w:r>
          </w:p>
        </w:tc>
        <w:tc>
          <w:tcPr>
            <w:tcW w:w="480" w:type="pct"/>
            <w:tcBorders>
              <w:top w:val="nil"/>
              <w:left w:val="nil"/>
              <w:bottom w:val="single" w:sz="8" w:space="0" w:color="auto"/>
              <w:right w:val="single" w:sz="8" w:space="0" w:color="auto"/>
            </w:tcBorders>
            <w:shd w:val="clear" w:color="auto" w:fill="auto"/>
            <w:vAlign w:val="center"/>
            <w:hideMark/>
          </w:tcPr>
          <w:p w14:paraId="52D65B1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6</w:t>
            </w:r>
          </w:p>
        </w:tc>
        <w:tc>
          <w:tcPr>
            <w:tcW w:w="594" w:type="pct"/>
            <w:tcBorders>
              <w:top w:val="nil"/>
              <w:left w:val="nil"/>
              <w:bottom w:val="single" w:sz="8" w:space="0" w:color="auto"/>
              <w:right w:val="single" w:sz="8" w:space="0" w:color="auto"/>
            </w:tcBorders>
            <w:shd w:val="clear" w:color="auto" w:fill="auto"/>
            <w:vAlign w:val="center"/>
            <w:hideMark/>
          </w:tcPr>
          <w:p w14:paraId="04728A4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93%</w:t>
            </w:r>
          </w:p>
        </w:tc>
      </w:tr>
      <w:tr w:rsidR="00F77D03" w:rsidRPr="00F50DD3" w14:paraId="2D33B276"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760E38DC"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1AA857C5"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Viol. Dom.</w:t>
            </w:r>
          </w:p>
        </w:tc>
        <w:tc>
          <w:tcPr>
            <w:tcW w:w="323" w:type="pct"/>
            <w:tcBorders>
              <w:top w:val="nil"/>
              <w:left w:val="nil"/>
              <w:bottom w:val="single" w:sz="8" w:space="0" w:color="auto"/>
              <w:right w:val="single" w:sz="8" w:space="0" w:color="auto"/>
            </w:tcBorders>
            <w:shd w:val="clear" w:color="auto" w:fill="auto"/>
            <w:noWrap/>
            <w:vAlign w:val="center"/>
            <w:hideMark/>
          </w:tcPr>
          <w:p w14:paraId="473BE02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5F1426B7"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231E2ACD"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575CB8A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78</w:t>
            </w:r>
          </w:p>
        </w:tc>
        <w:tc>
          <w:tcPr>
            <w:tcW w:w="627" w:type="pct"/>
            <w:tcBorders>
              <w:top w:val="nil"/>
              <w:left w:val="nil"/>
              <w:bottom w:val="single" w:sz="8" w:space="0" w:color="auto"/>
              <w:right w:val="single" w:sz="8" w:space="0" w:color="auto"/>
            </w:tcBorders>
            <w:shd w:val="clear" w:color="auto" w:fill="auto"/>
            <w:vAlign w:val="center"/>
            <w:hideMark/>
          </w:tcPr>
          <w:p w14:paraId="1B252275"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79</w:t>
            </w:r>
          </w:p>
        </w:tc>
        <w:tc>
          <w:tcPr>
            <w:tcW w:w="532" w:type="pct"/>
            <w:tcBorders>
              <w:top w:val="nil"/>
              <w:left w:val="nil"/>
              <w:bottom w:val="single" w:sz="8" w:space="0" w:color="auto"/>
              <w:right w:val="single" w:sz="8" w:space="0" w:color="auto"/>
            </w:tcBorders>
            <w:shd w:val="clear" w:color="auto" w:fill="auto"/>
            <w:vAlign w:val="center"/>
            <w:hideMark/>
          </w:tcPr>
          <w:p w14:paraId="7AA7AE07"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78</w:t>
            </w:r>
          </w:p>
        </w:tc>
        <w:tc>
          <w:tcPr>
            <w:tcW w:w="480" w:type="pct"/>
            <w:tcBorders>
              <w:top w:val="nil"/>
              <w:left w:val="nil"/>
              <w:bottom w:val="single" w:sz="8" w:space="0" w:color="auto"/>
              <w:right w:val="single" w:sz="8" w:space="0" w:color="auto"/>
            </w:tcBorders>
            <w:shd w:val="clear" w:color="auto" w:fill="auto"/>
            <w:vAlign w:val="center"/>
            <w:hideMark/>
          </w:tcPr>
          <w:p w14:paraId="0DCC4658"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16</w:t>
            </w:r>
          </w:p>
        </w:tc>
        <w:tc>
          <w:tcPr>
            <w:tcW w:w="594" w:type="pct"/>
            <w:tcBorders>
              <w:top w:val="nil"/>
              <w:left w:val="nil"/>
              <w:bottom w:val="single" w:sz="8" w:space="0" w:color="auto"/>
              <w:right w:val="single" w:sz="8" w:space="0" w:color="auto"/>
            </w:tcBorders>
            <w:shd w:val="clear" w:color="auto" w:fill="auto"/>
            <w:vAlign w:val="center"/>
            <w:hideMark/>
          </w:tcPr>
          <w:p w14:paraId="70B364EC"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101%</w:t>
            </w:r>
          </w:p>
        </w:tc>
      </w:tr>
      <w:tr w:rsidR="00F77D03" w:rsidRPr="00F50DD3" w14:paraId="1A83735A" w14:textId="77777777" w:rsidTr="00F77D03">
        <w:trPr>
          <w:trHeight w:val="300"/>
        </w:trPr>
        <w:tc>
          <w:tcPr>
            <w:tcW w:w="576" w:type="pct"/>
            <w:vMerge/>
            <w:tcBorders>
              <w:top w:val="nil"/>
              <w:left w:val="single" w:sz="8" w:space="0" w:color="auto"/>
              <w:bottom w:val="single" w:sz="8" w:space="0" w:color="000000"/>
              <w:right w:val="single" w:sz="8" w:space="0" w:color="auto"/>
            </w:tcBorders>
            <w:vAlign w:val="center"/>
            <w:hideMark/>
          </w:tcPr>
          <w:p w14:paraId="3352351B"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73CC1749"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Familia</w:t>
            </w:r>
          </w:p>
        </w:tc>
        <w:tc>
          <w:tcPr>
            <w:tcW w:w="32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7A63A7C"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w:t>
            </w:r>
          </w:p>
        </w:tc>
        <w:tc>
          <w:tcPr>
            <w:tcW w:w="403" w:type="pct"/>
            <w:vMerge/>
            <w:tcBorders>
              <w:top w:val="nil"/>
              <w:left w:val="single" w:sz="8" w:space="0" w:color="auto"/>
              <w:bottom w:val="single" w:sz="8" w:space="0" w:color="000000"/>
              <w:right w:val="single" w:sz="8" w:space="0" w:color="auto"/>
            </w:tcBorders>
            <w:vAlign w:val="center"/>
            <w:hideMark/>
          </w:tcPr>
          <w:p w14:paraId="3F1EA7B3"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1614533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24C97957"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41</w:t>
            </w:r>
          </w:p>
        </w:tc>
        <w:tc>
          <w:tcPr>
            <w:tcW w:w="627" w:type="pct"/>
            <w:tcBorders>
              <w:top w:val="nil"/>
              <w:left w:val="nil"/>
              <w:bottom w:val="single" w:sz="8" w:space="0" w:color="auto"/>
              <w:right w:val="single" w:sz="8" w:space="0" w:color="auto"/>
            </w:tcBorders>
            <w:shd w:val="clear" w:color="auto" w:fill="auto"/>
            <w:vAlign w:val="center"/>
            <w:hideMark/>
          </w:tcPr>
          <w:p w14:paraId="6040CAF5"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35</w:t>
            </w:r>
          </w:p>
        </w:tc>
        <w:tc>
          <w:tcPr>
            <w:tcW w:w="532" w:type="pct"/>
            <w:tcBorders>
              <w:top w:val="nil"/>
              <w:left w:val="nil"/>
              <w:bottom w:val="single" w:sz="8" w:space="0" w:color="auto"/>
              <w:right w:val="single" w:sz="8" w:space="0" w:color="auto"/>
            </w:tcBorders>
            <w:shd w:val="clear" w:color="auto" w:fill="auto"/>
            <w:vAlign w:val="center"/>
            <w:hideMark/>
          </w:tcPr>
          <w:p w14:paraId="30B6F65E"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41</w:t>
            </w:r>
          </w:p>
        </w:tc>
        <w:tc>
          <w:tcPr>
            <w:tcW w:w="480" w:type="pct"/>
            <w:tcBorders>
              <w:top w:val="nil"/>
              <w:left w:val="nil"/>
              <w:bottom w:val="single" w:sz="8" w:space="0" w:color="auto"/>
              <w:right w:val="single" w:sz="8" w:space="0" w:color="auto"/>
            </w:tcBorders>
            <w:shd w:val="clear" w:color="auto" w:fill="auto"/>
            <w:vAlign w:val="center"/>
            <w:hideMark/>
          </w:tcPr>
          <w:p w14:paraId="7616340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w:t>
            </w:r>
          </w:p>
        </w:tc>
        <w:tc>
          <w:tcPr>
            <w:tcW w:w="594" w:type="pct"/>
            <w:tcBorders>
              <w:top w:val="nil"/>
              <w:left w:val="nil"/>
              <w:bottom w:val="single" w:sz="8" w:space="0" w:color="auto"/>
              <w:right w:val="single" w:sz="8" w:space="0" w:color="auto"/>
            </w:tcBorders>
            <w:shd w:val="clear" w:color="auto" w:fill="auto"/>
            <w:vAlign w:val="center"/>
            <w:hideMark/>
          </w:tcPr>
          <w:p w14:paraId="4CD82154"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86%</w:t>
            </w:r>
          </w:p>
        </w:tc>
      </w:tr>
      <w:tr w:rsidR="00F77D03" w:rsidRPr="00F50DD3" w14:paraId="49278B4D" w14:textId="77777777" w:rsidTr="00F77D03">
        <w:trPr>
          <w:trHeight w:val="590"/>
        </w:trPr>
        <w:tc>
          <w:tcPr>
            <w:tcW w:w="576" w:type="pct"/>
            <w:vMerge/>
            <w:tcBorders>
              <w:top w:val="nil"/>
              <w:left w:val="single" w:sz="8" w:space="0" w:color="auto"/>
              <w:bottom w:val="single" w:sz="8" w:space="0" w:color="000000"/>
              <w:right w:val="single" w:sz="8" w:space="0" w:color="auto"/>
            </w:tcBorders>
            <w:vAlign w:val="center"/>
            <w:hideMark/>
          </w:tcPr>
          <w:p w14:paraId="3FED0362"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p>
        </w:tc>
        <w:tc>
          <w:tcPr>
            <w:tcW w:w="430" w:type="pct"/>
            <w:tcBorders>
              <w:top w:val="nil"/>
              <w:left w:val="nil"/>
              <w:bottom w:val="single" w:sz="8" w:space="0" w:color="auto"/>
              <w:right w:val="single" w:sz="8" w:space="0" w:color="auto"/>
            </w:tcBorders>
            <w:shd w:val="clear" w:color="auto" w:fill="auto"/>
            <w:vAlign w:val="center"/>
            <w:hideMark/>
          </w:tcPr>
          <w:p w14:paraId="02A7AF95" w14:textId="77777777" w:rsidR="00F77D03" w:rsidRPr="001D0C10" w:rsidRDefault="00F77D03" w:rsidP="00F77D03">
            <w:pPr>
              <w:spacing w:after="0" w:line="240" w:lineRule="auto"/>
              <w:rPr>
                <w:rFonts w:ascii="Book Antiqua" w:eastAsia="Times New Roman" w:hAnsi="Book Antiqua" w:cs="Calibri"/>
                <w:b/>
                <w:bCs/>
                <w:color w:val="000000"/>
                <w:sz w:val="20"/>
                <w:szCs w:val="20"/>
                <w:lang w:eastAsia="es-CR"/>
              </w:rPr>
            </w:pPr>
            <w:r w:rsidRPr="001D0C10">
              <w:rPr>
                <w:rFonts w:ascii="Book Antiqua" w:eastAsia="Times New Roman" w:hAnsi="Book Antiqua" w:cs="Calibri"/>
                <w:b/>
                <w:bCs/>
                <w:color w:val="000000"/>
                <w:sz w:val="20"/>
                <w:szCs w:val="20"/>
                <w:lang w:eastAsia="es-CR"/>
              </w:rPr>
              <w:t>Penal Juvenil</w:t>
            </w:r>
          </w:p>
        </w:tc>
        <w:tc>
          <w:tcPr>
            <w:tcW w:w="323" w:type="pct"/>
            <w:vMerge/>
            <w:tcBorders>
              <w:top w:val="nil"/>
              <w:left w:val="single" w:sz="8" w:space="0" w:color="auto"/>
              <w:bottom w:val="single" w:sz="8" w:space="0" w:color="000000"/>
              <w:right w:val="single" w:sz="8" w:space="0" w:color="auto"/>
            </w:tcBorders>
            <w:vAlign w:val="center"/>
            <w:hideMark/>
          </w:tcPr>
          <w:p w14:paraId="76078699"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403" w:type="pct"/>
            <w:vMerge/>
            <w:tcBorders>
              <w:top w:val="nil"/>
              <w:left w:val="single" w:sz="8" w:space="0" w:color="auto"/>
              <w:bottom w:val="single" w:sz="8" w:space="0" w:color="000000"/>
              <w:right w:val="single" w:sz="8" w:space="0" w:color="auto"/>
            </w:tcBorders>
            <w:vAlign w:val="center"/>
            <w:hideMark/>
          </w:tcPr>
          <w:p w14:paraId="19C38084" w14:textId="77777777" w:rsidR="00F77D03" w:rsidRPr="001D0C10" w:rsidRDefault="00F77D03" w:rsidP="00F77D03">
            <w:pPr>
              <w:spacing w:after="0" w:line="240" w:lineRule="auto"/>
              <w:rPr>
                <w:rFonts w:ascii="Book Antiqua" w:eastAsia="Times New Roman" w:hAnsi="Book Antiqua" w:cs="Calibri"/>
                <w:color w:val="000000"/>
                <w:sz w:val="20"/>
                <w:szCs w:val="20"/>
                <w:lang w:eastAsia="es-CR"/>
              </w:rPr>
            </w:pPr>
          </w:p>
        </w:tc>
        <w:tc>
          <w:tcPr>
            <w:tcW w:w="554" w:type="pct"/>
            <w:tcBorders>
              <w:top w:val="nil"/>
              <w:left w:val="nil"/>
              <w:bottom w:val="single" w:sz="8" w:space="0" w:color="auto"/>
              <w:right w:val="single" w:sz="8" w:space="0" w:color="auto"/>
            </w:tcBorders>
            <w:shd w:val="clear" w:color="auto" w:fill="auto"/>
            <w:vAlign w:val="center"/>
            <w:hideMark/>
          </w:tcPr>
          <w:p w14:paraId="7C2605C4"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100%</w:t>
            </w:r>
          </w:p>
        </w:tc>
        <w:tc>
          <w:tcPr>
            <w:tcW w:w="480" w:type="pct"/>
            <w:tcBorders>
              <w:top w:val="nil"/>
              <w:left w:val="nil"/>
              <w:bottom w:val="single" w:sz="8" w:space="0" w:color="auto"/>
              <w:right w:val="single" w:sz="8" w:space="0" w:color="auto"/>
            </w:tcBorders>
            <w:shd w:val="clear" w:color="auto" w:fill="auto"/>
            <w:vAlign w:val="center"/>
            <w:hideMark/>
          </w:tcPr>
          <w:p w14:paraId="59B82AC9"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627" w:type="pct"/>
            <w:tcBorders>
              <w:top w:val="nil"/>
              <w:left w:val="nil"/>
              <w:bottom w:val="single" w:sz="8" w:space="0" w:color="auto"/>
              <w:right w:val="single" w:sz="8" w:space="0" w:color="auto"/>
            </w:tcBorders>
            <w:shd w:val="clear" w:color="auto" w:fill="auto"/>
            <w:vAlign w:val="center"/>
            <w:hideMark/>
          </w:tcPr>
          <w:p w14:paraId="094E4128"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11</w:t>
            </w:r>
          </w:p>
        </w:tc>
        <w:tc>
          <w:tcPr>
            <w:tcW w:w="532" w:type="pct"/>
            <w:tcBorders>
              <w:top w:val="nil"/>
              <w:left w:val="nil"/>
              <w:bottom w:val="single" w:sz="8" w:space="0" w:color="auto"/>
              <w:right w:val="single" w:sz="8" w:space="0" w:color="auto"/>
            </w:tcBorders>
            <w:shd w:val="clear" w:color="auto" w:fill="auto"/>
            <w:vAlign w:val="center"/>
            <w:hideMark/>
          </w:tcPr>
          <w:p w14:paraId="1A2650BC"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w:t>
            </w:r>
          </w:p>
        </w:tc>
        <w:tc>
          <w:tcPr>
            <w:tcW w:w="480" w:type="pct"/>
            <w:tcBorders>
              <w:top w:val="nil"/>
              <w:left w:val="nil"/>
              <w:bottom w:val="single" w:sz="8" w:space="0" w:color="auto"/>
              <w:right w:val="single" w:sz="8" w:space="0" w:color="auto"/>
            </w:tcBorders>
            <w:shd w:val="clear" w:color="auto" w:fill="auto"/>
            <w:vAlign w:val="center"/>
            <w:hideMark/>
          </w:tcPr>
          <w:p w14:paraId="4AF3EE6C"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2</w:t>
            </w:r>
          </w:p>
        </w:tc>
        <w:tc>
          <w:tcPr>
            <w:tcW w:w="594" w:type="pct"/>
            <w:tcBorders>
              <w:top w:val="nil"/>
              <w:left w:val="nil"/>
              <w:bottom w:val="single" w:sz="8" w:space="0" w:color="auto"/>
              <w:right w:val="single" w:sz="8" w:space="0" w:color="auto"/>
            </w:tcBorders>
            <w:shd w:val="clear" w:color="auto" w:fill="auto"/>
            <w:vAlign w:val="center"/>
            <w:hideMark/>
          </w:tcPr>
          <w:p w14:paraId="0B0E92EF" w14:textId="77777777" w:rsidR="00F77D03" w:rsidRPr="001D0C10" w:rsidRDefault="00F77D03" w:rsidP="00F77D03">
            <w:pPr>
              <w:spacing w:after="0" w:line="240" w:lineRule="auto"/>
              <w:jc w:val="center"/>
              <w:rPr>
                <w:rFonts w:ascii="Book Antiqua" w:eastAsia="Times New Roman" w:hAnsi="Book Antiqua" w:cs="Calibri"/>
                <w:color w:val="000000"/>
                <w:sz w:val="20"/>
                <w:szCs w:val="20"/>
                <w:lang w:eastAsia="es-CR"/>
              </w:rPr>
            </w:pPr>
            <w:r w:rsidRPr="001D0C10">
              <w:rPr>
                <w:rFonts w:ascii="Book Antiqua" w:eastAsia="Times New Roman" w:hAnsi="Book Antiqua" w:cs="Calibri"/>
                <w:color w:val="000000"/>
                <w:sz w:val="20"/>
                <w:szCs w:val="20"/>
                <w:lang w:eastAsia="es-CR"/>
              </w:rPr>
              <w:t>109%</w:t>
            </w:r>
          </w:p>
        </w:tc>
      </w:tr>
    </w:tbl>
    <w:p w14:paraId="696938A4" w14:textId="46AD2F70" w:rsidR="00783306" w:rsidRPr="00783306" w:rsidRDefault="00783306" w:rsidP="00783306">
      <w:pPr>
        <w:spacing w:after="0" w:line="276" w:lineRule="auto"/>
        <w:jc w:val="both"/>
        <w:rPr>
          <w:rFonts w:ascii="Book Antiqua" w:eastAsia="Calibri" w:hAnsi="Book Antiqua" w:cs="Arial"/>
          <w:i/>
          <w:iCs/>
          <w:sz w:val="20"/>
          <w:szCs w:val="20"/>
        </w:rPr>
      </w:pPr>
      <w:r w:rsidRPr="00783306">
        <w:rPr>
          <w:rFonts w:ascii="Book Antiqua" w:eastAsia="Calibri" w:hAnsi="Book Antiqua" w:cs="Arial"/>
          <w:i/>
          <w:iCs/>
          <w:sz w:val="20"/>
          <w:szCs w:val="20"/>
        </w:rPr>
        <w:t xml:space="preserve">Fuente: Modernización Institucional con base en datos de Cuadros Estadísticos del Subproceso de Estadística de la Dirección de Planificación. </w:t>
      </w:r>
    </w:p>
    <w:p w14:paraId="04AEDB86" w14:textId="23A8D488" w:rsidR="00783306" w:rsidRPr="00783306" w:rsidRDefault="00783306" w:rsidP="00783306">
      <w:pPr>
        <w:spacing w:after="0" w:line="276" w:lineRule="auto"/>
        <w:jc w:val="both"/>
        <w:rPr>
          <w:rFonts w:ascii="Book Antiqua" w:eastAsia="Calibri" w:hAnsi="Book Antiqua" w:cs="Arial"/>
          <w:i/>
          <w:iCs/>
          <w:sz w:val="20"/>
          <w:szCs w:val="20"/>
        </w:rPr>
      </w:pPr>
      <w:r w:rsidRPr="00783306">
        <w:rPr>
          <w:rFonts w:ascii="Book Antiqua" w:eastAsia="Calibri" w:hAnsi="Book Antiqua" w:cs="Arial"/>
          <w:i/>
          <w:iCs/>
          <w:sz w:val="20"/>
          <w:szCs w:val="20"/>
        </w:rPr>
        <w:t xml:space="preserve">*El </w:t>
      </w:r>
      <w:r>
        <w:rPr>
          <w:rFonts w:ascii="Book Antiqua" w:eastAsia="Calibri" w:hAnsi="Book Antiqua" w:cs="Arial"/>
          <w:i/>
          <w:iCs/>
          <w:sz w:val="20"/>
          <w:szCs w:val="20"/>
        </w:rPr>
        <w:t>J</w:t>
      </w:r>
      <w:r w:rsidRPr="00783306">
        <w:rPr>
          <w:rFonts w:ascii="Book Antiqua" w:eastAsia="Calibri" w:hAnsi="Book Antiqua" w:cs="Arial"/>
          <w:i/>
          <w:iCs/>
          <w:sz w:val="20"/>
          <w:szCs w:val="20"/>
        </w:rPr>
        <w:t xml:space="preserve">uez 2 del Juzgado Civil, Trabajo y Familia Buenos Aires atiende materias Familia, Viol. Dom. </w:t>
      </w:r>
      <w:r w:rsidR="00E85731">
        <w:rPr>
          <w:rFonts w:ascii="Book Antiqua" w:eastAsia="Calibri" w:hAnsi="Book Antiqua" w:cs="Arial"/>
          <w:i/>
          <w:iCs/>
          <w:sz w:val="20"/>
          <w:szCs w:val="20"/>
        </w:rPr>
        <w:t>Y</w:t>
      </w:r>
      <w:r w:rsidRPr="00783306">
        <w:rPr>
          <w:rFonts w:ascii="Book Antiqua" w:eastAsia="Calibri" w:hAnsi="Book Antiqua" w:cs="Arial"/>
          <w:i/>
          <w:iCs/>
          <w:sz w:val="20"/>
          <w:szCs w:val="20"/>
        </w:rPr>
        <w:t xml:space="preserve"> Penal Juvenil, además de Civil y Trabajo en un 50%.</w:t>
      </w:r>
    </w:p>
    <w:p w14:paraId="6631EF0D" w14:textId="50B5C5F1" w:rsidR="00357D09" w:rsidRDefault="00783306" w:rsidP="00783306">
      <w:pPr>
        <w:spacing w:after="0" w:line="276" w:lineRule="auto"/>
        <w:jc w:val="both"/>
        <w:rPr>
          <w:rFonts w:ascii="Book Antiqua" w:eastAsia="Calibri" w:hAnsi="Book Antiqua" w:cs="Arial"/>
          <w:i/>
          <w:iCs/>
          <w:sz w:val="20"/>
          <w:szCs w:val="20"/>
        </w:rPr>
      </w:pPr>
      <w:r w:rsidRPr="00783306">
        <w:rPr>
          <w:rFonts w:ascii="Book Antiqua" w:eastAsia="Calibri" w:hAnsi="Book Antiqua" w:cs="Arial"/>
          <w:i/>
          <w:iCs/>
          <w:sz w:val="20"/>
          <w:szCs w:val="20"/>
        </w:rPr>
        <w:t>**El Juez 3 del Juzgado Civil, Trabajo y Familia II Circuito Judicial de Alajuela sede Upala atiende materia Trabajo en un 100% y Familia en un 50%. Otro Juez 50% de Familia y 100 Civil, hay una plaza especializada en Agrario y una que atiende VD y Penal Juvenil. Esto a partir de enero 2020.</w:t>
      </w:r>
    </w:p>
    <w:p w14:paraId="68779833" w14:textId="1E11A548" w:rsidR="00E41FD6" w:rsidRPr="00783306" w:rsidRDefault="00E41FD6" w:rsidP="00783306">
      <w:pPr>
        <w:spacing w:after="0" w:line="276" w:lineRule="auto"/>
        <w:jc w:val="both"/>
        <w:rPr>
          <w:rFonts w:ascii="Book Antiqua" w:eastAsia="Calibri" w:hAnsi="Book Antiqua" w:cs="Arial"/>
          <w:i/>
          <w:iCs/>
          <w:sz w:val="20"/>
          <w:szCs w:val="20"/>
        </w:rPr>
      </w:pPr>
      <w:r>
        <w:rPr>
          <w:rFonts w:ascii="Book Antiqua" w:eastAsia="Calibri" w:hAnsi="Book Antiqua" w:cs="Arial"/>
          <w:i/>
          <w:iCs/>
          <w:sz w:val="20"/>
          <w:szCs w:val="20"/>
        </w:rPr>
        <w:lastRenderedPageBreak/>
        <w:t xml:space="preserve">***Juzgado Civil, Trabajo y Familia de Puriscal, </w:t>
      </w:r>
      <w:r w:rsidR="00A42A57">
        <w:rPr>
          <w:rFonts w:ascii="Book Antiqua" w:eastAsia="Calibri" w:hAnsi="Book Antiqua" w:cs="Arial"/>
          <w:i/>
          <w:iCs/>
          <w:sz w:val="20"/>
          <w:szCs w:val="20"/>
        </w:rPr>
        <w:t>a partir del 2021</w:t>
      </w:r>
      <w:r>
        <w:rPr>
          <w:rFonts w:ascii="Book Antiqua" w:eastAsia="Calibri" w:hAnsi="Book Antiqua" w:cs="Arial"/>
          <w:i/>
          <w:iCs/>
          <w:sz w:val="20"/>
          <w:szCs w:val="20"/>
        </w:rPr>
        <w:t>la materia de Viol. Dom.</w:t>
      </w:r>
      <w:r w:rsidR="00A42A57">
        <w:rPr>
          <w:rFonts w:ascii="Book Antiqua" w:eastAsia="Calibri" w:hAnsi="Book Antiqua" w:cs="Arial"/>
          <w:i/>
          <w:iCs/>
          <w:sz w:val="20"/>
          <w:szCs w:val="20"/>
        </w:rPr>
        <w:t xml:space="preserve"> Se distribuye: </w:t>
      </w:r>
      <w:r>
        <w:rPr>
          <w:rFonts w:ascii="Book Antiqua" w:eastAsia="Calibri" w:hAnsi="Book Antiqua" w:cs="Arial"/>
          <w:i/>
          <w:iCs/>
          <w:sz w:val="20"/>
          <w:szCs w:val="20"/>
        </w:rPr>
        <w:t xml:space="preserve">Juez o Jueza 1 un 25,33% y las personas Juzgadores 2 y 3 un 37,33% cada una. </w:t>
      </w:r>
    </w:p>
    <w:p w14:paraId="1435B410" w14:textId="03E0068A" w:rsidR="00F50DD3" w:rsidRDefault="00F50DD3" w:rsidP="00355630">
      <w:pPr>
        <w:spacing w:after="0" w:line="276" w:lineRule="auto"/>
        <w:jc w:val="both"/>
        <w:rPr>
          <w:rFonts w:ascii="Book Antiqua" w:eastAsia="Calibri" w:hAnsi="Book Antiqua" w:cs="Arial"/>
          <w:sz w:val="24"/>
          <w:szCs w:val="24"/>
        </w:rPr>
      </w:pPr>
    </w:p>
    <w:p w14:paraId="5308D056" w14:textId="618C6046" w:rsidR="00783306" w:rsidRPr="00783306" w:rsidRDefault="00783306" w:rsidP="00783306">
      <w:pPr>
        <w:spacing w:after="0" w:line="276" w:lineRule="auto"/>
        <w:jc w:val="both"/>
        <w:rPr>
          <w:rFonts w:ascii="Book Antiqua" w:eastAsia="Calibri" w:hAnsi="Book Antiqua" w:cs="Arial"/>
          <w:sz w:val="24"/>
          <w:szCs w:val="24"/>
        </w:rPr>
      </w:pPr>
      <w:r w:rsidRPr="00F77D03">
        <w:rPr>
          <w:rFonts w:ascii="Book Antiqua" w:eastAsia="Calibri" w:hAnsi="Book Antiqua" w:cs="Arial"/>
          <w:sz w:val="24"/>
          <w:szCs w:val="24"/>
        </w:rPr>
        <w:t>Del cuadro anterior se infiere, que por plaza de persona juzgadora hay una entrada promedio entre todas las materias de 11</w:t>
      </w:r>
      <w:r w:rsidR="00597D79" w:rsidRPr="00F77D03">
        <w:rPr>
          <w:rFonts w:ascii="Book Antiqua" w:eastAsia="Calibri" w:hAnsi="Book Antiqua" w:cs="Arial"/>
          <w:sz w:val="24"/>
          <w:szCs w:val="24"/>
        </w:rPr>
        <w:t>8</w:t>
      </w:r>
      <w:r w:rsidRPr="00F77D03">
        <w:rPr>
          <w:rFonts w:ascii="Book Antiqua" w:eastAsia="Calibri" w:hAnsi="Book Antiqua" w:cs="Arial"/>
          <w:sz w:val="24"/>
          <w:szCs w:val="24"/>
        </w:rPr>
        <w:t xml:space="preserve"> casos por mes y por persona técnica de 35 asuntos. Los únicos despachos que superan ese promedio de entrada total son </w:t>
      </w:r>
      <w:r w:rsidR="00597D79" w:rsidRPr="00F77D03">
        <w:rPr>
          <w:rFonts w:ascii="Book Antiqua" w:eastAsia="Calibri" w:hAnsi="Book Antiqua" w:cs="Arial"/>
          <w:sz w:val="24"/>
          <w:szCs w:val="24"/>
        </w:rPr>
        <w:t>Upala 170 ca</w:t>
      </w:r>
      <w:r w:rsidRPr="00F77D03">
        <w:rPr>
          <w:rFonts w:ascii="Book Antiqua" w:eastAsia="Calibri" w:hAnsi="Book Antiqua" w:cs="Arial"/>
          <w:sz w:val="24"/>
          <w:szCs w:val="24"/>
        </w:rPr>
        <w:t>sos nuevos por mes</w:t>
      </w:r>
      <w:r w:rsidR="00597D79" w:rsidRPr="00F77D03">
        <w:rPr>
          <w:rFonts w:ascii="Book Antiqua" w:eastAsia="Calibri" w:hAnsi="Book Antiqua" w:cs="Arial"/>
          <w:sz w:val="24"/>
          <w:szCs w:val="24"/>
        </w:rPr>
        <w:t>, Sarapiquí con 168</w:t>
      </w:r>
      <w:r w:rsidR="00597D79" w:rsidRPr="00597D79">
        <w:rPr>
          <w:rFonts w:ascii="Book Antiqua" w:eastAsia="Calibri" w:hAnsi="Book Antiqua" w:cs="Arial"/>
          <w:sz w:val="24"/>
          <w:szCs w:val="24"/>
        </w:rPr>
        <w:t xml:space="preserve"> y Puriscal con 145</w:t>
      </w:r>
      <w:r w:rsidRPr="00783306">
        <w:rPr>
          <w:rFonts w:ascii="Book Antiqua" w:eastAsia="Calibri" w:hAnsi="Book Antiqua" w:cs="Arial"/>
          <w:sz w:val="24"/>
          <w:szCs w:val="24"/>
        </w:rPr>
        <w:t xml:space="preserve">; sin embargo, la diferencia de asuntos no justifica la creación de un recurso adicional de persona juzgadora. </w:t>
      </w:r>
    </w:p>
    <w:p w14:paraId="142D51A8" w14:textId="77777777" w:rsidR="00783306" w:rsidRPr="00783306" w:rsidRDefault="00783306" w:rsidP="00783306">
      <w:pPr>
        <w:spacing w:after="0" w:line="276" w:lineRule="auto"/>
        <w:jc w:val="both"/>
        <w:rPr>
          <w:rFonts w:ascii="Book Antiqua" w:eastAsia="Calibri" w:hAnsi="Book Antiqua" w:cs="Arial"/>
          <w:sz w:val="24"/>
          <w:szCs w:val="24"/>
        </w:rPr>
      </w:pPr>
    </w:p>
    <w:p w14:paraId="29A2486A" w14:textId="77777777" w:rsidR="00783306" w:rsidRPr="00783306" w:rsidRDefault="00783306" w:rsidP="00783306">
      <w:pPr>
        <w:spacing w:after="0" w:line="276" w:lineRule="auto"/>
        <w:jc w:val="both"/>
        <w:rPr>
          <w:rFonts w:ascii="Book Antiqua" w:eastAsia="Calibri" w:hAnsi="Book Antiqua" w:cs="Arial"/>
          <w:sz w:val="24"/>
          <w:szCs w:val="24"/>
        </w:rPr>
      </w:pPr>
      <w:r w:rsidRPr="00783306">
        <w:rPr>
          <w:rFonts w:ascii="Book Antiqua" w:eastAsia="Calibri" w:hAnsi="Book Antiqua" w:cs="Arial"/>
          <w:sz w:val="24"/>
          <w:szCs w:val="24"/>
        </w:rPr>
        <w:t>A continuación, se procede a analizar cada uno de estos despachos de forma individual.</w:t>
      </w:r>
    </w:p>
    <w:p w14:paraId="4467893D" w14:textId="2E010AA1" w:rsidR="00783306" w:rsidRDefault="00783306" w:rsidP="00355630">
      <w:pPr>
        <w:spacing w:after="0" w:line="276" w:lineRule="auto"/>
        <w:jc w:val="both"/>
        <w:rPr>
          <w:rFonts w:ascii="Book Antiqua" w:eastAsia="Calibri" w:hAnsi="Book Antiqua" w:cs="Arial"/>
          <w:sz w:val="24"/>
          <w:szCs w:val="24"/>
        </w:rPr>
      </w:pPr>
    </w:p>
    <w:p w14:paraId="635BAA2A" w14:textId="77777777" w:rsidR="00770CA5" w:rsidRPr="008456A9" w:rsidRDefault="00770CA5"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 Civil, Trabajo y Familia de Buenos Aires</w:t>
      </w:r>
    </w:p>
    <w:p w14:paraId="4E9BE79F" w14:textId="77777777" w:rsidR="00770CA5" w:rsidRPr="00770CA5" w:rsidRDefault="00770CA5" w:rsidP="00770CA5">
      <w:pPr>
        <w:spacing w:after="0" w:line="240" w:lineRule="auto"/>
        <w:jc w:val="both"/>
        <w:rPr>
          <w:rFonts w:ascii="Book Antiqua" w:eastAsia="Calibri" w:hAnsi="Book Antiqua" w:cs="Arial"/>
        </w:rPr>
      </w:pPr>
    </w:p>
    <w:p w14:paraId="4E119AD9" w14:textId="5D24CB15" w:rsidR="00770CA5" w:rsidRDefault="00770CA5" w:rsidP="00770CA5">
      <w:pPr>
        <w:spacing w:after="0" w:line="276" w:lineRule="auto"/>
        <w:jc w:val="both"/>
        <w:rPr>
          <w:rFonts w:ascii="Book Antiqua" w:eastAsia="Calibri" w:hAnsi="Book Antiqua" w:cs="Arial"/>
          <w:sz w:val="24"/>
          <w:szCs w:val="24"/>
        </w:rPr>
      </w:pPr>
      <w:r w:rsidRPr="00770CA5">
        <w:rPr>
          <w:rFonts w:ascii="Book Antiqua" w:eastAsia="Calibri" w:hAnsi="Book Antiqua" w:cs="Arial"/>
          <w:sz w:val="24"/>
          <w:szCs w:val="24"/>
        </w:rPr>
        <w:t>El Juzgado Civil, Trabajo y Familia de Buenos Aires registra 2</w:t>
      </w:r>
      <w:r>
        <w:rPr>
          <w:rFonts w:ascii="Book Antiqua" w:eastAsia="Calibri" w:hAnsi="Book Antiqua" w:cs="Arial"/>
          <w:sz w:val="24"/>
          <w:szCs w:val="24"/>
        </w:rPr>
        <w:t>4</w:t>
      </w:r>
      <w:r w:rsidRPr="00770CA5">
        <w:rPr>
          <w:rFonts w:ascii="Book Antiqua" w:eastAsia="Calibri" w:hAnsi="Book Antiqua" w:cs="Arial"/>
          <w:sz w:val="24"/>
          <w:szCs w:val="24"/>
        </w:rPr>
        <w:t xml:space="preserve"> casos entrados en promedio mensual en materia de Familia por persona juzgadora, registrando un porcentaje en la relación de terminados entrados de </w:t>
      </w:r>
      <w:r w:rsidRPr="000A1195">
        <w:rPr>
          <w:rFonts w:ascii="Book Antiqua" w:eastAsia="Calibri" w:hAnsi="Book Antiqua" w:cs="Arial"/>
          <w:sz w:val="24"/>
          <w:szCs w:val="24"/>
        </w:rPr>
        <w:t>73%</w:t>
      </w:r>
      <w:r w:rsidRPr="00770CA5">
        <w:rPr>
          <w:rFonts w:ascii="Book Antiqua" w:eastAsia="Calibri" w:hAnsi="Book Antiqua" w:cs="Arial"/>
          <w:sz w:val="24"/>
          <w:szCs w:val="24"/>
        </w:rPr>
        <w:t xml:space="preserve">, producto del efecto estimado por la desjudicialización que plantea el CPF este porcentaje se incrementaría a </w:t>
      </w:r>
      <w:r w:rsidR="0001593C" w:rsidRPr="0001593C">
        <w:rPr>
          <w:rFonts w:ascii="Book Antiqua" w:eastAsia="Calibri" w:hAnsi="Book Antiqua" w:cs="Arial"/>
          <w:sz w:val="24"/>
          <w:szCs w:val="24"/>
        </w:rPr>
        <w:t>86</w:t>
      </w:r>
      <w:r w:rsidRPr="0001593C">
        <w:rPr>
          <w:rFonts w:ascii="Book Antiqua" w:eastAsia="Calibri" w:hAnsi="Book Antiqua" w:cs="Arial"/>
          <w:sz w:val="24"/>
          <w:szCs w:val="24"/>
        </w:rPr>
        <w:t>%,</w:t>
      </w:r>
      <w:r w:rsidRPr="00770CA5">
        <w:rPr>
          <w:rFonts w:ascii="Book Antiqua" w:eastAsia="Calibri" w:hAnsi="Book Antiqua" w:cs="Arial"/>
          <w:sz w:val="24"/>
          <w:szCs w:val="24"/>
        </w:rPr>
        <w:t xml:space="preserve"> pudiéndose cubrir con la entrada de casos en este despacho en esta materia. En relación con las demás materias se registran </w:t>
      </w:r>
      <w:r>
        <w:rPr>
          <w:rFonts w:ascii="Book Antiqua" w:eastAsia="Calibri" w:hAnsi="Book Antiqua" w:cs="Arial"/>
          <w:sz w:val="24"/>
          <w:szCs w:val="24"/>
        </w:rPr>
        <w:t>9</w:t>
      </w:r>
      <w:r w:rsidRPr="00770CA5">
        <w:rPr>
          <w:rFonts w:ascii="Book Antiqua" w:eastAsia="Calibri" w:hAnsi="Book Antiqua" w:cs="Arial"/>
          <w:sz w:val="24"/>
          <w:szCs w:val="24"/>
        </w:rPr>
        <w:t xml:space="preserve"> expedientes en Civil, 1</w:t>
      </w:r>
      <w:r>
        <w:rPr>
          <w:rFonts w:ascii="Book Antiqua" w:eastAsia="Calibri" w:hAnsi="Book Antiqua" w:cs="Arial"/>
          <w:sz w:val="24"/>
          <w:szCs w:val="24"/>
        </w:rPr>
        <w:t>0</w:t>
      </w:r>
      <w:r w:rsidRPr="00770CA5">
        <w:rPr>
          <w:rFonts w:ascii="Book Antiqua" w:eastAsia="Calibri" w:hAnsi="Book Antiqua" w:cs="Arial"/>
          <w:sz w:val="24"/>
          <w:szCs w:val="24"/>
        </w:rPr>
        <w:t xml:space="preserve"> en Laboral, 1</w:t>
      </w:r>
      <w:r>
        <w:rPr>
          <w:rFonts w:ascii="Book Antiqua" w:eastAsia="Calibri" w:hAnsi="Book Antiqua" w:cs="Arial"/>
          <w:sz w:val="24"/>
          <w:szCs w:val="24"/>
        </w:rPr>
        <w:t>0</w:t>
      </w:r>
      <w:r w:rsidRPr="00770CA5">
        <w:rPr>
          <w:rFonts w:ascii="Book Antiqua" w:eastAsia="Calibri" w:hAnsi="Book Antiqua" w:cs="Arial"/>
          <w:sz w:val="24"/>
          <w:szCs w:val="24"/>
        </w:rPr>
        <w:t xml:space="preserve"> en Agrario, </w:t>
      </w:r>
      <w:r>
        <w:rPr>
          <w:rFonts w:ascii="Book Antiqua" w:eastAsia="Calibri" w:hAnsi="Book Antiqua" w:cs="Arial"/>
          <w:sz w:val="24"/>
          <w:szCs w:val="24"/>
        </w:rPr>
        <w:t>8</w:t>
      </w:r>
      <w:r w:rsidRPr="00770CA5">
        <w:rPr>
          <w:rFonts w:ascii="Book Antiqua" w:eastAsia="Calibri" w:hAnsi="Book Antiqua" w:cs="Arial"/>
          <w:sz w:val="24"/>
          <w:szCs w:val="24"/>
        </w:rPr>
        <w:t xml:space="preserve"> en Penal Juvenil y 4</w:t>
      </w:r>
      <w:r>
        <w:rPr>
          <w:rFonts w:ascii="Book Antiqua" w:eastAsia="Calibri" w:hAnsi="Book Antiqua" w:cs="Arial"/>
          <w:sz w:val="24"/>
          <w:szCs w:val="24"/>
        </w:rPr>
        <w:t>8</w:t>
      </w:r>
      <w:r w:rsidRPr="00770CA5">
        <w:rPr>
          <w:rFonts w:ascii="Book Antiqua" w:eastAsia="Calibri" w:hAnsi="Book Antiqua" w:cs="Arial"/>
          <w:sz w:val="24"/>
          <w:szCs w:val="24"/>
        </w:rPr>
        <w:t xml:space="preserve"> en Violencia Doméstica, para un promedio de entrada por mes por plaza entre todas las materias de 10</w:t>
      </w:r>
      <w:r>
        <w:rPr>
          <w:rFonts w:ascii="Book Antiqua" w:eastAsia="Calibri" w:hAnsi="Book Antiqua" w:cs="Arial"/>
          <w:sz w:val="24"/>
          <w:szCs w:val="24"/>
        </w:rPr>
        <w:t>8</w:t>
      </w:r>
      <w:r w:rsidRPr="00770CA5">
        <w:rPr>
          <w:rFonts w:ascii="Book Antiqua" w:eastAsia="Calibri" w:hAnsi="Book Antiqua" w:cs="Arial"/>
          <w:sz w:val="24"/>
          <w:szCs w:val="24"/>
        </w:rPr>
        <w:t xml:space="preserve"> casos (5 diarios).</w:t>
      </w:r>
    </w:p>
    <w:p w14:paraId="3658E014" w14:textId="77777777" w:rsidR="000A1195" w:rsidRPr="00770CA5" w:rsidRDefault="000A1195" w:rsidP="00770CA5">
      <w:pPr>
        <w:spacing w:after="0" w:line="276" w:lineRule="auto"/>
        <w:jc w:val="both"/>
        <w:rPr>
          <w:rFonts w:ascii="Book Antiqua" w:eastAsia="Calibri" w:hAnsi="Book Antiqua" w:cs="Arial"/>
          <w:sz w:val="24"/>
          <w:szCs w:val="24"/>
        </w:rPr>
      </w:pPr>
    </w:p>
    <w:p w14:paraId="146E59BE" w14:textId="77777777" w:rsidR="00770CA5" w:rsidRPr="00770CA5" w:rsidRDefault="00770CA5" w:rsidP="00770CA5">
      <w:pPr>
        <w:spacing w:after="0" w:line="276" w:lineRule="auto"/>
        <w:jc w:val="both"/>
        <w:rPr>
          <w:rFonts w:ascii="Book Antiqua" w:eastAsia="Calibri" w:hAnsi="Book Antiqua" w:cs="Arial"/>
          <w:sz w:val="24"/>
          <w:szCs w:val="24"/>
        </w:rPr>
      </w:pPr>
      <w:r w:rsidRPr="00770CA5">
        <w:rPr>
          <w:rFonts w:ascii="Book Antiqua" w:eastAsia="Calibri" w:hAnsi="Book Antiqua" w:cs="Arial"/>
          <w:sz w:val="24"/>
          <w:szCs w:val="24"/>
        </w:rPr>
        <w:t>Por lo que los resultados actuales no permitirían sugerir la especialización de alguna de estas materias o la incorporación de nuevas plazas de personas juzgadoras en este despacho.</w:t>
      </w:r>
    </w:p>
    <w:p w14:paraId="68757881" w14:textId="77777777" w:rsidR="00770CA5" w:rsidRPr="00770CA5" w:rsidRDefault="00770CA5" w:rsidP="00770CA5">
      <w:pPr>
        <w:spacing w:after="0" w:line="276" w:lineRule="auto"/>
        <w:jc w:val="both"/>
        <w:rPr>
          <w:rFonts w:ascii="Book Antiqua" w:eastAsia="Calibri" w:hAnsi="Book Antiqua" w:cs="Arial"/>
          <w:sz w:val="24"/>
          <w:szCs w:val="24"/>
        </w:rPr>
      </w:pPr>
    </w:p>
    <w:p w14:paraId="7D9CECB0" w14:textId="6AED213F" w:rsidR="00770CA5" w:rsidRPr="00770CA5" w:rsidRDefault="00770CA5" w:rsidP="00770CA5">
      <w:pPr>
        <w:spacing w:after="0" w:line="276" w:lineRule="auto"/>
        <w:jc w:val="both"/>
        <w:rPr>
          <w:rFonts w:ascii="Book Antiqua" w:eastAsia="Calibri" w:hAnsi="Book Antiqua" w:cs="Arial"/>
          <w:sz w:val="24"/>
          <w:szCs w:val="24"/>
        </w:rPr>
      </w:pPr>
      <w:r w:rsidRPr="00770CA5">
        <w:rPr>
          <w:rFonts w:ascii="Book Antiqua" w:eastAsia="Calibri" w:hAnsi="Book Antiqua" w:cs="Arial"/>
          <w:sz w:val="24"/>
          <w:szCs w:val="24"/>
        </w:rPr>
        <w:t>En cuanto a las personas técnicas judiciales, reportan una entrada promedio mensual de 5</w:t>
      </w:r>
      <w:r>
        <w:rPr>
          <w:rFonts w:ascii="Book Antiqua" w:eastAsia="Calibri" w:hAnsi="Book Antiqua" w:cs="Arial"/>
          <w:sz w:val="24"/>
          <w:szCs w:val="24"/>
        </w:rPr>
        <w:t>4</w:t>
      </w:r>
      <w:r w:rsidRPr="00770CA5">
        <w:rPr>
          <w:rFonts w:ascii="Book Antiqua" w:eastAsia="Calibri" w:hAnsi="Book Antiqua" w:cs="Arial"/>
          <w:sz w:val="24"/>
          <w:szCs w:val="24"/>
        </w:rPr>
        <w:t xml:space="preserve"> asuntos entre todas las materias (el promedio de </w:t>
      </w:r>
      <w:r w:rsidRPr="000A1195">
        <w:rPr>
          <w:rFonts w:ascii="Book Antiqua" w:eastAsia="Calibri" w:hAnsi="Book Antiqua" w:cs="Arial"/>
          <w:sz w:val="24"/>
          <w:szCs w:val="24"/>
        </w:rPr>
        <w:t>sus homólogos es de 3</w:t>
      </w:r>
      <w:r w:rsidR="00D45E42">
        <w:rPr>
          <w:rFonts w:ascii="Book Antiqua" w:eastAsia="Calibri" w:hAnsi="Book Antiqua" w:cs="Arial"/>
          <w:sz w:val="24"/>
          <w:szCs w:val="24"/>
        </w:rPr>
        <w:t>7</w:t>
      </w:r>
      <w:r w:rsidRPr="000A1195">
        <w:rPr>
          <w:rFonts w:ascii="Book Antiqua" w:eastAsia="Calibri" w:hAnsi="Book Antiqua" w:cs="Arial"/>
          <w:sz w:val="24"/>
          <w:szCs w:val="24"/>
        </w:rPr>
        <w:t>). Además, para la atención de la materia Agraria, tramitación, giras,</w:t>
      </w:r>
      <w:r w:rsidRPr="00770CA5">
        <w:rPr>
          <w:rFonts w:ascii="Book Antiqua" w:eastAsia="Calibri" w:hAnsi="Book Antiqua" w:cs="Arial"/>
          <w:sz w:val="24"/>
          <w:szCs w:val="24"/>
        </w:rPr>
        <w:t xml:space="preserve"> entre otros, conforme se analizó en el informe de impacto presupuestario en el Poder Judicial ante la entrada en vigencia del Código Procesal Agrario se recomienda la asignación de un recurso adicional.</w:t>
      </w:r>
    </w:p>
    <w:p w14:paraId="2F9D962C" w14:textId="38892339" w:rsidR="005979C1" w:rsidRDefault="00770CA5" w:rsidP="00770CA5">
      <w:pPr>
        <w:spacing w:after="0" w:line="276" w:lineRule="auto"/>
        <w:jc w:val="both"/>
        <w:rPr>
          <w:rFonts w:ascii="Book Antiqua" w:eastAsia="Calibri" w:hAnsi="Book Antiqua" w:cs="Arial"/>
          <w:sz w:val="24"/>
          <w:szCs w:val="24"/>
        </w:rPr>
      </w:pPr>
      <w:r w:rsidRPr="00770CA5">
        <w:rPr>
          <w:rFonts w:ascii="Book Antiqua" w:eastAsia="Calibri" w:hAnsi="Book Antiqua" w:cs="Arial"/>
          <w:sz w:val="24"/>
          <w:szCs w:val="24"/>
        </w:rPr>
        <w:lastRenderedPageBreak/>
        <w:t xml:space="preserve">Esta persona técnica judicial es necesaria para completar la estructura de trabajo, bajo la justificación de que actualmente se tiene a una persona atendiendo la manifestación, y dos para atender la entrada de las seis materias del despacho, una de esas personas debe además participar de las audiencias en materia Agraria, por lo que cuando suceda esto se podría tener solamente una persona técnica judicial para el trámite de asuntos de todo el despacho. De asignarse un recurso adicional </w:t>
      </w:r>
      <w:r w:rsidR="00F84B4E">
        <w:rPr>
          <w:rFonts w:ascii="Book Antiqua" w:eastAsia="Calibri" w:hAnsi="Book Antiqua" w:cs="Arial"/>
          <w:sz w:val="24"/>
          <w:szCs w:val="24"/>
        </w:rPr>
        <w:t xml:space="preserve">de trámite </w:t>
      </w:r>
      <w:r w:rsidRPr="00770CA5">
        <w:rPr>
          <w:rFonts w:ascii="Book Antiqua" w:eastAsia="Calibri" w:hAnsi="Book Antiqua" w:cs="Arial"/>
          <w:sz w:val="24"/>
          <w:szCs w:val="24"/>
        </w:rPr>
        <w:t>la carga de trabajo por persona técnica</w:t>
      </w:r>
      <w:r w:rsidR="00F84B4E">
        <w:rPr>
          <w:rFonts w:ascii="Book Antiqua" w:eastAsia="Calibri" w:hAnsi="Book Antiqua" w:cs="Arial"/>
          <w:sz w:val="24"/>
          <w:szCs w:val="24"/>
        </w:rPr>
        <w:t xml:space="preserve"> de trámite</w:t>
      </w:r>
      <w:r w:rsidRPr="00770CA5">
        <w:rPr>
          <w:rFonts w:ascii="Book Antiqua" w:eastAsia="Calibri" w:hAnsi="Book Antiqua" w:cs="Arial"/>
          <w:sz w:val="24"/>
          <w:szCs w:val="24"/>
        </w:rPr>
        <w:t xml:space="preserve"> pasaría de 5</w:t>
      </w:r>
      <w:r>
        <w:rPr>
          <w:rFonts w:ascii="Book Antiqua" w:eastAsia="Calibri" w:hAnsi="Book Antiqua" w:cs="Arial"/>
          <w:sz w:val="24"/>
          <w:szCs w:val="24"/>
        </w:rPr>
        <w:t>4</w:t>
      </w:r>
      <w:r w:rsidRPr="00770CA5">
        <w:rPr>
          <w:rFonts w:ascii="Book Antiqua" w:eastAsia="Calibri" w:hAnsi="Book Antiqua" w:cs="Arial"/>
          <w:sz w:val="24"/>
          <w:szCs w:val="24"/>
        </w:rPr>
        <w:t xml:space="preserve"> a 36 asuntos nuevos por mes</w:t>
      </w:r>
      <w:r w:rsidR="00F84B4E">
        <w:rPr>
          <w:rFonts w:ascii="Book Antiqua" w:eastAsia="Calibri" w:hAnsi="Book Antiqua" w:cs="Arial"/>
          <w:sz w:val="24"/>
          <w:szCs w:val="24"/>
        </w:rPr>
        <w:t xml:space="preserve"> y se podría colocar una persona para la manifestación</w:t>
      </w:r>
      <w:r w:rsidRPr="00770CA5">
        <w:rPr>
          <w:rFonts w:ascii="Book Antiqua" w:eastAsia="Calibri" w:hAnsi="Book Antiqua" w:cs="Arial"/>
          <w:sz w:val="24"/>
          <w:szCs w:val="24"/>
        </w:rPr>
        <w:t xml:space="preserve"> </w:t>
      </w:r>
    </w:p>
    <w:p w14:paraId="59939DE7" w14:textId="5E0D162B" w:rsidR="00D838DB" w:rsidRDefault="00D838DB" w:rsidP="00770CA5">
      <w:pPr>
        <w:spacing w:after="0" w:line="276" w:lineRule="auto"/>
        <w:jc w:val="both"/>
        <w:rPr>
          <w:rFonts w:ascii="Book Antiqua" w:eastAsia="Calibri" w:hAnsi="Book Antiqua" w:cs="Arial"/>
          <w:sz w:val="24"/>
          <w:szCs w:val="24"/>
        </w:rPr>
      </w:pPr>
    </w:p>
    <w:p w14:paraId="37185633" w14:textId="452C7929" w:rsidR="00D838DB" w:rsidRDefault="0028766C"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Este despacho constantemente ha solicitado y recibido apoyo de parte de la Administración Regional. </w:t>
      </w:r>
    </w:p>
    <w:p w14:paraId="5630E280" w14:textId="260B1819" w:rsidR="0028766C" w:rsidRDefault="0028766C" w:rsidP="00770CA5">
      <w:pPr>
        <w:spacing w:after="0" w:line="276" w:lineRule="auto"/>
        <w:jc w:val="both"/>
        <w:rPr>
          <w:rFonts w:ascii="Book Antiqua" w:eastAsia="Calibri" w:hAnsi="Book Antiqua" w:cs="Arial"/>
          <w:sz w:val="24"/>
          <w:szCs w:val="24"/>
        </w:rPr>
      </w:pPr>
    </w:p>
    <w:p w14:paraId="14CC443E" w14:textId="10BE90C2" w:rsidR="00827857" w:rsidRDefault="009F3830"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w:t>
      </w:r>
      <w:r w:rsidR="0090791F">
        <w:rPr>
          <w:rFonts w:ascii="Book Antiqua" w:eastAsia="Calibri" w:hAnsi="Book Antiqua" w:cs="Arial"/>
          <w:sz w:val="24"/>
          <w:szCs w:val="24"/>
        </w:rPr>
        <w:t>n e</w:t>
      </w:r>
      <w:r w:rsidR="005979C1">
        <w:rPr>
          <w:rFonts w:ascii="Book Antiqua" w:eastAsia="Calibri" w:hAnsi="Book Antiqua" w:cs="Arial"/>
          <w:sz w:val="24"/>
          <w:szCs w:val="24"/>
        </w:rPr>
        <w:t xml:space="preserve">l informe </w:t>
      </w:r>
      <w:r w:rsidR="00E77732">
        <w:rPr>
          <w:rFonts w:ascii="Book Antiqua" w:eastAsia="Calibri" w:hAnsi="Book Antiqua" w:cs="Arial"/>
          <w:sz w:val="24"/>
          <w:szCs w:val="24"/>
        </w:rPr>
        <w:t>48-PLA-MI-2022</w:t>
      </w:r>
      <w:r w:rsidR="00486123">
        <w:rPr>
          <w:rFonts w:ascii="Book Antiqua" w:eastAsia="Calibri" w:hAnsi="Book Antiqua" w:cs="Arial"/>
          <w:sz w:val="24"/>
          <w:szCs w:val="24"/>
        </w:rPr>
        <w:t>, relacionado con e</w:t>
      </w:r>
      <w:r w:rsidR="00DF6E0B">
        <w:rPr>
          <w:rFonts w:ascii="Book Antiqua" w:eastAsia="Calibri" w:hAnsi="Book Antiqua" w:cs="Arial"/>
          <w:sz w:val="24"/>
          <w:szCs w:val="24"/>
        </w:rPr>
        <w:t xml:space="preserve">l </w:t>
      </w:r>
      <w:r w:rsidR="009D2239">
        <w:rPr>
          <w:rFonts w:ascii="Book Antiqua" w:eastAsia="Calibri" w:hAnsi="Book Antiqua" w:cs="Arial"/>
          <w:sz w:val="24"/>
          <w:szCs w:val="24"/>
        </w:rPr>
        <w:t>“</w:t>
      </w:r>
      <w:r w:rsidR="00DF6E0B" w:rsidRPr="001D0C10">
        <w:rPr>
          <w:rFonts w:ascii="Book Antiqua" w:eastAsia="Calibri" w:hAnsi="Book Antiqua" w:cs="Arial"/>
          <w:i/>
          <w:iCs/>
          <w:sz w:val="24"/>
          <w:szCs w:val="24"/>
        </w:rPr>
        <w:t xml:space="preserve">Informe de </w:t>
      </w:r>
      <w:r w:rsidR="009D2239" w:rsidRPr="001D0C10">
        <w:rPr>
          <w:rFonts w:ascii="Book Antiqua" w:eastAsia="Calibri" w:hAnsi="Book Antiqua" w:cs="Arial"/>
          <w:i/>
          <w:iCs/>
          <w:sz w:val="24"/>
          <w:szCs w:val="24"/>
        </w:rPr>
        <w:t>c</w:t>
      </w:r>
      <w:r w:rsidR="00DF6E0B" w:rsidRPr="001D0C10">
        <w:rPr>
          <w:rFonts w:ascii="Book Antiqua" w:eastAsia="Calibri" w:hAnsi="Book Antiqua" w:cs="Arial"/>
          <w:i/>
          <w:iCs/>
          <w:sz w:val="24"/>
          <w:szCs w:val="24"/>
        </w:rPr>
        <w:t xml:space="preserve">ierre </w:t>
      </w:r>
      <w:r w:rsidR="009D2239" w:rsidRPr="001D0C10">
        <w:rPr>
          <w:rFonts w:ascii="Book Antiqua" w:eastAsia="Calibri" w:hAnsi="Book Antiqua" w:cs="Arial"/>
          <w:i/>
          <w:iCs/>
          <w:sz w:val="24"/>
          <w:szCs w:val="24"/>
        </w:rPr>
        <w:t>de seguimiento</w:t>
      </w:r>
      <w:r w:rsidR="008352D6" w:rsidRPr="001D0C10">
        <w:rPr>
          <w:rFonts w:ascii="Book Antiqua" w:eastAsia="Calibri" w:hAnsi="Book Antiqua" w:cs="Arial"/>
          <w:i/>
          <w:iCs/>
          <w:sz w:val="24"/>
          <w:szCs w:val="24"/>
        </w:rPr>
        <w:t xml:space="preserve"> efectuado a los </w:t>
      </w:r>
      <w:r w:rsidR="00BA6805" w:rsidRPr="001D0C10">
        <w:rPr>
          <w:rFonts w:ascii="Book Antiqua" w:eastAsia="Calibri" w:hAnsi="Book Antiqua" w:cs="Arial"/>
          <w:i/>
          <w:iCs/>
          <w:sz w:val="24"/>
          <w:szCs w:val="24"/>
        </w:rPr>
        <w:t>Juzgados Mixtos</w:t>
      </w:r>
      <w:r w:rsidR="00BA6805">
        <w:rPr>
          <w:rFonts w:ascii="Book Antiqua" w:eastAsia="Calibri" w:hAnsi="Book Antiqua" w:cs="Arial"/>
          <w:sz w:val="24"/>
          <w:szCs w:val="24"/>
        </w:rPr>
        <w:t>”</w:t>
      </w:r>
      <w:r w:rsidR="00E30222">
        <w:rPr>
          <w:rFonts w:ascii="Book Antiqua" w:eastAsia="Calibri" w:hAnsi="Book Antiqua" w:cs="Arial"/>
          <w:sz w:val="24"/>
          <w:szCs w:val="24"/>
        </w:rPr>
        <w:t xml:space="preserve">, </w:t>
      </w:r>
      <w:r>
        <w:rPr>
          <w:rFonts w:ascii="Book Antiqua" w:eastAsia="Calibri" w:hAnsi="Book Antiqua" w:cs="Arial"/>
          <w:sz w:val="24"/>
          <w:szCs w:val="24"/>
        </w:rPr>
        <w:t xml:space="preserve">se analiza la </w:t>
      </w:r>
      <w:r w:rsidR="005A29D3">
        <w:rPr>
          <w:rFonts w:ascii="Book Antiqua" w:eastAsia="Calibri" w:hAnsi="Book Antiqua" w:cs="Arial"/>
          <w:sz w:val="24"/>
          <w:szCs w:val="24"/>
        </w:rPr>
        <w:t xml:space="preserve">criticidad </w:t>
      </w:r>
      <w:r w:rsidR="007E625D">
        <w:rPr>
          <w:rFonts w:ascii="Book Antiqua" w:eastAsia="Calibri" w:hAnsi="Book Antiqua" w:cs="Arial"/>
          <w:sz w:val="24"/>
          <w:szCs w:val="24"/>
        </w:rPr>
        <w:t>d</w:t>
      </w:r>
      <w:r w:rsidR="00E30222">
        <w:rPr>
          <w:rFonts w:ascii="Book Antiqua" w:eastAsia="Calibri" w:hAnsi="Book Antiqua" w:cs="Arial"/>
          <w:sz w:val="24"/>
          <w:szCs w:val="24"/>
        </w:rPr>
        <w:t>el Juzgado Civil, Trabajo y Familia de Buenos Aires,</w:t>
      </w:r>
      <w:r w:rsidR="00CC09BF">
        <w:rPr>
          <w:rFonts w:ascii="Book Antiqua" w:eastAsia="Calibri" w:hAnsi="Book Antiqua" w:cs="Arial"/>
          <w:sz w:val="24"/>
          <w:szCs w:val="24"/>
        </w:rPr>
        <w:t xml:space="preserve"> d</w:t>
      </w:r>
      <w:r w:rsidR="0015530E">
        <w:rPr>
          <w:rFonts w:ascii="Book Antiqua" w:eastAsia="Calibri" w:hAnsi="Book Antiqua" w:cs="Arial"/>
          <w:sz w:val="24"/>
          <w:szCs w:val="24"/>
        </w:rPr>
        <w:t xml:space="preserve">el seguimiento realizado durante el periodo diciembre 2020 a </w:t>
      </w:r>
      <w:r w:rsidR="0036458A">
        <w:rPr>
          <w:rFonts w:ascii="Book Antiqua" w:eastAsia="Calibri" w:hAnsi="Book Antiqua" w:cs="Arial"/>
          <w:sz w:val="24"/>
          <w:szCs w:val="24"/>
        </w:rPr>
        <w:t>julio</w:t>
      </w:r>
      <w:r w:rsidR="00E72C23">
        <w:rPr>
          <w:rFonts w:ascii="Book Antiqua" w:eastAsia="Calibri" w:hAnsi="Book Antiqua" w:cs="Arial"/>
          <w:sz w:val="24"/>
          <w:szCs w:val="24"/>
        </w:rPr>
        <w:t xml:space="preserve"> 2021</w:t>
      </w:r>
      <w:r w:rsidR="0036458A">
        <w:rPr>
          <w:rFonts w:ascii="Book Antiqua" w:eastAsia="Calibri" w:hAnsi="Book Antiqua" w:cs="Arial"/>
          <w:sz w:val="24"/>
          <w:szCs w:val="24"/>
        </w:rPr>
        <w:t xml:space="preserve">, </w:t>
      </w:r>
      <w:r w:rsidR="00A54C1A">
        <w:rPr>
          <w:rFonts w:ascii="Book Antiqua" w:eastAsia="Calibri" w:hAnsi="Book Antiqua" w:cs="Arial"/>
          <w:sz w:val="24"/>
          <w:szCs w:val="24"/>
        </w:rPr>
        <w:t>se determin</w:t>
      </w:r>
      <w:r w:rsidR="00D64884">
        <w:rPr>
          <w:rFonts w:ascii="Book Antiqua" w:eastAsia="Calibri" w:hAnsi="Book Antiqua" w:cs="Arial"/>
          <w:sz w:val="24"/>
          <w:szCs w:val="24"/>
        </w:rPr>
        <w:t>ó que esa oficina mantiene una</w:t>
      </w:r>
      <w:r w:rsidR="00A54C1A">
        <w:rPr>
          <w:rFonts w:ascii="Book Antiqua" w:eastAsia="Calibri" w:hAnsi="Book Antiqua" w:cs="Arial"/>
          <w:sz w:val="24"/>
          <w:szCs w:val="24"/>
        </w:rPr>
        <w:t xml:space="preserve"> </w:t>
      </w:r>
      <w:r w:rsidR="00C554F7">
        <w:rPr>
          <w:rFonts w:ascii="Book Antiqua" w:eastAsia="Calibri" w:hAnsi="Book Antiqua" w:cs="Arial"/>
          <w:sz w:val="24"/>
          <w:szCs w:val="24"/>
        </w:rPr>
        <w:t>calificación “D”</w:t>
      </w:r>
      <w:r w:rsidR="00A54C1A">
        <w:rPr>
          <w:rFonts w:ascii="Book Antiqua" w:eastAsia="Calibri" w:hAnsi="Book Antiqua" w:cs="Arial"/>
          <w:sz w:val="24"/>
          <w:szCs w:val="24"/>
        </w:rPr>
        <w:t xml:space="preserve"> </w:t>
      </w:r>
      <w:r w:rsidR="005864F7">
        <w:rPr>
          <w:rFonts w:ascii="Book Antiqua" w:eastAsia="Calibri" w:hAnsi="Book Antiqua" w:cs="Arial"/>
          <w:sz w:val="24"/>
          <w:szCs w:val="24"/>
        </w:rPr>
        <w:t xml:space="preserve"> </w:t>
      </w:r>
      <w:r w:rsidR="002635E0" w:rsidRPr="002635E0">
        <w:rPr>
          <w:rFonts w:ascii="Book Antiqua" w:eastAsia="Calibri" w:hAnsi="Book Antiqua" w:cs="Arial"/>
          <w:sz w:val="24"/>
          <w:szCs w:val="24"/>
        </w:rPr>
        <w:t>principal</w:t>
      </w:r>
      <w:r w:rsidR="005864F7">
        <w:rPr>
          <w:rFonts w:ascii="Book Antiqua" w:eastAsia="Calibri" w:hAnsi="Book Antiqua" w:cs="Arial"/>
          <w:sz w:val="24"/>
          <w:szCs w:val="24"/>
        </w:rPr>
        <w:t xml:space="preserve">mente </w:t>
      </w:r>
      <w:r w:rsidR="00D64884">
        <w:rPr>
          <w:rFonts w:ascii="Book Antiqua" w:eastAsia="Calibri" w:hAnsi="Book Antiqua" w:cs="Arial"/>
          <w:sz w:val="24"/>
          <w:szCs w:val="24"/>
        </w:rPr>
        <w:t xml:space="preserve">por </w:t>
      </w:r>
      <w:r w:rsidR="005864F7">
        <w:rPr>
          <w:rFonts w:ascii="Book Antiqua" w:eastAsia="Calibri" w:hAnsi="Book Antiqua" w:cs="Arial"/>
          <w:sz w:val="24"/>
          <w:szCs w:val="24"/>
        </w:rPr>
        <w:t xml:space="preserve"> </w:t>
      </w:r>
      <w:r w:rsidR="008C0928">
        <w:rPr>
          <w:rFonts w:ascii="Book Antiqua" w:eastAsia="Calibri" w:hAnsi="Book Antiqua" w:cs="Arial"/>
          <w:sz w:val="24"/>
          <w:szCs w:val="24"/>
        </w:rPr>
        <w:t>l</w:t>
      </w:r>
      <w:r w:rsidR="005864F7">
        <w:rPr>
          <w:rFonts w:ascii="Book Antiqua" w:eastAsia="Calibri" w:hAnsi="Book Antiqua" w:cs="Arial"/>
          <w:sz w:val="24"/>
          <w:szCs w:val="24"/>
        </w:rPr>
        <w:t>os indicadores de</w:t>
      </w:r>
      <w:r w:rsidR="008C0928">
        <w:rPr>
          <w:rFonts w:ascii="Book Antiqua" w:eastAsia="Calibri" w:hAnsi="Book Antiqua" w:cs="Arial"/>
          <w:sz w:val="24"/>
          <w:szCs w:val="24"/>
        </w:rPr>
        <w:t xml:space="preserve"> </w:t>
      </w:r>
      <w:r w:rsidR="002635E0" w:rsidRPr="002635E0">
        <w:rPr>
          <w:rFonts w:ascii="Book Antiqua" w:eastAsia="Calibri" w:hAnsi="Book Antiqua" w:cs="Arial"/>
          <w:sz w:val="24"/>
          <w:szCs w:val="24"/>
        </w:rPr>
        <w:t>Plazo para resolver demandas nuevas y el Plazo para resolver escrito</w:t>
      </w:r>
      <w:r w:rsidR="002635E0">
        <w:rPr>
          <w:rFonts w:ascii="Book Antiqua" w:eastAsia="Calibri" w:hAnsi="Book Antiqua" w:cs="Arial"/>
          <w:sz w:val="24"/>
          <w:szCs w:val="24"/>
        </w:rPr>
        <w:t>s</w:t>
      </w:r>
      <w:r w:rsidR="00D64884">
        <w:rPr>
          <w:rFonts w:ascii="Book Antiqua" w:eastAsia="Calibri" w:hAnsi="Book Antiqua" w:cs="Arial"/>
          <w:sz w:val="24"/>
          <w:szCs w:val="24"/>
        </w:rPr>
        <w:t xml:space="preserve"> (tareas que realizan las personas técnicas judiciales)</w:t>
      </w:r>
      <w:r w:rsidR="00586771">
        <w:rPr>
          <w:rFonts w:ascii="Book Antiqua" w:eastAsia="Calibri" w:hAnsi="Book Antiqua" w:cs="Arial"/>
          <w:sz w:val="24"/>
          <w:szCs w:val="24"/>
        </w:rPr>
        <w:t xml:space="preserve">, </w:t>
      </w:r>
      <w:r w:rsidR="00020532">
        <w:rPr>
          <w:rFonts w:ascii="Book Antiqua" w:eastAsia="Calibri" w:hAnsi="Book Antiqua" w:cs="Arial"/>
          <w:sz w:val="24"/>
          <w:szCs w:val="24"/>
        </w:rPr>
        <w:t>por lo que se realizó un plan de trabajo “</w:t>
      </w:r>
      <w:r w:rsidR="00586771" w:rsidRPr="001D0C10">
        <w:rPr>
          <w:rFonts w:ascii="Book Antiqua" w:eastAsia="Calibri" w:hAnsi="Book Antiqua" w:cs="Arial"/>
          <w:i/>
          <w:iCs/>
          <w:sz w:val="24"/>
          <w:szCs w:val="24"/>
        </w:rPr>
        <w:t>Trámite Rápido 1887-PLA-MI-TR-2021</w:t>
      </w:r>
      <w:r w:rsidR="00020532">
        <w:rPr>
          <w:rFonts w:ascii="Book Antiqua" w:eastAsia="Calibri" w:hAnsi="Book Antiqua" w:cs="Arial"/>
          <w:sz w:val="24"/>
          <w:szCs w:val="24"/>
        </w:rPr>
        <w:t>”</w:t>
      </w:r>
      <w:r w:rsidR="00586771" w:rsidRPr="00586771">
        <w:rPr>
          <w:rFonts w:ascii="Book Antiqua" w:eastAsia="Calibri" w:hAnsi="Book Antiqua" w:cs="Arial"/>
          <w:sz w:val="24"/>
          <w:szCs w:val="24"/>
        </w:rPr>
        <w:t xml:space="preserve"> </w:t>
      </w:r>
      <w:r w:rsidR="00796B41">
        <w:rPr>
          <w:rFonts w:ascii="Book Antiqua" w:eastAsia="Calibri" w:hAnsi="Book Antiqua" w:cs="Arial"/>
          <w:sz w:val="24"/>
          <w:szCs w:val="24"/>
        </w:rPr>
        <w:t xml:space="preserve">con el fin de </w:t>
      </w:r>
      <w:r w:rsidR="00586771" w:rsidRPr="00586771">
        <w:rPr>
          <w:rFonts w:ascii="Book Antiqua" w:eastAsia="Calibri" w:hAnsi="Book Antiqua" w:cs="Arial"/>
          <w:sz w:val="24"/>
          <w:szCs w:val="24"/>
        </w:rPr>
        <w:t xml:space="preserve">que </w:t>
      </w:r>
      <w:r w:rsidR="00B649FA">
        <w:rPr>
          <w:rFonts w:ascii="Book Antiqua" w:eastAsia="Calibri" w:hAnsi="Book Antiqua" w:cs="Arial"/>
          <w:sz w:val="24"/>
          <w:szCs w:val="24"/>
        </w:rPr>
        <w:t xml:space="preserve">se </w:t>
      </w:r>
      <w:r w:rsidR="00796B41">
        <w:rPr>
          <w:rFonts w:ascii="Book Antiqua" w:eastAsia="Calibri" w:hAnsi="Book Antiqua" w:cs="Arial"/>
          <w:sz w:val="24"/>
          <w:szCs w:val="24"/>
        </w:rPr>
        <w:t>diera</w:t>
      </w:r>
      <w:r w:rsidR="00586771" w:rsidRPr="00586771">
        <w:rPr>
          <w:rFonts w:ascii="Book Antiqua" w:eastAsia="Calibri" w:hAnsi="Book Antiqua" w:cs="Arial"/>
          <w:sz w:val="24"/>
          <w:szCs w:val="24"/>
        </w:rPr>
        <w:t xml:space="preserve"> atención de las demandas nuevas y escritos pendientes de resolver según la antigüedad de ingreso de esos asuntos</w:t>
      </w:r>
      <w:r w:rsidR="0088444D">
        <w:rPr>
          <w:rFonts w:ascii="Book Antiqua" w:eastAsia="Calibri" w:hAnsi="Book Antiqua" w:cs="Arial"/>
          <w:sz w:val="24"/>
          <w:szCs w:val="24"/>
        </w:rPr>
        <w:t xml:space="preserve">, </w:t>
      </w:r>
      <w:r w:rsidR="00B649FA">
        <w:rPr>
          <w:rFonts w:ascii="Book Antiqua" w:eastAsia="Calibri" w:hAnsi="Book Antiqua" w:cs="Arial"/>
          <w:sz w:val="24"/>
          <w:szCs w:val="24"/>
        </w:rPr>
        <w:t xml:space="preserve">ya que </w:t>
      </w:r>
      <w:r w:rsidR="00383E24" w:rsidRPr="00383E24">
        <w:rPr>
          <w:rFonts w:ascii="Book Antiqua" w:eastAsia="Calibri" w:hAnsi="Book Antiqua" w:cs="Arial"/>
          <w:sz w:val="24"/>
          <w:szCs w:val="24"/>
        </w:rPr>
        <w:t xml:space="preserve">para este </w:t>
      </w:r>
      <w:r w:rsidR="00831520">
        <w:rPr>
          <w:rFonts w:ascii="Book Antiqua" w:eastAsia="Calibri" w:hAnsi="Book Antiqua" w:cs="Arial"/>
          <w:sz w:val="24"/>
          <w:szCs w:val="24"/>
        </w:rPr>
        <w:t>d</w:t>
      </w:r>
      <w:r w:rsidR="00383E24" w:rsidRPr="00383E24">
        <w:rPr>
          <w:rFonts w:ascii="Book Antiqua" w:eastAsia="Calibri" w:hAnsi="Book Antiqua" w:cs="Arial"/>
          <w:sz w:val="24"/>
          <w:szCs w:val="24"/>
        </w:rPr>
        <w:t>espacho se determinó limitación en cuanto a la capacidad instalada del personal Técnico Judicia</w:t>
      </w:r>
      <w:r w:rsidR="00831520">
        <w:rPr>
          <w:rFonts w:ascii="Book Antiqua" w:eastAsia="Calibri" w:hAnsi="Book Antiqua" w:cs="Arial"/>
          <w:sz w:val="24"/>
          <w:szCs w:val="24"/>
        </w:rPr>
        <w:t>l</w:t>
      </w:r>
      <w:r w:rsidR="003639EA">
        <w:rPr>
          <w:rFonts w:ascii="Book Antiqua" w:eastAsia="Calibri" w:hAnsi="Book Antiqua" w:cs="Arial"/>
          <w:sz w:val="24"/>
          <w:szCs w:val="24"/>
        </w:rPr>
        <w:t xml:space="preserve">, situación que </w:t>
      </w:r>
      <w:r w:rsidR="00FC3DC7">
        <w:rPr>
          <w:rFonts w:ascii="Book Antiqua" w:eastAsia="Calibri" w:hAnsi="Book Antiqua" w:cs="Arial"/>
          <w:sz w:val="24"/>
          <w:szCs w:val="24"/>
        </w:rPr>
        <w:t xml:space="preserve">se evidenció en los </w:t>
      </w:r>
      <w:r w:rsidR="00E33129">
        <w:rPr>
          <w:rFonts w:ascii="Book Antiqua" w:eastAsia="Calibri" w:hAnsi="Book Antiqua" w:cs="Arial"/>
          <w:sz w:val="24"/>
          <w:szCs w:val="24"/>
        </w:rPr>
        <w:t>informes de impacto presupuestario 656-PLA-RH-MI-2020 y 389-PLA-RH-MI-2021</w:t>
      </w:r>
      <w:r w:rsidR="00586D0E">
        <w:rPr>
          <w:rFonts w:ascii="Book Antiqua" w:eastAsia="Calibri" w:hAnsi="Book Antiqua" w:cs="Arial"/>
          <w:sz w:val="24"/>
          <w:szCs w:val="24"/>
        </w:rPr>
        <w:t>, en l</w:t>
      </w:r>
      <w:r w:rsidR="00D232B5">
        <w:rPr>
          <w:rFonts w:ascii="Book Antiqua" w:eastAsia="Calibri" w:hAnsi="Book Antiqua" w:cs="Arial"/>
          <w:sz w:val="24"/>
          <w:szCs w:val="24"/>
        </w:rPr>
        <w:t xml:space="preserve">os que se determinó la necesidad </w:t>
      </w:r>
      <w:r w:rsidR="000D57CB">
        <w:rPr>
          <w:rFonts w:ascii="Book Antiqua" w:eastAsia="Calibri" w:hAnsi="Book Antiqua" w:cs="Arial"/>
          <w:sz w:val="24"/>
          <w:szCs w:val="24"/>
        </w:rPr>
        <w:t>de una persona Técnica Judicial para el trámite</w:t>
      </w:r>
      <w:r w:rsidR="007D3CD8">
        <w:rPr>
          <w:rFonts w:ascii="Book Antiqua" w:eastAsia="Calibri" w:hAnsi="Book Antiqua" w:cs="Arial"/>
          <w:sz w:val="24"/>
          <w:szCs w:val="24"/>
        </w:rPr>
        <w:t>; sin embargo,</w:t>
      </w:r>
    </w:p>
    <w:p w14:paraId="118061AB" w14:textId="73263C53" w:rsidR="005A29D3" w:rsidRDefault="00EE3ADB" w:rsidP="00770CA5">
      <w:pPr>
        <w:spacing w:after="0" w:line="276" w:lineRule="auto"/>
        <w:jc w:val="both"/>
        <w:rPr>
          <w:rFonts w:ascii="Book Antiqua" w:eastAsia="Calibri" w:hAnsi="Book Antiqua" w:cs="Arial"/>
          <w:sz w:val="24"/>
          <w:szCs w:val="24"/>
        </w:rPr>
      </w:pPr>
      <w:r w:rsidRPr="00EE3ADB">
        <w:rPr>
          <w:rFonts w:ascii="Book Antiqua" w:eastAsia="Calibri" w:hAnsi="Book Antiqua" w:cs="Arial"/>
          <w:sz w:val="24"/>
          <w:szCs w:val="24"/>
        </w:rPr>
        <w:t xml:space="preserve">por la situación fiscal del país no se otorgó </w:t>
      </w:r>
      <w:r w:rsidR="003B5B98">
        <w:rPr>
          <w:rFonts w:ascii="Book Antiqua" w:eastAsia="Calibri" w:hAnsi="Book Antiqua" w:cs="Arial"/>
          <w:sz w:val="24"/>
          <w:szCs w:val="24"/>
        </w:rPr>
        <w:t xml:space="preserve">el </w:t>
      </w:r>
      <w:r w:rsidRPr="00EE3ADB">
        <w:rPr>
          <w:rFonts w:ascii="Book Antiqua" w:eastAsia="Calibri" w:hAnsi="Book Antiqua" w:cs="Arial"/>
          <w:sz w:val="24"/>
          <w:szCs w:val="24"/>
        </w:rPr>
        <w:t>contenido presupuestario para la implementación de la Ley 9747 “</w:t>
      </w:r>
      <w:r w:rsidRPr="001D0C10">
        <w:rPr>
          <w:rFonts w:ascii="Book Antiqua" w:eastAsia="Calibri" w:hAnsi="Book Antiqua" w:cs="Arial"/>
          <w:i/>
          <w:iCs/>
          <w:sz w:val="24"/>
          <w:szCs w:val="24"/>
        </w:rPr>
        <w:t>Código Procesal de Familia</w:t>
      </w:r>
      <w:r w:rsidRPr="00EE3ADB">
        <w:rPr>
          <w:rFonts w:ascii="Book Antiqua" w:eastAsia="Calibri" w:hAnsi="Book Antiqua" w:cs="Arial"/>
          <w:sz w:val="24"/>
          <w:szCs w:val="24"/>
        </w:rPr>
        <w:t>”</w:t>
      </w:r>
      <w:r w:rsidR="004B4BC4">
        <w:rPr>
          <w:rFonts w:ascii="Book Antiqua" w:eastAsia="Calibri" w:hAnsi="Book Antiqua" w:cs="Arial"/>
          <w:sz w:val="24"/>
          <w:szCs w:val="24"/>
        </w:rPr>
        <w:t xml:space="preserve">, por lo tanto, con el fin de </w:t>
      </w:r>
      <w:r w:rsidR="002C211F">
        <w:rPr>
          <w:rFonts w:ascii="Book Antiqua" w:eastAsia="Calibri" w:hAnsi="Book Antiqua" w:cs="Arial"/>
          <w:sz w:val="24"/>
          <w:szCs w:val="24"/>
        </w:rPr>
        <w:t xml:space="preserve">suplir la </w:t>
      </w:r>
      <w:r w:rsidR="00B829B8">
        <w:rPr>
          <w:rFonts w:ascii="Book Antiqua" w:eastAsia="Calibri" w:hAnsi="Book Antiqua" w:cs="Arial"/>
          <w:sz w:val="24"/>
          <w:szCs w:val="24"/>
        </w:rPr>
        <w:t>deficiencia</w:t>
      </w:r>
      <w:r w:rsidR="002C211F">
        <w:rPr>
          <w:rFonts w:ascii="Book Antiqua" w:eastAsia="Calibri" w:hAnsi="Book Antiqua" w:cs="Arial"/>
          <w:sz w:val="24"/>
          <w:szCs w:val="24"/>
        </w:rPr>
        <w:t xml:space="preserve"> </w:t>
      </w:r>
      <w:r w:rsidR="00B829B8">
        <w:rPr>
          <w:rFonts w:ascii="Book Antiqua" w:eastAsia="Calibri" w:hAnsi="Book Antiqua" w:cs="Arial"/>
          <w:sz w:val="24"/>
          <w:szCs w:val="24"/>
        </w:rPr>
        <w:t xml:space="preserve">en la capacidad de la estructura </w:t>
      </w:r>
      <w:r w:rsidR="0063349F">
        <w:rPr>
          <w:rFonts w:ascii="Book Antiqua" w:eastAsia="Calibri" w:hAnsi="Book Antiqua" w:cs="Arial"/>
          <w:sz w:val="24"/>
          <w:szCs w:val="24"/>
        </w:rPr>
        <w:t>actual</w:t>
      </w:r>
      <w:r w:rsidR="00EE5B80">
        <w:rPr>
          <w:rFonts w:ascii="Book Antiqua" w:eastAsia="Calibri" w:hAnsi="Book Antiqua" w:cs="Arial"/>
          <w:sz w:val="24"/>
          <w:szCs w:val="24"/>
        </w:rPr>
        <w:t xml:space="preserve"> del Juzgado Civil, Trabajo y Familia de Buenos Aires</w:t>
      </w:r>
      <w:r w:rsidR="00D93196">
        <w:rPr>
          <w:rFonts w:ascii="Book Antiqua" w:eastAsia="Calibri" w:hAnsi="Book Antiqua" w:cs="Arial"/>
          <w:sz w:val="24"/>
          <w:szCs w:val="24"/>
        </w:rPr>
        <w:t xml:space="preserve">, en el siguiente cuadro se </w:t>
      </w:r>
      <w:r w:rsidR="009F1424">
        <w:rPr>
          <w:rFonts w:ascii="Book Antiqua" w:eastAsia="Calibri" w:hAnsi="Book Antiqua" w:cs="Arial"/>
          <w:sz w:val="24"/>
          <w:szCs w:val="24"/>
        </w:rPr>
        <w:t>muestra</w:t>
      </w:r>
      <w:r w:rsidR="00125C45">
        <w:rPr>
          <w:rFonts w:ascii="Book Antiqua" w:eastAsia="Calibri" w:hAnsi="Book Antiqua" w:cs="Arial"/>
          <w:sz w:val="24"/>
          <w:szCs w:val="24"/>
        </w:rPr>
        <w:t xml:space="preserve">n los escenarios para definir </w:t>
      </w:r>
      <w:r w:rsidR="009F1424">
        <w:rPr>
          <w:rFonts w:ascii="Book Antiqua" w:eastAsia="Calibri" w:hAnsi="Book Antiqua" w:cs="Arial"/>
          <w:sz w:val="24"/>
          <w:szCs w:val="24"/>
        </w:rPr>
        <w:t xml:space="preserve">la estructura </w:t>
      </w:r>
      <w:r w:rsidR="00125C45">
        <w:rPr>
          <w:rFonts w:ascii="Book Antiqua" w:eastAsia="Calibri" w:hAnsi="Book Antiqua" w:cs="Arial"/>
          <w:sz w:val="24"/>
          <w:szCs w:val="24"/>
        </w:rPr>
        <w:t>ideal</w:t>
      </w:r>
      <w:r w:rsidR="009F1424">
        <w:rPr>
          <w:rFonts w:ascii="Book Antiqua" w:eastAsia="Calibri" w:hAnsi="Book Antiqua" w:cs="Arial"/>
          <w:sz w:val="24"/>
          <w:szCs w:val="24"/>
        </w:rPr>
        <w:t xml:space="preserve"> para este despa</w:t>
      </w:r>
      <w:r w:rsidR="00871E0B">
        <w:rPr>
          <w:rFonts w:ascii="Book Antiqua" w:eastAsia="Calibri" w:hAnsi="Book Antiqua" w:cs="Arial"/>
          <w:sz w:val="24"/>
          <w:szCs w:val="24"/>
        </w:rPr>
        <w:t>cho:</w:t>
      </w:r>
    </w:p>
    <w:p w14:paraId="3D0C2047" w14:textId="2A855732" w:rsidR="00E12E12" w:rsidRDefault="00E12E12" w:rsidP="00770CA5">
      <w:pPr>
        <w:spacing w:after="0" w:line="276" w:lineRule="auto"/>
        <w:jc w:val="both"/>
        <w:rPr>
          <w:rFonts w:ascii="Book Antiqua" w:eastAsia="Calibri" w:hAnsi="Book Antiqua" w:cs="Arial"/>
          <w:sz w:val="24"/>
          <w:szCs w:val="24"/>
        </w:rPr>
      </w:pPr>
    </w:p>
    <w:p w14:paraId="378A5E0F" w14:textId="565119A6" w:rsidR="00E12E12" w:rsidRPr="00FD6A27" w:rsidRDefault="00E12E12" w:rsidP="00E12E1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D6A27">
        <w:rPr>
          <w:rFonts w:ascii="Book Antiqua" w:eastAsia="Calibri" w:hAnsi="Book Antiqua" w:cs="Arial"/>
          <w:b/>
          <w:bCs/>
          <w:color w:val="1F497D"/>
          <w:szCs w:val="24"/>
          <w:lang w:val="es-ES" w:eastAsia="es-ES"/>
        </w:rPr>
        <w:lastRenderedPageBreak/>
        <w:t xml:space="preserve">Cuadro </w:t>
      </w:r>
      <w:r w:rsidRPr="00FD6A27">
        <w:rPr>
          <w:rFonts w:ascii="Book Antiqua" w:eastAsia="Calibri" w:hAnsi="Book Antiqua" w:cs="Arial"/>
          <w:b/>
          <w:bCs/>
          <w:color w:val="1F497D"/>
          <w:szCs w:val="24"/>
          <w:lang w:val="es-ES" w:eastAsia="es-ES"/>
        </w:rPr>
        <w:fldChar w:fldCharType="begin"/>
      </w:r>
      <w:r w:rsidRPr="00FD6A27">
        <w:rPr>
          <w:rFonts w:ascii="Book Antiqua" w:eastAsia="Calibri" w:hAnsi="Book Antiqua" w:cs="Arial"/>
          <w:b/>
          <w:bCs/>
          <w:color w:val="1F497D"/>
          <w:szCs w:val="24"/>
          <w:lang w:val="es-ES" w:eastAsia="es-ES"/>
        </w:rPr>
        <w:instrText xml:space="preserve"> SEQ Cuadro \* ARABIC </w:instrText>
      </w:r>
      <w:r w:rsidRPr="00FD6A27">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48</w:t>
      </w:r>
      <w:r w:rsidRPr="00FD6A27">
        <w:rPr>
          <w:rFonts w:ascii="Book Antiqua" w:eastAsia="Calibri" w:hAnsi="Book Antiqua" w:cs="Arial"/>
          <w:b/>
          <w:bCs/>
          <w:color w:val="1F497D"/>
          <w:szCs w:val="24"/>
          <w:lang w:val="es-ES" w:eastAsia="es-ES"/>
        </w:rPr>
        <w:fldChar w:fldCharType="end"/>
      </w:r>
      <w:r w:rsidRPr="00FD6A27">
        <w:rPr>
          <w:rFonts w:ascii="Book Antiqua" w:eastAsia="Calibri" w:hAnsi="Book Antiqua" w:cs="Arial"/>
          <w:b/>
          <w:bCs/>
          <w:color w:val="1F497D"/>
          <w:szCs w:val="24"/>
          <w:lang w:val="es-ES" w:eastAsia="es-ES"/>
        </w:rPr>
        <w:t xml:space="preserve"> </w:t>
      </w:r>
    </w:p>
    <w:p w14:paraId="752B52DB" w14:textId="77777777" w:rsidR="00B117FE" w:rsidRDefault="00E12E12" w:rsidP="00E12E12">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Es</w:t>
      </w:r>
      <w:r w:rsidR="00B117FE">
        <w:rPr>
          <w:rFonts w:ascii="Book Antiqua" w:eastAsia="Calibri" w:hAnsi="Book Antiqua" w:cs="Arial"/>
          <w:b/>
          <w:bCs/>
          <w:color w:val="1F497D"/>
          <w:szCs w:val="24"/>
          <w:lang w:val="es-ES" w:eastAsia="es-ES"/>
        </w:rPr>
        <w:t>cenarios para la es</w:t>
      </w:r>
      <w:r>
        <w:rPr>
          <w:rFonts w:ascii="Book Antiqua" w:eastAsia="Calibri" w:hAnsi="Book Antiqua" w:cs="Arial"/>
          <w:b/>
          <w:bCs/>
          <w:color w:val="1F497D"/>
          <w:szCs w:val="24"/>
          <w:lang w:val="es-ES" w:eastAsia="es-ES"/>
        </w:rPr>
        <w:t xml:space="preserve">tructura </w:t>
      </w:r>
      <w:r w:rsidR="00B117FE">
        <w:rPr>
          <w:rFonts w:ascii="Book Antiqua" w:eastAsia="Calibri" w:hAnsi="Book Antiqua" w:cs="Arial"/>
          <w:b/>
          <w:bCs/>
          <w:color w:val="1F497D"/>
          <w:szCs w:val="24"/>
          <w:lang w:val="es-ES" w:eastAsia="es-ES"/>
        </w:rPr>
        <w:t>d</w:t>
      </w:r>
      <w:r>
        <w:rPr>
          <w:rFonts w:ascii="Book Antiqua" w:eastAsia="Calibri" w:hAnsi="Book Antiqua" w:cs="Arial"/>
          <w:b/>
          <w:bCs/>
          <w:color w:val="1F497D"/>
          <w:szCs w:val="24"/>
          <w:lang w:val="es-ES" w:eastAsia="es-ES"/>
        </w:rPr>
        <w:t xml:space="preserve">el </w:t>
      </w:r>
      <w:r w:rsidR="00B117FE" w:rsidRPr="00B117FE">
        <w:rPr>
          <w:rFonts w:ascii="Book Antiqua" w:eastAsia="Calibri" w:hAnsi="Book Antiqua" w:cs="Arial"/>
          <w:b/>
          <w:bCs/>
          <w:color w:val="1F497D"/>
          <w:szCs w:val="24"/>
          <w:lang w:val="es-ES" w:eastAsia="es-ES"/>
        </w:rPr>
        <w:t xml:space="preserve">Juzgado Civil, Trabajo y </w:t>
      </w:r>
    </w:p>
    <w:p w14:paraId="52473EB0" w14:textId="5E5EC7FE" w:rsidR="00E12E12" w:rsidRPr="00FD6A27" w:rsidRDefault="00B117FE" w:rsidP="00E12E1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B117FE">
        <w:rPr>
          <w:rFonts w:ascii="Book Antiqua" w:eastAsia="Calibri" w:hAnsi="Book Antiqua" w:cs="Arial"/>
          <w:b/>
          <w:bCs/>
          <w:color w:val="1F497D"/>
          <w:szCs w:val="24"/>
          <w:lang w:val="es-ES" w:eastAsia="es-ES"/>
        </w:rPr>
        <w:t>Familia de Buenos Aires</w:t>
      </w:r>
    </w:p>
    <w:tbl>
      <w:tblPr>
        <w:tblW w:w="7200" w:type="dxa"/>
        <w:jc w:val="center"/>
        <w:tblCellMar>
          <w:left w:w="70" w:type="dxa"/>
          <w:right w:w="70" w:type="dxa"/>
        </w:tblCellMar>
        <w:tblLook w:val="04A0" w:firstRow="1" w:lastRow="0" w:firstColumn="1" w:lastColumn="0" w:noHBand="0" w:noVBand="1"/>
      </w:tblPr>
      <w:tblGrid>
        <w:gridCol w:w="1200"/>
        <w:gridCol w:w="1200"/>
        <w:gridCol w:w="1200"/>
        <w:gridCol w:w="1200"/>
        <w:gridCol w:w="1200"/>
        <w:gridCol w:w="1244"/>
      </w:tblGrid>
      <w:tr w:rsidR="003673E3" w:rsidRPr="00125C45" w14:paraId="47C3EC17" w14:textId="77777777" w:rsidTr="00125C45">
        <w:trPr>
          <w:trHeight w:val="77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3A7CC93"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Despacho</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760178B"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Materia</w:t>
            </w:r>
          </w:p>
        </w:tc>
        <w:tc>
          <w:tcPr>
            <w:tcW w:w="2400" w:type="dxa"/>
            <w:gridSpan w:val="2"/>
            <w:tcBorders>
              <w:top w:val="single" w:sz="4" w:space="0" w:color="auto"/>
              <w:left w:val="nil"/>
              <w:bottom w:val="single" w:sz="4" w:space="0" w:color="auto"/>
              <w:right w:val="single" w:sz="4" w:space="0" w:color="auto"/>
            </w:tcBorders>
            <w:shd w:val="clear" w:color="000000" w:fill="002060"/>
            <w:vAlign w:val="center"/>
            <w:hideMark/>
          </w:tcPr>
          <w:p w14:paraId="7C73F7CC"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Recurso humano actual</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7F6582E"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Porcentaje de dedicado por materia por juez</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0A194FC"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Entrados al mes</w:t>
            </w:r>
          </w:p>
        </w:tc>
      </w:tr>
      <w:tr w:rsidR="003673E3" w:rsidRPr="00125C45" w14:paraId="2A81FE65" w14:textId="77777777" w:rsidTr="00125C45">
        <w:trPr>
          <w:trHeight w:val="53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418CAB90" w14:textId="77777777" w:rsidR="00125C45" w:rsidRPr="00125C45" w:rsidRDefault="00125C45" w:rsidP="00125C45">
            <w:pPr>
              <w:spacing w:after="0" w:line="240" w:lineRule="auto"/>
              <w:rPr>
                <w:rFonts w:ascii="Book Antiqua" w:eastAsia="Times New Roman" w:hAnsi="Book Antiqua" w:cs="Calibri"/>
                <w:b/>
                <w:bCs/>
                <w:i/>
                <w:iCs/>
                <w:color w:val="FFFFFF"/>
                <w:sz w:val="20"/>
                <w:szCs w:val="20"/>
                <w:lang w:eastAsia="es-CR"/>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4C9E9984" w14:textId="77777777" w:rsidR="00125C45" w:rsidRPr="00125C45" w:rsidRDefault="00125C45" w:rsidP="00125C45">
            <w:pPr>
              <w:spacing w:after="0" w:line="240" w:lineRule="auto"/>
              <w:rPr>
                <w:rFonts w:ascii="Book Antiqua" w:eastAsia="Times New Roman" w:hAnsi="Book Antiqua" w:cs="Calibri"/>
                <w:b/>
                <w:bCs/>
                <w:i/>
                <w:iCs/>
                <w:color w:val="FFFFFF"/>
                <w:sz w:val="20"/>
                <w:szCs w:val="20"/>
                <w:lang w:eastAsia="es-CR"/>
              </w:rPr>
            </w:pPr>
          </w:p>
        </w:tc>
        <w:tc>
          <w:tcPr>
            <w:tcW w:w="1200" w:type="dxa"/>
            <w:tcBorders>
              <w:top w:val="nil"/>
              <w:left w:val="nil"/>
              <w:bottom w:val="single" w:sz="4" w:space="0" w:color="auto"/>
              <w:right w:val="single" w:sz="4" w:space="0" w:color="auto"/>
            </w:tcBorders>
            <w:shd w:val="clear" w:color="000000" w:fill="002060"/>
            <w:vAlign w:val="center"/>
            <w:hideMark/>
          </w:tcPr>
          <w:p w14:paraId="7B742D7F" w14:textId="77777777"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Jueza o Juez</w:t>
            </w:r>
          </w:p>
        </w:tc>
        <w:tc>
          <w:tcPr>
            <w:tcW w:w="1200" w:type="dxa"/>
            <w:tcBorders>
              <w:top w:val="nil"/>
              <w:left w:val="nil"/>
              <w:bottom w:val="single" w:sz="4" w:space="0" w:color="auto"/>
              <w:right w:val="single" w:sz="4" w:space="0" w:color="auto"/>
            </w:tcBorders>
            <w:shd w:val="clear" w:color="000000" w:fill="002060"/>
            <w:vAlign w:val="center"/>
            <w:hideMark/>
          </w:tcPr>
          <w:p w14:paraId="33026B75" w14:textId="31D28A08" w:rsidR="00125C45" w:rsidRPr="00125C45" w:rsidRDefault="00125C45" w:rsidP="00125C45">
            <w:pPr>
              <w:spacing w:after="0" w:line="240" w:lineRule="auto"/>
              <w:jc w:val="center"/>
              <w:rPr>
                <w:rFonts w:ascii="Book Antiqua" w:eastAsia="Times New Roman" w:hAnsi="Book Antiqua" w:cs="Calibri"/>
                <w:b/>
                <w:bCs/>
                <w:i/>
                <w:iCs/>
                <w:color w:val="FFFFFF"/>
                <w:sz w:val="20"/>
                <w:szCs w:val="20"/>
                <w:lang w:eastAsia="es-CR"/>
              </w:rPr>
            </w:pPr>
            <w:r w:rsidRPr="00125C45">
              <w:rPr>
                <w:rFonts w:ascii="Book Antiqua" w:eastAsia="Times New Roman" w:hAnsi="Book Antiqua" w:cs="Calibri"/>
                <w:b/>
                <w:bCs/>
                <w:i/>
                <w:iCs/>
                <w:color w:val="FFFFFF"/>
                <w:sz w:val="20"/>
                <w:szCs w:val="20"/>
                <w:lang w:eastAsia="es-CR"/>
              </w:rPr>
              <w:t xml:space="preserve">Téc. Jud. </w:t>
            </w:r>
            <w:r w:rsidR="00E85731" w:rsidRPr="00125C45">
              <w:rPr>
                <w:rFonts w:ascii="Book Antiqua" w:eastAsia="Times New Roman" w:hAnsi="Book Antiqua" w:cs="Calibri"/>
                <w:b/>
                <w:bCs/>
                <w:i/>
                <w:iCs/>
                <w:color w:val="FFFFFF"/>
                <w:sz w:val="20"/>
                <w:szCs w:val="20"/>
                <w:lang w:eastAsia="es-CR"/>
              </w:rPr>
              <w:t>D</w:t>
            </w:r>
            <w:r w:rsidRPr="00125C45">
              <w:rPr>
                <w:rFonts w:ascii="Book Antiqua" w:eastAsia="Times New Roman" w:hAnsi="Book Antiqua" w:cs="Calibri"/>
                <w:b/>
                <w:bCs/>
                <w:i/>
                <w:iCs/>
                <w:color w:val="FFFFFF"/>
                <w:sz w:val="20"/>
                <w:szCs w:val="20"/>
                <w:lang w:eastAsia="es-CR"/>
              </w:rPr>
              <w:t>e trámite</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7EE126F7" w14:textId="77777777" w:rsidR="00125C45" w:rsidRPr="00125C45" w:rsidRDefault="00125C45" w:rsidP="00125C45">
            <w:pPr>
              <w:spacing w:after="0" w:line="240" w:lineRule="auto"/>
              <w:rPr>
                <w:rFonts w:ascii="Book Antiqua" w:eastAsia="Times New Roman" w:hAnsi="Book Antiqua" w:cs="Calibri"/>
                <w:b/>
                <w:bCs/>
                <w:i/>
                <w:iCs/>
                <w:color w:val="FFFFFF"/>
                <w:sz w:val="20"/>
                <w:szCs w:val="20"/>
                <w:lang w:eastAsia="es-CR"/>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1EA0CC2A" w14:textId="77777777" w:rsidR="00125C45" w:rsidRPr="00125C45" w:rsidRDefault="00125C45" w:rsidP="00125C45">
            <w:pPr>
              <w:spacing w:after="0" w:line="240" w:lineRule="auto"/>
              <w:rPr>
                <w:rFonts w:ascii="Book Antiqua" w:eastAsia="Times New Roman" w:hAnsi="Book Antiqua" w:cs="Calibri"/>
                <w:b/>
                <w:bCs/>
                <w:i/>
                <w:iCs/>
                <w:color w:val="FFFFFF"/>
                <w:sz w:val="20"/>
                <w:szCs w:val="20"/>
                <w:lang w:eastAsia="es-CR"/>
              </w:rPr>
            </w:pPr>
          </w:p>
        </w:tc>
      </w:tr>
      <w:tr w:rsidR="003673E3" w:rsidRPr="00125C45" w14:paraId="47477266" w14:textId="77777777" w:rsidTr="00125C45">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14:paraId="3E3FBAB0"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Juzgado Civil, Trabajo y Familia Buenos Aires*</w:t>
            </w:r>
          </w:p>
        </w:tc>
        <w:tc>
          <w:tcPr>
            <w:tcW w:w="1200" w:type="dxa"/>
            <w:tcBorders>
              <w:top w:val="nil"/>
              <w:left w:val="nil"/>
              <w:bottom w:val="single" w:sz="4" w:space="0" w:color="auto"/>
              <w:right w:val="single" w:sz="4" w:space="0" w:color="auto"/>
            </w:tcBorders>
            <w:shd w:val="clear" w:color="auto" w:fill="auto"/>
            <w:vAlign w:val="center"/>
            <w:hideMark/>
          </w:tcPr>
          <w:p w14:paraId="2DE9C170"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Civil</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AEB4CF"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5B6235"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2</w:t>
            </w:r>
          </w:p>
        </w:tc>
        <w:tc>
          <w:tcPr>
            <w:tcW w:w="1200" w:type="dxa"/>
            <w:tcBorders>
              <w:top w:val="nil"/>
              <w:left w:val="nil"/>
              <w:bottom w:val="single" w:sz="4" w:space="0" w:color="auto"/>
              <w:right w:val="single" w:sz="4" w:space="0" w:color="auto"/>
            </w:tcBorders>
            <w:shd w:val="clear" w:color="auto" w:fill="auto"/>
            <w:vAlign w:val="center"/>
            <w:hideMark/>
          </w:tcPr>
          <w:p w14:paraId="64D37294"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1EDF8430"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9</w:t>
            </w:r>
          </w:p>
        </w:tc>
      </w:tr>
      <w:tr w:rsidR="003673E3" w:rsidRPr="00125C45" w14:paraId="618E6920"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27FFC376"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19FA3DFE"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Trabajo</w:t>
            </w:r>
          </w:p>
        </w:tc>
        <w:tc>
          <w:tcPr>
            <w:tcW w:w="1200" w:type="dxa"/>
            <w:vMerge/>
            <w:tcBorders>
              <w:top w:val="nil"/>
              <w:left w:val="single" w:sz="4" w:space="0" w:color="auto"/>
              <w:bottom w:val="single" w:sz="4" w:space="0" w:color="auto"/>
              <w:right w:val="single" w:sz="4" w:space="0" w:color="auto"/>
            </w:tcBorders>
            <w:vAlign w:val="center"/>
            <w:hideMark/>
          </w:tcPr>
          <w:p w14:paraId="3028EEA0"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2D573031"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04E086E5"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34A3B06C"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w:t>
            </w:r>
          </w:p>
        </w:tc>
      </w:tr>
      <w:tr w:rsidR="003673E3" w:rsidRPr="00125C45" w14:paraId="6E9368F2"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3D98AB6B"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4F4EADC"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Agrario</w:t>
            </w:r>
          </w:p>
        </w:tc>
        <w:tc>
          <w:tcPr>
            <w:tcW w:w="1200" w:type="dxa"/>
            <w:vMerge/>
            <w:tcBorders>
              <w:top w:val="nil"/>
              <w:left w:val="single" w:sz="4" w:space="0" w:color="auto"/>
              <w:bottom w:val="single" w:sz="4" w:space="0" w:color="auto"/>
              <w:right w:val="single" w:sz="4" w:space="0" w:color="auto"/>
            </w:tcBorders>
            <w:vAlign w:val="center"/>
            <w:hideMark/>
          </w:tcPr>
          <w:p w14:paraId="62E2BC3B"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2F5C1A1F"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7B62E64F"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2A403164" w14:textId="77777777" w:rsidR="00134B6E"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w:t>
            </w:r>
            <w:r w:rsidR="00134B6E">
              <w:rPr>
                <w:rFonts w:ascii="Book Antiqua" w:eastAsia="Times New Roman" w:hAnsi="Book Antiqua" w:cs="Calibri"/>
                <w:i/>
                <w:iCs/>
                <w:color w:val="000000"/>
                <w:sz w:val="20"/>
                <w:szCs w:val="20"/>
                <w:lang w:eastAsia="es-CR"/>
              </w:rPr>
              <w:t xml:space="preserve"> </w:t>
            </w:r>
          </w:p>
          <w:p w14:paraId="1C2A56BE" w14:textId="2633BF57" w:rsidR="00125C45" w:rsidRPr="00125C45" w:rsidRDefault="00134B6E" w:rsidP="00125C45">
            <w:pPr>
              <w:spacing w:after="0" w:line="240" w:lineRule="auto"/>
              <w:jc w:val="center"/>
              <w:rPr>
                <w:rFonts w:ascii="Book Antiqua" w:eastAsia="Times New Roman" w:hAnsi="Book Antiqua" w:cs="Calibri"/>
                <w:i/>
                <w:iCs/>
                <w:color w:val="000000"/>
                <w:sz w:val="20"/>
                <w:szCs w:val="20"/>
                <w:lang w:eastAsia="es-CR"/>
              </w:rPr>
            </w:pPr>
            <w:r>
              <w:rPr>
                <w:rFonts w:ascii="Book Antiqua" w:eastAsia="Times New Roman" w:hAnsi="Book Antiqua" w:cs="Calibri"/>
                <w:i/>
                <w:iCs/>
                <w:color w:val="000000"/>
                <w:sz w:val="20"/>
                <w:szCs w:val="20"/>
                <w:lang w:eastAsia="es-CR"/>
              </w:rPr>
              <w:t>(50% de un despacho especializado)</w:t>
            </w:r>
          </w:p>
        </w:tc>
      </w:tr>
      <w:tr w:rsidR="003673E3" w:rsidRPr="00125C45" w14:paraId="38554DB1"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20FEE3A7"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6D704991"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Familia</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C33FF5"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w:t>
            </w:r>
          </w:p>
        </w:tc>
        <w:tc>
          <w:tcPr>
            <w:tcW w:w="1200" w:type="dxa"/>
            <w:vMerge/>
            <w:tcBorders>
              <w:top w:val="nil"/>
              <w:left w:val="single" w:sz="4" w:space="0" w:color="auto"/>
              <w:bottom w:val="single" w:sz="4" w:space="0" w:color="auto"/>
              <w:right w:val="single" w:sz="4" w:space="0" w:color="auto"/>
            </w:tcBorders>
            <w:vAlign w:val="center"/>
            <w:hideMark/>
          </w:tcPr>
          <w:p w14:paraId="68794C47"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10703B6E"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3CA49333"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24</w:t>
            </w:r>
          </w:p>
        </w:tc>
      </w:tr>
      <w:tr w:rsidR="003673E3" w:rsidRPr="00125C45" w14:paraId="68C254FE"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445B9736"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08C4D560"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Viol. Dom.</w:t>
            </w:r>
          </w:p>
        </w:tc>
        <w:tc>
          <w:tcPr>
            <w:tcW w:w="1200" w:type="dxa"/>
            <w:vMerge/>
            <w:tcBorders>
              <w:top w:val="nil"/>
              <w:left w:val="single" w:sz="4" w:space="0" w:color="auto"/>
              <w:bottom w:val="single" w:sz="4" w:space="0" w:color="auto"/>
              <w:right w:val="single" w:sz="4" w:space="0" w:color="auto"/>
            </w:tcBorders>
            <w:vAlign w:val="center"/>
            <w:hideMark/>
          </w:tcPr>
          <w:p w14:paraId="023A86CA"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1A51AEBB"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4AA8EA04"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4D268121"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48</w:t>
            </w:r>
          </w:p>
        </w:tc>
      </w:tr>
      <w:tr w:rsidR="003673E3" w:rsidRPr="00125C45" w14:paraId="12E84EB0" w14:textId="77777777" w:rsidTr="00125C45">
        <w:trPr>
          <w:trHeight w:val="530"/>
          <w:jc w:val="center"/>
        </w:trPr>
        <w:tc>
          <w:tcPr>
            <w:tcW w:w="1200" w:type="dxa"/>
            <w:vMerge/>
            <w:tcBorders>
              <w:top w:val="nil"/>
              <w:left w:val="single" w:sz="4" w:space="0" w:color="auto"/>
              <w:bottom w:val="single" w:sz="4" w:space="0" w:color="auto"/>
              <w:right w:val="single" w:sz="4" w:space="0" w:color="auto"/>
            </w:tcBorders>
            <w:vAlign w:val="center"/>
            <w:hideMark/>
          </w:tcPr>
          <w:p w14:paraId="57095E7C"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1D7A9E1B"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Penal Juvenil</w:t>
            </w:r>
          </w:p>
        </w:tc>
        <w:tc>
          <w:tcPr>
            <w:tcW w:w="1200" w:type="dxa"/>
            <w:vMerge/>
            <w:tcBorders>
              <w:top w:val="nil"/>
              <w:left w:val="single" w:sz="4" w:space="0" w:color="auto"/>
              <w:bottom w:val="single" w:sz="4" w:space="0" w:color="auto"/>
              <w:right w:val="single" w:sz="4" w:space="0" w:color="auto"/>
            </w:tcBorders>
            <w:vAlign w:val="center"/>
            <w:hideMark/>
          </w:tcPr>
          <w:p w14:paraId="04102A3C"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7B30EAA7"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1EA704FA"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0876AB7D"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8</w:t>
            </w:r>
          </w:p>
        </w:tc>
      </w:tr>
      <w:tr w:rsidR="003673E3" w:rsidRPr="00125C45" w14:paraId="2DB62555"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74F1BF4D"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7944D6C5"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Civil</w:t>
            </w:r>
          </w:p>
        </w:tc>
        <w:tc>
          <w:tcPr>
            <w:tcW w:w="1200" w:type="dxa"/>
            <w:vMerge/>
            <w:tcBorders>
              <w:top w:val="nil"/>
              <w:left w:val="single" w:sz="4" w:space="0" w:color="auto"/>
              <w:bottom w:val="single" w:sz="4" w:space="0" w:color="auto"/>
              <w:right w:val="single" w:sz="4" w:space="0" w:color="auto"/>
            </w:tcBorders>
            <w:vAlign w:val="center"/>
            <w:hideMark/>
          </w:tcPr>
          <w:p w14:paraId="60F02FB0"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796250F8"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4BC938B9"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0191EA27"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9</w:t>
            </w:r>
          </w:p>
        </w:tc>
      </w:tr>
      <w:tr w:rsidR="003673E3" w:rsidRPr="00125C45" w14:paraId="4DA74EC6" w14:textId="77777777" w:rsidTr="00125C4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3A94FE9C"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00F87BDF" w14:textId="77777777" w:rsidR="00125C45" w:rsidRPr="00125C45" w:rsidRDefault="00125C45" w:rsidP="00125C45">
            <w:pPr>
              <w:spacing w:after="0" w:line="240" w:lineRule="auto"/>
              <w:rPr>
                <w:rFonts w:ascii="Book Antiqua" w:eastAsia="Times New Roman" w:hAnsi="Book Antiqua" w:cs="Calibri"/>
                <w:b/>
                <w:bCs/>
                <w:i/>
                <w:iCs/>
                <w:color w:val="000000"/>
                <w:sz w:val="20"/>
                <w:szCs w:val="20"/>
                <w:lang w:eastAsia="es-CR"/>
              </w:rPr>
            </w:pPr>
            <w:r w:rsidRPr="00125C45">
              <w:rPr>
                <w:rFonts w:ascii="Book Antiqua" w:eastAsia="Times New Roman" w:hAnsi="Book Antiqua" w:cs="Calibri"/>
                <w:b/>
                <w:bCs/>
                <w:i/>
                <w:iCs/>
                <w:color w:val="000000"/>
                <w:sz w:val="20"/>
                <w:szCs w:val="20"/>
                <w:lang w:eastAsia="es-CR"/>
              </w:rPr>
              <w:t>Trabajo</w:t>
            </w:r>
          </w:p>
        </w:tc>
        <w:tc>
          <w:tcPr>
            <w:tcW w:w="1200" w:type="dxa"/>
            <w:vMerge/>
            <w:tcBorders>
              <w:top w:val="nil"/>
              <w:left w:val="single" w:sz="4" w:space="0" w:color="auto"/>
              <w:bottom w:val="single" w:sz="4" w:space="0" w:color="auto"/>
              <w:right w:val="single" w:sz="4" w:space="0" w:color="auto"/>
            </w:tcBorders>
            <w:vAlign w:val="center"/>
            <w:hideMark/>
          </w:tcPr>
          <w:p w14:paraId="57B4BB47"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4B818582" w14:textId="77777777" w:rsidR="00125C45" w:rsidRPr="00125C45" w:rsidRDefault="00125C45" w:rsidP="00125C45">
            <w:pPr>
              <w:spacing w:after="0" w:line="240" w:lineRule="auto"/>
              <w:rPr>
                <w:rFonts w:ascii="Book Antiqua" w:eastAsia="Times New Roman" w:hAnsi="Book Antiqua" w:cs="Calibri"/>
                <w:i/>
                <w:iCs/>
                <w:color w:val="000000"/>
                <w:sz w:val="20"/>
                <w:szCs w:val="20"/>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42EBB50D"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678D91FB" w14:textId="77777777" w:rsidR="00125C45" w:rsidRPr="00125C45" w:rsidRDefault="00125C45" w:rsidP="00125C45">
            <w:pPr>
              <w:spacing w:after="0" w:line="240" w:lineRule="auto"/>
              <w:jc w:val="center"/>
              <w:rPr>
                <w:rFonts w:ascii="Book Antiqua" w:eastAsia="Times New Roman" w:hAnsi="Book Antiqua" w:cs="Calibri"/>
                <w:i/>
                <w:iCs/>
                <w:color w:val="000000"/>
                <w:sz w:val="20"/>
                <w:szCs w:val="20"/>
                <w:lang w:eastAsia="es-CR"/>
              </w:rPr>
            </w:pPr>
            <w:r w:rsidRPr="00125C45">
              <w:rPr>
                <w:rFonts w:ascii="Book Antiqua" w:eastAsia="Times New Roman" w:hAnsi="Book Antiqua" w:cs="Calibri"/>
                <w:i/>
                <w:iCs/>
                <w:color w:val="000000"/>
                <w:sz w:val="20"/>
                <w:szCs w:val="20"/>
                <w:lang w:eastAsia="es-CR"/>
              </w:rPr>
              <w:t>10</w:t>
            </w:r>
          </w:p>
        </w:tc>
      </w:tr>
      <w:tr w:rsidR="00B117FE" w:rsidRPr="00125C45" w14:paraId="795D0EC2" w14:textId="77777777" w:rsidTr="00125C4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66A7B"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Total</w:t>
            </w:r>
          </w:p>
        </w:tc>
        <w:tc>
          <w:tcPr>
            <w:tcW w:w="1200" w:type="dxa"/>
            <w:tcBorders>
              <w:top w:val="nil"/>
              <w:left w:val="nil"/>
              <w:bottom w:val="single" w:sz="4" w:space="0" w:color="auto"/>
              <w:right w:val="single" w:sz="4" w:space="0" w:color="auto"/>
            </w:tcBorders>
            <w:shd w:val="clear" w:color="auto" w:fill="auto"/>
            <w:noWrap/>
            <w:vAlign w:val="bottom"/>
            <w:hideMark/>
          </w:tcPr>
          <w:p w14:paraId="22CFFB61"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128</w:t>
            </w:r>
          </w:p>
        </w:tc>
      </w:tr>
      <w:tr w:rsidR="00B117FE" w:rsidRPr="00125C45" w14:paraId="3B8FD9B5" w14:textId="77777777" w:rsidTr="00125C4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D20EAB"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Escenario con 2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63898E4F"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64</w:t>
            </w:r>
          </w:p>
        </w:tc>
      </w:tr>
      <w:tr w:rsidR="00B117FE" w:rsidRPr="00125C45" w14:paraId="51D0720C" w14:textId="77777777" w:rsidTr="00125C4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9C196D"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Escenario con 3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278856F2"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43</w:t>
            </w:r>
          </w:p>
        </w:tc>
      </w:tr>
      <w:tr w:rsidR="00B117FE" w:rsidRPr="00125C45" w14:paraId="557C2605" w14:textId="77777777" w:rsidTr="00125C4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D923CF" w14:textId="43BE7782" w:rsidR="00125C45" w:rsidRPr="00125C45" w:rsidRDefault="00D93993" w:rsidP="00125C45">
            <w:pPr>
              <w:spacing w:after="0" w:line="240" w:lineRule="auto"/>
              <w:jc w:val="center"/>
              <w:rPr>
                <w:rFonts w:ascii="Calibri" w:eastAsia="Times New Roman" w:hAnsi="Calibri" w:cs="Calibri"/>
                <w:i/>
                <w:iCs/>
                <w:color w:val="000000"/>
                <w:sz w:val="20"/>
                <w:szCs w:val="20"/>
                <w:lang w:eastAsia="es-CR"/>
              </w:rPr>
            </w:pPr>
            <w:r>
              <w:rPr>
                <w:rFonts w:ascii="Calibri" w:eastAsia="Times New Roman" w:hAnsi="Calibri" w:cs="Calibri"/>
                <w:i/>
                <w:iCs/>
                <w:color w:val="000000"/>
                <w:sz w:val="20"/>
                <w:szCs w:val="20"/>
                <w:lang w:eastAsia="es-CR"/>
              </w:rPr>
              <w:t xml:space="preserve">Escenario </w:t>
            </w:r>
            <w:r w:rsidR="00E12E12">
              <w:rPr>
                <w:rFonts w:ascii="Calibri" w:eastAsia="Times New Roman" w:hAnsi="Calibri" w:cs="Calibri"/>
                <w:i/>
                <w:iCs/>
                <w:color w:val="000000"/>
                <w:sz w:val="20"/>
                <w:szCs w:val="20"/>
                <w:lang w:eastAsia="es-CR"/>
              </w:rPr>
              <w:t>c</w:t>
            </w:r>
            <w:r w:rsidR="00125C45" w:rsidRPr="00125C45">
              <w:rPr>
                <w:rFonts w:ascii="Calibri" w:eastAsia="Times New Roman" w:hAnsi="Calibri" w:cs="Calibri"/>
                <w:i/>
                <w:iCs/>
                <w:color w:val="000000"/>
                <w:sz w:val="20"/>
                <w:szCs w:val="20"/>
                <w:lang w:eastAsia="es-CR"/>
              </w:rPr>
              <w:t>on 4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683F73DE" w14:textId="77777777" w:rsidR="00125C45" w:rsidRPr="00125C45" w:rsidRDefault="00125C45" w:rsidP="00125C45">
            <w:pPr>
              <w:spacing w:after="0" w:line="240" w:lineRule="auto"/>
              <w:jc w:val="center"/>
              <w:rPr>
                <w:rFonts w:ascii="Calibri" w:eastAsia="Times New Roman" w:hAnsi="Calibri" w:cs="Calibri"/>
                <w:i/>
                <w:iCs/>
                <w:color w:val="000000"/>
                <w:sz w:val="20"/>
                <w:szCs w:val="20"/>
                <w:lang w:eastAsia="es-CR"/>
              </w:rPr>
            </w:pPr>
            <w:r w:rsidRPr="00125C45">
              <w:rPr>
                <w:rFonts w:ascii="Calibri" w:eastAsia="Times New Roman" w:hAnsi="Calibri" w:cs="Calibri"/>
                <w:i/>
                <w:iCs/>
                <w:color w:val="000000"/>
                <w:sz w:val="20"/>
                <w:szCs w:val="20"/>
                <w:lang w:eastAsia="es-CR"/>
              </w:rPr>
              <w:t>32</w:t>
            </w:r>
          </w:p>
        </w:tc>
      </w:tr>
    </w:tbl>
    <w:p w14:paraId="683C8B62" w14:textId="69F8B27E" w:rsidR="00125C45" w:rsidRPr="001D0C10" w:rsidRDefault="00E12E12" w:rsidP="00770CA5">
      <w:pPr>
        <w:spacing w:after="0" w:line="276" w:lineRule="auto"/>
        <w:jc w:val="both"/>
        <w:rPr>
          <w:rFonts w:ascii="Book Antiqua" w:eastAsia="Calibri" w:hAnsi="Book Antiqua" w:cs="Arial"/>
          <w:i/>
          <w:iCs/>
          <w:sz w:val="20"/>
          <w:szCs w:val="20"/>
          <w:u w:val="single"/>
        </w:rPr>
      </w:pPr>
      <w:r>
        <w:rPr>
          <w:rFonts w:ascii="Book Antiqua" w:eastAsia="Calibri" w:hAnsi="Book Antiqua" w:cs="Arial"/>
          <w:sz w:val="24"/>
          <w:szCs w:val="24"/>
        </w:rPr>
        <w:t xml:space="preserve">             </w:t>
      </w:r>
      <w:r w:rsidRPr="001D0C10">
        <w:rPr>
          <w:rFonts w:ascii="Book Antiqua" w:eastAsia="Calibri" w:hAnsi="Book Antiqua" w:cs="Arial"/>
          <w:i/>
          <w:iCs/>
          <w:sz w:val="20"/>
          <w:szCs w:val="20"/>
          <w:u w:val="single"/>
        </w:rPr>
        <w:t>Fuente: Subproceso de Modernización Institucional.</w:t>
      </w:r>
    </w:p>
    <w:p w14:paraId="04E47CC5" w14:textId="77777777" w:rsidR="00E12E12" w:rsidRPr="001D0C10" w:rsidRDefault="00E12E12" w:rsidP="00770CA5">
      <w:pPr>
        <w:spacing w:after="0" w:line="276" w:lineRule="auto"/>
        <w:jc w:val="both"/>
        <w:rPr>
          <w:rFonts w:ascii="Book Antiqua" w:eastAsia="Calibri" w:hAnsi="Book Antiqua" w:cs="Arial"/>
          <w:i/>
          <w:iCs/>
          <w:sz w:val="20"/>
          <w:szCs w:val="20"/>
          <w:u w:val="single"/>
        </w:rPr>
      </w:pPr>
    </w:p>
    <w:p w14:paraId="559713BF" w14:textId="5C7D7DE6" w:rsidR="00F91104" w:rsidRDefault="00125C45"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se observa, en el caso de contar con 4 recurso de Trámite, se lograría cubrir la entrada y proveer el firmado suficiente para las 2 personas juzgadoras. Además, se debe recordar que en este Juzgado, la cuota se ve disminuida, en razón de las giras que realizan en materia Agraria, ya que todos los técnicos tramitan la materia. Debe considerarse que en un despacho especializado, la cuota es de 9-12 expedientes tramitados por día, en este Despacho, la entrada agraria justificaría 50% de la cuota de trabajo diario de una persona técnica. Es decir, que si por la entrada de agrario, ya eso me consume el 50% de la tramitación diaria + el restante 50% de la cuota estándar de 15 asuntos, estas plazas en Buenos Aires en promedio estarían en capacidad de pasar a firmar 5 asuntos agrario + </w:t>
      </w:r>
      <w:r w:rsidR="00F91104">
        <w:rPr>
          <w:rFonts w:ascii="Book Antiqua" w:eastAsia="Calibri" w:hAnsi="Book Antiqua" w:cs="Arial"/>
          <w:sz w:val="24"/>
          <w:szCs w:val="24"/>
        </w:rPr>
        <w:t xml:space="preserve">8 de las restantes materias=13 asuntos aproximadamente por día; eso en el caso de que no deban atender la manifestación.  </w:t>
      </w:r>
    </w:p>
    <w:p w14:paraId="4D157B5E" w14:textId="7356EA46" w:rsidR="00125C45" w:rsidRDefault="00F91104"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Por ello se considera necesario reforzar este Juzgados con 2 recursos adicionales de persona técnica judicial, en donde además como efecto positivo se “</w:t>
      </w:r>
      <w:r w:rsidRPr="001D0C10">
        <w:rPr>
          <w:rFonts w:ascii="Book Antiqua" w:eastAsia="Calibri" w:hAnsi="Book Antiqua" w:cs="Arial"/>
          <w:i/>
          <w:iCs/>
          <w:sz w:val="24"/>
          <w:szCs w:val="24"/>
        </w:rPr>
        <w:t>liberaría</w:t>
      </w:r>
      <w:r>
        <w:rPr>
          <w:rFonts w:ascii="Book Antiqua" w:eastAsia="Calibri" w:hAnsi="Book Antiqua" w:cs="Arial"/>
          <w:sz w:val="24"/>
          <w:szCs w:val="24"/>
        </w:rPr>
        <w:t xml:space="preserve">” la plaza supernumeraria de la Administración para que puedan utilizar y apoyar a otras oficinas del Circuito.  </w:t>
      </w:r>
      <w:r w:rsidR="00125C45">
        <w:rPr>
          <w:rFonts w:ascii="Book Antiqua" w:eastAsia="Calibri" w:hAnsi="Book Antiqua" w:cs="Arial"/>
          <w:sz w:val="24"/>
          <w:szCs w:val="24"/>
        </w:rPr>
        <w:t xml:space="preserve"> </w:t>
      </w:r>
    </w:p>
    <w:p w14:paraId="686671FE" w14:textId="5206EDA8" w:rsidR="00F91104" w:rsidRDefault="00F91104" w:rsidP="00770CA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Es importante considerar que esta zona atiende población indígena, en donde la atención de estos casos es prioritaria tanto por normativa internacional como por directrices institucionales, de ahí la importancia de que las personas que ocupen estos puestos tengan preferiblemente conocimiento en la “</w:t>
      </w:r>
      <w:r w:rsidRPr="001D0C10">
        <w:rPr>
          <w:rFonts w:ascii="Book Antiqua" w:eastAsia="Calibri" w:hAnsi="Book Antiqua" w:cs="Arial"/>
          <w:i/>
          <w:iCs/>
          <w:sz w:val="24"/>
          <w:szCs w:val="24"/>
        </w:rPr>
        <w:t>lengua o dialecto”</w:t>
      </w:r>
      <w:r>
        <w:rPr>
          <w:rFonts w:ascii="Book Antiqua" w:eastAsia="Calibri" w:hAnsi="Book Antiqua" w:cs="Arial"/>
          <w:sz w:val="24"/>
          <w:szCs w:val="24"/>
        </w:rPr>
        <w:t xml:space="preserve"> de la zona. </w:t>
      </w:r>
    </w:p>
    <w:p w14:paraId="5D44632E" w14:textId="76101D55" w:rsidR="00125C45" w:rsidRDefault="00125C45" w:rsidP="00770CA5">
      <w:pPr>
        <w:spacing w:after="0" w:line="276" w:lineRule="auto"/>
        <w:jc w:val="both"/>
        <w:rPr>
          <w:rFonts w:ascii="Book Antiqua" w:eastAsia="Calibri" w:hAnsi="Book Antiqua" w:cs="Arial"/>
          <w:sz w:val="24"/>
          <w:szCs w:val="24"/>
        </w:rPr>
      </w:pPr>
    </w:p>
    <w:p w14:paraId="4D33C937" w14:textId="56BB2E6D" w:rsidR="00F50DD3" w:rsidRDefault="00F50DD3" w:rsidP="00355630">
      <w:pPr>
        <w:spacing w:after="0" w:line="276" w:lineRule="auto"/>
        <w:jc w:val="both"/>
        <w:rPr>
          <w:rFonts w:ascii="Book Antiqua" w:eastAsia="Calibri" w:hAnsi="Book Antiqua" w:cs="Arial"/>
          <w:sz w:val="24"/>
          <w:szCs w:val="24"/>
        </w:rPr>
      </w:pPr>
    </w:p>
    <w:p w14:paraId="080BD6A0" w14:textId="0051D405" w:rsidR="00416648" w:rsidRPr="00416648" w:rsidRDefault="00416648" w:rsidP="0041664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16648">
        <w:rPr>
          <w:rFonts w:ascii="Book Antiqua" w:eastAsia="Calibri" w:hAnsi="Book Antiqua" w:cs="Arial"/>
          <w:b/>
          <w:bCs/>
          <w:color w:val="1F497D"/>
          <w:szCs w:val="24"/>
          <w:lang w:val="es-ES" w:eastAsia="es-ES"/>
        </w:rPr>
        <w:t xml:space="preserve">Cuadro </w:t>
      </w:r>
      <w:r w:rsidRPr="00416648">
        <w:rPr>
          <w:rFonts w:ascii="Book Antiqua" w:eastAsia="Calibri" w:hAnsi="Book Antiqua" w:cs="Arial"/>
          <w:b/>
          <w:bCs/>
          <w:color w:val="1F497D"/>
          <w:szCs w:val="24"/>
          <w:lang w:val="es-ES" w:eastAsia="es-ES"/>
        </w:rPr>
        <w:fldChar w:fldCharType="begin"/>
      </w:r>
      <w:r w:rsidRPr="00416648">
        <w:rPr>
          <w:rFonts w:ascii="Book Antiqua" w:eastAsia="Calibri" w:hAnsi="Book Antiqua" w:cs="Arial"/>
          <w:b/>
          <w:bCs/>
          <w:color w:val="1F497D"/>
          <w:szCs w:val="24"/>
          <w:lang w:val="es-ES" w:eastAsia="es-ES"/>
        </w:rPr>
        <w:instrText xml:space="preserve"> SEQ Cuadro \* ARABIC </w:instrText>
      </w:r>
      <w:r w:rsidRPr="00416648">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49</w:t>
      </w:r>
      <w:r w:rsidRPr="00416648">
        <w:rPr>
          <w:rFonts w:ascii="Book Antiqua" w:eastAsia="Calibri" w:hAnsi="Book Antiqua" w:cs="Arial"/>
          <w:b/>
          <w:bCs/>
          <w:color w:val="1F497D"/>
          <w:szCs w:val="24"/>
          <w:lang w:val="es-ES" w:eastAsia="es-ES"/>
        </w:rPr>
        <w:fldChar w:fldCharType="end"/>
      </w:r>
      <w:r w:rsidRPr="00416648">
        <w:rPr>
          <w:rFonts w:ascii="Book Antiqua" w:eastAsia="Calibri" w:hAnsi="Book Antiqua" w:cs="Arial"/>
          <w:b/>
          <w:bCs/>
          <w:color w:val="1F497D"/>
          <w:szCs w:val="24"/>
          <w:lang w:val="es-ES" w:eastAsia="es-ES"/>
        </w:rPr>
        <w:t xml:space="preserve"> </w:t>
      </w:r>
    </w:p>
    <w:p w14:paraId="49356588" w14:textId="77777777" w:rsidR="00416648" w:rsidRPr="00416648" w:rsidRDefault="00416648" w:rsidP="0041664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16648">
        <w:rPr>
          <w:rFonts w:ascii="Book Antiqua" w:eastAsia="Calibri" w:hAnsi="Book Antiqua" w:cs="Arial"/>
          <w:b/>
          <w:bCs/>
          <w:color w:val="1F497D"/>
          <w:szCs w:val="24"/>
          <w:lang w:val="es-ES" w:eastAsia="es-ES"/>
        </w:rPr>
        <w:t>Estructura propuesta Juzgado Civil, Trabajo y Familia de Buenos Aires</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8"/>
        <w:gridCol w:w="3111"/>
        <w:gridCol w:w="3891"/>
      </w:tblGrid>
      <w:tr w:rsidR="00416648" w:rsidRPr="00416648" w14:paraId="2AAD78A4" w14:textId="77777777" w:rsidTr="001D0C10">
        <w:trPr>
          <w:trHeight w:val="959"/>
          <w:tblHeader/>
          <w:jc w:val="center"/>
        </w:trPr>
        <w:tc>
          <w:tcPr>
            <w:tcW w:w="1106" w:type="pct"/>
            <w:shd w:val="clear" w:color="auto" w:fill="002060"/>
            <w:vAlign w:val="center"/>
          </w:tcPr>
          <w:p w14:paraId="26C73204" w14:textId="77777777" w:rsidR="00416648" w:rsidRPr="00416648" w:rsidRDefault="00416648" w:rsidP="00416648">
            <w:pPr>
              <w:spacing w:after="0" w:line="276" w:lineRule="auto"/>
              <w:jc w:val="center"/>
              <w:rPr>
                <w:rFonts w:ascii="Book Antiqua" w:eastAsia="Calibri" w:hAnsi="Book Antiqua" w:cs="Arial"/>
                <w:b/>
                <w:bCs/>
                <w:color w:val="FFFFFF"/>
              </w:rPr>
            </w:pPr>
            <w:r w:rsidRPr="00416648">
              <w:rPr>
                <w:rFonts w:ascii="Book Antiqua" w:eastAsia="Calibri" w:hAnsi="Book Antiqua" w:cs="Arial"/>
                <w:b/>
                <w:bCs/>
                <w:color w:val="FFFFFF"/>
              </w:rPr>
              <w:t>Juzgado Mixto</w:t>
            </w:r>
          </w:p>
        </w:tc>
        <w:tc>
          <w:tcPr>
            <w:tcW w:w="1730" w:type="pct"/>
            <w:shd w:val="clear" w:color="auto" w:fill="002060"/>
            <w:vAlign w:val="center"/>
          </w:tcPr>
          <w:p w14:paraId="42D68564" w14:textId="77777777" w:rsidR="00416648" w:rsidRPr="00416648" w:rsidRDefault="00416648" w:rsidP="00416648">
            <w:pPr>
              <w:spacing w:after="0" w:line="276" w:lineRule="auto"/>
              <w:jc w:val="center"/>
              <w:rPr>
                <w:rFonts w:ascii="Book Antiqua" w:eastAsia="Calibri" w:hAnsi="Book Antiqua" w:cs="Arial"/>
                <w:b/>
                <w:bCs/>
                <w:color w:val="FFFFFF"/>
              </w:rPr>
            </w:pPr>
            <w:r w:rsidRPr="00416648">
              <w:rPr>
                <w:rFonts w:ascii="Book Antiqua" w:eastAsia="Calibri" w:hAnsi="Book Antiqua" w:cs="Arial"/>
                <w:b/>
                <w:bCs/>
                <w:color w:val="FFFFFF"/>
              </w:rPr>
              <w:t>Estructura orgánica funcional actual del despacho</w:t>
            </w:r>
          </w:p>
        </w:tc>
        <w:tc>
          <w:tcPr>
            <w:tcW w:w="2165" w:type="pct"/>
            <w:shd w:val="clear" w:color="auto" w:fill="002060"/>
            <w:vAlign w:val="center"/>
          </w:tcPr>
          <w:p w14:paraId="3AC8212C" w14:textId="77777777" w:rsidR="00416648" w:rsidRPr="00416648" w:rsidRDefault="00416648" w:rsidP="00416648">
            <w:pPr>
              <w:spacing w:after="0" w:line="276" w:lineRule="auto"/>
              <w:jc w:val="center"/>
              <w:rPr>
                <w:rFonts w:ascii="Book Antiqua" w:eastAsia="Calibri" w:hAnsi="Book Antiqua" w:cs="Arial"/>
                <w:b/>
                <w:color w:val="FFFFFF"/>
              </w:rPr>
            </w:pPr>
            <w:r w:rsidRPr="00416648">
              <w:rPr>
                <w:rFonts w:ascii="Book Antiqua" w:eastAsia="Calibri" w:hAnsi="Book Antiqua" w:cs="Arial"/>
                <w:b/>
                <w:color w:val="FFFFFF"/>
              </w:rPr>
              <w:t>Estructura Propuesta</w:t>
            </w:r>
          </w:p>
        </w:tc>
      </w:tr>
      <w:tr w:rsidR="00416648" w:rsidRPr="00416648" w14:paraId="268416B7" w14:textId="77777777" w:rsidTr="001D0C10">
        <w:trPr>
          <w:trHeight w:val="1326"/>
          <w:jc w:val="center"/>
        </w:trPr>
        <w:tc>
          <w:tcPr>
            <w:tcW w:w="1106" w:type="pct"/>
            <w:shd w:val="clear" w:color="auto" w:fill="auto"/>
            <w:vAlign w:val="center"/>
          </w:tcPr>
          <w:p w14:paraId="5BF9F562"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Juzgado Civil, Trabajo y Familia de Buenos Aires</w:t>
            </w:r>
          </w:p>
        </w:tc>
        <w:tc>
          <w:tcPr>
            <w:tcW w:w="1730" w:type="pct"/>
            <w:shd w:val="clear" w:color="auto" w:fill="auto"/>
            <w:vAlign w:val="center"/>
          </w:tcPr>
          <w:p w14:paraId="1F478739"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2 Juezas/ces 3</w:t>
            </w:r>
          </w:p>
          <w:p w14:paraId="161B4849"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1 Coordinadora/or Judicial 2</w:t>
            </w:r>
          </w:p>
          <w:p w14:paraId="2FB0E34D"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3 Técnicas/os Judiciales 2</w:t>
            </w:r>
          </w:p>
        </w:tc>
        <w:tc>
          <w:tcPr>
            <w:tcW w:w="2165" w:type="pct"/>
            <w:vAlign w:val="center"/>
          </w:tcPr>
          <w:p w14:paraId="300CBF17"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2 Juezas/ces 3</w:t>
            </w:r>
          </w:p>
          <w:p w14:paraId="740B9F15" w14:textId="77777777" w:rsidR="00416648" w:rsidRPr="00416648" w:rsidRDefault="00416648" w:rsidP="00416648">
            <w:pPr>
              <w:spacing w:after="0" w:line="276" w:lineRule="auto"/>
              <w:jc w:val="both"/>
              <w:rPr>
                <w:rFonts w:ascii="Book Antiqua" w:eastAsia="Calibri" w:hAnsi="Book Antiqua" w:cs="Arial"/>
              </w:rPr>
            </w:pPr>
            <w:r w:rsidRPr="00416648">
              <w:rPr>
                <w:rFonts w:ascii="Book Antiqua" w:eastAsia="Calibri" w:hAnsi="Book Antiqua" w:cs="Arial"/>
              </w:rPr>
              <w:t>1 Coordinadora/or Judicial 2</w:t>
            </w:r>
          </w:p>
          <w:p w14:paraId="7CE2DEA3" w14:textId="597C7E57" w:rsidR="00416648" w:rsidRPr="00416648" w:rsidRDefault="00F84B4E" w:rsidP="00416648">
            <w:pPr>
              <w:spacing w:after="0" w:line="276" w:lineRule="auto"/>
              <w:jc w:val="both"/>
              <w:rPr>
                <w:rFonts w:ascii="Book Antiqua" w:eastAsia="Calibri" w:hAnsi="Book Antiqua" w:cs="Arial"/>
              </w:rPr>
            </w:pPr>
            <w:r>
              <w:rPr>
                <w:rFonts w:ascii="Book Antiqua" w:eastAsia="Calibri" w:hAnsi="Book Antiqua" w:cs="Arial"/>
              </w:rPr>
              <w:t>5</w:t>
            </w:r>
            <w:r w:rsidR="00416648" w:rsidRPr="00416648">
              <w:rPr>
                <w:rFonts w:ascii="Book Antiqua" w:eastAsia="Calibri" w:hAnsi="Book Antiqua" w:cs="Arial"/>
              </w:rPr>
              <w:t xml:space="preserve"> Técnicas/os Judiciales 2 (</w:t>
            </w:r>
            <w:r w:rsidR="00416648" w:rsidRPr="00416648">
              <w:rPr>
                <w:rFonts w:ascii="Book Antiqua" w:eastAsia="Calibri" w:hAnsi="Book Antiqua" w:cs="Arial"/>
                <w:i/>
              </w:rPr>
              <w:t xml:space="preserve">debe </w:t>
            </w:r>
            <w:r w:rsidR="00416648" w:rsidRPr="00416648">
              <w:rPr>
                <w:rFonts w:ascii="Book Antiqua" w:eastAsia="Calibri" w:hAnsi="Book Antiqua" w:cs="Arial"/>
                <w:i/>
                <w:iCs/>
              </w:rPr>
              <w:t>crearse</w:t>
            </w:r>
            <w:r w:rsidR="00416648" w:rsidRPr="00416648">
              <w:rPr>
                <w:rFonts w:ascii="Book Antiqua" w:eastAsia="Calibri" w:hAnsi="Book Antiqua" w:cs="Arial"/>
                <w:i/>
              </w:rPr>
              <w:t xml:space="preserve"> una plaza </w:t>
            </w:r>
            <w:r w:rsidR="00416648" w:rsidRPr="00416648">
              <w:rPr>
                <w:rFonts w:ascii="Book Antiqua" w:eastAsia="Calibri" w:hAnsi="Book Antiqua" w:cs="Arial"/>
                <w:i/>
                <w:iCs/>
              </w:rPr>
              <w:t>de técnica o técnico judicial 2</w:t>
            </w:r>
            <w:r w:rsidR="00416648" w:rsidRPr="00416648">
              <w:rPr>
                <w:rFonts w:ascii="Book Antiqua" w:eastAsia="Calibri" w:hAnsi="Book Antiqua" w:cs="Arial"/>
              </w:rPr>
              <w:t>)</w:t>
            </w:r>
          </w:p>
        </w:tc>
      </w:tr>
    </w:tbl>
    <w:p w14:paraId="65F0F791" w14:textId="4BF7FFC9" w:rsidR="00F50DD3" w:rsidRPr="00416648" w:rsidRDefault="00416648" w:rsidP="00416648">
      <w:pPr>
        <w:spacing w:after="0" w:line="276" w:lineRule="auto"/>
        <w:rPr>
          <w:rFonts w:ascii="Book Antiqua" w:eastAsia="Calibri" w:hAnsi="Book Antiqua" w:cs="Arial"/>
          <w:i/>
          <w:iCs/>
        </w:rPr>
      </w:pPr>
      <w:r w:rsidRPr="00416648">
        <w:rPr>
          <w:rFonts w:ascii="Book Antiqua" w:eastAsia="Calibri" w:hAnsi="Book Antiqua" w:cs="Arial"/>
          <w:i/>
          <w:iCs/>
        </w:rPr>
        <w:t>Fuente: Modernización Institucional.</w:t>
      </w:r>
    </w:p>
    <w:p w14:paraId="567C7B5A" w14:textId="009507DC" w:rsidR="00F50DD3" w:rsidRDefault="00F50DD3" w:rsidP="00355630">
      <w:pPr>
        <w:spacing w:after="0" w:line="276" w:lineRule="auto"/>
        <w:jc w:val="both"/>
        <w:rPr>
          <w:rFonts w:ascii="Book Antiqua" w:eastAsia="Calibri" w:hAnsi="Book Antiqua" w:cs="Arial"/>
          <w:sz w:val="24"/>
          <w:szCs w:val="24"/>
        </w:rPr>
      </w:pPr>
    </w:p>
    <w:p w14:paraId="69AA0FA6" w14:textId="1807BF1A" w:rsidR="00F84B4E" w:rsidRDefault="00416648" w:rsidP="00416648">
      <w:pPr>
        <w:spacing w:after="0" w:line="276" w:lineRule="auto"/>
        <w:jc w:val="both"/>
        <w:rPr>
          <w:rFonts w:ascii="Book Antiqua" w:eastAsia="Calibri" w:hAnsi="Book Antiqua" w:cs="Arial"/>
          <w:sz w:val="24"/>
          <w:szCs w:val="24"/>
        </w:rPr>
      </w:pPr>
      <w:r w:rsidRPr="00416648">
        <w:rPr>
          <w:rFonts w:ascii="Book Antiqua" w:eastAsia="Calibri" w:hAnsi="Book Antiqua" w:cs="Arial"/>
          <w:sz w:val="24"/>
          <w:szCs w:val="24"/>
        </w:rPr>
        <w:t>La propuesta en el Juzgado Civil, Trabajo y Familia de Buenos Aires</w:t>
      </w:r>
      <w:r w:rsidRPr="00416648" w:rsidDel="00404D47">
        <w:rPr>
          <w:rFonts w:ascii="Book Antiqua" w:eastAsia="Calibri" w:hAnsi="Book Antiqua" w:cs="Arial"/>
          <w:sz w:val="24"/>
          <w:szCs w:val="24"/>
        </w:rPr>
        <w:t xml:space="preserve"> </w:t>
      </w:r>
      <w:r w:rsidRPr="00416648">
        <w:rPr>
          <w:rFonts w:ascii="Book Antiqua" w:eastAsia="Calibri" w:hAnsi="Book Antiqua" w:cs="Arial"/>
          <w:sz w:val="24"/>
          <w:szCs w:val="24"/>
        </w:rPr>
        <w:t xml:space="preserve">conlleva la creación de </w:t>
      </w:r>
      <w:r w:rsidR="00F84B4E">
        <w:rPr>
          <w:rFonts w:ascii="Book Antiqua" w:eastAsia="Calibri" w:hAnsi="Book Antiqua" w:cs="Arial"/>
          <w:sz w:val="24"/>
          <w:szCs w:val="24"/>
        </w:rPr>
        <w:t>dos</w:t>
      </w:r>
      <w:r w:rsidR="00F84B4E" w:rsidRPr="00416648">
        <w:rPr>
          <w:rFonts w:ascii="Book Antiqua" w:eastAsia="Calibri" w:hAnsi="Book Antiqua" w:cs="Arial"/>
          <w:sz w:val="24"/>
          <w:szCs w:val="24"/>
        </w:rPr>
        <w:t xml:space="preserve"> </w:t>
      </w:r>
      <w:r w:rsidRPr="00416648">
        <w:rPr>
          <w:rFonts w:ascii="Book Antiqua" w:eastAsia="Calibri" w:hAnsi="Book Antiqua" w:cs="Arial"/>
          <w:sz w:val="24"/>
          <w:szCs w:val="24"/>
        </w:rPr>
        <w:t>plaza</w:t>
      </w:r>
      <w:r w:rsidR="00F84B4E">
        <w:rPr>
          <w:rFonts w:ascii="Book Antiqua" w:eastAsia="Calibri" w:hAnsi="Book Antiqua" w:cs="Arial"/>
          <w:sz w:val="24"/>
          <w:szCs w:val="24"/>
        </w:rPr>
        <w:t>s</w:t>
      </w:r>
      <w:r w:rsidRPr="00416648">
        <w:rPr>
          <w:rFonts w:ascii="Book Antiqua" w:eastAsia="Calibri" w:hAnsi="Book Antiqua" w:cs="Arial"/>
          <w:sz w:val="24"/>
          <w:szCs w:val="24"/>
        </w:rPr>
        <w:t xml:space="preserve"> extraordinaria</w:t>
      </w:r>
      <w:r w:rsidR="00F84B4E">
        <w:rPr>
          <w:rFonts w:ascii="Book Antiqua" w:eastAsia="Calibri" w:hAnsi="Book Antiqua" w:cs="Arial"/>
          <w:sz w:val="24"/>
          <w:szCs w:val="24"/>
        </w:rPr>
        <w:t>s</w:t>
      </w:r>
      <w:r w:rsidRPr="00416648">
        <w:rPr>
          <w:rFonts w:ascii="Book Antiqua" w:eastAsia="Calibri" w:hAnsi="Book Antiqua" w:cs="Arial"/>
          <w:sz w:val="24"/>
          <w:szCs w:val="24"/>
        </w:rPr>
        <w:t xml:space="preserve"> de Técnico Judicial 2 en 202</w:t>
      </w:r>
      <w:r>
        <w:rPr>
          <w:rFonts w:ascii="Book Antiqua" w:eastAsia="Calibri" w:hAnsi="Book Antiqua" w:cs="Arial"/>
          <w:sz w:val="24"/>
          <w:szCs w:val="24"/>
        </w:rPr>
        <w:t>3</w:t>
      </w:r>
      <w:r w:rsidRPr="00416648">
        <w:rPr>
          <w:rFonts w:ascii="Book Antiqua" w:eastAsia="Calibri" w:hAnsi="Book Antiqua" w:cs="Arial"/>
          <w:sz w:val="24"/>
          <w:szCs w:val="24"/>
        </w:rPr>
        <w:t xml:space="preserve"> para completar la estructura de trabajo de este despacho,</w:t>
      </w:r>
      <w:r w:rsidR="00F84B4E">
        <w:rPr>
          <w:rFonts w:ascii="Book Antiqua" w:eastAsia="Calibri" w:hAnsi="Book Antiqua" w:cs="Arial"/>
          <w:sz w:val="24"/>
          <w:szCs w:val="24"/>
        </w:rPr>
        <w:t xml:space="preserve"> sin embar</w:t>
      </w:r>
      <w:r w:rsidR="00F91104">
        <w:rPr>
          <w:rFonts w:ascii="Book Antiqua" w:eastAsia="Calibri" w:hAnsi="Book Antiqua" w:cs="Arial"/>
          <w:sz w:val="24"/>
          <w:szCs w:val="24"/>
        </w:rPr>
        <w:t>g</w:t>
      </w:r>
      <w:r w:rsidR="00F84B4E">
        <w:rPr>
          <w:rFonts w:ascii="Book Antiqua" w:eastAsia="Calibri" w:hAnsi="Book Antiqua" w:cs="Arial"/>
          <w:sz w:val="24"/>
          <w:szCs w:val="24"/>
        </w:rPr>
        <w:t>o, siendo que este despacho es competente en materia Agraria, que implica una cuota reducida para este técnico judicial por las giras y audiencias que se realizan en el campo, se con</w:t>
      </w:r>
      <w:r w:rsidR="00214295">
        <w:rPr>
          <w:rFonts w:ascii="Book Antiqua" w:eastAsia="Calibri" w:hAnsi="Book Antiqua" w:cs="Arial"/>
          <w:sz w:val="24"/>
          <w:szCs w:val="24"/>
        </w:rPr>
        <w:t>si</w:t>
      </w:r>
      <w:r w:rsidR="00F84B4E">
        <w:rPr>
          <w:rFonts w:ascii="Book Antiqua" w:eastAsia="Calibri" w:hAnsi="Book Antiqua" w:cs="Arial"/>
          <w:sz w:val="24"/>
          <w:szCs w:val="24"/>
        </w:rPr>
        <w:t>dera necesario que los recurso</w:t>
      </w:r>
      <w:r w:rsidR="00F91104">
        <w:rPr>
          <w:rFonts w:ascii="Book Antiqua" w:eastAsia="Calibri" w:hAnsi="Book Antiqua" w:cs="Arial"/>
          <w:sz w:val="24"/>
          <w:szCs w:val="24"/>
        </w:rPr>
        <w:t>s</w:t>
      </w:r>
      <w:r w:rsidR="00F84B4E">
        <w:rPr>
          <w:rFonts w:ascii="Book Antiqua" w:eastAsia="Calibri" w:hAnsi="Book Antiqua" w:cs="Arial"/>
          <w:sz w:val="24"/>
          <w:szCs w:val="24"/>
        </w:rPr>
        <w:t xml:space="preserve"> los otorguen tanto en el informe de impacto de la implementación del Código Procesal de Familia, como del Código Procesal Agrario. </w:t>
      </w:r>
    </w:p>
    <w:p w14:paraId="325BBA5B" w14:textId="77777777" w:rsidR="00F84B4E" w:rsidRDefault="00F84B4E" w:rsidP="00416648">
      <w:pPr>
        <w:spacing w:after="0" w:line="276" w:lineRule="auto"/>
        <w:jc w:val="both"/>
        <w:rPr>
          <w:rFonts w:ascii="Book Antiqua" w:eastAsia="Calibri" w:hAnsi="Book Antiqua" w:cs="Arial"/>
          <w:sz w:val="24"/>
          <w:szCs w:val="24"/>
        </w:rPr>
      </w:pPr>
    </w:p>
    <w:p w14:paraId="56B40E31" w14:textId="04D12594" w:rsidR="00416648" w:rsidRDefault="00F84B4E" w:rsidP="00416648">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siguiente cuadro se calcula el </w:t>
      </w:r>
      <w:r w:rsidR="00416648" w:rsidRPr="00416648">
        <w:rPr>
          <w:rFonts w:ascii="Book Antiqua" w:eastAsia="Calibri" w:hAnsi="Book Antiqua" w:cs="Arial"/>
          <w:sz w:val="24"/>
          <w:szCs w:val="24"/>
        </w:rPr>
        <w:t xml:space="preserve">impacto económico </w:t>
      </w:r>
      <w:r>
        <w:rPr>
          <w:rFonts w:ascii="Book Antiqua" w:eastAsia="Calibri" w:hAnsi="Book Antiqua" w:cs="Arial"/>
          <w:sz w:val="24"/>
          <w:szCs w:val="24"/>
        </w:rPr>
        <w:t xml:space="preserve">de la creación de un recurso de persona técnica judicial categoría: </w:t>
      </w:r>
      <w:r w:rsidR="00416648" w:rsidRPr="00416648">
        <w:rPr>
          <w:rFonts w:ascii="Book Antiqua" w:eastAsia="Calibri" w:hAnsi="Book Antiqua" w:cs="Arial"/>
          <w:sz w:val="24"/>
          <w:szCs w:val="24"/>
        </w:rPr>
        <w:t xml:space="preserve"> </w:t>
      </w:r>
    </w:p>
    <w:p w14:paraId="0290E886" w14:textId="77777777" w:rsidR="00A13E7D" w:rsidRDefault="00A13E7D" w:rsidP="00416648">
      <w:pPr>
        <w:spacing w:after="0" w:line="276" w:lineRule="auto"/>
        <w:jc w:val="both"/>
        <w:rPr>
          <w:rFonts w:ascii="Book Antiqua" w:eastAsia="Calibri" w:hAnsi="Book Antiqua" w:cs="Arial"/>
          <w:sz w:val="24"/>
          <w:szCs w:val="24"/>
        </w:rPr>
      </w:pPr>
    </w:p>
    <w:p w14:paraId="7AD711CA" w14:textId="5E3F67B5" w:rsidR="00416648" w:rsidRPr="00416648" w:rsidRDefault="00416648" w:rsidP="0041664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16648">
        <w:rPr>
          <w:rFonts w:ascii="Book Antiqua" w:eastAsia="Calibri" w:hAnsi="Book Antiqua" w:cs="Arial"/>
          <w:b/>
          <w:bCs/>
          <w:color w:val="1F497D"/>
          <w:szCs w:val="24"/>
          <w:lang w:val="es-ES" w:eastAsia="es-ES"/>
        </w:rPr>
        <w:lastRenderedPageBreak/>
        <w:t xml:space="preserve">Cuadro </w:t>
      </w:r>
      <w:r w:rsidRPr="00416648">
        <w:rPr>
          <w:rFonts w:ascii="Book Antiqua" w:eastAsia="Calibri" w:hAnsi="Book Antiqua" w:cs="Arial"/>
          <w:b/>
          <w:bCs/>
          <w:color w:val="1F497D"/>
          <w:szCs w:val="24"/>
          <w:lang w:val="es-ES" w:eastAsia="es-ES"/>
        </w:rPr>
        <w:fldChar w:fldCharType="begin"/>
      </w:r>
      <w:r w:rsidRPr="00416648">
        <w:rPr>
          <w:rFonts w:ascii="Book Antiqua" w:eastAsia="Calibri" w:hAnsi="Book Antiqua" w:cs="Arial"/>
          <w:b/>
          <w:bCs/>
          <w:color w:val="1F497D"/>
          <w:szCs w:val="24"/>
          <w:lang w:val="es-ES" w:eastAsia="es-ES"/>
        </w:rPr>
        <w:instrText xml:space="preserve"> SEQ Cuadro \* ARABIC </w:instrText>
      </w:r>
      <w:r w:rsidRPr="00416648">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50</w:t>
      </w:r>
      <w:r w:rsidRPr="00416648">
        <w:rPr>
          <w:rFonts w:ascii="Book Antiqua" w:eastAsia="Calibri" w:hAnsi="Book Antiqua" w:cs="Arial"/>
          <w:b/>
          <w:bCs/>
          <w:color w:val="1F497D"/>
          <w:szCs w:val="24"/>
          <w:lang w:val="es-ES" w:eastAsia="es-ES"/>
        </w:rPr>
        <w:fldChar w:fldCharType="end"/>
      </w:r>
      <w:r w:rsidRPr="00416648">
        <w:rPr>
          <w:rFonts w:ascii="Book Antiqua" w:eastAsia="Calibri" w:hAnsi="Book Antiqua" w:cs="Arial"/>
          <w:b/>
          <w:bCs/>
          <w:color w:val="1F497D"/>
          <w:szCs w:val="24"/>
          <w:lang w:val="es-ES" w:eastAsia="es-ES"/>
        </w:rPr>
        <w:t xml:space="preserve"> </w:t>
      </w:r>
    </w:p>
    <w:p w14:paraId="27D27D14" w14:textId="77777777" w:rsidR="00416648" w:rsidRPr="00416648" w:rsidRDefault="00416648" w:rsidP="0041664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16648">
        <w:rPr>
          <w:rFonts w:ascii="Book Antiqua" w:eastAsia="Calibri" w:hAnsi="Book Antiqua" w:cs="Arial"/>
          <w:b/>
          <w:bCs/>
          <w:color w:val="1F497D"/>
          <w:szCs w:val="24"/>
          <w:lang w:val="es-ES" w:eastAsia="es-ES"/>
        </w:rPr>
        <w:t>Costo de estructura propuesta Juzgado Civil, Trabajo y Familia de Buenos Aires</w:t>
      </w:r>
    </w:p>
    <w:tbl>
      <w:tblPr>
        <w:tblW w:w="4990" w:type="pct"/>
        <w:tblCellMar>
          <w:left w:w="70" w:type="dxa"/>
          <w:right w:w="70" w:type="dxa"/>
        </w:tblCellMar>
        <w:tblLook w:val="04A0" w:firstRow="1" w:lastRow="0" w:firstColumn="1" w:lastColumn="0" w:noHBand="0" w:noVBand="1"/>
      </w:tblPr>
      <w:tblGrid>
        <w:gridCol w:w="2523"/>
        <w:gridCol w:w="1657"/>
        <w:gridCol w:w="1601"/>
        <w:gridCol w:w="3034"/>
      </w:tblGrid>
      <w:tr w:rsidR="00416648" w:rsidRPr="00416648" w14:paraId="2686B363" w14:textId="77777777" w:rsidTr="00306313">
        <w:trPr>
          <w:cantSplit/>
          <w:trHeight w:val="664"/>
          <w:tblHeader/>
        </w:trPr>
        <w:tc>
          <w:tcPr>
            <w:tcW w:w="1431" w:type="pct"/>
            <w:tcBorders>
              <w:bottom w:val="single" w:sz="4" w:space="0" w:color="auto"/>
              <w:right w:val="single" w:sz="4" w:space="0" w:color="auto"/>
            </w:tcBorders>
            <w:shd w:val="clear" w:color="auto" w:fill="auto"/>
            <w:vAlign w:val="bottom"/>
            <w:hideMark/>
          </w:tcPr>
          <w:p w14:paraId="361E7ED9" w14:textId="77777777" w:rsidR="00416648" w:rsidRPr="00416648" w:rsidRDefault="00416648" w:rsidP="00416648">
            <w:pPr>
              <w:spacing w:after="0" w:line="276" w:lineRule="auto"/>
              <w:rPr>
                <w:rFonts w:ascii="Book Antiqua" w:eastAsia="Times New Roman" w:hAnsi="Book Antiqua" w:cs="Times New Roman"/>
                <w:color w:val="000000"/>
                <w:lang w:eastAsia="es-CR"/>
              </w:rPr>
            </w:pPr>
          </w:p>
        </w:tc>
        <w:tc>
          <w:tcPr>
            <w:tcW w:w="940" w:type="pct"/>
            <w:tcBorders>
              <w:top w:val="single" w:sz="4" w:space="0" w:color="auto"/>
              <w:left w:val="nil"/>
              <w:bottom w:val="single" w:sz="4" w:space="0" w:color="auto"/>
              <w:right w:val="single" w:sz="4" w:space="0" w:color="auto"/>
            </w:tcBorders>
            <w:shd w:val="clear" w:color="000000" w:fill="002060"/>
            <w:vAlign w:val="center"/>
            <w:hideMark/>
          </w:tcPr>
          <w:p w14:paraId="4AF52ABD" w14:textId="77777777" w:rsidR="00416648" w:rsidRPr="00416648" w:rsidRDefault="00416648" w:rsidP="00416648">
            <w:pPr>
              <w:spacing w:after="0" w:line="276" w:lineRule="auto"/>
              <w:jc w:val="center"/>
              <w:rPr>
                <w:rFonts w:ascii="Book Antiqua" w:eastAsia="Times New Roman" w:hAnsi="Book Antiqua" w:cs="Times New Roman"/>
                <w:b/>
                <w:bCs/>
                <w:color w:val="FFFFFF"/>
                <w:lang w:eastAsia="es-CR"/>
              </w:rPr>
            </w:pPr>
            <w:r w:rsidRPr="00416648">
              <w:rPr>
                <w:rFonts w:ascii="Book Antiqua" w:eastAsia="Times New Roman" w:hAnsi="Book Antiqua" w:cs="Times New Roman"/>
                <w:b/>
                <w:bCs/>
                <w:color w:val="FFFFFF"/>
                <w:lang w:eastAsia="ar-SA"/>
              </w:rPr>
              <w:t>Clase ancha</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3A7581AE" w14:textId="77777777" w:rsidR="00416648" w:rsidRPr="00416648" w:rsidRDefault="00416648" w:rsidP="00416648">
            <w:pPr>
              <w:spacing w:after="0" w:line="276" w:lineRule="auto"/>
              <w:jc w:val="center"/>
              <w:rPr>
                <w:rFonts w:ascii="Book Antiqua" w:eastAsia="Times New Roman" w:hAnsi="Book Antiqua" w:cs="Times New Roman"/>
                <w:b/>
                <w:bCs/>
                <w:color w:val="FFFFFF"/>
                <w:lang w:eastAsia="es-CR"/>
              </w:rPr>
            </w:pPr>
            <w:r w:rsidRPr="00416648">
              <w:rPr>
                <w:rFonts w:ascii="Book Antiqua" w:eastAsia="Times New Roman" w:hAnsi="Book Antiqua" w:cs="Times New Roman"/>
                <w:b/>
                <w:bCs/>
                <w:color w:val="FFFFFF"/>
                <w:lang w:eastAsia="ar-SA"/>
              </w:rPr>
              <w:t>Clase angosta</w:t>
            </w:r>
          </w:p>
        </w:tc>
        <w:tc>
          <w:tcPr>
            <w:tcW w:w="1721" w:type="pct"/>
            <w:tcBorders>
              <w:top w:val="single" w:sz="4" w:space="0" w:color="auto"/>
              <w:left w:val="nil"/>
              <w:bottom w:val="single" w:sz="4" w:space="0" w:color="auto"/>
              <w:right w:val="single" w:sz="4" w:space="0" w:color="auto"/>
            </w:tcBorders>
            <w:shd w:val="clear" w:color="000000" w:fill="002060"/>
            <w:vAlign w:val="center"/>
            <w:hideMark/>
          </w:tcPr>
          <w:p w14:paraId="48FCD510" w14:textId="77777777" w:rsidR="00416648" w:rsidRPr="00416648" w:rsidRDefault="00416648" w:rsidP="00416648">
            <w:pPr>
              <w:spacing w:after="0" w:line="276" w:lineRule="auto"/>
              <w:jc w:val="center"/>
              <w:rPr>
                <w:rFonts w:ascii="Book Antiqua" w:eastAsia="Times New Roman" w:hAnsi="Book Antiqua" w:cs="Times New Roman"/>
                <w:b/>
                <w:bCs/>
                <w:color w:val="FFFFFF"/>
                <w:lang w:eastAsia="es-CR"/>
              </w:rPr>
            </w:pPr>
            <w:r w:rsidRPr="00416648">
              <w:rPr>
                <w:rFonts w:ascii="Book Antiqua" w:eastAsia="Times New Roman" w:hAnsi="Book Antiqua" w:cs="Times New Roman"/>
                <w:b/>
                <w:bCs/>
                <w:color w:val="FFFFFF"/>
                <w:lang w:eastAsia="ar-SA"/>
              </w:rPr>
              <w:t>Costo del puesto anual</w:t>
            </w:r>
          </w:p>
        </w:tc>
      </w:tr>
      <w:tr w:rsidR="00416648" w:rsidRPr="00416648" w14:paraId="3258AA39" w14:textId="77777777" w:rsidTr="00306313">
        <w:trPr>
          <w:trHeight w:val="495"/>
        </w:trPr>
        <w:tc>
          <w:tcPr>
            <w:tcW w:w="1431" w:type="pct"/>
            <w:tcBorders>
              <w:top w:val="nil"/>
              <w:left w:val="single" w:sz="4" w:space="0" w:color="auto"/>
              <w:bottom w:val="single" w:sz="4" w:space="0" w:color="auto"/>
              <w:right w:val="single" w:sz="4" w:space="0" w:color="auto"/>
            </w:tcBorders>
            <w:shd w:val="clear" w:color="auto" w:fill="002060"/>
            <w:vAlign w:val="center"/>
          </w:tcPr>
          <w:p w14:paraId="189C9803" w14:textId="77777777" w:rsidR="00416648" w:rsidRPr="00416648" w:rsidRDefault="00416648" w:rsidP="00416648">
            <w:pPr>
              <w:spacing w:after="0" w:line="276" w:lineRule="auto"/>
              <w:rPr>
                <w:rFonts w:ascii="Book Antiqua" w:eastAsia="Times New Roman" w:hAnsi="Book Antiqua" w:cs="Times New Roman"/>
                <w:b/>
                <w:bCs/>
                <w:color w:val="FFFFFF"/>
                <w:lang w:eastAsia="es-CR"/>
              </w:rPr>
            </w:pPr>
            <w:r w:rsidRPr="00416648">
              <w:rPr>
                <w:rFonts w:ascii="Book Antiqua" w:eastAsia="Calibri" w:hAnsi="Book Antiqua" w:cs="Arial"/>
                <w:b/>
                <w:color w:val="FFFFFF"/>
              </w:rPr>
              <w:t>Plaza nueva extraordinaria</w:t>
            </w:r>
          </w:p>
        </w:tc>
        <w:tc>
          <w:tcPr>
            <w:tcW w:w="940" w:type="pct"/>
            <w:tcBorders>
              <w:top w:val="nil"/>
              <w:left w:val="nil"/>
              <w:bottom w:val="single" w:sz="4" w:space="0" w:color="auto"/>
              <w:right w:val="single" w:sz="4" w:space="0" w:color="auto"/>
            </w:tcBorders>
            <w:shd w:val="clear" w:color="auto" w:fill="auto"/>
            <w:vAlign w:val="center"/>
          </w:tcPr>
          <w:p w14:paraId="4A8063A9" w14:textId="77777777" w:rsidR="00416648" w:rsidRPr="00416648" w:rsidRDefault="00416648" w:rsidP="00416648">
            <w:pPr>
              <w:spacing w:after="0" w:line="276" w:lineRule="auto"/>
              <w:jc w:val="center"/>
              <w:rPr>
                <w:rFonts w:ascii="Book Antiqua" w:eastAsia="Times New Roman" w:hAnsi="Book Antiqua" w:cs="Times New Roman"/>
                <w:color w:val="000000"/>
                <w:lang w:eastAsia="ar-SA"/>
              </w:rPr>
            </w:pPr>
            <w:r w:rsidRPr="00416648">
              <w:rPr>
                <w:rFonts w:ascii="Book Antiqua" w:eastAsia="Calibri" w:hAnsi="Book Antiqua" w:cs="Arial"/>
                <w:color w:val="000000"/>
              </w:rPr>
              <w:t>Técnico Judicial 2</w:t>
            </w:r>
          </w:p>
        </w:tc>
        <w:tc>
          <w:tcPr>
            <w:tcW w:w="908" w:type="pct"/>
            <w:tcBorders>
              <w:top w:val="nil"/>
              <w:left w:val="nil"/>
              <w:bottom w:val="single" w:sz="4" w:space="0" w:color="auto"/>
              <w:right w:val="single" w:sz="4" w:space="0" w:color="auto"/>
            </w:tcBorders>
            <w:shd w:val="clear" w:color="auto" w:fill="auto"/>
            <w:vAlign w:val="center"/>
          </w:tcPr>
          <w:p w14:paraId="3A7C298E" w14:textId="77777777" w:rsidR="00416648" w:rsidRPr="00416648" w:rsidRDefault="00416648" w:rsidP="00416648">
            <w:pPr>
              <w:spacing w:after="0" w:line="276" w:lineRule="auto"/>
              <w:jc w:val="center"/>
              <w:rPr>
                <w:rFonts w:ascii="Book Antiqua" w:eastAsia="Times New Roman" w:hAnsi="Book Antiqua" w:cs="Times New Roman"/>
                <w:color w:val="000000"/>
                <w:lang w:eastAsia="ar-SA"/>
              </w:rPr>
            </w:pPr>
            <w:r w:rsidRPr="00416648">
              <w:rPr>
                <w:rFonts w:ascii="Book Antiqua" w:eastAsia="Calibri" w:hAnsi="Book Antiqua" w:cs="Arial"/>
                <w:color w:val="000000"/>
              </w:rPr>
              <w:t>Técnico Judicial</w:t>
            </w:r>
          </w:p>
        </w:tc>
        <w:tc>
          <w:tcPr>
            <w:tcW w:w="1721" w:type="pct"/>
            <w:tcBorders>
              <w:top w:val="nil"/>
              <w:left w:val="nil"/>
              <w:bottom w:val="single" w:sz="4" w:space="0" w:color="auto"/>
              <w:right w:val="single" w:sz="4" w:space="0" w:color="auto"/>
            </w:tcBorders>
            <w:shd w:val="clear" w:color="auto" w:fill="auto"/>
            <w:vAlign w:val="center"/>
          </w:tcPr>
          <w:p w14:paraId="4852FA49" w14:textId="75246F75" w:rsidR="00416648" w:rsidRPr="00416648" w:rsidRDefault="00416648" w:rsidP="00416648">
            <w:pPr>
              <w:spacing w:after="0" w:line="276" w:lineRule="auto"/>
              <w:jc w:val="center"/>
              <w:rPr>
                <w:rFonts w:ascii="Book Antiqua" w:eastAsia="Times New Roman" w:hAnsi="Book Antiqua" w:cs="Times New Roman"/>
                <w:color w:val="000000"/>
                <w:lang w:eastAsia="ar-SA"/>
              </w:rPr>
            </w:pPr>
            <w:r w:rsidRPr="00416648">
              <w:rPr>
                <w:rFonts w:ascii="Times New Roman" w:eastAsia="Calibri" w:hAnsi="Times New Roman" w:cs="Times New Roman"/>
                <w:color w:val="000000"/>
              </w:rPr>
              <w:t>₡</w:t>
            </w:r>
            <w:r w:rsidRPr="00416648">
              <w:rPr>
                <w:rFonts w:ascii="Book Antiqua" w:eastAsia="Calibri" w:hAnsi="Book Antiqua" w:cs="Arial"/>
                <w:color w:val="000000"/>
              </w:rPr>
              <w:t>14.</w:t>
            </w:r>
            <w:r w:rsidR="0033044E">
              <w:rPr>
                <w:rFonts w:ascii="Book Antiqua" w:eastAsia="Calibri" w:hAnsi="Book Antiqua" w:cs="Arial"/>
                <w:color w:val="000000"/>
              </w:rPr>
              <w:t>388</w:t>
            </w:r>
            <w:r w:rsidRPr="00416648">
              <w:rPr>
                <w:rFonts w:ascii="Book Antiqua" w:eastAsia="Calibri" w:hAnsi="Book Antiqua" w:cs="Arial"/>
                <w:color w:val="000000"/>
              </w:rPr>
              <w:t>.000</w:t>
            </w:r>
          </w:p>
        </w:tc>
      </w:tr>
    </w:tbl>
    <w:p w14:paraId="7215CD00" w14:textId="106FBC83" w:rsidR="00416648" w:rsidRPr="00416648" w:rsidRDefault="00416648" w:rsidP="00416648">
      <w:pPr>
        <w:spacing w:after="0" w:line="276" w:lineRule="auto"/>
        <w:jc w:val="both"/>
        <w:rPr>
          <w:rFonts w:ascii="Book Antiqua" w:eastAsia="Calibri" w:hAnsi="Book Antiqua" w:cs="Arial"/>
          <w:i/>
          <w:iCs/>
          <w:sz w:val="20"/>
          <w:szCs w:val="20"/>
        </w:rPr>
      </w:pPr>
      <w:r w:rsidRPr="00416648">
        <w:rPr>
          <w:rFonts w:ascii="Book Antiqua" w:eastAsia="Calibri" w:hAnsi="Book Antiqua" w:cs="Arial"/>
          <w:i/>
          <w:iCs/>
          <w:sz w:val="20"/>
          <w:szCs w:val="20"/>
        </w:rPr>
        <w:t>Fuente: Modernización Institucional.</w:t>
      </w:r>
    </w:p>
    <w:p w14:paraId="2792211A" w14:textId="2C0CB325" w:rsidR="00F50DD3" w:rsidRDefault="00F50DD3" w:rsidP="00355630">
      <w:pPr>
        <w:spacing w:after="0" w:line="276" w:lineRule="auto"/>
        <w:jc w:val="both"/>
        <w:rPr>
          <w:rFonts w:ascii="Book Antiqua" w:eastAsia="Calibri" w:hAnsi="Book Antiqua" w:cs="Arial"/>
          <w:sz w:val="24"/>
          <w:szCs w:val="24"/>
        </w:rPr>
      </w:pPr>
    </w:p>
    <w:p w14:paraId="4F9762C8" w14:textId="5CC4245C" w:rsidR="00416648" w:rsidRPr="00416648" w:rsidRDefault="00416648" w:rsidP="00416648">
      <w:pPr>
        <w:spacing w:after="0" w:line="276" w:lineRule="auto"/>
        <w:jc w:val="both"/>
        <w:rPr>
          <w:rFonts w:ascii="Book Antiqua" w:eastAsia="Calibri" w:hAnsi="Book Antiqua" w:cs="Arial"/>
          <w:sz w:val="24"/>
          <w:szCs w:val="24"/>
        </w:rPr>
      </w:pPr>
      <w:r w:rsidRPr="00416648">
        <w:rPr>
          <w:rFonts w:ascii="Book Antiqua" w:eastAsia="Calibri" w:hAnsi="Book Antiqua" w:cs="Arial"/>
          <w:sz w:val="24"/>
          <w:szCs w:val="24"/>
        </w:rPr>
        <w:t xml:space="preserve">El costo anual para hacerle frente a la inclusión del nuevo puesto extraordinario es de </w:t>
      </w:r>
      <w:r w:rsidRPr="00416648">
        <w:rPr>
          <w:rFonts w:ascii="Times New Roman" w:eastAsia="Calibri" w:hAnsi="Times New Roman" w:cs="Times New Roman"/>
          <w:sz w:val="24"/>
          <w:szCs w:val="24"/>
        </w:rPr>
        <w:t>₡</w:t>
      </w:r>
      <w:r w:rsidRPr="00416648">
        <w:rPr>
          <w:rFonts w:ascii="Book Antiqua" w:eastAsia="Calibri" w:hAnsi="Book Antiqua" w:cs="Arial"/>
          <w:sz w:val="24"/>
          <w:szCs w:val="24"/>
        </w:rPr>
        <w:t>14.</w:t>
      </w:r>
      <w:r w:rsidR="0033044E">
        <w:rPr>
          <w:rFonts w:ascii="Book Antiqua" w:eastAsia="Calibri" w:hAnsi="Book Antiqua" w:cs="Arial"/>
          <w:sz w:val="24"/>
          <w:szCs w:val="24"/>
        </w:rPr>
        <w:t>388</w:t>
      </w:r>
      <w:r w:rsidRPr="00416648">
        <w:rPr>
          <w:rFonts w:ascii="Book Antiqua" w:eastAsia="Calibri" w:hAnsi="Book Antiqua" w:cs="Arial"/>
          <w:sz w:val="24"/>
          <w:szCs w:val="24"/>
        </w:rPr>
        <w:t xml:space="preserve">.000. Es importante indicar que, por estar ubicado este despacho en una región con poblaciones aborígenes, la plaza extraordinaria propuesta debe de completarse exclusivamente con una persona que domine el dialecto aborigen de la zona, para así atender la necesidad de esta población vulnerable y tener licencia de conducir. </w:t>
      </w:r>
    </w:p>
    <w:p w14:paraId="327DA7EA" w14:textId="19DAD94C" w:rsidR="00416648" w:rsidRPr="00416648" w:rsidRDefault="00416648" w:rsidP="00416648">
      <w:pPr>
        <w:spacing w:after="0" w:line="276" w:lineRule="auto"/>
        <w:jc w:val="both"/>
        <w:rPr>
          <w:rFonts w:ascii="Book Antiqua" w:eastAsia="Calibri" w:hAnsi="Book Antiqua" w:cs="Arial"/>
          <w:sz w:val="24"/>
          <w:szCs w:val="24"/>
        </w:rPr>
      </w:pPr>
      <w:r w:rsidRPr="00A13E7D">
        <w:rPr>
          <w:rFonts w:ascii="Book Antiqua" w:eastAsia="Calibri" w:hAnsi="Book Antiqua" w:cs="Arial"/>
          <w:sz w:val="24"/>
          <w:szCs w:val="24"/>
        </w:rPr>
        <w:t>Se incluye este requerimiento en el presupuesto para la implementación del Código Procesal de Familia, y</w:t>
      </w:r>
      <w:r w:rsidR="00F84B4E">
        <w:rPr>
          <w:rFonts w:ascii="Book Antiqua" w:eastAsia="Calibri" w:hAnsi="Book Antiqua" w:cs="Arial"/>
          <w:sz w:val="24"/>
          <w:szCs w:val="24"/>
        </w:rPr>
        <w:t xml:space="preserve"> otro recurso en</w:t>
      </w:r>
      <w:r w:rsidRPr="00A13E7D">
        <w:rPr>
          <w:rFonts w:ascii="Book Antiqua" w:eastAsia="Calibri" w:hAnsi="Book Antiqua" w:cs="Arial"/>
          <w:sz w:val="24"/>
          <w:szCs w:val="24"/>
        </w:rPr>
        <w:t xml:space="preserve"> el Código Procesal Agrario </w:t>
      </w:r>
      <w:r w:rsidR="00F84B4E">
        <w:rPr>
          <w:rFonts w:ascii="Book Antiqua" w:eastAsia="Calibri" w:hAnsi="Book Antiqua" w:cs="Arial"/>
          <w:sz w:val="24"/>
          <w:szCs w:val="24"/>
        </w:rPr>
        <w:t xml:space="preserve">que </w:t>
      </w:r>
      <w:r w:rsidRPr="00A13E7D">
        <w:rPr>
          <w:rFonts w:ascii="Book Antiqua" w:eastAsia="Calibri" w:hAnsi="Book Antiqua" w:cs="Arial"/>
          <w:sz w:val="24"/>
          <w:szCs w:val="24"/>
        </w:rPr>
        <w:t xml:space="preserve">entrará en vigencia </w:t>
      </w:r>
      <w:r w:rsidR="00F84B4E">
        <w:rPr>
          <w:rFonts w:ascii="Book Antiqua" w:eastAsia="Calibri" w:hAnsi="Book Antiqua" w:cs="Arial"/>
          <w:sz w:val="24"/>
          <w:szCs w:val="24"/>
        </w:rPr>
        <w:t xml:space="preserve">en febrero </w:t>
      </w:r>
      <w:r w:rsidRPr="00A13E7D">
        <w:rPr>
          <w:rFonts w:ascii="Book Antiqua" w:eastAsia="Calibri" w:hAnsi="Book Antiqua" w:cs="Arial"/>
          <w:sz w:val="24"/>
          <w:szCs w:val="24"/>
        </w:rPr>
        <w:t xml:space="preserve">2023 (Ley 9609 </w:t>
      </w:r>
      <w:r w:rsidR="00F84B4E">
        <w:rPr>
          <w:rFonts w:ascii="Book Antiqua" w:eastAsia="Calibri" w:hAnsi="Book Antiqua" w:cs="Arial"/>
          <w:sz w:val="24"/>
          <w:szCs w:val="24"/>
        </w:rPr>
        <w:t>estableció</w:t>
      </w:r>
      <w:r w:rsidRPr="00A13E7D">
        <w:rPr>
          <w:rFonts w:ascii="Book Antiqua" w:eastAsia="Calibri" w:hAnsi="Book Antiqua" w:cs="Arial"/>
          <w:sz w:val="24"/>
          <w:szCs w:val="24"/>
        </w:rPr>
        <w:t xml:space="preserve"> una nueva vacancia para la entrada en vigencia del Código Procesal Agrario, a partir del 28 de febrero 2023).</w:t>
      </w:r>
      <w:r w:rsidRPr="00416648">
        <w:rPr>
          <w:rFonts w:ascii="Book Antiqua" w:eastAsia="Calibri" w:hAnsi="Book Antiqua" w:cs="Arial"/>
          <w:sz w:val="24"/>
          <w:szCs w:val="24"/>
        </w:rPr>
        <w:t xml:space="preserve"> </w:t>
      </w:r>
    </w:p>
    <w:p w14:paraId="7E415DF7" w14:textId="49AE34F8" w:rsidR="00F50DD3" w:rsidRDefault="00F50DD3" w:rsidP="00355630">
      <w:pPr>
        <w:spacing w:after="0" w:line="276" w:lineRule="auto"/>
        <w:jc w:val="both"/>
        <w:rPr>
          <w:rFonts w:ascii="Book Antiqua" w:eastAsia="Calibri" w:hAnsi="Book Antiqua" w:cs="Arial"/>
          <w:sz w:val="24"/>
          <w:szCs w:val="24"/>
        </w:rPr>
      </w:pPr>
    </w:p>
    <w:p w14:paraId="488BF723" w14:textId="77777777" w:rsidR="00F91104" w:rsidRDefault="00F91104" w:rsidP="00355630">
      <w:pPr>
        <w:spacing w:after="0" w:line="276" w:lineRule="auto"/>
        <w:jc w:val="both"/>
        <w:rPr>
          <w:rFonts w:ascii="Book Antiqua" w:eastAsia="Calibri" w:hAnsi="Book Antiqua" w:cs="Arial"/>
          <w:sz w:val="24"/>
          <w:szCs w:val="24"/>
        </w:rPr>
      </w:pPr>
    </w:p>
    <w:p w14:paraId="5995E676" w14:textId="77777777" w:rsidR="0033044E" w:rsidRPr="008456A9" w:rsidRDefault="0033044E"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 Civil, Trabajo y Familia del Segundo Circuito Judicial de Alajuela (sede Upala)</w:t>
      </w:r>
    </w:p>
    <w:p w14:paraId="2F52B85D" w14:textId="1377A227" w:rsidR="00F50DD3" w:rsidRDefault="00F50DD3" w:rsidP="00355630">
      <w:pPr>
        <w:spacing w:after="0" w:line="276" w:lineRule="auto"/>
        <w:jc w:val="both"/>
        <w:rPr>
          <w:rFonts w:ascii="Book Antiqua" w:eastAsia="Calibri" w:hAnsi="Book Antiqua" w:cs="Arial"/>
          <w:sz w:val="24"/>
          <w:szCs w:val="24"/>
        </w:rPr>
      </w:pPr>
    </w:p>
    <w:p w14:paraId="5FA66914" w14:textId="77777777" w:rsidR="0033044E" w:rsidRPr="0033044E" w:rsidRDefault="0033044E" w:rsidP="0033044E">
      <w:pPr>
        <w:spacing w:after="0" w:line="276" w:lineRule="auto"/>
        <w:jc w:val="both"/>
        <w:rPr>
          <w:rFonts w:ascii="Book Antiqua" w:eastAsia="Calibri" w:hAnsi="Book Antiqua" w:cs="Arial"/>
          <w:sz w:val="24"/>
          <w:szCs w:val="24"/>
        </w:rPr>
      </w:pPr>
      <w:r w:rsidRPr="0033044E">
        <w:rPr>
          <w:rFonts w:ascii="Book Antiqua" w:eastAsia="Calibri" w:hAnsi="Book Antiqua" w:cs="Arial"/>
          <w:sz w:val="24"/>
          <w:szCs w:val="24"/>
          <w:lang w:val="es-ES"/>
        </w:rPr>
        <w:t xml:space="preserve">El Consejo Superior en sesión 59-2020 celebrada el 16 de </w:t>
      </w:r>
      <w:r w:rsidRPr="0033044E">
        <w:rPr>
          <w:rFonts w:ascii="Book Antiqua" w:eastAsia="Calibri" w:hAnsi="Book Antiqua" w:cs="Arial"/>
          <w:sz w:val="24"/>
          <w:szCs w:val="24"/>
          <w:lang w:val="es-ES_tradnl"/>
        </w:rPr>
        <w:t xml:space="preserve">junio </w:t>
      </w:r>
      <w:r w:rsidRPr="0033044E">
        <w:rPr>
          <w:rFonts w:ascii="Book Antiqua" w:eastAsia="Calibri" w:hAnsi="Book Antiqua" w:cs="Arial"/>
          <w:sz w:val="24"/>
          <w:szCs w:val="24"/>
          <w:lang w:val="es-ES"/>
        </w:rPr>
        <w:t xml:space="preserve">de 2020, </w:t>
      </w:r>
      <w:bookmarkStart w:id="48" w:name="_Toc42840729"/>
      <w:bookmarkStart w:id="49" w:name="_Toc43211013"/>
      <w:bookmarkEnd w:id="48"/>
      <w:r w:rsidRPr="0033044E">
        <w:rPr>
          <w:rFonts w:ascii="Book Antiqua" w:eastAsia="Calibri" w:hAnsi="Book Antiqua" w:cs="Arial"/>
          <w:sz w:val="24"/>
          <w:szCs w:val="24"/>
          <w:lang w:val="es-ES"/>
        </w:rPr>
        <w:t xml:space="preserve">artículo </w:t>
      </w:r>
      <w:r w:rsidRPr="0033044E">
        <w:rPr>
          <w:rFonts w:ascii="Book Antiqua" w:eastAsia="Calibri" w:hAnsi="Book Antiqua" w:cs="Arial"/>
          <w:sz w:val="24"/>
          <w:szCs w:val="24"/>
        </w:rPr>
        <w:t xml:space="preserve">XLIII, aprueba el informe 742-PLA-EV-2020 de la Dirección de Planificación con el seguimiento realizado en esa oficina como parte del Modelo de Sostenibilidad de los despachos rediseñados en el Segundo Circuito </w:t>
      </w:r>
      <w:bookmarkEnd w:id="49"/>
      <w:r w:rsidRPr="0033044E">
        <w:rPr>
          <w:rFonts w:ascii="Book Antiqua" w:eastAsia="Calibri" w:hAnsi="Book Antiqua" w:cs="Arial"/>
          <w:sz w:val="24"/>
          <w:szCs w:val="24"/>
        </w:rPr>
        <w:t xml:space="preserve">Judicial de Alajuela, San Carlos. </w:t>
      </w:r>
    </w:p>
    <w:p w14:paraId="0E1A05C0" w14:textId="77777777" w:rsidR="0033044E" w:rsidRPr="0033044E" w:rsidRDefault="0033044E" w:rsidP="0033044E">
      <w:pPr>
        <w:spacing w:after="0" w:line="276" w:lineRule="auto"/>
        <w:jc w:val="both"/>
        <w:rPr>
          <w:rFonts w:ascii="Book Antiqua" w:eastAsia="Calibri" w:hAnsi="Book Antiqua" w:cs="Arial"/>
          <w:sz w:val="24"/>
          <w:szCs w:val="24"/>
        </w:rPr>
      </w:pPr>
    </w:p>
    <w:p w14:paraId="435984C5" w14:textId="10685D21" w:rsidR="0033044E" w:rsidRPr="001D0C10" w:rsidRDefault="0033044E" w:rsidP="0033044E">
      <w:pPr>
        <w:spacing w:after="0" w:line="240" w:lineRule="auto"/>
        <w:ind w:left="567" w:right="616"/>
        <w:jc w:val="both"/>
        <w:rPr>
          <w:rFonts w:ascii="Times New Roman" w:eastAsia="Calibri" w:hAnsi="Times New Roman" w:cs="Arial"/>
          <w:i/>
          <w:iCs/>
        </w:rPr>
      </w:pPr>
      <w:r w:rsidRPr="001D0C10">
        <w:rPr>
          <w:rFonts w:ascii="Book Antiqua" w:eastAsia="Calibri" w:hAnsi="Book Antiqua" w:cs="Arial"/>
          <w:i/>
          <w:iCs/>
        </w:rPr>
        <w:t>“</w:t>
      </w:r>
      <w:r w:rsidRPr="001D0C10">
        <w:rPr>
          <w:rFonts w:ascii="Book Antiqua" w:eastAsia="Calibri" w:hAnsi="Book Antiqua" w:cs="Arial"/>
          <w:b/>
          <w:bCs/>
          <w:i/>
          <w:iCs/>
        </w:rPr>
        <w:t>Se acordó: 1)</w:t>
      </w:r>
      <w:r w:rsidRPr="001D0C10">
        <w:rPr>
          <w:rFonts w:ascii="Book Antiqua" w:eastAsia="Calibri" w:hAnsi="Book Antiqua" w:cs="Arial"/>
          <w:i/>
          <w:iCs/>
        </w:rPr>
        <w:t xml:space="preserve"> Tener por rendido el informe N°742-PLA-EV-2020 de la Dirección de Planificación, relacionado con el seguimiento al Juzgado Mixto de Upala, conforme al Modelo de Sostenibilidad del Segundo Circuito Judicial de Alajuela. </w:t>
      </w:r>
      <w:r w:rsidRPr="001D0C10">
        <w:rPr>
          <w:rFonts w:ascii="Book Antiqua" w:eastAsia="Calibri" w:hAnsi="Book Antiqua" w:cs="Arial"/>
          <w:b/>
          <w:bCs/>
          <w:i/>
          <w:iCs/>
        </w:rPr>
        <w:t>2</w:t>
      </w:r>
      <w:r w:rsidRPr="001D0C10">
        <w:rPr>
          <w:rFonts w:ascii="Book Antiqua" w:eastAsia="Calibri" w:hAnsi="Book Antiqua" w:cs="Arial"/>
          <w:b/>
          <w:bCs/>
          <w:i/>
          <w:iCs/>
          <w:snapToGrid w:val="0"/>
        </w:rPr>
        <w:t>)</w:t>
      </w:r>
      <w:r w:rsidRPr="001D0C10">
        <w:rPr>
          <w:rFonts w:ascii="Book Antiqua" w:eastAsia="Calibri" w:hAnsi="Book Antiqua" w:cs="Arial"/>
          <w:i/>
          <w:iCs/>
          <w:snapToGrid w:val="0"/>
        </w:rPr>
        <w:t xml:space="preserve"> Aprobar las recomendaciones señaladas en el presente informe dirigidas a la Contraloría de Servicio del Segundo Circuito Judicial de Alajuela, Juzgado Civil y de Trabajo del Segundo Circuito Judicial de Alajuela y a la Dirección de Tecnología de la Información. </w:t>
      </w:r>
      <w:r w:rsidRPr="001D0C10">
        <w:rPr>
          <w:rFonts w:ascii="Book Antiqua" w:eastAsia="Calibri" w:hAnsi="Book Antiqua" w:cs="Arial"/>
          <w:b/>
          <w:bCs/>
          <w:i/>
          <w:iCs/>
          <w:snapToGrid w:val="0"/>
        </w:rPr>
        <w:t>3)</w:t>
      </w:r>
      <w:r w:rsidRPr="001D0C10">
        <w:rPr>
          <w:rFonts w:ascii="Book Antiqua" w:eastAsia="Calibri" w:hAnsi="Book Antiqua" w:cs="Arial"/>
          <w:i/>
          <w:iCs/>
          <w:snapToGrid w:val="0"/>
        </w:rPr>
        <w:t xml:space="preserve"> </w:t>
      </w:r>
      <w:r w:rsidRPr="001D0C10">
        <w:rPr>
          <w:rFonts w:ascii="Book Antiqua" w:eastAsia="Calibri" w:hAnsi="Book Antiqua" w:cs="Arial"/>
          <w:i/>
          <w:iCs/>
        </w:rPr>
        <w:t>Avalar la continuidad de la distribución de la cuota de trabajo semanal según materia, la cual se establece en:  Trabajo cuota semanal de 25 y cuota diaria de 5; Agrario cuota semanal de 20</w:t>
      </w:r>
      <w:r w:rsidR="00E85731" w:rsidRPr="00E85731">
        <w:rPr>
          <w:rFonts w:ascii="Book Antiqua" w:eastAsia="Calibri" w:hAnsi="Book Antiqua" w:cs="Arial"/>
          <w:i/>
          <w:iCs/>
        </w:rPr>
        <w:t xml:space="preserve"> </w:t>
      </w:r>
      <w:r w:rsidRPr="001D0C10">
        <w:rPr>
          <w:rFonts w:ascii="Book Antiqua" w:eastAsia="Calibri" w:hAnsi="Book Antiqua" w:cs="Arial"/>
          <w:i/>
          <w:iCs/>
        </w:rPr>
        <w:t>y cuota</w:t>
      </w:r>
      <w:r w:rsidR="00E85731" w:rsidRPr="00E85731">
        <w:rPr>
          <w:rFonts w:ascii="Book Antiqua" w:eastAsia="Calibri" w:hAnsi="Book Antiqua" w:cs="Arial"/>
          <w:i/>
          <w:iCs/>
        </w:rPr>
        <w:t xml:space="preserve"> </w:t>
      </w:r>
      <w:r w:rsidRPr="001D0C10">
        <w:rPr>
          <w:rFonts w:ascii="Book Antiqua" w:eastAsia="Calibri" w:hAnsi="Book Antiqua" w:cs="Arial"/>
          <w:i/>
          <w:iCs/>
        </w:rPr>
        <w:t>diaria de 4; Familia</w:t>
      </w:r>
      <w:r w:rsidR="00E85731" w:rsidRPr="00E85731">
        <w:rPr>
          <w:rFonts w:ascii="Book Antiqua" w:eastAsia="Calibri" w:hAnsi="Book Antiqua" w:cs="Arial"/>
          <w:i/>
          <w:iCs/>
        </w:rPr>
        <w:t xml:space="preserve"> </w:t>
      </w:r>
      <w:r w:rsidRPr="001D0C10">
        <w:rPr>
          <w:rFonts w:ascii="Book Antiqua" w:eastAsia="Calibri" w:hAnsi="Book Antiqua" w:cs="Arial"/>
          <w:i/>
          <w:iCs/>
        </w:rPr>
        <w:t xml:space="preserve">cuota semanal de 10 y cuota diaria de 2; Civil cuota semanal de 10 y cuota diaria de 2; Violencia Doméstica cuota semanal de 5 y cuota </w:t>
      </w:r>
      <w:r w:rsidRPr="001D0C10">
        <w:rPr>
          <w:rFonts w:ascii="Book Antiqua" w:eastAsia="Calibri" w:hAnsi="Book Antiqua" w:cs="Arial"/>
          <w:i/>
          <w:iCs/>
        </w:rPr>
        <w:lastRenderedPageBreak/>
        <w:t>diaria 1 y Penal Juvenil cuota semanal de 5 y cuota diaria de 1. Señalando que en la cuota diario al menos dos deben ser causas nuevas. Asimismo, se ordena al Juzgado Civil y Trabajo del Segundo Circuito Judicial de Alajuela (sede Upala), a mantener actualizados los sistemas de información del despacho de conformidad con lo establecido en la Circular N° 85-2015 emitida por el Consejo Superior en sesión No. 36-15 celebrada el 21 de abril de 2015, artículo LI; para efectos de dar seguimiento a su desempeño y tomar decisiones fundamentadas.</w:t>
      </w:r>
      <w:r w:rsidRPr="001D0C10">
        <w:rPr>
          <w:rFonts w:ascii="Book Antiqua" w:eastAsia="Calibri" w:hAnsi="Book Antiqua" w:cs="Arial"/>
          <w:b/>
          <w:bCs/>
          <w:i/>
          <w:iCs/>
          <w:snapToGrid w:val="0"/>
        </w:rPr>
        <w:t>4</w:t>
      </w:r>
      <w:r w:rsidRPr="001D0C10">
        <w:rPr>
          <w:rFonts w:ascii="Book Antiqua" w:eastAsia="Calibri" w:hAnsi="Book Antiqua" w:cs="Arial"/>
          <w:b/>
          <w:bCs/>
          <w:i/>
          <w:iCs/>
        </w:rPr>
        <w:t>)</w:t>
      </w:r>
      <w:r w:rsidRPr="001D0C10">
        <w:rPr>
          <w:rFonts w:ascii="Book Antiqua" w:eastAsia="Calibri" w:hAnsi="Book Antiqua" w:cs="Arial"/>
          <w:i/>
          <w:iCs/>
        </w:rPr>
        <w:t xml:space="preserve"> Hacer este informe de conocimiento de la Dirección Ejecutiva, Contraloría de Servicios del Segundo Circuito Judicial de Alajuela, Juzgado Civil y Trabajo del Segundo Circuito Judicial de Alajuela y a la Dirección de Tecnologías de la Información.</w:t>
      </w:r>
      <w:r w:rsidRPr="001D0C10">
        <w:rPr>
          <w:rFonts w:ascii="Book Antiqua" w:eastAsia="Calibri" w:hAnsi="Book Antiqua" w:cs="Arial"/>
          <w:b/>
          <w:bCs/>
          <w:i/>
          <w:iCs/>
        </w:rPr>
        <w:t>”.</w:t>
      </w:r>
    </w:p>
    <w:p w14:paraId="6F9467E4" w14:textId="55EB3A96" w:rsidR="00F50DD3" w:rsidRDefault="00F50DD3" w:rsidP="00355630">
      <w:pPr>
        <w:spacing w:after="0" w:line="276" w:lineRule="auto"/>
        <w:jc w:val="both"/>
        <w:rPr>
          <w:rFonts w:ascii="Book Antiqua" w:eastAsia="Calibri" w:hAnsi="Book Antiqua" w:cs="Arial"/>
          <w:sz w:val="24"/>
          <w:szCs w:val="24"/>
        </w:rPr>
      </w:pPr>
    </w:p>
    <w:p w14:paraId="3213FEC8" w14:textId="1218ADDA" w:rsidR="0033044E" w:rsidRPr="0033044E" w:rsidRDefault="0033044E" w:rsidP="009D51A3">
      <w:pPr>
        <w:spacing w:after="0" w:line="276" w:lineRule="auto"/>
        <w:jc w:val="both"/>
        <w:rPr>
          <w:rFonts w:ascii="Book Antiqua" w:eastAsia="Calibri" w:hAnsi="Book Antiqua" w:cs="Arial"/>
          <w:sz w:val="24"/>
          <w:szCs w:val="24"/>
        </w:rPr>
      </w:pPr>
      <w:r w:rsidRPr="0033044E">
        <w:rPr>
          <w:rFonts w:ascii="Book Antiqua" w:eastAsia="Calibri" w:hAnsi="Book Antiqua" w:cs="Arial"/>
          <w:sz w:val="24"/>
          <w:szCs w:val="24"/>
        </w:rPr>
        <w:t>Esta oficina cuenta a partir de enero de 2020 (fecha a partir de la cual se incorporó un recurso adicional de persona juzgadora</w:t>
      </w:r>
      <w:r w:rsidR="009D51A3">
        <w:rPr>
          <w:rFonts w:ascii="Book Antiqua" w:eastAsia="Calibri" w:hAnsi="Book Antiqua" w:cs="Arial"/>
          <w:sz w:val="24"/>
          <w:szCs w:val="24"/>
        </w:rPr>
        <w:t xml:space="preserve"> para la atención de la materia de Violencia Doméstica y Penal y Juvenil</w:t>
      </w:r>
      <w:r w:rsidRPr="0033044E">
        <w:rPr>
          <w:rFonts w:ascii="Book Antiqua" w:eastAsia="Calibri" w:hAnsi="Book Antiqua" w:cs="Arial"/>
          <w:sz w:val="24"/>
          <w:szCs w:val="24"/>
        </w:rPr>
        <w:t xml:space="preserve">) </w:t>
      </w:r>
      <w:r w:rsidR="009D51A3">
        <w:rPr>
          <w:rFonts w:ascii="Book Antiqua" w:eastAsia="Calibri" w:hAnsi="Book Antiqua" w:cs="Arial"/>
          <w:sz w:val="24"/>
          <w:szCs w:val="24"/>
        </w:rPr>
        <w:t xml:space="preserve">cuenta </w:t>
      </w:r>
      <w:r w:rsidRPr="0033044E">
        <w:rPr>
          <w:rFonts w:ascii="Book Antiqua" w:eastAsia="Calibri" w:hAnsi="Book Antiqua" w:cs="Arial"/>
          <w:sz w:val="24"/>
          <w:szCs w:val="24"/>
        </w:rPr>
        <w:t>con la estructura necesaria para atender su carga de trabajo, tanto a nivel de personas juzgadoras como técnicas</w:t>
      </w:r>
      <w:r w:rsidR="009D51A3">
        <w:rPr>
          <w:rFonts w:ascii="Book Antiqua" w:eastAsia="Calibri" w:hAnsi="Book Antiqua" w:cs="Arial"/>
          <w:sz w:val="24"/>
          <w:szCs w:val="24"/>
        </w:rPr>
        <w:t>, salvo en materia Agraria, donde es necesaria creación de un recurso adicional, y así se ha recomendado en los estudios de impacto del Código Procesal Agrario, sin embargo, esta Ley tampoco cuenta a la fecha con contenido presupuestario. Por lo que en 2020, mediante oficio 96-PLA-MI-2022 se recomendó al Consejo Superior la asignación por todo el año de un permiso con goce de salario y sustitución. Y para el 2023, se reitera nuevamente la necesidad de creación de la plaza de persona juzgadora agraria</w:t>
      </w:r>
      <w:r w:rsidR="00F91104">
        <w:rPr>
          <w:rFonts w:ascii="Book Antiqua" w:eastAsia="Calibri" w:hAnsi="Book Antiqua" w:cs="Arial"/>
          <w:sz w:val="24"/>
          <w:szCs w:val="24"/>
        </w:rPr>
        <w:t xml:space="preserve"> </w:t>
      </w:r>
      <w:r w:rsidR="009D51A3">
        <w:rPr>
          <w:rFonts w:ascii="Book Antiqua" w:eastAsia="Calibri" w:hAnsi="Book Antiqua" w:cs="Arial"/>
          <w:sz w:val="24"/>
          <w:szCs w:val="24"/>
        </w:rPr>
        <w:t>y será en ese informe de Presupuesto Ag</w:t>
      </w:r>
      <w:r w:rsidR="00671EA6">
        <w:rPr>
          <w:rFonts w:ascii="Book Antiqua" w:eastAsia="Calibri" w:hAnsi="Book Antiqua" w:cs="Arial"/>
          <w:sz w:val="24"/>
          <w:szCs w:val="24"/>
        </w:rPr>
        <w:t>r</w:t>
      </w:r>
      <w:r w:rsidR="009D51A3">
        <w:rPr>
          <w:rFonts w:ascii="Book Antiqua" w:eastAsia="Calibri" w:hAnsi="Book Antiqua" w:cs="Arial"/>
          <w:sz w:val="24"/>
          <w:szCs w:val="24"/>
        </w:rPr>
        <w:t>ario para 2023 donde se consideren los</w:t>
      </w:r>
      <w:r w:rsidR="00867657">
        <w:rPr>
          <w:rFonts w:ascii="Book Antiqua" w:eastAsia="Calibri" w:hAnsi="Book Antiqua" w:cs="Arial"/>
          <w:sz w:val="24"/>
          <w:szCs w:val="24"/>
        </w:rPr>
        <w:t xml:space="preserve"> costos asociados de la</w:t>
      </w:r>
      <w:r w:rsidR="009D51A3">
        <w:rPr>
          <w:rFonts w:ascii="Book Antiqua" w:eastAsia="Calibri" w:hAnsi="Book Antiqua" w:cs="Arial"/>
          <w:sz w:val="24"/>
          <w:szCs w:val="24"/>
        </w:rPr>
        <w:t xml:space="preserve"> creación de ese recurso. </w:t>
      </w:r>
      <w:r w:rsidR="00867657">
        <w:rPr>
          <w:rFonts w:ascii="Book Antiqua" w:eastAsia="Calibri" w:hAnsi="Book Antiqua" w:cs="Arial"/>
          <w:sz w:val="24"/>
          <w:szCs w:val="24"/>
        </w:rPr>
        <w:t xml:space="preserve"> </w:t>
      </w:r>
    </w:p>
    <w:p w14:paraId="3C335EC4" w14:textId="46C4ACB7" w:rsidR="0033044E" w:rsidRDefault="0033044E" w:rsidP="00355630">
      <w:pPr>
        <w:spacing w:after="0" w:line="276" w:lineRule="auto"/>
        <w:jc w:val="both"/>
        <w:rPr>
          <w:rFonts w:ascii="Book Antiqua" w:eastAsia="Calibri" w:hAnsi="Book Antiqua" w:cs="Arial"/>
          <w:sz w:val="24"/>
          <w:szCs w:val="24"/>
        </w:rPr>
      </w:pPr>
    </w:p>
    <w:p w14:paraId="07B2BF6A" w14:textId="77777777" w:rsidR="0033044E" w:rsidRPr="008456A9" w:rsidRDefault="0033044E"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 Civil, Trabajo y Familia de Osa</w:t>
      </w:r>
    </w:p>
    <w:p w14:paraId="6F65F323" w14:textId="77777777" w:rsidR="0033044E" w:rsidRPr="0033044E" w:rsidRDefault="0033044E" w:rsidP="0033044E">
      <w:pPr>
        <w:spacing w:after="0" w:line="240" w:lineRule="auto"/>
        <w:jc w:val="both"/>
        <w:rPr>
          <w:rFonts w:ascii="Book Antiqua" w:eastAsia="Calibri" w:hAnsi="Book Antiqua" w:cs="Arial"/>
        </w:rPr>
      </w:pPr>
    </w:p>
    <w:p w14:paraId="352D774F" w14:textId="0DEC2F43" w:rsidR="0033044E" w:rsidRDefault="0033044E" w:rsidP="0033044E">
      <w:pPr>
        <w:spacing w:after="0" w:line="276" w:lineRule="auto"/>
        <w:jc w:val="both"/>
        <w:rPr>
          <w:rFonts w:ascii="Book Antiqua" w:eastAsia="Calibri" w:hAnsi="Book Antiqua" w:cs="Arial"/>
          <w:sz w:val="24"/>
          <w:szCs w:val="24"/>
        </w:rPr>
      </w:pPr>
      <w:r w:rsidRPr="0033044E">
        <w:rPr>
          <w:rFonts w:ascii="Book Antiqua" w:eastAsia="Calibri" w:hAnsi="Book Antiqua" w:cs="Arial"/>
          <w:sz w:val="24"/>
          <w:szCs w:val="24"/>
        </w:rPr>
        <w:t xml:space="preserve">En el caso del Juzgado Civil, Trabajo y Familia de Osa, registra un promedio mensual de entrada de </w:t>
      </w:r>
      <w:r w:rsidR="009D7C4A">
        <w:rPr>
          <w:rFonts w:ascii="Book Antiqua" w:eastAsia="Calibri" w:hAnsi="Book Antiqua" w:cs="Arial"/>
          <w:sz w:val="24"/>
          <w:szCs w:val="24"/>
        </w:rPr>
        <w:t>58</w:t>
      </w:r>
      <w:r w:rsidRPr="0033044E">
        <w:rPr>
          <w:rFonts w:ascii="Book Antiqua" w:eastAsia="Calibri" w:hAnsi="Book Antiqua" w:cs="Arial"/>
          <w:sz w:val="24"/>
          <w:szCs w:val="24"/>
        </w:rPr>
        <w:t xml:space="preserve"> por cada persona juzgadora (</w:t>
      </w:r>
      <w:r w:rsidR="009D7C4A">
        <w:rPr>
          <w:rFonts w:ascii="Book Antiqua" w:eastAsia="Calibri" w:hAnsi="Book Antiqua" w:cs="Arial"/>
          <w:sz w:val="24"/>
          <w:szCs w:val="24"/>
        </w:rPr>
        <w:t>5</w:t>
      </w:r>
      <w:r w:rsidRPr="0033044E">
        <w:rPr>
          <w:rFonts w:ascii="Book Antiqua" w:eastAsia="Calibri" w:hAnsi="Book Antiqua" w:cs="Arial"/>
          <w:sz w:val="24"/>
          <w:szCs w:val="24"/>
        </w:rPr>
        <w:t xml:space="preserve"> casos entrados en materia Civil, </w:t>
      </w:r>
      <w:r w:rsidR="009D7C4A">
        <w:rPr>
          <w:rFonts w:ascii="Book Antiqua" w:eastAsia="Calibri" w:hAnsi="Book Antiqua" w:cs="Arial"/>
          <w:sz w:val="24"/>
          <w:szCs w:val="24"/>
        </w:rPr>
        <w:t>8</w:t>
      </w:r>
      <w:r w:rsidRPr="0033044E">
        <w:rPr>
          <w:rFonts w:ascii="Book Antiqua" w:eastAsia="Calibri" w:hAnsi="Book Antiqua" w:cs="Arial"/>
          <w:sz w:val="24"/>
          <w:szCs w:val="24"/>
        </w:rPr>
        <w:t xml:space="preserve"> en Laboral, 1</w:t>
      </w:r>
      <w:r w:rsidR="009D7C4A">
        <w:rPr>
          <w:rFonts w:ascii="Book Antiqua" w:eastAsia="Calibri" w:hAnsi="Book Antiqua" w:cs="Arial"/>
          <w:sz w:val="24"/>
          <w:szCs w:val="24"/>
        </w:rPr>
        <w:t>6</w:t>
      </w:r>
      <w:r w:rsidRPr="0033044E">
        <w:rPr>
          <w:rFonts w:ascii="Book Antiqua" w:eastAsia="Calibri" w:hAnsi="Book Antiqua" w:cs="Arial"/>
          <w:sz w:val="24"/>
          <w:szCs w:val="24"/>
        </w:rPr>
        <w:t xml:space="preserve"> en Familia, </w:t>
      </w:r>
      <w:r w:rsidR="009D7C4A">
        <w:rPr>
          <w:rFonts w:ascii="Book Antiqua" w:eastAsia="Calibri" w:hAnsi="Book Antiqua" w:cs="Arial"/>
          <w:sz w:val="24"/>
          <w:szCs w:val="24"/>
        </w:rPr>
        <w:t>26</w:t>
      </w:r>
      <w:r w:rsidRPr="0033044E">
        <w:rPr>
          <w:rFonts w:ascii="Book Antiqua" w:eastAsia="Calibri" w:hAnsi="Book Antiqua" w:cs="Arial"/>
          <w:sz w:val="24"/>
          <w:szCs w:val="24"/>
        </w:rPr>
        <w:t xml:space="preserve"> en Violencia Doméstica y 2 en Penal Juvenil). Registra una entrada menor a sus </w:t>
      </w:r>
      <w:r w:rsidRPr="00B67648">
        <w:rPr>
          <w:rFonts w:ascii="Book Antiqua" w:eastAsia="Calibri" w:hAnsi="Book Antiqua" w:cs="Arial"/>
          <w:sz w:val="24"/>
          <w:szCs w:val="24"/>
        </w:rPr>
        <w:t>homólogos</w:t>
      </w:r>
      <w:r w:rsidRPr="0033044E">
        <w:rPr>
          <w:rFonts w:ascii="Book Antiqua" w:eastAsia="Calibri" w:hAnsi="Book Antiqua" w:cs="Arial"/>
          <w:sz w:val="24"/>
          <w:szCs w:val="24"/>
        </w:rPr>
        <w:t xml:space="preserve"> </w:t>
      </w:r>
      <w:r w:rsidR="005A5414">
        <w:rPr>
          <w:rFonts w:ascii="Book Antiqua" w:eastAsia="Calibri" w:hAnsi="Book Antiqua" w:cs="Arial"/>
          <w:sz w:val="24"/>
          <w:szCs w:val="24"/>
        </w:rPr>
        <w:t>donde el promedio es de 1</w:t>
      </w:r>
      <w:r w:rsidR="00D45E42">
        <w:rPr>
          <w:rFonts w:ascii="Book Antiqua" w:eastAsia="Calibri" w:hAnsi="Book Antiqua" w:cs="Arial"/>
          <w:sz w:val="24"/>
          <w:szCs w:val="24"/>
        </w:rPr>
        <w:t>30</w:t>
      </w:r>
      <w:r w:rsidR="005A5414">
        <w:rPr>
          <w:rFonts w:ascii="Book Antiqua" w:eastAsia="Calibri" w:hAnsi="Book Antiqua" w:cs="Arial"/>
          <w:sz w:val="24"/>
          <w:szCs w:val="24"/>
        </w:rPr>
        <w:t xml:space="preserve"> asuntos nuevos por plaza, </w:t>
      </w:r>
      <w:r w:rsidRPr="0033044E">
        <w:rPr>
          <w:rFonts w:ascii="Book Antiqua" w:eastAsia="Calibri" w:hAnsi="Book Antiqua" w:cs="Arial"/>
          <w:sz w:val="24"/>
          <w:szCs w:val="24"/>
        </w:rPr>
        <w:t xml:space="preserve">lo que no </w:t>
      </w:r>
      <w:r w:rsidR="00B67648">
        <w:rPr>
          <w:rFonts w:ascii="Book Antiqua" w:eastAsia="Calibri" w:hAnsi="Book Antiqua" w:cs="Arial"/>
          <w:sz w:val="24"/>
          <w:szCs w:val="24"/>
        </w:rPr>
        <w:t xml:space="preserve">se </w:t>
      </w:r>
      <w:r w:rsidRPr="0033044E">
        <w:rPr>
          <w:rFonts w:ascii="Book Antiqua" w:eastAsia="Calibri" w:hAnsi="Book Antiqua" w:cs="Arial"/>
          <w:sz w:val="24"/>
          <w:szCs w:val="24"/>
        </w:rPr>
        <w:t>justifica especialización de alguna materia o la asignación de nuevo personal.</w:t>
      </w:r>
    </w:p>
    <w:p w14:paraId="38DDDE87" w14:textId="369D53EF" w:rsidR="00421C5B" w:rsidRPr="0033044E" w:rsidRDefault="00421C5B" w:rsidP="0033044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caso de esta oficina, fue abordada </w:t>
      </w:r>
      <w:r w:rsidR="00F91104">
        <w:rPr>
          <w:rFonts w:ascii="Book Antiqua" w:eastAsia="Calibri" w:hAnsi="Book Antiqua" w:cs="Arial"/>
          <w:sz w:val="24"/>
          <w:szCs w:val="24"/>
        </w:rPr>
        <w:t xml:space="preserve">en 2016-2017 con el proceso de reforma tanto Civil como Laboral, y </w:t>
      </w:r>
      <w:r>
        <w:rPr>
          <w:rFonts w:ascii="Book Antiqua" w:eastAsia="Calibri" w:hAnsi="Book Antiqua" w:cs="Arial"/>
          <w:sz w:val="24"/>
          <w:szCs w:val="24"/>
        </w:rPr>
        <w:t xml:space="preserve">recientemente con ocasión del proyecto de implementación del Código Procesal de Familia, se emitió el </w:t>
      </w:r>
      <w:r w:rsidRPr="00584BE8">
        <w:rPr>
          <w:rFonts w:ascii="Book Antiqua" w:eastAsia="Calibri" w:hAnsi="Book Antiqua" w:cs="Arial"/>
          <w:sz w:val="24"/>
          <w:szCs w:val="24"/>
        </w:rPr>
        <w:t xml:space="preserve">oficio </w:t>
      </w:r>
      <w:r w:rsidR="002D7915" w:rsidRPr="001D0C10">
        <w:rPr>
          <w:rFonts w:ascii="Book Antiqua" w:eastAsia="Calibri" w:hAnsi="Book Antiqua" w:cs="Arial"/>
          <w:sz w:val="24"/>
          <w:szCs w:val="24"/>
        </w:rPr>
        <w:t>14-PLA-EV-2021</w:t>
      </w:r>
      <w:r w:rsidR="0083673A" w:rsidRPr="001D0C10">
        <w:rPr>
          <w:rFonts w:ascii="Book Antiqua" w:eastAsia="Calibri" w:hAnsi="Book Antiqua" w:cs="Arial"/>
          <w:sz w:val="24"/>
          <w:szCs w:val="24"/>
        </w:rPr>
        <w:t>,</w:t>
      </w:r>
      <w:r>
        <w:rPr>
          <w:rFonts w:ascii="Book Antiqua" w:eastAsia="Calibri" w:hAnsi="Book Antiqua" w:cs="Arial"/>
          <w:sz w:val="24"/>
          <w:szCs w:val="24"/>
        </w:rPr>
        <w:t xml:space="preserve"> aprobado por Consejo Superior en sesión </w:t>
      </w:r>
      <w:r w:rsidR="0083673A">
        <w:rPr>
          <w:rFonts w:ascii="Book Antiqua" w:eastAsia="Calibri" w:hAnsi="Book Antiqua" w:cs="Arial"/>
          <w:sz w:val="24"/>
          <w:szCs w:val="24"/>
        </w:rPr>
        <w:t xml:space="preserve">07-2021 del 26 de enero de 2021, artículo </w:t>
      </w:r>
      <w:r w:rsidR="00847F2D">
        <w:rPr>
          <w:rFonts w:ascii="Book Antiqua" w:eastAsia="Calibri" w:hAnsi="Book Antiqua" w:cs="Arial"/>
          <w:sz w:val="24"/>
          <w:szCs w:val="24"/>
        </w:rPr>
        <w:t>XLVIII</w:t>
      </w:r>
      <w:r w:rsidR="00F91104">
        <w:rPr>
          <w:rFonts w:ascii="Book Antiqua" w:eastAsia="Calibri" w:hAnsi="Book Antiqua" w:cs="Arial"/>
          <w:sz w:val="24"/>
          <w:szCs w:val="24"/>
        </w:rPr>
        <w:t xml:space="preserve">, donde se analizó nuevamente la estructura de esta oficina. </w:t>
      </w:r>
    </w:p>
    <w:p w14:paraId="7BBE9524" w14:textId="2FF194A1" w:rsidR="00F50DD3" w:rsidRDefault="00F50DD3" w:rsidP="00355630">
      <w:pPr>
        <w:spacing w:after="0" w:line="276" w:lineRule="auto"/>
        <w:jc w:val="both"/>
        <w:rPr>
          <w:rFonts w:ascii="Book Antiqua" w:eastAsia="Calibri" w:hAnsi="Book Antiqua" w:cs="Arial"/>
          <w:sz w:val="24"/>
          <w:szCs w:val="24"/>
        </w:rPr>
      </w:pPr>
    </w:p>
    <w:p w14:paraId="36500EA2" w14:textId="77777777" w:rsidR="00342D22" w:rsidRPr="008456A9" w:rsidRDefault="00342D22"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Juzgados Civil, Trabajo, Familia, Penal Juvenil y Violencia Doméstica de Sarapiquí</w:t>
      </w:r>
    </w:p>
    <w:p w14:paraId="61DFC272" w14:textId="60338713" w:rsidR="00342D22" w:rsidRDefault="00342D22" w:rsidP="00355630">
      <w:pPr>
        <w:spacing w:after="0" w:line="276" w:lineRule="auto"/>
        <w:jc w:val="both"/>
        <w:rPr>
          <w:rFonts w:ascii="Book Antiqua" w:eastAsia="Calibri" w:hAnsi="Book Antiqua" w:cs="Arial"/>
          <w:sz w:val="24"/>
          <w:szCs w:val="24"/>
        </w:rPr>
      </w:pPr>
    </w:p>
    <w:p w14:paraId="42DD7177" w14:textId="2BE60B8C" w:rsidR="00342D22" w:rsidRPr="00342D22" w:rsidRDefault="00342D22" w:rsidP="00342D22">
      <w:pPr>
        <w:spacing w:after="0" w:line="276" w:lineRule="auto"/>
        <w:jc w:val="both"/>
        <w:rPr>
          <w:rFonts w:ascii="Book Antiqua" w:eastAsia="Calibri" w:hAnsi="Book Antiqua" w:cs="Arial"/>
          <w:sz w:val="24"/>
          <w:szCs w:val="24"/>
        </w:rPr>
      </w:pPr>
      <w:r w:rsidRPr="00342D22">
        <w:rPr>
          <w:rFonts w:ascii="Book Antiqua" w:eastAsia="Calibri" w:hAnsi="Book Antiqua" w:cs="Arial"/>
          <w:sz w:val="24"/>
          <w:szCs w:val="24"/>
        </w:rPr>
        <w:t>La entrada promedio por plaza de persona juzgadora en Sarapiquí (entre todas las materias) es de 1</w:t>
      </w:r>
      <w:r w:rsidR="005A5414">
        <w:rPr>
          <w:rFonts w:ascii="Book Antiqua" w:eastAsia="Calibri" w:hAnsi="Book Antiqua" w:cs="Arial"/>
          <w:sz w:val="24"/>
          <w:szCs w:val="24"/>
        </w:rPr>
        <w:t>6</w:t>
      </w:r>
      <w:r w:rsidRPr="00342D22">
        <w:rPr>
          <w:rFonts w:ascii="Book Antiqua" w:eastAsia="Calibri" w:hAnsi="Book Antiqua" w:cs="Arial"/>
          <w:sz w:val="24"/>
          <w:szCs w:val="24"/>
        </w:rPr>
        <w:t>8 asuntos, 8 casos por día.  El promedio nacional es de 1</w:t>
      </w:r>
      <w:r w:rsidR="00D45E42">
        <w:rPr>
          <w:rFonts w:ascii="Book Antiqua" w:eastAsia="Calibri" w:hAnsi="Book Antiqua" w:cs="Arial"/>
          <w:sz w:val="24"/>
          <w:szCs w:val="24"/>
        </w:rPr>
        <w:t>30</w:t>
      </w:r>
      <w:r w:rsidRPr="00342D22">
        <w:rPr>
          <w:rFonts w:ascii="Book Antiqua" w:eastAsia="Calibri" w:hAnsi="Book Antiqua" w:cs="Arial"/>
          <w:sz w:val="24"/>
          <w:szCs w:val="24"/>
        </w:rPr>
        <w:t xml:space="preserve"> casos, sin embargo, la diferencia no justifica la asignación de recurso adicional.  </w:t>
      </w:r>
    </w:p>
    <w:p w14:paraId="4456CD87" w14:textId="4E324F90" w:rsidR="00342D22" w:rsidRPr="00342D22" w:rsidRDefault="00342D22" w:rsidP="00342D22">
      <w:pPr>
        <w:spacing w:after="0" w:line="276" w:lineRule="auto"/>
        <w:jc w:val="both"/>
        <w:rPr>
          <w:rFonts w:ascii="Book Antiqua" w:eastAsia="Calibri" w:hAnsi="Book Antiqua" w:cs="Arial"/>
          <w:sz w:val="24"/>
          <w:szCs w:val="24"/>
        </w:rPr>
      </w:pPr>
      <w:r w:rsidRPr="00342D22">
        <w:rPr>
          <w:rFonts w:ascii="Book Antiqua" w:eastAsia="Calibri" w:hAnsi="Book Antiqua" w:cs="Arial"/>
          <w:sz w:val="24"/>
          <w:szCs w:val="24"/>
        </w:rPr>
        <w:t>Respecto al personal técnico, tiene una entrada mensual de 3</w:t>
      </w:r>
      <w:r w:rsidR="005A5414">
        <w:rPr>
          <w:rFonts w:ascii="Book Antiqua" w:eastAsia="Calibri" w:hAnsi="Book Antiqua" w:cs="Arial"/>
          <w:sz w:val="24"/>
          <w:szCs w:val="24"/>
        </w:rPr>
        <w:t>4</w:t>
      </w:r>
      <w:r w:rsidRPr="00342D22">
        <w:rPr>
          <w:rFonts w:ascii="Book Antiqua" w:eastAsia="Calibri" w:hAnsi="Book Antiqua" w:cs="Arial"/>
          <w:sz w:val="24"/>
          <w:szCs w:val="24"/>
        </w:rPr>
        <w:t xml:space="preserve"> asuntos, por debajo del promedio entre homólogos que es de 3</w:t>
      </w:r>
      <w:r w:rsidR="00D45E42">
        <w:rPr>
          <w:rFonts w:ascii="Book Antiqua" w:eastAsia="Calibri" w:hAnsi="Book Antiqua" w:cs="Arial"/>
          <w:sz w:val="24"/>
          <w:szCs w:val="24"/>
        </w:rPr>
        <w:t>7</w:t>
      </w:r>
      <w:r w:rsidRPr="00342D22">
        <w:rPr>
          <w:rFonts w:ascii="Book Antiqua" w:eastAsia="Calibri" w:hAnsi="Book Antiqua" w:cs="Arial"/>
          <w:sz w:val="24"/>
          <w:szCs w:val="24"/>
        </w:rPr>
        <w:t xml:space="preserve">. </w:t>
      </w:r>
    </w:p>
    <w:p w14:paraId="41DC9AFE" w14:textId="27C0D0BF" w:rsidR="00421C5B" w:rsidRPr="0033044E" w:rsidRDefault="00F91104" w:rsidP="00421C5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caso de esta oficina, fue abordada en 2016-2017 con el proceso de reforma tanto Civil como Laboral y </w:t>
      </w:r>
      <w:r w:rsidR="00421C5B">
        <w:rPr>
          <w:rFonts w:ascii="Book Antiqua" w:eastAsia="Calibri" w:hAnsi="Book Antiqua" w:cs="Arial"/>
          <w:sz w:val="24"/>
          <w:szCs w:val="24"/>
        </w:rPr>
        <w:t xml:space="preserve">recientemente con ocasión del proyecto de implementación del Código Procesal de Familia, se emitió el </w:t>
      </w:r>
      <w:r w:rsidR="00421C5B" w:rsidRPr="00584BE8">
        <w:rPr>
          <w:rFonts w:ascii="Book Antiqua" w:eastAsia="Calibri" w:hAnsi="Book Antiqua" w:cs="Arial"/>
          <w:sz w:val="24"/>
          <w:szCs w:val="24"/>
        </w:rPr>
        <w:t xml:space="preserve">oficio </w:t>
      </w:r>
      <w:r w:rsidR="005064EA" w:rsidRPr="001D0C10">
        <w:rPr>
          <w:rFonts w:ascii="Book Antiqua" w:eastAsia="Calibri" w:hAnsi="Book Antiqua" w:cs="Arial"/>
          <w:sz w:val="24"/>
          <w:szCs w:val="24"/>
        </w:rPr>
        <w:t>19-PLA-EV-2021</w:t>
      </w:r>
      <w:r w:rsidR="00421C5B" w:rsidRPr="00584BE8">
        <w:rPr>
          <w:rFonts w:ascii="Book Antiqua" w:eastAsia="Calibri" w:hAnsi="Book Antiqua" w:cs="Arial"/>
          <w:sz w:val="24"/>
          <w:szCs w:val="24"/>
        </w:rPr>
        <w:t>, aprobado</w:t>
      </w:r>
      <w:r w:rsidR="00421C5B">
        <w:rPr>
          <w:rFonts w:ascii="Book Antiqua" w:eastAsia="Calibri" w:hAnsi="Book Antiqua" w:cs="Arial"/>
          <w:sz w:val="24"/>
          <w:szCs w:val="24"/>
        </w:rPr>
        <w:t xml:space="preserve"> por Consejo Superior en sesión </w:t>
      </w:r>
      <w:r w:rsidR="0078786A">
        <w:rPr>
          <w:rFonts w:ascii="Book Antiqua" w:eastAsia="Calibri" w:hAnsi="Book Antiqua" w:cs="Arial"/>
          <w:sz w:val="24"/>
          <w:szCs w:val="24"/>
        </w:rPr>
        <w:t xml:space="preserve">09-2021 del 2 de febrero de 2021, artículo </w:t>
      </w:r>
      <w:r w:rsidR="003346C0" w:rsidRPr="003346C0">
        <w:rPr>
          <w:rFonts w:ascii="Book Antiqua" w:eastAsia="Calibri" w:hAnsi="Book Antiqua" w:cs="Arial"/>
          <w:sz w:val="24"/>
          <w:szCs w:val="24"/>
        </w:rPr>
        <w:t>XXXIX</w:t>
      </w:r>
      <w:r>
        <w:rPr>
          <w:rFonts w:ascii="Book Antiqua" w:eastAsia="Calibri" w:hAnsi="Book Antiqua" w:cs="Arial"/>
          <w:sz w:val="24"/>
          <w:szCs w:val="24"/>
        </w:rPr>
        <w:t>, donde se analizó nuevamente la estructura de esta oficina.</w:t>
      </w:r>
    </w:p>
    <w:p w14:paraId="33D1C0D1" w14:textId="77777777" w:rsidR="00342D22" w:rsidRDefault="00342D22" w:rsidP="00355630">
      <w:pPr>
        <w:spacing w:after="0" w:line="276" w:lineRule="auto"/>
        <w:jc w:val="both"/>
        <w:rPr>
          <w:rFonts w:ascii="Book Antiqua" w:eastAsia="Calibri" w:hAnsi="Book Antiqua" w:cs="Arial"/>
          <w:sz w:val="24"/>
          <w:szCs w:val="24"/>
        </w:rPr>
      </w:pPr>
    </w:p>
    <w:p w14:paraId="47BC33C9" w14:textId="71626AAF" w:rsidR="009D7C4A" w:rsidRPr="008456A9" w:rsidRDefault="009D7C4A"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t>Juzgado Civil, Trabajo</w:t>
      </w:r>
      <w:r w:rsidR="005A5414" w:rsidRPr="008456A9">
        <w:rPr>
          <w:rFonts w:ascii="Book Antiqua" w:eastAsia="Calibri" w:hAnsi="Book Antiqua" w:cs="Arial"/>
          <w:b/>
          <w:bCs/>
          <w:sz w:val="24"/>
          <w:szCs w:val="24"/>
        </w:rPr>
        <w:t xml:space="preserve"> y</w:t>
      </w:r>
      <w:r w:rsidRPr="008456A9">
        <w:rPr>
          <w:rFonts w:ascii="Book Antiqua" w:eastAsia="Calibri" w:hAnsi="Book Antiqua" w:cs="Arial"/>
          <w:b/>
          <w:bCs/>
          <w:sz w:val="24"/>
          <w:szCs w:val="24"/>
        </w:rPr>
        <w:t xml:space="preserve"> Familia de Puriscal</w:t>
      </w:r>
    </w:p>
    <w:p w14:paraId="79603913" w14:textId="77777777" w:rsidR="009D7C4A" w:rsidRDefault="009D7C4A" w:rsidP="009D7C4A">
      <w:pPr>
        <w:spacing w:after="0" w:line="276" w:lineRule="auto"/>
        <w:jc w:val="both"/>
        <w:rPr>
          <w:rFonts w:ascii="Book Antiqua" w:eastAsia="Calibri" w:hAnsi="Book Antiqua" w:cs="Arial"/>
          <w:sz w:val="24"/>
          <w:szCs w:val="24"/>
        </w:rPr>
      </w:pPr>
    </w:p>
    <w:p w14:paraId="1A1B9238" w14:textId="7FB2A5AB" w:rsidR="009D7C4A" w:rsidRPr="009D7C4A" w:rsidRDefault="009D7C4A" w:rsidP="009D7C4A">
      <w:pPr>
        <w:spacing w:after="0" w:line="276" w:lineRule="auto"/>
        <w:jc w:val="both"/>
        <w:rPr>
          <w:rFonts w:ascii="Book Antiqua" w:eastAsia="Calibri" w:hAnsi="Book Antiqua" w:cs="Arial"/>
          <w:sz w:val="24"/>
          <w:szCs w:val="24"/>
        </w:rPr>
      </w:pPr>
      <w:r w:rsidRPr="009D7C4A">
        <w:rPr>
          <w:rFonts w:ascii="Book Antiqua" w:eastAsia="Calibri" w:hAnsi="Book Antiqua" w:cs="Arial"/>
          <w:sz w:val="24"/>
          <w:szCs w:val="24"/>
        </w:rPr>
        <w:t>En lo que respecta al</w:t>
      </w:r>
      <w:r w:rsidR="005A5414">
        <w:rPr>
          <w:rFonts w:ascii="Book Antiqua" w:eastAsia="Calibri" w:hAnsi="Book Antiqua" w:cs="Arial"/>
          <w:sz w:val="24"/>
          <w:szCs w:val="24"/>
        </w:rPr>
        <w:t xml:space="preserve"> </w:t>
      </w:r>
      <w:bookmarkStart w:id="50" w:name="_Hlk35525717"/>
      <w:r w:rsidRPr="009D7C4A">
        <w:rPr>
          <w:rFonts w:ascii="Book Antiqua" w:eastAsia="Calibri" w:hAnsi="Book Antiqua" w:cs="Arial"/>
          <w:sz w:val="24"/>
          <w:szCs w:val="24"/>
        </w:rPr>
        <w:t>Juzgado Civil, Trabajo</w:t>
      </w:r>
      <w:r w:rsidR="005A5414">
        <w:rPr>
          <w:rFonts w:ascii="Book Antiqua" w:eastAsia="Calibri" w:hAnsi="Book Antiqua" w:cs="Arial"/>
          <w:sz w:val="24"/>
          <w:szCs w:val="24"/>
        </w:rPr>
        <w:t xml:space="preserve"> y </w:t>
      </w:r>
      <w:r w:rsidRPr="009D7C4A">
        <w:rPr>
          <w:rFonts w:ascii="Book Antiqua" w:eastAsia="Calibri" w:hAnsi="Book Antiqua" w:cs="Arial"/>
          <w:sz w:val="24"/>
          <w:szCs w:val="24"/>
        </w:rPr>
        <w:t>Familia</w:t>
      </w:r>
      <w:r w:rsidR="005A5414">
        <w:rPr>
          <w:rFonts w:ascii="Book Antiqua" w:eastAsia="Calibri" w:hAnsi="Book Antiqua" w:cs="Arial"/>
          <w:sz w:val="24"/>
          <w:szCs w:val="24"/>
        </w:rPr>
        <w:t xml:space="preserve"> </w:t>
      </w:r>
      <w:r w:rsidRPr="009D7C4A">
        <w:rPr>
          <w:rFonts w:ascii="Book Antiqua" w:eastAsia="Calibri" w:hAnsi="Book Antiqua" w:cs="Arial"/>
          <w:sz w:val="24"/>
          <w:szCs w:val="24"/>
        </w:rPr>
        <w:t>de Puriscal</w:t>
      </w:r>
      <w:bookmarkEnd w:id="50"/>
      <w:r w:rsidRPr="009D7C4A">
        <w:rPr>
          <w:rFonts w:ascii="Book Antiqua" w:eastAsia="Calibri" w:hAnsi="Book Antiqua" w:cs="Arial"/>
          <w:sz w:val="24"/>
          <w:szCs w:val="24"/>
        </w:rPr>
        <w:t xml:space="preserve">, registra una entrada promedio por plaza de persona juzgadora y de técnica que se ajusta al promedio entre oficinas </w:t>
      </w:r>
      <w:r w:rsidRPr="00CF2086">
        <w:rPr>
          <w:rFonts w:ascii="Book Antiqua" w:eastAsia="Calibri" w:hAnsi="Book Antiqua" w:cs="Arial"/>
          <w:sz w:val="24"/>
          <w:szCs w:val="24"/>
        </w:rPr>
        <w:t>homologas,</w:t>
      </w:r>
      <w:r w:rsidRPr="009D7C4A">
        <w:rPr>
          <w:rFonts w:ascii="Book Antiqua" w:eastAsia="Calibri" w:hAnsi="Book Antiqua" w:cs="Arial"/>
          <w:sz w:val="24"/>
          <w:szCs w:val="24"/>
        </w:rPr>
        <w:t xml:space="preserve"> con una entrada mensual por Jueza o Juez de </w:t>
      </w:r>
      <w:r w:rsidRPr="00CF2086">
        <w:rPr>
          <w:rFonts w:ascii="Book Antiqua" w:eastAsia="Calibri" w:hAnsi="Book Antiqua" w:cs="Arial"/>
          <w:sz w:val="24"/>
          <w:szCs w:val="24"/>
        </w:rPr>
        <w:t>1</w:t>
      </w:r>
      <w:r w:rsidR="00CF2086" w:rsidRPr="00CF2086">
        <w:rPr>
          <w:rFonts w:ascii="Book Antiqua" w:eastAsia="Calibri" w:hAnsi="Book Antiqua" w:cs="Arial"/>
          <w:sz w:val="24"/>
          <w:szCs w:val="24"/>
        </w:rPr>
        <w:t>45</w:t>
      </w:r>
      <w:r w:rsidRPr="00CF2086">
        <w:rPr>
          <w:rFonts w:ascii="Book Antiqua" w:eastAsia="Calibri" w:hAnsi="Book Antiqua" w:cs="Arial"/>
          <w:sz w:val="24"/>
          <w:szCs w:val="24"/>
        </w:rPr>
        <w:t xml:space="preserve"> casos y de 3</w:t>
      </w:r>
      <w:r w:rsidR="00CF2086" w:rsidRPr="00CF2086">
        <w:rPr>
          <w:rFonts w:ascii="Book Antiqua" w:eastAsia="Calibri" w:hAnsi="Book Antiqua" w:cs="Arial"/>
          <w:sz w:val="24"/>
          <w:szCs w:val="24"/>
        </w:rPr>
        <w:t>6</w:t>
      </w:r>
      <w:r w:rsidRPr="00CF2086">
        <w:rPr>
          <w:rFonts w:ascii="Book Antiqua" w:eastAsia="Calibri" w:hAnsi="Book Antiqua" w:cs="Arial"/>
          <w:sz w:val="24"/>
          <w:szCs w:val="24"/>
        </w:rPr>
        <w:t xml:space="preserve"> por</w:t>
      </w:r>
      <w:r w:rsidRPr="009D7C4A">
        <w:rPr>
          <w:rFonts w:ascii="Book Antiqua" w:eastAsia="Calibri" w:hAnsi="Book Antiqua" w:cs="Arial"/>
          <w:sz w:val="24"/>
          <w:szCs w:val="24"/>
        </w:rPr>
        <w:t xml:space="preserve"> Técnica o Técnico Judicial de trámite. </w:t>
      </w:r>
    </w:p>
    <w:p w14:paraId="1D57D939" w14:textId="5C5E3DCD" w:rsidR="00421C5B" w:rsidRPr="0033044E" w:rsidRDefault="00F91104" w:rsidP="00421C5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caso de esta oficina, fue abordada </w:t>
      </w:r>
      <w:r w:rsidRPr="00584BE8">
        <w:rPr>
          <w:rFonts w:ascii="Book Antiqua" w:eastAsia="Calibri" w:hAnsi="Book Antiqua" w:cs="Arial"/>
          <w:sz w:val="24"/>
          <w:szCs w:val="24"/>
        </w:rPr>
        <w:t>en 2016-2017 con el proceso de reforma tanto Civil como Laboral y</w:t>
      </w:r>
      <w:r w:rsidR="00421C5B" w:rsidRPr="00584BE8">
        <w:rPr>
          <w:rFonts w:ascii="Book Antiqua" w:eastAsia="Calibri" w:hAnsi="Book Antiqua" w:cs="Arial"/>
          <w:sz w:val="24"/>
          <w:szCs w:val="24"/>
        </w:rPr>
        <w:t xml:space="preserve"> recientemente con ocasión del proyecto de implementación del Código Procesal de Familia, se emitió el oficio </w:t>
      </w:r>
      <w:r w:rsidR="00226F11" w:rsidRPr="001D0C10">
        <w:rPr>
          <w:rFonts w:ascii="Book Antiqua" w:eastAsia="Calibri" w:hAnsi="Book Antiqua" w:cs="Arial"/>
          <w:sz w:val="24"/>
          <w:szCs w:val="24"/>
        </w:rPr>
        <w:t>175-PLA-EV-2021</w:t>
      </w:r>
      <w:r w:rsidR="00421C5B" w:rsidRPr="00584BE8">
        <w:rPr>
          <w:rFonts w:ascii="Book Antiqua" w:eastAsia="Calibri" w:hAnsi="Book Antiqua" w:cs="Arial"/>
          <w:sz w:val="24"/>
          <w:szCs w:val="24"/>
        </w:rPr>
        <w:t xml:space="preserve">, aprobado por Consejo Superior en sesión </w:t>
      </w:r>
      <w:r w:rsidR="00226F11" w:rsidRPr="00584BE8">
        <w:rPr>
          <w:rFonts w:ascii="Book Antiqua" w:eastAsia="Calibri" w:hAnsi="Book Antiqua" w:cs="Arial"/>
          <w:sz w:val="24"/>
          <w:szCs w:val="24"/>
        </w:rPr>
        <w:t xml:space="preserve">14-2021 del </w:t>
      </w:r>
      <w:r w:rsidR="00574829" w:rsidRPr="00584BE8">
        <w:rPr>
          <w:rFonts w:ascii="Book Antiqua" w:eastAsia="Calibri" w:hAnsi="Book Antiqua" w:cs="Arial"/>
          <w:sz w:val="24"/>
          <w:szCs w:val="24"/>
        </w:rPr>
        <w:t>18 de febrero de 2021, artículo</w:t>
      </w:r>
      <w:r w:rsidR="00574829">
        <w:rPr>
          <w:rFonts w:ascii="Book Antiqua" w:eastAsia="Calibri" w:hAnsi="Book Antiqua" w:cs="Arial"/>
          <w:sz w:val="24"/>
          <w:szCs w:val="24"/>
        </w:rPr>
        <w:t xml:space="preserve"> </w:t>
      </w:r>
      <w:r w:rsidR="00574829" w:rsidRPr="00574829">
        <w:rPr>
          <w:rFonts w:ascii="Book Antiqua" w:eastAsia="Calibri" w:hAnsi="Book Antiqua" w:cs="Arial"/>
          <w:sz w:val="24"/>
          <w:szCs w:val="24"/>
        </w:rPr>
        <w:t>XLIV</w:t>
      </w:r>
      <w:r>
        <w:rPr>
          <w:rFonts w:ascii="Book Antiqua" w:eastAsia="Calibri" w:hAnsi="Book Antiqua" w:cs="Arial"/>
          <w:sz w:val="24"/>
          <w:szCs w:val="24"/>
        </w:rPr>
        <w:t>, donde se analizó nuevamente la estructura de esta oficina.</w:t>
      </w:r>
    </w:p>
    <w:p w14:paraId="0440995E" w14:textId="77777777" w:rsidR="00421C5B" w:rsidRPr="009D7C4A" w:rsidRDefault="00421C5B" w:rsidP="009D7C4A">
      <w:pPr>
        <w:spacing w:after="0" w:line="276" w:lineRule="auto"/>
        <w:jc w:val="both"/>
        <w:rPr>
          <w:rFonts w:ascii="Book Antiqua" w:eastAsia="Calibri" w:hAnsi="Book Antiqua" w:cs="Arial"/>
          <w:sz w:val="24"/>
          <w:szCs w:val="24"/>
        </w:rPr>
      </w:pPr>
    </w:p>
    <w:p w14:paraId="62A752B6" w14:textId="65298AF8" w:rsidR="009D7C4A" w:rsidRPr="009D7C4A" w:rsidRDefault="009D7C4A" w:rsidP="009D7C4A">
      <w:pPr>
        <w:spacing w:after="0" w:line="276" w:lineRule="auto"/>
        <w:jc w:val="both"/>
        <w:rPr>
          <w:rFonts w:ascii="Book Antiqua" w:eastAsia="Calibri" w:hAnsi="Book Antiqua" w:cs="Arial"/>
          <w:sz w:val="24"/>
          <w:szCs w:val="24"/>
        </w:rPr>
      </w:pPr>
      <w:r w:rsidRPr="009D7C4A">
        <w:rPr>
          <w:rFonts w:ascii="Book Antiqua" w:eastAsia="Calibri" w:hAnsi="Book Antiqua" w:cs="Arial"/>
          <w:sz w:val="24"/>
          <w:szCs w:val="24"/>
        </w:rPr>
        <w:t>Se estima que con el CPF los despachos</w:t>
      </w:r>
      <w:r w:rsidR="00CF2086">
        <w:rPr>
          <w:rFonts w:ascii="Book Antiqua" w:eastAsia="Calibri" w:hAnsi="Book Antiqua" w:cs="Arial"/>
          <w:sz w:val="24"/>
          <w:szCs w:val="24"/>
        </w:rPr>
        <w:t>,</w:t>
      </w:r>
      <w:r w:rsidRPr="009D7C4A">
        <w:rPr>
          <w:rFonts w:ascii="Book Antiqua" w:eastAsia="Calibri" w:hAnsi="Book Antiqua" w:cs="Arial"/>
          <w:sz w:val="24"/>
          <w:szCs w:val="24"/>
        </w:rPr>
        <w:t xml:space="preserve"> incluidos los mixtos de más de 5 </w:t>
      </w:r>
      <w:r w:rsidR="00CF2086" w:rsidRPr="009D7C4A">
        <w:rPr>
          <w:rFonts w:ascii="Book Antiqua" w:eastAsia="Calibri" w:hAnsi="Book Antiqua" w:cs="Arial"/>
          <w:sz w:val="24"/>
          <w:szCs w:val="24"/>
        </w:rPr>
        <w:t>materias registrarán</w:t>
      </w:r>
      <w:r w:rsidRPr="009D7C4A">
        <w:rPr>
          <w:rFonts w:ascii="Book Antiqua" w:eastAsia="Calibri" w:hAnsi="Book Antiqua" w:cs="Arial"/>
          <w:sz w:val="24"/>
          <w:szCs w:val="24"/>
        </w:rPr>
        <w:t xml:space="preserve"> una reducción en la cantidad de entrados en materia de Familia, mejorando el porcentaje de la relación de terminados y entrados, llegándose a registrar valores superiores al 100%, esto producto de la desjudicialización de procesos.</w:t>
      </w:r>
    </w:p>
    <w:p w14:paraId="78201D1E" w14:textId="77777777" w:rsidR="000E3CCF" w:rsidRDefault="000E3CCF" w:rsidP="009D7C4A">
      <w:pPr>
        <w:spacing w:after="0" w:line="276" w:lineRule="auto"/>
        <w:jc w:val="both"/>
        <w:rPr>
          <w:rFonts w:ascii="Book Antiqua" w:eastAsia="Calibri" w:hAnsi="Book Antiqua" w:cs="Arial"/>
          <w:sz w:val="24"/>
          <w:szCs w:val="24"/>
        </w:rPr>
      </w:pPr>
    </w:p>
    <w:p w14:paraId="188D2A93" w14:textId="7ECC2122" w:rsidR="009D7C4A" w:rsidRPr="009D7C4A" w:rsidRDefault="009D7C4A" w:rsidP="009D7C4A">
      <w:pPr>
        <w:spacing w:after="0" w:line="276" w:lineRule="auto"/>
        <w:jc w:val="both"/>
        <w:rPr>
          <w:rFonts w:ascii="Book Antiqua" w:eastAsia="Calibri" w:hAnsi="Book Antiqua" w:cs="Arial"/>
          <w:sz w:val="24"/>
          <w:szCs w:val="24"/>
        </w:rPr>
      </w:pPr>
      <w:r w:rsidRPr="009D7C4A">
        <w:rPr>
          <w:rFonts w:ascii="Book Antiqua" w:eastAsia="Calibri" w:hAnsi="Book Antiqua" w:cs="Arial"/>
          <w:sz w:val="24"/>
          <w:szCs w:val="24"/>
        </w:rPr>
        <w:t xml:space="preserve">Adicional, en el caso de los despachos de Familia que además son competentes en  Penal Juvenil, se mantiene la propuesta de mantener el personal actual para </w:t>
      </w:r>
      <w:r w:rsidRPr="009D7C4A">
        <w:rPr>
          <w:rFonts w:ascii="Book Antiqua" w:eastAsia="Calibri" w:hAnsi="Book Antiqua" w:cs="Arial"/>
          <w:sz w:val="24"/>
          <w:szCs w:val="24"/>
        </w:rPr>
        <w:lastRenderedPageBreak/>
        <w:t>disminuir el circulante de estos despachos y brindar una respuesta ajustada a las necesidades de los menores de edad, dada la vulnerabilidad de la materia, que las Fiscalías que atienden dicha materia valoren la posibilidad de que algunos de los casos de materia Penal Juvenil sean atendidos mediante el Programa de</w:t>
      </w:r>
      <w:r w:rsidRPr="009D7C4A" w:rsidDel="0007059A">
        <w:rPr>
          <w:rFonts w:ascii="Book Antiqua" w:eastAsia="Calibri" w:hAnsi="Book Antiqua" w:cs="Arial"/>
          <w:sz w:val="24"/>
          <w:szCs w:val="24"/>
        </w:rPr>
        <w:t xml:space="preserve"> </w:t>
      </w:r>
      <w:r w:rsidRPr="009D7C4A">
        <w:rPr>
          <w:rFonts w:ascii="Book Antiqua" w:eastAsia="Calibri" w:hAnsi="Book Antiqua" w:cs="Arial"/>
          <w:sz w:val="24"/>
          <w:szCs w:val="24"/>
        </w:rPr>
        <w:t>Justicia Restaurativa de la región en que se cuenta cada uno de esos despachos. A la fecha existe un equipo de Justicia Restaurativa para atender el II y III Circuito Judicial de San José, I Circuito Judicial de Alajuela, Circuito Judicial de Heredia, Circuito Judicial de Cartago, I Circuito Judicial de la Zona Sur, II Circuito Judicial de la Zona Atlántica, Circuito Judicial de Puntarenas y I Circuito Judicial de Guanacaste.</w:t>
      </w:r>
    </w:p>
    <w:p w14:paraId="3359EAA0" w14:textId="1B8AD1B2" w:rsidR="00F50DD3" w:rsidRDefault="00F50DD3" w:rsidP="00355630">
      <w:pPr>
        <w:spacing w:after="0" w:line="276" w:lineRule="auto"/>
        <w:jc w:val="both"/>
        <w:rPr>
          <w:rFonts w:ascii="Book Antiqua" w:eastAsia="Calibri" w:hAnsi="Book Antiqua" w:cs="Arial"/>
          <w:sz w:val="24"/>
          <w:szCs w:val="24"/>
        </w:rPr>
      </w:pPr>
    </w:p>
    <w:p w14:paraId="727588BC" w14:textId="417A64D2" w:rsidR="00795EE6" w:rsidRPr="00795EE6" w:rsidRDefault="00795EE6" w:rsidP="00795EE6">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51" w:name="_Hlk97533859"/>
      <w:r w:rsidRPr="00795EE6">
        <w:rPr>
          <w:rFonts w:ascii="Book Antiqua" w:eastAsia="Calibri" w:hAnsi="Book Antiqua" w:cs="Arial"/>
          <w:b/>
          <w:bCs/>
          <w:color w:val="1F497D"/>
          <w:szCs w:val="24"/>
          <w:lang w:val="es-ES" w:eastAsia="es-ES"/>
        </w:rPr>
        <w:t xml:space="preserve">Cuadro </w:t>
      </w:r>
      <w:r w:rsidRPr="00795EE6">
        <w:rPr>
          <w:rFonts w:ascii="Book Antiqua" w:eastAsia="Calibri" w:hAnsi="Book Antiqua" w:cs="Arial"/>
          <w:b/>
          <w:bCs/>
          <w:color w:val="1F497D"/>
          <w:szCs w:val="24"/>
          <w:lang w:val="es-ES" w:eastAsia="es-ES"/>
        </w:rPr>
        <w:fldChar w:fldCharType="begin"/>
      </w:r>
      <w:r w:rsidRPr="00795EE6">
        <w:rPr>
          <w:rFonts w:ascii="Book Antiqua" w:eastAsia="Calibri" w:hAnsi="Book Antiqua" w:cs="Arial"/>
          <w:b/>
          <w:bCs/>
          <w:color w:val="1F497D"/>
          <w:szCs w:val="24"/>
          <w:lang w:val="es-ES" w:eastAsia="es-ES"/>
        </w:rPr>
        <w:instrText xml:space="preserve"> SEQ Cuadro \* ARABIC </w:instrText>
      </w:r>
      <w:r w:rsidRPr="00795EE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51</w:t>
      </w:r>
      <w:r w:rsidRPr="00795EE6">
        <w:rPr>
          <w:rFonts w:ascii="Book Antiqua" w:eastAsia="Calibri" w:hAnsi="Book Antiqua" w:cs="Arial"/>
          <w:b/>
          <w:bCs/>
          <w:color w:val="1F497D"/>
          <w:szCs w:val="24"/>
          <w:lang w:val="es-ES" w:eastAsia="es-ES"/>
        </w:rPr>
        <w:fldChar w:fldCharType="end"/>
      </w:r>
      <w:r w:rsidRPr="00795EE6">
        <w:rPr>
          <w:rFonts w:ascii="Book Antiqua" w:eastAsia="Calibri" w:hAnsi="Book Antiqua" w:cs="Arial"/>
          <w:b/>
          <w:bCs/>
          <w:color w:val="1F497D"/>
          <w:szCs w:val="24"/>
          <w:lang w:val="es-ES" w:eastAsia="es-ES"/>
        </w:rPr>
        <w:t xml:space="preserve"> </w:t>
      </w:r>
    </w:p>
    <w:p w14:paraId="220B9866" w14:textId="77777777" w:rsidR="00795EE6" w:rsidRPr="00795EE6" w:rsidRDefault="00795EE6" w:rsidP="00795EE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795EE6">
        <w:rPr>
          <w:rFonts w:ascii="Book Antiqua" w:eastAsia="Calibri" w:hAnsi="Book Antiqua" w:cs="Arial"/>
          <w:b/>
          <w:bCs/>
          <w:color w:val="1F497D"/>
          <w:szCs w:val="24"/>
          <w:lang w:val="es-ES" w:eastAsia="es-ES"/>
        </w:rPr>
        <w:t>Carga de trabajo para los Juzgados de Familia que atienden la materia Penal Juvenil</w:t>
      </w:r>
    </w:p>
    <w:tbl>
      <w:tblPr>
        <w:tblW w:w="5000" w:type="pct"/>
        <w:tblCellMar>
          <w:left w:w="70" w:type="dxa"/>
          <w:right w:w="70" w:type="dxa"/>
        </w:tblCellMar>
        <w:tblLook w:val="04A0" w:firstRow="1" w:lastRow="0" w:firstColumn="1" w:lastColumn="0" w:noHBand="0" w:noVBand="1"/>
      </w:tblPr>
      <w:tblGrid>
        <w:gridCol w:w="5982"/>
        <w:gridCol w:w="824"/>
        <w:gridCol w:w="1067"/>
        <w:gridCol w:w="945"/>
      </w:tblGrid>
      <w:tr w:rsidR="006F27B4" w:rsidRPr="006F27B4" w14:paraId="60FAB403" w14:textId="77777777" w:rsidTr="001D0C10">
        <w:trPr>
          <w:trHeight w:val="590"/>
        </w:trPr>
        <w:tc>
          <w:tcPr>
            <w:tcW w:w="3425" w:type="pct"/>
            <w:tcBorders>
              <w:top w:val="single" w:sz="8" w:space="0" w:color="auto"/>
              <w:left w:val="single" w:sz="8" w:space="0" w:color="auto"/>
              <w:bottom w:val="single" w:sz="8" w:space="0" w:color="auto"/>
              <w:right w:val="single" w:sz="8" w:space="0" w:color="auto"/>
            </w:tcBorders>
            <w:shd w:val="clear" w:color="000000" w:fill="002060"/>
            <w:vAlign w:val="center"/>
            <w:hideMark/>
          </w:tcPr>
          <w:bookmarkEnd w:id="51"/>
          <w:p w14:paraId="629623EF" w14:textId="77777777" w:rsidR="006F27B4" w:rsidRPr="006F27B4" w:rsidRDefault="006F27B4" w:rsidP="006F27B4">
            <w:pPr>
              <w:spacing w:after="0" w:line="240" w:lineRule="auto"/>
              <w:jc w:val="center"/>
              <w:rPr>
                <w:rFonts w:ascii="Book Antiqua" w:eastAsia="Times New Roman" w:hAnsi="Book Antiqua" w:cs="Calibri"/>
                <w:b/>
                <w:bCs/>
                <w:color w:val="FFFFFF"/>
                <w:lang w:eastAsia="es-CR"/>
              </w:rPr>
            </w:pPr>
            <w:r w:rsidRPr="006F27B4">
              <w:rPr>
                <w:rFonts w:ascii="Book Antiqua" w:eastAsia="Times New Roman" w:hAnsi="Book Antiqua" w:cs="Calibri"/>
                <w:b/>
                <w:bCs/>
                <w:color w:val="FFFFFF"/>
                <w:lang w:eastAsia="es-CR"/>
              </w:rPr>
              <w:t>Despacho</w:t>
            </w:r>
          </w:p>
        </w:tc>
        <w:tc>
          <w:tcPr>
            <w:tcW w:w="455" w:type="pct"/>
            <w:tcBorders>
              <w:top w:val="single" w:sz="8" w:space="0" w:color="auto"/>
              <w:left w:val="nil"/>
              <w:bottom w:val="single" w:sz="8" w:space="0" w:color="auto"/>
              <w:right w:val="single" w:sz="8" w:space="0" w:color="auto"/>
            </w:tcBorders>
            <w:shd w:val="clear" w:color="000000" w:fill="002060"/>
            <w:vAlign w:val="center"/>
            <w:hideMark/>
          </w:tcPr>
          <w:p w14:paraId="34ED7F43" w14:textId="77777777" w:rsidR="006F27B4" w:rsidRPr="006F27B4" w:rsidRDefault="006F27B4" w:rsidP="006F27B4">
            <w:pPr>
              <w:spacing w:after="0" w:line="240" w:lineRule="auto"/>
              <w:jc w:val="center"/>
              <w:rPr>
                <w:rFonts w:ascii="Book Antiqua" w:eastAsia="Times New Roman" w:hAnsi="Book Antiqua" w:cs="Calibri"/>
                <w:b/>
                <w:bCs/>
                <w:color w:val="FFFFFF"/>
                <w:lang w:eastAsia="es-CR"/>
              </w:rPr>
            </w:pPr>
            <w:r w:rsidRPr="006F27B4">
              <w:rPr>
                <w:rFonts w:ascii="Book Antiqua" w:eastAsia="Times New Roman" w:hAnsi="Book Antiqua" w:cs="Calibri"/>
                <w:b/>
                <w:bCs/>
                <w:color w:val="FFFFFF"/>
                <w:lang w:eastAsia="es-CR"/>
              </w:rPr>
              <w:t>Entrados totales 2021</w:t>
            </w:r>
          </w:p>
        </w:tc>
        <w:tc>
          <w:tcPr>
            <w:tcW w:w="595" w:type="pct"/>
            <w:tcBorders>
              <w:top w:val="single" w:sz="8" w:space="0" w:color="auto"/>
              <w:left w:val="nil"/>
              <w:bottom w:val="single" w:sz="8" w:space="0" w:color="auto"/>
              <w:right w:val="single" w:sz="8" w:space="0" w:color="auto"/>
            </w:tcBorders>
            <w:shd w:val="clear" w:color="000000" w:fill="002060"/>
            <w:vAlign w:val="center"/>
            <w:hideMark/>
          </w:tcPr>
          <w:p w14:paraId="1637F559" w14:textId="77777777" w:rsidR="006F27B4" w:rsidRPr="006F27B4" w:rsidRDefault="006F27B4" w:rsidP="006F27B4">
            <w:pPr>
              <w:spacing w:after="0" w:line="240" w:lineRule="auto"/>
              <w:jc w:val="center"/>
              <w:rPr>
                <w:rFonts w:ascii="Book Antiqua" w:eastAsia="Times New Roman" w:hAnsi="Book Antiqua" w:cs="Calibri"/>
                <w:b/>
                <w:bCs/>
                <w:color w:val="FFFFFF"/>
                <w:lang w:eastAsia="es-CR"/>
              </w:rPr>
            </w:pPr>
            <w:r w:rsidRPr="006F27B4">
              <w:rPr>
                <w:rFonts w:ascii="Book Antiqua" w:eastAsia="Times New Roman" w:hAnsi="Book Antiqua" w:cs="Calibri"/>
                <w:b/>
                <w:bCs/>
                <w:color w:val="FFFFFF"/>
                <w:lang w:eastAsia="es-CR"/>
              </w:rPr>
              <w:t>Terminados 2021</w:t>
            </w:r>
          </w:p>
        </w:tc>
        <w:tc>
          <w:tcPr>
            <w:tcW w:w="525" w:type="pct"/>
            <w:tcBorders>
              <w:top w:val="single" w:sz="8" w:space="0" w:color="auto"/>
              <w:left w:val="nil"/>
              <w:bottom w:val="single" w:sz="8" w:space="0" w:color="auto"/>
              <w:right w:val="single" w:sz="8" w:space="0" w:color="auto"/>
            </w:tcBorders>
            <w:shd w:val="clear" w:color="000000" w:fill="002060"/>
            <w:vAlign w:val="center"/>
            <w:hideMark/>
          </w:tcPr>
          <w:p w14:paraId="7BCC2029" w14:textId="77777777" w:rsidR="006F27B4" w:rsidRPr="006F27B4" w:rsidRDefault="006F27B4" w:rsidP="006F27B4">
            <w:pPr>
              <w:spacing w:after="0" w:line="240" w:lineRule="auto"/>
              <w:jc w:val="center"/>
              <w:rPr>
                <w:rFonts w:ascii="Book Antiqua" w:eastAsia="Times New Roman" w:hAnsi="Book Antiqua" w:cs="Calibri"/>
                <w:b/>
                <w:bCs/>
                <w:color w:val="FFFFFF"/>
                <w:lang w:eastAsia="es-CR"/>
              </w:rPr>
            </w:pPr>
            <w:r w:rsidRPr="006F27B4">
              <w:rPr>
                <w:rFonts w:ascii="Book Antiqua" w:eastAsia="Times New Roman" w:hAnsi="Book Antiqua" w:cs="Calibri"/>
                <w:b/>
                <w:bCs/>
                <w:color w:val="FFFFFF"/>
                <w:lang w:eastAsia="es-CR"/>
              </w:rPr>
              <w:t>Circulante al 31/12/2021</w:t>
            </w:r>
          </w:p>
        </w:tc>
      </w:tr>
      <w:tr w:rsidR="006F27B4" w:rsidRPr="006F27B4" w14:paraId="29D0E9B9"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0CD8BF52"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Civil, Trabajo y Familia II Circuito Judicial de Alajuela sede Upala</w:t>
            </w:r>
          </w:p>
        </w:tc>
        <w:tc>
          <w:tcPr>
            <w:tcW w:w="455" w:type="pct"/>
            <w:tcBorders>
              <w:top w:val="nil"/>
              <w:left w:val="nil"/>
              <w:bottom w:val="single" w:sz="8" w:space="0" w:color="auto"/>
              <w:right w:val="single" w:sz="8" w:space="0" w:color="auto"/>
            </w:tcBorders>
            <w:shd w:val="clear" w:color="auto" w:fill="auto"/>
            <w:noWrap/>
            <w:vAlign w:val="center"/>
            <w:hideMark/>
          </w:tcPr>
          <w:p w14:paraId="7230534D"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83</w:t>
            </w:r>
          </w:p>
        </w:tc>
        <w:tc>
          <w:tcPr>
            <w:tcW w:w="595" w:type="pct"/>
            <w:tcBorders>
              <w:top w:val="nil"/>
              <w:left w:val="nil"/>
              <w:bottom w:val="single" w:sz="8" w:space="0" w:color="auto"/>
              <w:right w:val="single" w:sz="8" w:space="0" w:color="auto"/>
            </w:tcBorders>
            <w:shd w:val="clear" w:color="auto" w:fill="auto"/>
            <w:noWrap/>
            <w:vAlign w:val="center"/>
            <w:hideMark/>
          </w:tcPr>
          <w:p w14:paraId="42F898C0"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113</w:t>
            </w:r>
          </w:p>
        </w:tc>
        <w:tc>
          <w:tcPr>
            <w:tcW w:w="525" w:type="pct"/>
            <w:tcBorders>
              <w:top w:val="nil"/>
              <w:left w:val="nil"/>
              <w:bottom w:val="single" w:sz="8" w:space="0" w:color="auto"/>
              <w:right w:val="single" w:sz="8" w:space="0" w:color="auto"/>
            </w:tcBorders>
            <w:shd w:val="clear" w:color="auto" w:fill="auto"/>
            <w:noWrap/>
            <w:vAlign w:val="center"/>
            <w:hideMark/>
          </w:tcPr>
          <w:p w14:paraId="5608C741"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72</w:t>
            </w:r>
          </w:p>
        </w:tc>
      </w:tr>
      <w:tr w:rsidR="006F27B4" w:rsidRPr="006F27B4" w14:paraId="47A22452"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4EA32144"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Civil, Trabajo, Familia, Penal Juvenil y Violencia Doméstica Sarapiquí</w:t>
            </w:r>
          </w:p>
        </w:tc>
        <w:tc>
          <w:tcPr>
            <w:tcW w:w="455" w:type="pct"/>
            <w:tcBorders>
              <w:top w:val="nil"/>
              <w:left w:val="nil"/>
              <w:bottom w:val="single" w:sz="8" w:space="0" w:color="auto"/>
              <w:right w:val="single" w:sz="8" w:space="0" w:color="auto"/>
            </w:tcBorders>
            <w:shd w:val="clear" w:color="auto" w:fill="auto"/>
            <w:noWrap/>
            <w:vAlign w:val="center"/>
            <w:hideMark/>
          </w:tcPr>
          <w:p w14:paraId="63401D58"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86</w:t>
            </w:r>
          </w:p>
        </w:tc>
        <w:tc>
          <w:tcPr>
            <w:tcW w:w="595" w:type="pct"/>
            <w:tcBorders>
              <w:top w:val="nil"/>
              <w:left w:val="nil"/>
              <w:bottom w:val="single" w:sz="8" w:space="0" w:color="auto"/>
              <w:right w:val="single" w:sz="8" w:space="0" w:color="auto"/>
            </w:tcBorders>
            <w:shd w:val="clear" w:color="auto" w:fill="auto"/>
            <w:noWrap/>
            <w:vAlign w:val="center"/>
            <w:hideMark/>
          </w:tcPr>
          <w:p w14:paraId="2DB2AB89"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91</w:t>
            </w:r>
          </w:p>
        </w:tc>
        <w:tc>
          <w:tcPr>
            <w:tcW w:w="525" w:type="pct"/>
            <w:tcBorders>
              <w:top w:val="nil"/>
              <w:left w:val="nil"/>
              <w:bottom w:val="single" w:sz="8" w:space="0" w:color="auto"/>
              <w:right w:val="single" w:sz="8" w:space="0" w:color="auto"/>
            </w:tcBorders>
            <w:shd w:val="clear" w:color="auto" w:fill="auto"/>
            <w:noWrap/>
            <w:vAlign w:val="center"/>
            <w:hideMark/>
          </w:tcPr>
          <w:p w14:paraId="3A6B7632"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45</w:t>
            </w:r>
          </w:p>
        </w:tc>
      </w:tr>
      <w:tr w:rsidR="006F27B4" w:rsidRPr="006F27B4" w14:paraId="05990217"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3258348F"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Familia, Penal Juvenil y Violencia Doméstica Cañas</w:t>
            </w:r>
          </w:p>
        </w:tc>
        <w:tc>
          <w:tcPr>
            <w:tcW w:w="455" w:type="pct"/>
            <w:tcBorders>
              <w:top w:val="nil"/>
              <w:left w:val="nil"/>
              <w:bottom w:val="single" w:sz="8" w:space="0" w:color="auto"/>
              <w:right w:val="single" w:sz="8" w:space="0" w:color="auto"/>
            </w:tcBorders>
            <w:shd w:val="clear" w:color="auto" w:fill="auto"/>
            <w:noWrap/>
            <w:vAlign w:val="center"/>
            <w:hideMark/>
          </w:tcPr>
          <w:p w14:paraId="7CE51276"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108</w:t>
            </w:r>
          </w:p>
        </w:tc>
        <w:tc>
          <w:tcPr>
            <w:tcW w:w="595" w:type="pct"/>
            <w:tcBorders>
              <w:top w:val="nil"/>
              <w:left w:val="nil"/>
              <w:bottom w:val="single" w:sz="8" w:space="0" w:color="auto"/>
              <w:right w:val="single" w:sz="8" w:space="0" w:color="auto"/>
            </w:tcBorders>
            <w:shd w:val="clear" w:color="auto" w:fill="auto"/>
            <w:noWrap/>
            <w:vAlign w:val="center"/>
            <w:hideMark/>
          </w:tcPr>
          <w:p w14:paraId="7B0221C3"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112</w:t>
            </w:r>
          </w:p>
        </w:tc>
        <w:tc>
          <w:tcPr>
            <w:tcW w:w="525" w:type="pct"/>
            <w:tcBorders>
              <w:top w:val="nil"/>
              <w:left w:val="nil"/>
              <w:bottom w:val="single" w:sz="8" w:space="0" w:color="auto"/>
              <w:right w:val="single" w:sz="8" w:space="0" w:color="auto"/>
            </w:tcBorders>
            <w:shd w:val="clear" w:color="auto" w:fill="auto"/>
            <w:noWrap/>
            <w:vAlign w:val="center"/>
            <w:hideMark/>
          </w:tcPr>
          <w:p w14:paraId="1BD6416F"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84</w:t>
            </w:r>
          </w:p>
        </w:tc>
      </w:tr>
      <w:tr w:rsidR="006F27B4" w:rsidRPr="006F27B4" w14:paraId="241699B5"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59F1D9C3"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Civil, Trabajo y Familia Buenos Aires</w:t>
            </w:r>
          </w:p>
        </w:tc>
        <w:tc>
          <w:tcPr>
            <w:tcW w:w="455" w:type="pct"/>
            <w:tcBorders>
              <w:top w:val="nil"/>
              <w:left w:val="nil"/>
              <w:bottom w:val="single" w:sz="8" w:space="0" w:color="auto"/>
              <w:right w:val="single" w:sz="8" w:space="0" w:color="auto"/>
            </w:tcBorders>
            <w:shd w:val="clear" w:color="auto" w:fill="auto"/>
            <w:noWrap/>
            <w:vAlign w:val="center"/>
            <w:hideMark/>
          </w:tcPr>
          <w:p w14:paraId="2E3BEA87"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66</w:t>
            </w:r>
          </w:p>
        </w:tc>
        <w:tc>
          <w:tcPr>
            <w:tcW w:w="595" w:type="pct"/>
            <w:tcBorders>
              <w:top w:val="nil"/>
              <w:left w:val="nil"/>
              <w:bottom w:val="single" w:sz="8" w:space="0" w:color="auto"/>
              <w:right w:val="single" w:sz="8" w:space="0" w:color="auto"/>
            </w:tcBorders>
            <w:shd w:val="clear" w:color="auto" w:fill="auto"/>
            <w:noWrap/>
            <w:vAlign w:val="center"/>
            <w:hideMark/>
          </w:tcPr>
          <w:p w14:paraId="4BA10AF8"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89</w:t>
            </w:r>
          </w:p>
        </w:tc>
        <w:tc>
          <w:tcPr>
            <w:tcW w:w="525" w:type="pct"/>
            <w:tcBorders>
              <w:top w:val="nil"/>
              <w:left w:val="nil"/>
              <w:bottom w:val="single" w:sz="8" w:space="0" w:color="auto"/>
              <w:right w:val="single" w:sz="8" w:space="0" w:color="auto"/>
            </w:tcBorders>
            <w:shd w:val="clear" w:color="auto" w:fill="auto"/>
            <w:noWrap/>
            <w:vAlign w:val="center"/>
            <w:hideMark/>
          </w:tcPr>
          <w:p w14:paraId="7C2EA255"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83</w:t>
            </w:r>
          </w:p>
        </w:tc>
      </w:tr>
      <w:tr w:rsidR="006F27B4" w:rsidRPr="006F27B4" w14:paraId="55BC13E9"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12136DED"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Familia, Penal Juvenil y Violencia Doméstica Turrialba</w:t>
            </w:r>
          </w:p>
        </w:tc>
        <w:tc>
          <w:tcPr>
            <w:tcW w:w="455" w:type="pct"/>
            <w:tcBorders>
              <w:top w:val="nil"/>
              <w:left w:val="nil"/>
              <w:bottom w:val="single" w:sz="8" w:space="0" w:color="auto"/>
              <w:right w:val="single" w:sz="8" w:space="0" w:color="auto"/>
            </w:tcBorders>
            <w:shd w:val="clear" w:color="auto" w:fill="auto"/>
            <w:noWrap/>
            <w:vAlign w:val="center"/>
            <w:hideMark/>
          </w:tcPr>
          <w:p w14:paraId="0E6CE748"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105</w:t>
            </w:r>
          </w:p>
        </w:tc>
        <w:tc>
          <w:tcPr>
            <w:tcW w:w="595" w:type="pct"/>
            <w:tcBorders>
              <w:top w:val="nil"/>
              <w:left w:val="nil"/>
              <w:bottom w:val="single" w:sz="8" w:space="0" w:color="auto"/>
              <w:right w:val="single" w:sz="8" w:space="0" w:color="auto"/>
            </w:tcBorders>
            <w:shd w:val="clear" w:color="auto" w:fill="auto"/>
            <w:noWrap/>
            <w:vAlign w:val="center"/>
            <w:hideMark/>
          </w:tcPr>
          <w:p w14:paraId="02F161E4"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126</w:t>
            </w:r>
          </w:p>
        </w:tc>
        <w:tc>
          <w:tcPr>
            <w:tcW w:w="525" w:type="pct"/>
            <w:tcBorders>
              <w:top w:val="nil"/>
              <w:left w:val="nil"/>
              <w:bottom w:val="single" w:sz="8" w:space="0" w:color="auto"/>
              <w:right w:val="single" w:sz="8" w:space="0" w:color="auto"/>
            </w:tcBorders>
            <w:shd w:val="clear" w:color="auto" w:fill="auto"/>
            <w:noWrap/>
            <w:vAlign w:val="center"/>
            <w:hideMark/>
          </w:tcPr>
          <w:p w14:paraId="01452C2B"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47</w:t>
            </w:r>
          </w:p>
        </w:tc>
      </w:tr>
      <w:tr w:rsidR="006F27B4" w:rsidRPr="006F27B4" w14:paraId="07C2F061"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2B54BB84"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Familia, Penal Juvenil y Violencia Doméstica de Quepos</w:t>
            </w:r>
          </w:p>
        </w:tc>
        <w:tc>
          <w:tcPr>
            <w:tcW w:w="455" w:type="pct"/>
            <w:tcBorders>
              <w:top w:val="nil"/>
              <w:left w:val="nil"/>
              <w:bottom w:val="single" w:sz="8" w:space="0" w:color="auto"/>
              <w:right w:val="single" w:sz="8" w:space="0" w:color="auto"/>
            </w:tcBorders>
            <w:shd w:val="clear" w:color="auto" w:fill="auto"/>
            <w:noWrap/>
            <w:vAlign w:val="center"/>
            <w:hideMark/>
          </w:tcPr>
          <w:p w14:paraId="6CAA7092"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79</w:t>
            </w:r>
          </w:p>
        </w:tc>
        <w:tc>
          <w:tcPr>
            <w:tcW w:w="595" w:type="pct"/>
            <w:tcBorders>
              <w:top w:val="nil"/>
              <w:left w:val="nil"/>
              <w:bottom w:val="single" w:sz="8" w:space="0" w:color="auto"/>
              <w:right w:val="single" w:sz="8" w:space="0" w:color="auto"/>
            </w:tcBorders>
            <w:shd w:val="clear" w:color="auto" w:fill="auto"/>
            <w:noWrap/>
            <w:vAlign w:val="center"/>
            <w:hideMark/>
          </w:tcPr>
          <w:p w14:paraId="61AD8507"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85</w:t>
            </w:r>
          </w:p>
        </w:tc>
        <w:tc>
          <w:tcPr>
            <w:tcW w:w="525" w:type="pct"/>
            <w:tcBorders>
              <w:top w:val="nil"/>
              <w:left w:val="nil"/>
              <w:bottom w:val="single" w:sz="8" w:space="0" w:color="auto"/>
              <w:right w:val="single" w:sz="8" w:space="0" w:color="auto"/>
            </w:tcBorders>
            <w:shd w:val="clear" w:color="auto" w:fill="auto"/>
            <w:noWrap/>
            <w:vAlign w:val="center"/>
            <w:hideMark/>
          </w:tcPr>
          <w:p w14:paraId="58D53E46"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70</w:t>
            </w:r>
          </w:p>
        </w:tc>
      </w:tr>
      <w:tr w:rsidR="006F27B4" w:rsidRPr="006F27B4" w14:paraId="2F041F07"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5C8C70C2"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Civil, Trabajo y Familia de Puriscal</w:t>
            </w:r>
          </w:p>
        </w:tc>
        <w:tc>
          <w:tcPr>
            <w:tcW w:w="455" w:type="pct"/>
            <w:tcBorders>
              <w:top w:val="nil"/>
              <w:left w:val="nil"/>
              <w:bottom w:val="single" w:sz="8" w:space="0" w:color="auto"/>
              <w:right w:val="single" w:sz="8" w:space="0" w:color="auto"/>
            </w:tcBorders>
            <w:shd w:val="clear" w:color="auto" w:fill="auto"/>
            <w:noWrap/>
            <w:vAlign w:val="center"/>
            <w:hideMark/>
          </w:tcPr>
          <w:p w14:paraId="12CEB32C"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35</w:t>
            </w:r>
          </w:p>
        </w:tc>
        <w:tc>
          <w:tcPr>
            <w:tcW w:w="595" w:type="pct"/>
            <w:tcBorders>
              <w:top w:val="nil"/>
              <w:left w:val="nil"/>
              <w:bottom w:val="single" w:sz="8" w:space="0" w:color="auto"/>
              <w:right w:val="single" w:sz="8" w:space="0" w:color="auto"/>
            </w:tcBorders>
            <w:shd w:val="clear" w:color="auto" w:fill="auto"/>
            <w:noWrap/>
            <w:vAlign w:val="center"/>
            <w:hideMark/>
          </w:tcPr>
          <w:p w14:paraId="1EBC59A8"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44</w:t>
            </w:r>
          </w:p>
        </w:tc>
        <w:tc>
          <w:tcPr>
            <w:tcW w:w="525" w:type="pct"/>
            <w:tcBorders>
              <w:top w:val="nil"/>
              <w:left w:val="nil"/>
              <w:bottom w:val="single" w:sz="8" w:space="0" w:color="auto"/>
              <w:right w:val="single" w:sz="8" w:space="0" w:color="auto"/>
            </w:tcBorders>
            <w:shd w:val="clear" w:color="auto" w:fill="auto"/>
            <w:noWrap/>
            <w:vAlign w:val="center"/>
            <w:hideMark/>
          </w:tcPr>
          <w:p w14:paraId="3AC83E20"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17</w:t>
            </w:r>
          </w:p>
        </w:tc>
      </w:tr>
      <w:tr w:rsidR="006F27B4" w:rsidRPr="006F27B4" w14:paraId="43B633B4" w14:textId="77777777" w:rsidTr="001D0C10">
        <w:trPr>
          <w:trHeight w:val="300"/>
        </w:trPr>
        <w:tc>
          <w:tcPr>
            <w:tcW w:w="3425" w:type="pct"/>
            <w:tcBorders>
              <w:top w:val="nil"/>
              <w:left w:val="single" w:sz="8" w:space="0" w:color="auto"/>
              <w:bottom w:val="single" w:sz="8" w:space="0" w:color="auto"/>
              <w:right w:val="single" w:sz="8" w:space="0" w:color="auto"/>
            </w:tcBorders>
            <w:shd w:val="clear" w:color="auto" w:fill="auto"/>
            <w:noWrap/>
            <w:vAlign w:val="center"/>
            <w:hideMark/>
          </w:tcPr>
          <w:p w14:paraId="4C271B5F" w14:textId="77777777" w:rsidR="006F27B4" w:rsidRPr="006F27B4" w:rsidRDefault="006F27B4" w:rsidP="006F27B4">
            <w:pPr>
              <w:spacing w:after="0" w:line="240" w:lineRule="auto"/>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Juzgado Civil, Trabajo y Familia Osa</w:t>
            </w:r>
          </w:p>
        </w:tc>
        <w:tc>
          <w:tcPr>
            <w:tcW w:w="455" w:type="pct"/>
            <w:tcBorders>
              <w:top w:val="nil"/>
              <w:left w:val="nil"/>
              <w:bottom w:val="single" w:sz="8" w:space="0" w:color="auto"/>
              <w:right w:val="single" w:sz="8" w:space="0" w:color="auto"/>
            </w:tcBorders>
            <w:shd w:val="clear" w:color="auto" w:fill="auto"/>
            <w:noWrap/>
            <w:vAlign w:val="center"/>
            <w:hideMark/>
          </w:tcPr>
          <w:p w14:paraId="1351DE76"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37</w:t>
            </w:r>
          </w:p>
        </w:tc>
        <w:tc>
          <w:tcPr>
            <w:tcW w:w="595" w:type="pct"/>
            <w:tcBorders>
              <w:top w:val="nil"/>
              <w:left w:val="nil"/>
              <w:bottom w:val="single" w:sz="8" w:space="0" w:color="auto"/>
              <w:right w:val="single" w:sz="8" w:space="0" w:color="auto"/>
            </w:tcBorders>
            <w:shd w:val="clear" w:color="auto" w:fill="auto"/>
            <w:noWrap/>
            <w:vAlign w:val="center"/>
            <w:hideMark/>
          </w:tcPr>
          <w:p w14:paraId="46D00B44"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33</w:t>
            </w:r>
          </w:p>
        </w:tc>
        <w:tc>
          <w:tcPr>
            <w:tcW w:w="525" w:type="pct"/>
            <w:tcBorders>
              <w:top w:val="nil"/>
              <w:left w:val="nil"/>
              <w:bottom w:val="single" w:sz="8" w:space="0" w:color="auto"/>
              <w:right w:val="single" w:sz="8" w:space="0" w:color="auto"/>
            </w:tcBorders>
            <w:shd w:val="clear" w:color="auto" w:fill="auto"/>
            <w:noWrap/>
            <w:vAlign w:val="center"/>
            <w:hideMark/>
          </w:tcPr>
          <w:p w14:paraId="364D0499" w14:textId="77777777" w:rsidR="006F27B4" w:rsidRPr="006F27B4" w:rsidRDefault="006F27B4" w:rsidP="006F27B4">
            <w:pPr>
              <w:spacing w:after="0" w:line="240" w:lineRule="auto"/>
              <w:jc w:val="center"/>
              <w:rPr>
                <w:rFonts w:ascii="Book Antiqua" w:eastAsia="Times New Roman" w:hAnsi="Book Antiqua" w:cs="Calibri"/>
                <w:color w:val="000000"/>
                <w:lang w:eastAsia="es-CR"/>
              </w:rPr>
            </w:pPr>
            <w:r w:rsidRPr="006F27B4">
              <w:rPr>
                <w:rFonts w:ascii="Book Antiqua" w:eastAsia="Times New Roman" w:hAnsi="Book Antiqua" w:cs="Calibri"/>
                <w:color w:val="000000"/>
                <w:lang w:eastAsia="es-CR"/>
              </w:rPr>
              <w:t>19</w:t>
            </w:r>
          </w:p>
        </w:tc>
      </w:tr>
    </w:tbl>
    <w:p w14:paraId="379B5DC6" w14:textId="6568C001" w:rsidR="00F50DD3" w:rsidRDefault="006F27B4" w:rsidP="00355630">
      <w:pPr>
        <w:spacing w:after="0" w:line="276" w:lineRule="auto"/>
        <w:jc w:val="both"/>
        <w:rPr>
          <w:rFonts w:ascii="Book Antiqua" w:eastAsia="Calibri" w:hAnsi="Book Antiqua" w:cs="Arial"/>
          <w:i/>
          <w:iCs/>
          <w:sz w:val="20"/>
          <w:szCs w:val="20"/>
        </w:rPr>
      </w:pPr>
      <w:r w:rsidRPr="006F27B4">
        <w:rPr>
          <w:rFonts w:ascii="Book Antiqua" w:eastAsia="Calibri" w:hAnsi="Book Antiqua" w:cs="Arial"/>
          <w:i/>
          <w:iCs/>
          <w:sz w:val="20"/>
          <w:szCs w:val="20"/>
        </w:rPr>
        <w:t xml:space="preserve">Fuente: </w:t>
      </w:r>
      <w:r>
        <w:rPr>
          <w:rFonts w:ascii="Book Antiqua" w:eastAsia="Calibri" w:hAnsi="Book Antiqua" w:cs="Arial"/>
          <w:i/>
          <w:iCs/>
          <w:sz w:val="20"/>
          <w:szCs w:val="20"/>
        </w:rPr>
        <w:t xml:space="preserve">Subproceso de </w:t>
      </w:r>
      <w:r w:rsidRPr="006F27B4">
        <w:rPr>
          <w:rFonts w:ascii="Book Antiqua" w:eastAsia="Calibri" w:hAnsi="Book Antiqua" w:cs="Arial"/>
          <w:i/>
          <w:iCs/>
          <w:sz w:val="20"/>
          <w:szCs w:val="20"/>
        </w:rPr>
        <w:t>Modernización Institucional con base en datos de Cuadros Estadísticos 20</w:t>
      </w:r>
      <w:r>
        <w:rPr>
          <w:rFonts w:ascii="Book Antiqua" w:eastAsia="Calibri" w:hAnsi="Book Antiqua" w:cs="Arial"/>
          <w:i/>
          <w:iCs/>
          <w:sz w:val="20"/>
          <w:szCs w:val="20"/>
        </w:rPr>
        <w:t>2</w:t>
      </w:r>
      <w:r w:rsidRPr="006F27B4">
        <w:rPr>
          <w:rFonts w:ascii="Book Antiqua" w:eastAsia="Calibri" w:hAnsi="Book Antiqua" w:cs="Arial"/>
          <w:i/>
          <w:iCs/>
          <w:sz w:val="20"/>
          <w:szCs w:val="20"/>
        </w:rPr>
        <w:t>1 del Subproceso de Estadística. La entrada incluye entrados, reentrados y testimonios de piezas.</w:t>
      </w:r>
    </w:p>
    <w:p w14:paraId="7E9AD3D4" w14:textId="14BD7AAF" w:rsidR="00B15E56" w:rsidRDefault="00B15E56" w:rsidP="00355630">
      <w:pPr>
        <w:spacing w:after="0" w:line="276" w:lineRule="auto"/>
        <w:jc w:val="both"/>
        <w:rPr>
          <w:rFonts w:ascii="Book Antiqua" w:eastAsia="Calibri" w:hAnsi="Book Antiqua" w:cs="Arial"/>
          <w:i/>
          <w:iCs/>
          <w:sz w:val="20"/>
          <w:szCs w:val="20"/>
        </w:rPr>
      </w:pPr>
    </w:p>
    <w:p w14:paraId="1483F30D" w14:textId="77777777" w:rsidR="00B15E56" w:rsidRDefault="00B15E56" w:rsidP="00355630">
      <w:pPr>
        <w:spacing w:after="0" w:line="276" w:lineRule="auto"/>
        <w:jc w:val="both"/>
        <w:rPr>
          <w:rFonts w:ascii="Book Antiqua" w:eastAsia="Calibri" w:hAnsi="Book Antiqua" w:cs="Arial"/>
          <w:sz w:val="24"/>
          <w:szCs w:val="24"/>
        </w:rPr>
      </w:pPr>
    </w:p>
    <w:p w14:paraId="44B89DB3" w14:textId="7BC8B0CF" w:rsidR="00D43894" w:rsidRDefault="00B15E56" w:rsidP="000E3CCF">
      <w:pPr>
        <w:spacing w:line="276" w:lineRule="auto"/>
        <w:jc w:val="both"/>
        <w:rPr>
          <w:rFonts w:ascii="Book Antiqua" w:eastAsia="Calibri" w:hAnsi="Book Antiqua" w:cs="Arial"/>
          <w:sz w:val="24"/>
          <w:szCs w:val="24"/>
        </w:rPr>
      </w:pPr>
      <w:r w:rsidRPr="00B15E56">
        <w:rPr>
          <w:rFonts w:ascii="Book Antiqua" w:eastAsia="Calibri" w:hAnsi="Book Antiqua" w:cs="Arial"/>
          <w:sz w:val="24"/>
          <w:szCs w:val="24"/>
        </w:rPr>
        <w:t>Por otra parte en atención a la referencia</w:t>
      </w:r>
      <w:r>
        <w:rPr>
          <w:rFonts w:ascii="Book Antiqua" w:eastAsia="Calibri" w:hAnsi="Book Antiqua" w:cs="Arial"/>
          <w:sz w:val="24"/>
          <w:szCs w:val="24"/>
        </w:rPr>
        <w:t xml:space="preserve"> interna </w:t>
      </w:r>
      <w:r w:rsidRPr="001D0C10">
        <w:rPr>
          <w:rFonts w:ascii="Book Antiqua" w:eastAsia="Calibri" w:hAnsi="Book Antiqua" w:cs="Arial"/>
          <w:b/>
          <w:bCs/>
          <w:sz w:val="24"/>
          <w:szCs w:val="24"/>
        </w:rPr>
        <w:t>1688-2020</w:t>
      </w:r>
      <w:r w:rsidRPr="00B15E56">
        <w:rPr>
          <w:rFonts w:ascii="Book Antiqua" w:eastAsia="Calibri" w:hAnsi="Book Antiqua" w:cs="Arial"/>
          <w:sz w:val="24"/>
          <w:szCs w:val="24"/>
        </w:rPr>
        <w:t xml:space="preserve">, </w:t>
      </w:r>
      <w:r>
        <w:rPr>
          <w:rFonts w:ascii="Book Antiqua" w:eastAsia="Calibri" w:hAnsi="Book Antiqua" w:cs="Arial"/>
          <w:sz w:val="24"/>
          <w:szCs w:val="24"/>
        </w:rPr>
        <w:t>r</w:t>
      </w:r>
      <w:r w:rsidRPr="00B15E56">
        <w:rPr>
          <w:rFonts w:ascii="Book Antiqua" w:eastAsia="Calibri" w:hAnsi="Book Antiqua" w:cs="Arial"/>
          <w:sz w:val="24"/>
          <w:szCs w:val="24"/>
        </w:rPr>
        <w:t xml:space="preserve">elacionado con </w:t>
      </w:r>
      <w:r>
        <w:rPr>
          <w:rFonts w:ascii="Book Antiqua" w:eastAsia="Calibri" w:hAnsi="Book Antiqua" w:cs="Arial"/>
          <w:sz w:val="24"/>
          <w:szCs w:val="24"/>
        </w:rPr>
        <w:t xml:space="preserve">el </w:t>
      </w:r>
      <w:r w:rsidRPr="001D0C10">
        <w:rPr>
          <w:rFonts w:ascii="Book Antiqua" w:eastAsia="Calibri" w:hAnsi="Book Antiqua" w:cs="Arial"/>
          <w:i/>
          <w:iCs/>
          <w:sz w:val="24"/>
          <w:szCs w:val="24"/>
        </w:rPr>
        <w:t>“Análisis de carga de trabajo a partir de los hallazgos en los oficios de estructuras en las siguientes oficinas: Juzgado Contravencional de Turrialba, Juzgado de Pensiones de Nicoya, Juzgado Contravencional de Alajuelita, Juzgado Contravencional de Corredores</w:t>
      </w:r>
      <w:r w:rsidR="002329B4" w:rsidRPr="001D0C10">
        <w:rPr>
          <w:rFonts w:ascii="Book Antiqua" w:eastAsia="Calibri" w:hAnsi="Book Antiqua" w:cs="Arial"/>
          <w:i/>
          <w:iCs/>
          <w:sz w:val="24"/>
          <w:szCs w:val="24"/>
        </w:rPr>
        <w:t>; además, se analiza la situación de los</w:t>
      </w:r>
      <w:r w:rsidRPr="001D0C10">
        <w:rPr>
          <w:rFonts w:ascii="Book Antiqua" w:eastAsia="Calibri" w:hAnsi="Book Antiqua" w:cs="Arial"/>
          <w:i/>
          <w:iCs/>
          <w:sz w:val="24"/>
          <w:szCs w:val="24"/>
        </w:rPr>
        <w:t xml:space="preserve"> </w:t>
      </w:r>
      <w:r w:rsidR="002329B4" w:rsidRPr="001D0C10">
        <w:rPr>
          <w:rFonts w:ascii="Book Antiqua" w:eastAsia="Calibri" w:hAnsi="Book Antiqua" w:cs="Arial"/>
          <w:i/>
          <w:iCs/>
          <w:sz w:val="24"/>
          <w:szCs w:val="24"/>
        </w:rPr>
        <w:t>Juzgados Contrav</w:t>
      </w:r>
      <w:r w:rsidRPr="001D0C10">
        <w:rPr>
          <w:rFonts w:ascii="Book Antiqua" w:eastAsia="Calibri" w:hAnsi="Book Antiqua" w:cs="Arial"/>
          <w:i/>
          <w:iCs/>
          <w:sz w:val="24"/>
          <w:szCs w:val="24"/>
        </w:rPr>
        <w:t>e</w:t>
      </w:r>
      <w:r w:rsidR="002329B4" w:rsidRPr="001D0C10">
        <w:rPr>
          <w:rFonts w:ascii="Book Antiqua" w:eastAsia="Calibri" w:hAnsi="Book Antiqua" w:cs="Arial"/>
          <w:i/>
          <w:iCs/>
          <w:sz w:val="24"/>
          <w:szCs w:val="24"/>
        </w:rPr>
        <w:t>ncional</w:t>
      </w:r>
      <w:r w:rsidR="00D359B7" w:rsidRPr="001D0C10">
        <w:rPr>
          <w:rFonts w:ascii="Book Antiqua" w:eastAsia="Calibri" w:hAnsi="Book Antiqua" w:cs="Arial"/>
          <w:i/>
          <w:iCs/>
          <w:sz w:val="24"/>
          <w:szCs w:val="24"/>
        </w:rPr>
        <w:t>es</w:t>
      </w:r>
      <w:r w:rsidR="002329B4" w:rsidRPr="001D0C10">
        <w:rPr>
          <w:rFonts w:ascii="Book Antiqua" w:eastAsia="Calibri" w:hAnsi="Book Antiqua" w:cs="Arial"/>
          <w:i/>
          <w:iCs/>
          <w:sz w:val="24"/>
          <w:szCs w:val="24"/>
        </w:rPr>
        <w:t xml:space="preserve"> de Santa Ana, Contravencional del </w:t>
      </w:r>
      <w:r w:rsidR="002329B4" w:rsidRPr="001D0C10">
        <w:rPr>
          <w:rFonts w:ascii="Book Antiqua" w:eastAsia="Calibri" w:hAnsi="Book Antiqua" w:cs="Arial"/>
          <w:i/>
          <w:iCs/>
          <w:sz w:val="24"/>
          <w:szCs w:val="24"/>
        </w:rPr>
        <w:lastRenderedPageBreak/>
        <w:t>Tercer Circuito Judicial de Alajuela (San Ramón)</w:t>
      </w:r>
      <w:r w:rsidR="00D359B7" w:rsidRPr="001D0C10">
        <w:rPr>
          <w:rFonts w:ascii="Book Antiqua" w:eastAsia="Calibri" w:hAnsi="Book Antiqua" w:cs="Arial"/>
          <w:i/>
          <w:iCs/>
          <w:sz w:val="24"/>
          <w:szCs w:val="24"/>
        </w:rPr>
        <w:t>, Contravencional de Palmares y</w:t>
      </w:r>
      <w:r w:rsidRPr="001D0C10">
        <w:rPr>
          <w:rFonts w:ascii="Book Antiqua" w:eastAsia="Calibri" w:hAnsi="Book Antiqua" w:cs="Arial"/>
          <w:i/>
          <w:iCs/>
          <w:sz w:val="24"/>
          <w:szCs w:val="24"/>
        </w:rPr>
        <w:t xml:space="preserve"> </w:t>
      </w:r>
      <w:r w:rsidR="002329B4" w:rsidRPr="001D0C10">
        <w:rPr>
          <w:rFonts w:ascii="Book Antiqua" w:eastAsia="Calibri" w:hAnsi="Book Antiqua" w:cs="Arial"/>
          <w:i/>
          <w:iCs/>
          <w:sz w:val="24"/>
          <w:szCs w:val="24"/>
        </w:rPr>
        <w:t>Contravencional de Paraíso</w:t>
      </w:r>
      <w:r w:rsidR="00E25779">
        <w:rPr>
          <w:rFonts w:ascii="Book Antiqua" w:eastAsia="Calibri" w:hAnsi="Book Antiqua" w:cs="Arial"/>
          <w:sz w:val="24"/>
          <w:szCs w:val="24"/>
        </w:rPr>
        <w:t>”</w:t>
      </w:r>
      <w:r w:rsidR="002329B4">
        <w:rPr>
          <w:rFonts w:ascii="Book Antiqua" w:eastAsia="Calibri" w:hAnsi="Book Antiqua" w:cs="Arial"/>
          <w:sz w:val="24"/>
          <w:szCs w:val="24"/>
        </w:rPr>
        <w:t xml:space="preserve">, </w:t>
      </w:r>
      <w:r w:rsidR="00D43894">
        <w:rPr>
          <w:rFonts w:ascii="Book Antiqua" w:eastAsia="Calibri" w:hAnsi="Book Antiqua" w:cs="Arial"/>
          <w:sz w:val="24"/>
          <w:szCs w:val="24"/>
        </w:rPr>
        <w:t>c</w:t>
      </w:r>
      <w:r w:rsidR="00D43894" w:rsidRPr="00D43894">
        <w:rPr>
          <w:rFonts w:ascii="Book Antiqua" w:eastAsia="Calibri" w:hAnsi="Book Antiqua" w:cs="Arial"/>
          <w:sz w:val="24"/>
          <w:szCs w:val="24"/>
        </w:rPr>
        <w:t>omo parte del análisis y seguimiento que realiz</w:t>
      </w:r>
      <w:r w:rsidR="00E25779">
        <w:rPr>
          <w:rFonts w:ascii="Book Antiqua" w:eastAsia="Calibri" w:hAnsi="Book Antiqua" w:cs="Arial"/>
          <w:sz w:val="24"/>
          <w:szCs w:val="24"/>
        </w:rPr>
        <w:t>ó de diciembre 2020 a setiembre 2021 por parte de</w:t>
      </w:r>
      <w:r w:rsidR="00D43894" w:rsidRPr="00D43894">
        <w:rPr>
          <w:rFonts w:ascii="Book Antiqua" w:eastAsia="Calibri" w:hAnsi="Book Antiqua" w:cs="Arial"/>
          <w:sz w:val="24"/>
          <w:szCs w:val="24"/>
        </w:rPr>
        <w:t xml:space="preserve"> la persona profesional de la Dirección de Planificación a cargo del </w:t>
      </w:r>
      <w:r w:rsidR="00E85731" w:rsidRPr="00D43894">
        <w:rPr>
          <w:rFonts w:ascii="Book Antiqua" w:eastAsia="Calibri" w:hAnsi="Book Antiqua" w:cs="Arial"/>
          <w:sz w:val="24"/>
          <w:szCs w:val="24"/>
        </w:rPr>
        <w:t>d</w:t>
      </w:r>
      <w:r w:rsidR="00D43894" w:rsidRPr="00D43894">
        <w:rPr>
          <w:rFonts w:ascii="Book Antiqua" w:eastAsia="Calibri" w:hAnsi="Book Antiqua" w:cs="Arial"/>
          <w:sz w:val="24"/>
          <w:szCs w:val="24"/>
        </w:rPr>
        <w:t>espacho,</w:t>
      </w:r>
      <w:r w:rsidR="00E85731" w:rsidRPr="00D43894">
        <w:rPr>
          <w:rFonts w:ascii="Book Antiqua" w:eastAsia="Calibri" w:hAnsi="Book Antiqua" w:cs="Arial"/>
          <w:sz w:val="24"/>
          <w:szCs w:val="24"/>
        </w:rPr>
        <w:t xml:space="preserve"> </w:t>
      </w:r>
      <w:r w:rsidR="00D43894">
        <w:rPr>
          <w:rFonts w:ascii="Book Antiqua" w:eastAsia="Calibri" w:hAnsi="Book Antiqua" w:cs="Arial"/>
          <w:sz w:val="24"/>
          <w:szCs w:val="24"/>
        </w:rPr>
        <w:t xml:space="preserve">sobre el </w:t>
      </w:r>
      <w:r w:rsidR="00D43894" w:rsidRPr="001D0C10">
        <w:rPr>
          <w:rFonts w:ascii="Book Antiqua" w:eastAsia="Calibri" w:hAnsi="Book Antiqua" w:cs="Arial"/>
          <w:i/>
          <w:iCs/>
          <w:sz w:val="24"/>
          <w:szCs w:val="24"/>
        </w:rPr>
        <w:t>“Modelo de Análisis Integral de Circuitos Judicial (MAIC)”</w:t>
      </w:r>
      <w:r w:rsidR="00D43894" w:rsidRPr="00D43894">
        <w:rPr>
          <w:rFonts w:ascii="Book Antiqua" w:eastAsia="Calibri" w:hAnsi="Book Antiqua" w:cs="Arial"/>
          <w:sz w:val="24"/>
          <w:szCs w:val="24"/>
        </w:rPr>
        <w:t>; herramienta creada por el Subproceso de Evaluación de la Dirección de Planificación</w:t>
      </w:r>
      <w:r w:rsidR="00D43894">
        <w:rPr>
          <w:rFonts w:ascii="Book Antiqua" w:eastAsia="Calibri" w:hAnsi="Book Antiqua" w:cs="Arial"/>
          <w:sz w:val="24"/>
          <w:szCs w:val="24"/>
        </w:rPr>
        <w:t>; e</w:t>
      </w:r>
      <w:r w:rsidR="00D43894" w:rsidRPr="00D43894">
        <w:rPr>
          <w:rFonts w:ascii="Book Antiqua" w:eastAsia="Calibri" w:hAnsi="Book Antiqua" w:cs="Arial"/>
          <w:sz w:val="24"/>
          <w:szCs w:val="24"/>
        </w:rPr>
        <w:t xml:space="preserve">l análisis integral que se realiza de los resultados de la matriz de indicadores de gestión de cada Despacho u oficina permite ubicarlo en un estado general, que se identifica con una letra específica (A, B, C, D o E) donde la letra “A” califica al Despacho como excelente hasta la letra “E” como crítico con rendimiento de personal aceptable, para ubicar al Juzgado u Oficina en alguna de estas letras (calificaciones) se deben cumplir ciertos parámetros y condiciones que se detallan a continuación: </w:t>
      </w:r>
    </w:p>
    <w:p w14:paraId="5B7D1478" w14:textId="3A9ED68A" w:rsidR="00D43894" w:rsidRPr="006566E3" w:rsidRDefault="00D43894" w:rsidP="00D43894">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566E3">
        <w:rPr>
          <w:rFonts w:ascii="Book Antiqua" w:eastAsia="Calibri" w:hAnsi="Book Antiqua" w:cs="Arial"/>
          <w:b/>
          <w:bCs/>
          <w:color w:val="1F497D"/>
          <w:szCs w:val="24"/>
          <w:lang w:val="es-ES" w:eastAsia="es-ES"/>
        </w:rPr>
        <w:t xml:space="preserve">Ilustración </w:t>
      </w:r>
      <w:r w:rsidR="00143EFA">
        <w:rPr>
          <w:rFonts w:ascii="Book Antiqua" w:eastAsia="Calibri" w:hAnsi="Book Antiqua" w:cs="Arial"/>
          <w:b/>
          <w:bCs/>
          <w:color w:val="1F497D"/>
          <w:szCs w:val="24"/>
          <w:lang w:val="es-ES" w:eastAsia="es-ES"/>
        </w:rPr>
        <w:t>3</w:t>
      </w:r>
    </w:p>
    <w:p w14:paraId="5A50D719" w14:textId="5CD50E8B" w:rsidR="00A96875" w:rsidRDefault="00D43894" w:rsidP="00A96875">
      <w:pPr>
        <w:spacing w:after="0"/>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Tab</w:t>
      </w:r>
      <w:r w:rsidR="00143EFA">
        <w:rPr>
          <w:rFonts w:ascii="Book Antiqua" w:eastAsia="Calibri" w:hAnsi="Book Antiqua" w:cs="Arial"/>
          <w:b/>
          <w:bCs/>
          <w:color w:val="1F497D"/>
          <w:szCs w:val="24"/>
          <w:lang w:val="es-ES" w:eastAsia="es-ES"/>
        </w:rPr>
        <w:t>l</w:t>
      </w:r>
      <w:r>
        <w:rPr>
          <w:rFonts w:ascii="Book Antiqua" w:eastAsia="Calibri" w:hAnsi="Book Antiqua" w:cs="Arial"/>
          <w:b/>
          <w:bCs/>
          <w:color w:val="1F497D"/>
          <w:szCs w:val="24"/>
          <w:lang w:val="es-ES" w:eastAsia="es-ES"/>
        </w:rPr>
        <w:t xml:space="preserve">a de Evaluación de Indicadores </w:t>
      </w:r>
      <w:r w:rsidR="00A96875">
        <w:rPr>
          <w:rFonts w:ascii="Book Antiqua" w:eastAsia="Calibri" w:hAnsi="Book Antiqua" w:cs="Arial"/>
          <w:b/>
          <w:bCs/>
          <w:color w:val="1F497D"/>
          <w:szCs w:val="24"/>
          <w:lang w:val="es-ES" w:eastAsia="es-ES"/>
        </w:rPr>
        <w:t>de Gestión del Subproceso</w:t>
      </w:r>
    </w:p>
    <w:p w14:paraId="685057D5" w14:textId="55488631" w:rsidR="00D43894" w:rsidRDefault="00A96875" w:rsidP="00A96875">
      <w:pPr>
        <w:spacing w:after="0"/>
        <w:jc w:val="center"/>
        <w:rPr>
          <w:rFonts w:ascii="Book Antiqua" w:eastAsia="Calibri" w:hAnsi="Book Antiqua" w:cs="Arial"/>
          <w:sz w:val="24"/>
          <w:szCs w:val="24"/>
        </w:rPr>
      </w:pPr>
      <w:r>
        <w:rPr>
          <w:rFonts w:ascii="Book Antiqua" w:eastAsia="Calibri" w:hAnsi="Book Antiqua" w:cs="Arial"/>
          <w:b/>
          <w:bCs/>
          <w:color w:val="1F497D"/>
          <w:szCs w:val="24"/>
          <w:lang w:val="es-ES" w:eastAsia="es-ES"/>
        </w:rPr>
        <w:t>de Evaluación de la Dirección de Planificación</w:t>
      </w:r>
    </w:p>
    <w:p w14:paraId="5FA5C5BB" w14:textId="740890F3" w:rsidR="00D43894" w:rsidRDefault="00D43894" w:rsidP="00D43894">
      <w:pPr>
        <w:spacing w:after="0" w:line="276" w:lineRule="auto"/>
        <w:jc w:val="center"/>
        <w:rPr>
          <w:rFonts w:ascii="Book Antiqua" w:eastAsia="Calibri" w:hAnsi="Book Antiqua" w:cs="Arial"/>
          <w:sz w:val="24"/>
          <w:szCs w:val="24"/>
        </w:rPr>
      </w:pPr>
      <w:r w:rsidRPr="00E6527C">
        <w:rPr>
          <w:noProof/>
        </w:rPr>
        <w:drawing>
          <wp:inline distT="0" distB="0" distL="0" distR="0" wp14:anchorId="07ADAE32" wp14:editId="0D6614E4">
            <wp:extent cx="5343525" cy="2729095"/>
            <wp:effectExtent l="19050" t="19050" r="9525" b="14605"/>
            <wp:docPr id="168077913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79137" name="Imagen 1" descr="Tabla&#10;&#10;Descripción generada automáticament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368318" cy="2741757"/>
                    </a:xfrm>
                    <a:prstGeom prst="rect">
                      <a:avLst/>
                    </a:prstGeom>
                    <a:ln>
                      <a:solidFill>
                        <a:schemeClr val="tx1"/>
                      </a:solidFill>
                    </a:ln>
                  </pic:spPr>
                </pic:pic>
              </a:graphicData>
            </a:graphic>
          </wp:inline>
        </w:drawing>
      </w:r>
    </w:p>
    <w:p w14:paraId="2243D9CC" w14:textId="44648DA7" w:rsidR="00D43894" w:rsidRDefault="00D43894" w:rsidP="00355630">
      <w:pPr>
        <w:spacing w:after="0" w:line="276" w:lineRule="auto"/>
        <w:jc w:val="both"/>
        <w:rPr>
          <w:rFonts w:ascii="Book Antiqua" w:eastAsia="Calibri" w:hAnsi="Book Antiqua" w:cs="Arial"/>
          <w:sz w:val="24"/>
          <w:szCs w:val="24"/>
        </w:rPr>
      </w:pPr>
    </w:p>
    <w:p w14:paraId="4C3D5689" w14:textId="36F11D79" w:rsidR="00D43894" w:rsidRDefault="00FB483C" w:rsidP="00355630">
      <w:pPr>
        <w:spacing w:after="0" w:line="276" w:lineRule="auto"/>
        <w:jc w:val="both"/>
        <w:rPr>
          <w:rFonts w:ascii="Book Antiqua" w:eastAsia="Calibri" w:hAnsi="Book Antiqua" w:cs="Arial"/>
          <w:sz w:val="24"/>
          <w:szCs w:val="24"/>
        </w:rPr>
      </w:pPr>
      <w:r w:rsidRPr="00FB483C">
        <w:rPr>
          <w:rFonts w:ascii="Book Antiqua" w:eastAsia="Calibri" w:hAnsi="Book Antiqua" w:cs="Arial"/>
          <w:sz w:val="24"/>
          <w:szCs w:val="24"/>
        </w:rPr>
        <w:t>Esta herramienta tiene como finalidad generar una visión global del Despacho de, la cual se permite identificar la Oficina o Despacho que requiere colaboración prioritaria en un momento determinado o la necesaria ejecución de un plan remedial que corrija situaciones determinadas.</w:t>
      </w:r>
    </w:p>
    <w:p w14:paraId="5B048E16" w14:textId="77777777" w:rsidR="00FB483C" w:rsidRDefault="00FB483C" w:rsidP="00355630">
      <w:pPr>
        <w:spacing w:after="0" w:line="276" w:lineRule="auto"/>
        <w:jc w:val="both"/>
        <w:rPr>
          <w:rFonts w:ascii="Book Antiqua" w:eastAsia="Calibri" w:hAnsi="Book Antiqua" w:cs="Arial"/>
          <w:sz w:val="24"/>
          <w:szCs w:val="24"/>
        </w:rPr>
      </w:pPr>
    </w:p>
    <w:p w14:paraId="2A6A7FD1" w14:textId="33A7F041" w:rsidR="00FB483C" w:rsidRDefault="00FB483C" w:rsidP="0035563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 xml:space="preserve">De acuerdo con dicho análisis a continuación, </w:t>
      </w:r>
      <w:r w:rsidRPr="00FB483C">
        <w:rPr>
          <w:rFonts w:ascii="Book Antiqua" w:eastAsia="Calibri" w:hAnsi="Book Antiqua" w:cs="Arial"/>
          <w:sz w:val="24"/>
          <w:szCs w:val="24"/>
        </w:rPr>
        <w:t>se muestra el detalle de las calificaciones obtenidas por los Despachos en estudio:</w:t>
      </w:r>
    </w:p>
    <w:p w14:paraId="4CB8BE9C" w14:textId="7521C074" w:rsidR="00E16B27" w:rsidRDefault="00E16B27" w:rsidP="00355630">
      <w:pPr>
        <w:spacing w:after="0" w:line="276" w:lineRule="auto"/>
        <w:jc w:val="both"/>
        <w:rPr>
          <w:rFonts w:ascii="Book Antiqua" w:eastAsia="Calibri" w:hAnsi="Book Antiqua" w:cs="Arial"/>
          <w:sz w:val="24"/>
          <w:szCs w:val="24"/>
        </w:rPr>
      </w:pPr>
    </w:p>
    <w:p w14:paraId="2AE10DF7" w14:textId="78CD1BB9" w:rsidR="00157EB1" w:rsidRDefault="00157EB1" w:rsidP="00355630">
      <w:pPr>
        <w:spacing w:after="0" w:line="276" w:lineRule="auto"/>
        <w:jc w:val="both"/>
        <w:rPr>
          <w:rFonts w:ascii="Book Antiqua" w:eastAsia="Calibri" w:hAnsi="Book Antiqua" w:cs="Arial"/>
          <w:sz w:val="24"/>
          <w:szCs w:val="24"/>
        </w:rPr>
      </w:pPr>
    </w:p>
    <w:p w14:paraId="4FE1F912" w14:textId="21D1076A" w:rsidR="00FE01A8" w:rsidRPr="00795EE6" w:rsidRDefault="00FE01A8" w:rsidP="00FE01A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795EE6">
        <w:rPr>
          <w:rFonts w:ascii="Book Antiqua" w:eastAsia="Calibri" w:hAnsi="Book Antiqua" w:cs="Arial"/>
          <w:b/>
          <w:bCs/>
          <w:color w:val="1F497D"/>
          <w:szCs w:val="24"/>
          <w:lang w:val="es-ES" w:eastAsia="es-ES"/>
        </w:rPr>
        <w:t xml:space="preserve">Cuadro </w:t>
      </w:r>
      <w:r w:rsidRPr="00795EE6">
        <w:rPr>
          <w:rFonts w:ascii="Book Antiqua" w:eastAsia="Calibri" w:hAnsi="Book Antiqua" w:cs="Arial"/>
          <w:b/>
          <w:bCs/>
          <w:color w:val="1F497D"/>
          <w:szCs w:val="24"/>
          <w:lang w:val="es-ES" w:eastAsia="es-ES"/>
        </w:rPr>
        <w:fldChar w:fldCharType="begin"/>
      </w:r>
      <w:r w:rsidRPr="00795EE6">
        <w:rPr>
          <w:rFonts w:ascii="Book Antiqua" w:eastAsia="Calibri" w:hAnsi="Book Antiqua" w:cs="Arial"/>
          <w:b/>
          <w:bCs/>
          <w:color w:val="1F497D"/>
          <w:szCs w:val="24"/>
          <w:lang w:val="es-ES" w:eastAsia="es-ES"/>
        </w:rPr>
        <w:instrText xml:space="preserve"> SEQ Cuadro \* ARABIC </w:instrText>
      </w:r>
      <w:r w:rsidRPr="00795EE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52</w:t>
      </w:r>
      <w:r w:rsidRPr="00795EE6">
        <w:rPr>
          <w:rFonts w:ascii="Book Antiqua" w:eastAsia="Calibri" w:hAnsi="Book Antiqua" w:cs="Arial"/>
          <w:b/>
          <w:bCs/>
          <w:color w:val="1F497D"/>
          <w:szCs w:val="24"/>
          <w:lang w:val="es-ES" w:eastAsia="es-ES"/>
        </w:rPr>
        <w:fldChar w:fldCharType="end"/>
      </w:r>
      <w:r w:rsidRPr="00795EE6">
        <w:rPr>
          <w:rFonts w:ascii="Book Antiqua" w:eastAsia="Calibri" w:hAnsi="Book Antiqua" w:cs="Arial"/>
          <w:b/>
          <w:bCs/>
          <w:color w:val="1F497D"/>
          <w:szCs w:val="24"/>
          <w:lang w:val="es-ES" w:eastAsia="es-ES"/>
        </w:rPr>
        <w:t xml:space="preserve"> </w:t>
      </w:r>
    </w:p>
    <w:p w14:paraId="2B1D0D12" w14:textId="45CACCED" w:rsidR="00FE01A8" w:rsidRPr="00795EE6" w:rsidRDefault="00FE01A8" w:rsidP="00FE01A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795EE6">
        <w:rPr>
          <w:rFonts w:ascii="Book Antiqua" w:eastAsia="Calibri" w:hAnsi="Book Antiqua" w:cs="Arial"/>
          <w:b/>
          <w:bCs/>
          <w:color w:val="1F497D"/>
          <w:szCs w:val="24"/>
          <w:lang w:val="es-ES" w:eastAsia="es-ES"/>
        </w:rPr>
        <w:t>C</w:t>
      </w:r>
      <w:r w:rsidR="007776D0">
        <w:rPr>
          <w:rFonts w:ascii="Book Antiqua" w:eastAsia="Calibri" w:hAnsi="Book Antiqua" w:cs="Arial"/>
          <w:b/>
          <w:bCs/>
          <w:color w:val="1F497D"/>
          <w:szCs w:val="24"/>
          <w:lang w:val="es-ES" w:eastAsia="es-ES"/>
        </w:rPr>
        <w:t>alificaciones obtenidas por los Juzgados, de diciembre 2020 a setiembre 2021</w:t>
      </w:r>
    </w:p>
    <w:tbl>
      <w:tblPr>
        <w:tblW w:w="5000" w:type="pct"/>
        <w:tblCellMar>
          <w:left w:w="70" w:type="dxa"/>
          <w:right w:w="70" w:type="dxa"/>
        </w:tblCellMar>
        <w:tblLook w:val="04A0" w:firstRow="1" w:lastRow="0" w:firstColumn="1" w:lastColumn="0" w:noHBand="0" w:noVBand="1"/>
      </w:tblPr>
      <w:tblGrid>
        <w:gridCol w:w="1882"/>
        <w:gridCol w:w="689"/>
        <w:gridCol w:w="689"/>
        <w:gridCol w:w="689"/>
        <w:gridCol w:w="702"/>
        <w:gridCol w:w="689"/>
        <w:gridCol w:w="731"/>
        <w:gridCol w:w="688"/>
        <w:gridCol w:w="688"/>
        <w:gridCol w:w="688"/>
        <w:gridCol w:w="688"/>
      </w:tblGrid>
      <w:tr w:rsidR="00FE01A8" w:rsidRPr="00E16B27" w14:paraId="5BD433FB" w14:textId="77777777" w:rsidTr="00FE01A8">
        <w:trPr>
          <w:trHeight w:val="300"/>
        </w:trPr>
        <w:tc>
          <w:tcPr>
            <w:tcW w:w="1065" w:type="pct"/>
            <w:tcBorders>
              <w:top w:val="single" w:sz="4" w:space="0" w:color="auto"/>
              <w:left w:val="single" w:sz="4" w:space="0" w:color="auto"/>
              <w:bottom w:val="single" w:sz="4" w:space="0" w:color="auto"/>
              <w:right w:val="single" w:sz="4" w:space="0" w:color="auto"/>
            </w:tcBorders>
            <w:shd w:val="clear" w:color="000000" w:fill="1F4E78"/>
            <w:vAlign w:val="center"/>
            <w:hideMark/>
          </w:tcPr>
          <w:p w14:paraId="06393EAE" w14:textId="77777777" w:rsidR="00E16B27" w:rsidRPr="00E16B27" w:rsidRDefault="00E16B27" w:rsidP="00E16B27">
            <w:pPr>
              <w:spacing w:after="0" w:line="240" w:lineRule="auto"/>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Nombre del Despacho</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5D264B43"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dic-20</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21223012"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ene-21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379AD724"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feb-21</w:t>
            </w:r>
          </w:p>
        </w:tc>
        <w:tc>
          <w:tcPr>
            <w:tcW w:w="397" w:type="pct"/>
            <w:tcBorders>
              <w:top w:val="single" w:sz="8" w:space="0" w:color="auto"/>
              <w:left w:val="nil"/>
              <w:bottom w:val="single" w:sz="8" w:space="0" w:color="auto"/>
              <w:right w:val="single" w:sz="8" w:space="0" w:color="auto"/>
            </w:tcBorders>
            <w:shd w:val="clear" w:color="000000" w:fill="1F4E78"/>
            <w:noWrap/>
            <w:vAlign w:val="center"/>
            <w:hideMark/>
          </w:tcPr>
          <w:p w14:paraId="4A3C472F"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mar-21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0583BE61"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abr-21</w:t>
            </w:r>
          </w:p>
        </w:tc>
        <w:tc>
          <w:tcPr>
            <w:tcW w:w="414" w:type="pct"/>
            <w:tcBorders>
              <w:top w:val="single" w:sz="8" w:space="0" w:color="auto"/>
              <w:left w:val="nil"/>
              <w:bottom w:val="single" w:sz="8" w:space="0" w:color="auto"/>
              <w:right w:val="single" w:sz="8" w:space="0" w:color="auto"/>
            </w:tcBorders>
            <w:shd w:val="clear" w:color="000000" w:fill="1F4E78"/>
            <w:noWrap/>
            <w:vAlign w:val="center"/>
            <w:hideMark/>
          </w:tcPr>
          <w:p w14:paraId="2A2B3CB9"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may-21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57C5427F"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jun-21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4594F24E"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jul-21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7E2070F3"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ago-21</w:t>
            </w:r>
          </w:p>
        </w:tc>
        <w:tc>
          <w:tcPr>
            <w:tcW w:w="390" w:type="pct"/>
            <w:tcBorders>
              <w:top w:val="single" w:sz="8" w:space="0" w:color="auto"/>
              <w:left w:val="nil"/>
              <w:bottom w:val="single" w:sz="8" w:space="0" w:color="auto"/>
              <w:right w:val="single" w:sz="8" w:space="0" w:color="auto"/>
            </w:tcBorders>
            <w:shd w:val="clear" w:color="000000" w:fill="1F4E78"/>
            <w:noWrap/>
            <w:vAlign w:val="center"/>
            <w:hideMark/>
          </w:tcPr>
          <w:p w14:paraId="3D9A1995" w14:textId="77777777" w:rsidR="00E16B27" w:rsidRPr="00E16B27" w:rsidRDefault="00E16B27" w:rsidP="00E16B27">
            <w:pPr>
              <w:spacing w:after="0" w:line="240" w:lineRule="auto"/>
              <w:jc w:val="center"/>
              <w:rPr>
                <w:rFonts w:ascii="Book Antiqua" w:eastAsia="Times New Roman" w:hAnsi="Book Antiqua" w:cs="Calibri"/>
                <w:b/>
                <w:bCs/>
                <w:color w:val="FFFFFF"/>
                <w:sz w:val="18"/>
                <w:szCs w:val="18"/>
                <w:lang w:eastAsia="es-CR"/>
              </w:rPr>
            </w:pPr>
            <w:r w:rsidRPr="00E16B27">
              <w:rPr>
                <w:rFonts w:ascii="Book Antiqua" w:eastAsia="Times New Roman" w:hAnsi="Book Antiqua" w:cs="Calibri"/>
                <w:b/>
                <w:bCs/>
                <w:color w:val="FFFFFF"/>
                <w:sz w:val="18"/>
                <w:szCs w:val="18"/>
                <w:lang w:eastAsia="es-CR"/>
              </w:rPr>
              <w:t>Set-21</w:t>
            </w:r>
          </w:p>
        </w:tc>
      </w:tr>
      <w:tr w:rsidR="00FE01A8" w:rsidRPr="00E16B27" w14:paraId="23E8DE9C" w14:textId="77777777" w:rsidTr="00FE01A8">
        <w:trPr>
          <w:trHeight w:val="30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76DB0FA1"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 xml:space="preserve">Juzgado Contravencional Santa Ana </w:t>
            </w:r>
          </w:p>
        </w:tc>
        <w:tc>
          <w:tcPr>
            <w:tcW w:w="390" w:type="pct"/>
            <w:tcBorders>
              <w:top w:val="nil"/>
              <w:left w:val="nil"/>
              <w:bottom w:val="single" w:sz="8" w:space="0" w:color="auto"/>
              <w:right w:val="single" w:sz="8" w:space="0" w:color="auto"/>
            </w:tcBorders>
            <w:shd w:val="clear" w:color="000000" w:fill="FF0000"/>
            <w:noWrap/>
            <w:vAlign w:val="center"/>
            <w:hideMark/>
          </w:tcPr>
          <w:p w14:paraId="4CF37F76"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346DA1F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6CEB613C"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7" w:type="pct"/>
            <w:tcBorders>
              <w:top w:val="nil"/>
              <w:left w:val="nil"/>
              <w:bottom w:val="single" w:sz="8" w:space="0" w:color="auto"/>
              <w:right w:val="single" w:sz="8" w:space="0" w:color="auto"/>
            </w:tcBorders>
            <w:shd w:val="clear" w:color="000000" w:fill="FF0000"/>
            <w:noWrap/>
            <w:vAlign w:val="center"/>
            <w:hideMark/>
          </w:tcPr>
          <w:p w14:paraId="1CFE3934"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5FE543D9"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414" w:type="pct"/>
            <w:tcBorders>
              <w:top w:val="nil"/>
              <w:left w:val="nil"/>
              <w:bottom w:val="single" w:sz="8" w:space="0" w:color="auto"/>
              <w:right w:val="single" w:sz="8" w:space="0" w:color="auto"/>
            </w:tcBorders>
            <w:shd w:val="clear" w:color="000000" w:fill="FF0000"/>
            <w:noWrap/>
            <w:vAlign w:val="center"/>
            <w:hideMark/>
          </w:tcPr>
          <w:p w14:paraId="7968D25E"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455B47A0"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59D7991E"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FF00"/>
            <w:noWrap/>
            <w:vAlign w:val="center"/>
            <w:hideMark/>
          </w:tcPr>
          <w:p w14:paraId="3F1A057D"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C</w:t>
            </w:r>
          </w:p>
        </w:tc>
        <w:tc>
          <w:tcPr>
            <w:tcW w:w="390" w:type="pct"/>
            <w:tcBorders>
              <w:top w:val="nil"/>
              <w:left w:val="nil"/>
              <w:bottom w:val="single" w:sz="8" w:space="0" w:color="auto"/>
              <w:right w:val="single" w:sz="8" w:space="0" w:color="auto"/>
            </w:tcBorders>
            <w:shd w:val="clear" w:color="000000" w:fill="ED7D31"/>
            <w:noWrap/>
            <w:vAlign w:val="center"/>
            <w:hideMark/>
          </w:tcPr>
          <w:p w14:paraId="64517455"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r>
      <w:tr w:rsidR="00FE01A8" w:rsidRPr="00E16B27" w14:paraId="731963CE" w14:textId="77777777" w:rsidTr="00FE01A8">
        <w:trPr>
          <w:trHeight w:val="30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37B0D892"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Juzgado Contravencional Palmares</w:t>
            </w:r>
          </w:p>
        </w:tc>
        <w:tc>
          <w:tcPr>
            <w:tcW w:w="390" w:type="pct"/>
            <w:tcBorders>
              <w:top w:val="nil"/>
              <w:left w:val="nil"/>
              <w:bottom w:val="single" w:sz="8" w:space="0" w:color="auto"/>
              <w:right w:val="single" w:sz="8" w:space="0" w:color="auto"/>
            </w:tcBorders>
            <w:shd w:val="clear" w:color="000000" w:fill="FF0000"/>
            <w:noWrap/>
            <w:vAlign w:val="center"/>
            <w:hideMark/>
          </w:tcPr>
          <w:p w14:paraId="167120F9"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0D0AB253"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6E67C0AA"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7" w:type="pct"/>
            <w:tcBorders>
              <w:top w:val="nil"/>
              <w:left w:val="nil"/>
              <w:bottom w:val="single" w:sz="8" w:space="0" w:color="auto"/>
              <w:right w:val="single" w:sz="8" w:space="0" w:color="auto"/>
            </w:tcBorders>
            <w:shd w:val="clear" w:color="000000" w:fill="4472C4"/>
            <w:noWrap/>
            <w:vAlign w:val="center"/>
            <w:hideMark/>
          </w:tcPr>
          <w:p w14:paraId="1D572189"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32AE4E46"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414" w:type="pct"/>
            <w:tcBorders>
              <w:top w:val="nil"/>
              <w:left w:val="nil"/>
              <w:bottom w:val="single" w:sz="8" w:space="0" w:color="auto"/>
              <w:right w:val="single" w:sz="8" w:space="0" w:color="auto"/>
            </w:tcBorders>
            <w:shd w:val="clear" w:color="000000" w:fill="4472C4"/>
            <w:noWrap/>
            <w:vAlign w:val="center"/>
            <w:hideMark/>
          </w:tcPr>
          <w:p w14:paraId="63FDB489"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1703D532"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0916A873"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4548E99E"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193721D3"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r>
      <w:tr w:rsidR="00FE01A8" w:rsidRPr="00E16B27" w14:paraId="1774D27E" w14:textId="77777777" w:rsidTr="00FE01A8">
        <w:trPr>
          <w:trHeight w:val="30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3016D2F8"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Juzgado Contravencional Alajuelita</w:t>
            </w:r>
          </w:p>
        </w:tc>
        <w:tc>
          <w:tcPr>
            <w:tcW w:w="390" w:type="pct"/>
            <w:tcBorders>
              <w:top w:val="nil"/>
              <w:left w:val="nil"/>
              <w:bottom w:val="single" w:sz="8" w:space="0" w:color="auto"/>
              <w:right w:val="single" w:sz="8" w:space="0" w:color="auto"/>
            </w:tcBorders>
            <w:shd w:val="clear" w:color="000000" w:fill="FF0000"/>
            <w:noWrap/>
            <w:vAlign w:val="center"/>
            <w:hideMark/>
          </w:tcPr>
          <w:p w14:paraId="76A834C1"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2DFCC6F3"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5569356A"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7" w:type="pct"/>
            <w:tcBorders>
              <w:top w:val="nil"/>
              <w:left w:val="nil"/>
              <w:bottom w:val="single" w:sz="8" w:space="0" w:color="auto"/>
              <w:right w:val="single" w:sz="8" w:space="0" w:color="auto"/>
            </w:tcBorders>
            <w:shd w:val="clear" w:color="000000" w:fill="FF0000"/>
            <w:noWrap/>
            <w:vAlign w:val="center"/>
            <w:hideMark/>
          </w:tcPr>
          <w:p w14:paraId="4032F4E1"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7DE93F9D"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414" w:type="pct"/>
            <w:tcBorders>
              <w:top w:val="nil"/>
              <w:left w:val="nil"/>
              <w:bottom w:val="single" w:sz="8" w:space="0" w:color="auto"/>
              <w:right w:val="single" w:sz="8" w:space="0" w:color="auto"/>
            </w:tcBorders>
            <w:shd w:val="clear" w:color="000000" w:fill="ED7D31"/>
            <w:noWrap/>
            <w:vAlign w:val="center"/>
            <w:hideMark/>
          </w:tcPr>
          <w:p w14:paraId="783A6F1B"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74C54F6C"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5084E2BC"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14FB33EB"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04038E40"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r>
      <w:tr w:rsidR="00FE01A8" w:rsidRPr="00E16B27" w14:paraId="1E01939C" w14:textId="77777777" w:rsidTr="00FE01A8">
        <w:trPr>
          <w:trHeight w:val="49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77BBE9D0" w14:textId="65C4BAA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 xml:space="preserve">Juzgado Contr. </w:t>
            </w:r>
            <w:r w:rsidR="00E85731" w:rsidRPr="00E16B27">
              <w:rPr>
                <w:rFonts w:ascii="Book Antiqua" w:eastAsia="Times New Roman" w:hAnsi="Book Antiqua" w:cs="Calibri"/>
                <w:color w:val="000000"/>
                <w:sz w:val="18"/>
                <w:szCs w:val="18"/>
                <w:lang w:eastAsia="es-CR"/>
              </w:rPr>
              <w:t>Y</w:t>
            </w:r>
            <w:r w:rsidRPr="00E16B27">
              <w:rPr>
                <w:rFonts w:ascii="Book Antiqua" w:eastAsia="Times New Roman" w:hAnsi="Book Antiqua" w:cs="Calibri"/>
                <w:color w:val="000000"/>
                <w:sz w:val="18"/>
                <w:szCs w:val="18"/>
                <w:lang w:eastAsia="es-CR"/>
              </w:rPr>
              <w:t xml:space="preserve"> Pens. Alimen. III Circ. Jud. Alajuela (San Ramón) </w:t>
            </w:r>
          </w:p>
        </w:tc>
        <w:tc>
          <w:tcPr>
            <w:tcW w:w="390" w:type="pct"/>
            <w:tcBorders>
              <w:top w:val="nil"/>
              <w:left w:val="nil"/>
              <w:bottom w:val="single" w:sz="8" w:space="0" w:color="auto"/>
              <w:right w:val="single" w:sz="8" w:space="0" w:color="auto"/>
            </w:tcBorders>
            <w:shd w:val="clear" w:color="000000" w:fill="FF0000"/>
            <w:noWrap/>
            <w:vAlign w:val="center"/>
            <w:hideMark/>
          </w:tcPr>
          <w:p w14:paraId="7F05B9AF"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FF0000"/>
            <w:noWrap/>
            <w:vAlign w:val="center"/>
            <w:hideMark/>
          </w:tcPr>
          <w:p w14:paraId="19B168C9"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460DA463"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7" w:type="pct"/>
            <w:tcBorders>
              <w:top w:val="nil"/>
              <w:left w:val="nil"/>
              <w:bottom w:val="single" w:sz="8" w:space="0" w:color="auto"/>
              <w:right w:val="single" w:sz="8" w:space="0" w:color="auto"/>
            </w:tcBorders>
            <w:shd w:val="clear" w:color="000000" w:fill="FF0000"/>
            <w:noWrap/>
            <w:vAlign w:val="center"/>
            <w:hideMark/>
          </w:tcPr>
          <w:p w14:paraId="14683ABE"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7DA2372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414" w:type="pct"/>
            <w:tcBorders>
              <w:top w:val="nil"/>
              <w:left w:val="nil"/>
              <w:bottom w:val="single" w:sz="8" w:space="0" w:color="auto"/>
              <w:right w:val="single" w:sz="8" w:space="0" w:color="auto"/>
            </w:tcBorders>
            <w:shd w:val="clear" w:color="000000" w:fill="ED7D31"/>
            <w:noWrap/>
            <w:vAlign w:val="center"/>
            <w:hideMark/>
          </w:tcPr>
          <w:p w14:paraId="532AD2D8"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2CE7961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4B75C03B"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7F5C6308"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165034AD"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r>
      <w:tr w:rsidR="00FE01A8" w:rsidRPr="00E16B27" w14:paraId="59A97CCD" w14:textId="77777777" w:rsidTr="00FE01A8">
        <w:trPr>
          <w:trHeight w:val="30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3D889B71"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Juzgado Contravencional Turrialba</w:t>
            </w:r>
          </w:p>
        </w:tc>
        <w:tc>
          <w:tcPr>
            <w:tcW w:w="390" w:type="pct"/>
            <w:tcBorders>
              <w:top w:val="nil"/>
              <w:left w:val="nil"/>
              <w:bottom w:val="single" w:sz="8" w:space="0" w:color="auto"/>
              <w:right w:val="single" w:sz="8" w:space="0" w:color="auto"/>
            </w:tcBorders>
            <w:shd w:val="clear" w:color="000000" w:fill="ED7D31"/>
            <w:noWrap/>
            <w:vAlign w:val="center"/>
            <w:hideMark/>
          </w:tcPr>
          <w:p w14:paraId="3CC01ABD"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30CE9296"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7FDA5ABB"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7" w:type="pct"/>
            <w:tcBorders>
              <w:top w:val="nil"/>
              <w:left w:val="nil"/>
              <w:bottom w:val="single" w:sz="8" w:space="0" w:color="auto"/>
              <w:right w:val="single" w:sz="8" w:space="0" w:color="auto"/>
            </w:tcBorders>
            <w:shd w:val="clear" w:color="000000" w:fill="ED7D31"/>
            <w:noWrap/>
            <w:vAlign w:val="center"/>
            <w:hideMark/>
          </w:tcPr>
          <w:p w14:paraId="76D7BAC1"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92D050"/>
            <w:noWrap/>
            <w:vAlign w:val="center"/>
            <w:hideMark/>
          </w:tcPr>
          <w:p w14:paraId="4D248402"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B</w:t>
            </w:r>
          </w:p>
        </w:tc>
        <w:tc>
          <w:tcPr>
            <w:tcW w:w="414" w:type="pct"/>
            <w:tcBorders>
              <w:top w:val="nil"/>
              <w:left w:val="nil"/>
              <w:bottom w:val="single" w:sz="8" w:space="0" w:color="auto"/>
              <w:right w:val="single" w:sz="8" w:space="0" w:color="auto"/>
            </w:tcBorders>
            <w:shd w:val="clear" w:color="000000" w:fill="ED7D31"/>
            <w:noWrap/>
            <w:vAlign w:val="center"/>
            <w:hideMark/>
          </w:tcPr>
          <w:p w14:paraId="0CE93159"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4472C4"/>
            <w:noWrap/>
            <w:vAlign w:val="center"/>
            <w:hideMark/>
          </w:tcPr>
          <w:p w14:paraId="6916D708"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92D050"/>
            <w:noWrap/>
            <w:vAlign w:val="center"/>
            <w:hideMark/>
          </w:tcPr>
          <w:p w14:paraId="2C44347C"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B</w:t>
            </w:r>
          </w:p>
        </w:tc>
        <w:tc>
          <w:tcPr>
            <w:tcW w:w="390" w:type="pct"/>
            <w:tcBorders>
              <w:top w:val="nil"/>
              <w:left w:val="nil"/>
              <w:bottom w:val="single" w:sz="8" w:space="0" w:color="auto"/>
              <w:right w:val="single" w:sz="8" w:space="0" w:color="auto"/>
            </w:tcBorders>
            <w:shd w:val="clear" w:color="000000" w:fill="4472C4"/>
            <w:noWrap/>
            <w:vAlign w:val="center"/>
            <w:hideMark/>
          </w:tcPr>
          <w:p w14:paraId="4F9E4613"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c>
          <w:tcPr>
            <w:tcW w:w="390" w:type="pct"/>
            <w:tcBorders>
              <w:top w:val="nil"/>
              <w:left w:val="nil"/>
              <w:bottom w:val="single" w:sz="8" w:space="0" w:color="auto"/>
              <w:right w:val="single" w:sz="8" w:space="0" w:color="auto"/>
            </w:tcBorders>
            <w:shd w:val="clear" w:color="000000" w:fill="4472C4"/>
            <w:noWrap/>
            <w:vAlign w:val="center"/>
            <w:hideMark/>
          </w:tcPr>
          <w:p w14:paraId="05F31641" w14:textId="77777777" w:rsidR="00E16B27" w:rsidRPr="00E16B27" w:rsidRDefault="00E16B27" w:rsidP="00E16B27">
            <w:pPr>
              <w:spacing w:after="0" w:line="240" w:lineRule="auto"/>
              <w:jc w:val="center"/>
              <w:rPr>
                <w:rFonts w:ascii="Book Antiqua" w:eastAsia="Times New Roman" w:hAnsi="Book Antiqua" w:cs="Calibri"/>
                <w:b/>
                <w:bCs/>
                <w:color w:val="E7E6E6"/>
                <w:sz w:val="18"/>
                <w:szCs w:val="18"/>
                <w:lang w:eastAsia="es-CR"/>
              </w:rPr>
            </w:pPr>
            <w:r w:rsidRPr="00E16B27">
              <w:rPr>
                <w:rFonts w:ascii="Book Antiqua" w:eastAsia="Times New Roman" w:hAnsi="Book Antiqua" w:cs="Calibri"/>
                <w:b/>
                <w:bCs/>
                <w:color w:val="E7E6E6"/>
                <w:sz w:val="18"/>
                <w:szCs w:val="18"/>
                <w:lang w:eastAsia="es-CR"/>
              </w:rPr>
              <w:t>A</w:t>
            </w:r>
          </w:p>
        </w:tc>
      </w:tr>
      <w:tr w:rsidR="00FE01A8" w:rsidRPr="00E16B27" w14:paraId="4EF02A13" w14:textId="77777777" w:rsidTr="00FE01A8">
        <w:trPr>
          <w:trHeight w:val="49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56259F5C"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Juzgado Contravencional II Circ. Jud. Zona Sur (Corredores)</w:t>
            </w:r>
          </w:p>
        </w:tc>
        <w:tc>
          <w:tcPr>
            <w:tcW w:w="390" w:type="pct"/>
            <w:tcBorders>
              <w:top w:val="nil"/>
              <w:left w:val="nil"/>
              <w:bottom w:val="single" w:sz="8" w:space="0" w:color="auto"/>
              <w:right w:val="single" w:sz="8" w:space="0" w:color="auto"/>
            </w:tcBorders>
            <w:shd w:val="clear" w:color="000000" w:fill="ED7D31"/>
            <w:noWrap/>
            <w:vAlign w:val="center"/>
            <w:hideMark/>
          </w:tcPr>
          <w:p w14:paraId="7C5F72EC"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74C8B42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52B43613"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7" w:type="pct"/>
            <w:tcBorders>
              <w:top w:val="nil"/>
              <w:left w:val="nil"/>
              <w:bottom w:val="single" w:sz="8" w:space="0" w:color="auto"/>
              <w:right w:val="single" w:sz="8" w:space="0" w:color="auto"/>
            </w:tcBorders>
            <w:shd w:val="clear" w:color="000000" w:fill="ED7D31"/>
            <w:noWrap/>
            <w:vAlign w:val="center"/>
            <w:hideMark/>
          </w:tcPr>
          <w:p w14:paraId="668B651F"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FF0000"/>
            <w:noWrap/>
            <w:vAlign w:val="center"/>
            <w:hideMark/>
          </w:tcPr>
          <w:p w14:paraId="0CB33786"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414" w:type="pct"/>
            <w:tcBorders>
              <w:top w:val="nil"/>
              <w:left w:val="nil"/>
              <w:bottom w:val="single" w:sz="8" w:space="0" w:color="auto"/>
              <w:right w:val="single" w:sz="8" w:space="0" w:color="auto"/>
            </w:tcBorders>
            <w:shd w:val="clear" w:color="000000" w:fill="FF0000"/>
            <w:noWrap/>
            <w:vAlign w:val="center"/>
            <w:hideMark/>
          </w:tcPr>
          <w:p w14:paraId="5265BA50"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D</w:t>
            </w:r>
          </w:p>
        </w:tc>
        <w:tc>
          <w:tcPr>
            <w:tcW w:w="390" w:type="pct"/>
            <w:tcBorders>
              <w:top w:val="nil"/>
              <w:left w:val="nil"/>
              <w:bottom w:val="single" w:sz="8" w:space="0" w:color="auto"/>
              <w:right w:val="single" w:sz="8" w:space="0" w:color="auto"/>
            </w:tcBorders>
            <w:shd w:val="clear" w:color="000000" w:fill="ED7D31"/>
            <w:noWrap/>
            <w:vAlign w:val="center"/>
            <w:hideMark/>
          </w:tcPr>
          <w:p w14:paraId="23A9767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3732802F"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276C5375"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01CA74D1"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r>
      <w:tr w:rsidR="00FE01A8" w:rsidRPr="00E16B27" w14:paraId="7BEC92B3" w14:textId="77777777" w:rsidTr="00FE01A8">
        <w:trPr>
          <w:trHeight w:val="300"/>
        </w:trPr>
        <w:tc>
          <w:tcPr>
            <w:tcW w:w="1065" w:type="pct"/>
            <w:tcBorders>
              <w:top w:val="nil"/>
              <w:left w:val="single" w:sz="4" w:space="0" w:color="auto"/>
              <w:bottom w:val="single" w:sz="4" w:space="0" w:color="auto"/>
              <w:right w:val="single" w:sz="4" w:space="0" w:color="auto"/>
            </w:tcBorders>
            <w:shd w:val="clear" w:color="auto" w:fill="auto"/>
            <w:vAlign w:val="center"/>
            <w:hideMark/>
          </w:tcPr>
          <w:p w14:paraId="6E8B04ED" w14:textId="77777777" w:rsidR="00E16B27" w:rsidRPr="00E16B27" w:rsidRDefault="00E16B27" w:rsidP="00E16B27">
            <w:pPr>
              <w:spacing w:after="0" w:line="240" w:lineRule="auto"/>
              <w:rPr>
                <w:rFonts w:ascii="Book Antiqua" w:eastAsia="Times New Roman" w:hAnsi="Book Antiqua" w:cs="Calibri"/>
                <w:color w:val="000000"/>
                <w:sz w:val="18"/>
                <w:szCs w:val="18"/>
                <w:lang w:eastAsia="es-CR"/>
              </w:rPr>
            </w:pPr>
            <w:r w:rsidRPr="00E16B27">
              <w:rPr>
                <w:rFonts w:ascii="Book Antiqua" w:eastAsia="Times New Roman" w:hAnsi="Book Antiqua" w:cs="Calibri"/>
                <w:color w:val="000000"/>
                <w:sz w:val="18"/>
                <w:szCs w:val="18"/>
                <w:lang w:eastAsia="es-CR"/>
              </w:rPr>
              <w:t xml:space="preserve">Juzgado Contravencional de Paraíso </w:t>
            </w:r>
          </w:p>
        </w:tc>
        <w:tc>
          <w:tcPr>
            <w:tcW w:w="390" w:type="pct"/>
            <w:tcBorders>
              <w:top w:val="nil"/>
              <w:left w:val="nil"/>
              <w:bottom w:val="single" w:sz="8" w:space="0" w:color="auto"/>
              <w:right w:val="single" w:sz="8" w:space="0" w:color="auto"/>
            </w:tcBorders>
            <w:shd w:val="clear" w:color="000000" w:fill="ED7D31"/>
            <w:noWrap/>
            <w:vAlign w:val="center"/>
            <w:hideMark/>
          </w:tcPr>
          <w:p w14:paraId="6648E9C3"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163CCCD0"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3589FB6A"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7" w:type="pct"/>
            <w:tcBorders>
              <w:top w:val="nil"/>
              <w:left w:val="nil"/>
              <w:bottom w:val="single" w:sz="8" w:space="0" w:color="auto"/>
              <w:right w:val="single" w:sz="8" w:space="0" w:color="auto"/>
            </w:tcBorders>
            <w:shd w:val="clear" w:color="000000" w:fill="ED7D31"/>
            <w:noWrap/>
            <w:vAlign w:val="center"/>
            <w:hideMark/>
          </w:tcPr>
          <w:p w14:paraId="097EDFA9"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63571B2D"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414" w:type="pct"/>
            <w:tcBorders>
              <w:top w:val="nil"/>
              <w:left w:val="nil"/>
              <w:bottom w:val="single" w:sz="8" w:space="0" w:color="auto"/>
              <w:right w:val="single" w:sz="8" w:space="0" w:color="auto"/>
            </w:tcBorders>
            <w:shd w:val="clear" w:color="000000" w:fill="ED7D31"/>
            <w:noWrap/>
            <w:vAlign w:val="center"/>
            <w:hideMark/>
          </w:tcPr>
          <w:p w14:paraId="1FBA83D0"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515F7CB5"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574003CB"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4DDE6CFE"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c>
          <w:tcPr>
            <w:tcW w:w="390" w:type="pct"/>
            <w:tcBorders>
              <w:top w:val="nil"/>
              <w:left w:val="nil"/>
              <w:bottom w:val="single" w:sz="8" w:space="0" w:color="auto"/>
              <w:right w:val="single" w:sz="8" w:space="0" w:color="auto"/>
            </w:tcBorders>
            <w:shd w:val="clear" w:color="000000" w:fill="ED7D31"/>
            <w:noWrap/>
            <w:vAlign w:val="center"/>
            <w:hideMark/>
          </w:tcPr>
          <w:p w14:paraId="69083BD7" w14:textId="77777777" w:rsidR="00E16B27" w:rsidRPr="00E16B27" w:rsidRDefault="00E16B27" w:rsidP="00E16B27">
            <w:pPr>
              <w:spacing w:after="0" w:line="240" w:lineRule="auto"/>
              <w:jc w:val="center"/>
              <w:rPr>
                <w:rFonts w:ascii="Book Antiqua" w:eastAsia="Times New Roman" w:hAnsi="Book Antiqua" w:cs="Calibri"/>
                <w:b/>
                <w:bCs/>
                <w:color w:val="000000"/>
                <w:sz w:val="18"/>
                <w:szCs w:val="18"/>
                <w:lang w:eastAsia="es-CR"/>
              </w:rPr>
            </w:pPr>
            <w:r w:rsidRPr="00E16B27">
              <w:rPr>
                <w:rFonts w:ascii="Book Antiqua" w:eastAsia="Times New Roman" w:hAnsi="Book Antiqua" w:cs="Calibri"/>
                <w:b/>
                <w:bCs/>
                <w:color w:val="000000"/>
                <w:sz w:val="18"/>
                <w:szCs w:val="18"/>
                <w:lang w:eastAsia="es-CR"/>
              </w:rPr>
              <w:t>E</w:t>
            </w:r>
          </w:p>
        </w:tc>
      </w:tr>
    </w:tbl>
    <w:p w14:paraId="218EA4AD" w14:textId="0CA004E5" w:rsidR="00FB483C" w:rsidRPr="00E16B27" w:rsidRDefault="00E16B27" w:rsidP="00355630">
      <w:pPr>
        <w:spacing w:after="0" w:line="276" w:lineRule="auto"/>
        <w:jc w:val="both"/>
        <w:rPr>
          <w:rFonts w:ascii="Book Antiqua" w:eastAsia="Calibri" w:hAnsi="Book Antiqua" w:cs="Arial"/>
          <w:i/>
          <w:iCs/>
          <w:sz w:val="20"/>
          <w:szCs w:val="20"/>
        </w:rPr>
      </w:pPr>
      <w:r w:rsidRPr="00E16B27">
        <w:rPr>
          <w:rFonts w:ascii="Book Antiqua" w:eastAsia="Calibri" w:hAnsi="Book Antiqua" w:cs="Arial"/>
          <w:i/>
          <w:iCs/>
          <w:sz w:val="20"/>
          <w:szCs w:val="20"/>
        </w:rPr>
        <w:t>Fuente: Subproceso de Modernización Institucional.</w:t>
      </w:r>
    </w:p>
    <w:p w14:paraId="0292DB24" w14:textId="77777777" w:rsidR="00FB483C" w:rsidRDefault="00FB483C" w:rsidP="00355630">
      <w:pPr>
        <w:spacing w:after="0" w:line="276" w:lineRule="auto"/>
        <w:jc w:val="both"/>
        <w:rPr>
          <w:rFonts w:ascii="Book Antiqua" w:eastAsia="Calibri" w:hAnsi="Book Antiqua" w:cs="Arial"/>
          <w:sz w:val="24"/>
          <w:szCs w:val="24"/>
        </w:rPr>
      </w:pPr>
    </w:p>
    <w:p w14:paraId="38F3FA51" w14:textId="3BECC075" w:rsidR="00FB483C" w:rsidRDefault="00FB483C" w:rsidP="00355630">
      <w:pPr>
        <w:spacing w:after="0" w:line="276" w:lineRule="auto"/>
        <w:jc w:val="both"/>
        <w:rPr>
          <w:rFonts w:ascii="Book Antiqua" w:eastAsia="Calibri" w:hAnsi="Book Antiqua" w:cs="Arial"/>
          <w:sz w:val="24"/>
          <w:szCs w:val="24"/>
        </w:rPr>
      </w:pPr>
    </w:p>
    <w:p w14:paraId="60CB763B" w14:textId="1F450915" w:rsidR="00E25779" w:rsidRDefault="00E16B27" w:rsidP="00355630">
      <w:pPr>
        <w:spacing w:after="0" w:line="276" w:lineRule="auto"/>
        <w:jc w:val="both"/>
        <w:rPr>
          <w:rFonts w:ascii="Book Antiqua" w:eastAsia="Calibri" w:hAnsi="Book Antiqua" w:cs="Arial"/>
          <w:sz w:val="24"/>
          <w:szCs w:val="24"/>
        </w:rPr>
      </w:pPr>
      <w:bookmarkStart w:id="52" w:name="_Hlk97808124"/>
      <w:r>
        <w:rPr>
          <w:rFonts w:ascii="Book Antiqua" w:eastAsia="Calibri" w:hAnsi="Book Antiqua" w:cs="Arial"/>
          <w:sz w:val="24"/>
          <w:szCs w:val="24"/>
        </w:rPr>
        <w:t>De</w:t>
      </w:r>
      <w:r w:rsidRPr="00E16B27">
        <w:rPr>
          <w:rFonts w:ascii="Book Antiqua" w:eastAsia="Calibri" w:hAnsi="Book Antiqua" w:cs="Arial"/>
          <w:sz w:val="24"/>
          <w:szCs w:val="24"/>
        </w:rPr>
        <w:t xml:space="preserve">l análisis </w:t>
      </w:r>
      <w:r>
        <w:rPr>
          <w:rFonts w:ascii="Book Antiqua" w:eastAsia="Calibri" w:hAnsi="Book Antiqua" w:cs="Arial"/>
          <w:sz w:val="24"/>
          <w:szCs w:val="24"/>
        </w:rPr>
        <w:t xml:space="preserve">realizado por los profesionales del Subproceso de Modernización Institucional </w:t>
      </w:r>
      <w:r w:rsidR="00703693">
        <w:rPr>
          <w:rFonts w:ascii="Book Antiqua" w:eastAsia="Calibri" w:hAnsi="Book Antiqua" w:cs="Arial"/>
          <w:sz w:val="24"/>
          <w:szCs w:val="24"/>
        </w:rPr>
        <w:t xml:space="preserve">de diciembre 2020 </w:t>
      </w:r>
      <w:r w:rsidRPr="00E16B27">
        <w:rPr>
          <w:rFonts w:ascii="Book Antiqua" w:eastAsia="Calibri" w:hAnsi="Book Antiqua" w:cs="Arial"/>
          <w:sz w:val="24"/>
          <w:szCs w:val="24"/>
        </w:rPr>
        <w:t xml:space="preserve">a setiembre </w:t>
      </w:r>
      <w:r w:rsidR="00703693">
        <w:rPr>
          <w:rFonts w:ascii="Book Antiqua" w:eastAsia="Calibri" w:hAnsi="Book Antiqua" w:cs="Arial"/>
          <w:sz w:val="24"/>
          <w:szCs w:val="24"/>
        </w:rPr>
        <w:t xml:space="preserve">2021, con calificación </w:t>
      </w:r>
      <w:r w:rsidRPr="00E16B27">
        <w:rPr>
          <w:rFonts w:ascii="Book Antiqua" w:eastAsia="Calibri" w:hAnsi="Book Antiqua" w:cs="Arial"/>
          <w:sz w:val="24"/>
          <w:szCs w:val="24"/>
        </w:rPr>
        <w:t xml:space="preserve">“D” o “E” según el </w:t>
      </w:r>
      <w:r w:rsidR="00703693">
        <w:rPr>
          <w:rFonts w:ascii="Book Antiqua" w:eastAsia="Calibri" w:hAnsi="Book Antiqua" w:cs="Arial"/>
          <w:sz w:val="24"/>
          <w:szCs w:val="24"/>
        </w:rPr>
        <w:t>MAIC</w:t>
      </w:r>
      <w:r w:rsidRPr="00E16B27">
        <w:rPr>
          <w:rFonts w:ascii="Book Antiqua" w:eastAsia="Calibri" w:hAnsi="Book Antiqua" w:cs="Arial"/>
          <w:sz w:val="24"/>
          <w:szCs w:val="24"/>
        </w:rPr>
        <w:t>; con la finalidad de revisar si el personal del despacho da cumplimiento con las cuotas de trabajo establecidas, o si la situación de criticidad obedece a factores que no dependen del despacho,</w:t>
      </w:r>
      <w:r w:rsidR="00703693">
        <w:rPr>
          <w:rFonts w:ascii="Book Antiqua" w:eastAsia="Calibri" w:hAnsi="Book Antiqua" w:cs="Arial"/>
          <w:sz w:val="24"/>
          <w:szCs w:val="24"/>
        </w:rPr>
        <w:t xml:space="preserve"> se concluye que </w:t>
      </w:r>
      <w:r w:rsidR="00703693" w:rsidRPr="00703693">
        <w:rPr>
          <w:rFonts w:ascii="Book Antiqua" w:eastAsia="Calibri" w:hAnsi="Book Antiqua" w:cs="Arial"/>
          <w:sz w:val="24"/>
          <w:szCs w:val="24"/>
        </w:rPr>
        <w:t xml:space="preserve">los despachos </w:t>
      </w:r>
      <w:r w:rsidR="00703693">
        <w:rPr>
          <w:rFonts w:ascii="Book Antiqua" w:eastAsia="Calibri" w:hAnsi="Book Antiqua" w:cs="Arial"/>
          <w:sz w:val="24"/>
          <w:szCs w:val="24"/>
        </w:rPr>
        <w:t xml:space="preserve">en estudio </w:t>
      </w:r>
      <w:r w:rsidR="00703693" w:rsidRPr="00703693">
        <w:rPr>
          <w:rFonts w:ascii="Book Antiqua" w:eastAsia="Calibri" w:hAnsi="Book Antiqua" w:cs="Arial"/>
          <w:sz w:val="24"/>
          <w:szCs w:val="24"/>
        </w:rPr>
        <w:t xml:space="preserve">no cumplen con los plazos relacionados con indicadores </w:t>
      </w:r>
      <w:r w:rsidR="00451AE9">
        <w:rPr>
          <w:rFonts w:ascii="Book Antiqua" w:eastAsia="Calibri" w:hAnsi="Book Antiqua" w:cs="Arial"/>
          <w:sz w:val="24"/>
          <w:szCs w:val="24"/>
        </w:rPr>
        <w:t xml:space="preserve">como </w:t>
      </w:r>
      <w:r w:rsidR="00703693" w:rsidRPr="00703693">
        <w:rPr>
          <w:rFonts w:ascii="Book Antiqua" w:eastAsia="Calibri" w:hAnsi="Book Antiqua" w:cs="Arial"/>
          <w:sz w:val="24"/>
          <w:szCs w:val="24"/>
        </w:rPr>
        <w:t xml:space="preserve">demandas nuevas, escritos, </w:t>
      </w:r>
      <w:r w:rsidR="00451AE9">
        <w:rPr>
          <w:rFonts w:ascii="Book Antiqua" w:eastAsia="Calibri" w:hAnsi="Book Antiqua" w:cs="Arial"/>
          <w:sz w:val="24"/>
          <w:szCs w:val="24"/>
        </w:rPr>
        <w:t xml:space="preserve">fallo, </w:t>
      </w:r>
      <w:r w:rsidR="00703693" w:rsidRPr="00703693">
        <w:rPr>
          <w:rFonts w:ascii="Book Antiqua" w:eastAsia="Calibri" w:hAnsi="Book Antiqua" w:cs="Arial"/>
          <w:sz w:val="24"/>
          <w:szCs w:val="24"/>
        </w:rPr>
        <w:t>entre otros y no a un tema de capacidad operativa reducida</w:t>
      </w:r>
      <w:r w:rsidR="00E25779">
        <w:rPr>
          <w:rFonts w:ascii="Book Antiqua" w:eastAsia="Calibri" w:hAnsi="Book Antiqua" w:cs="Arial"/>
          <w:sz w:val="24"/>
          <w:szCs w:val="24"/>
        </w:rPr>
        <w:t xml:space="preserve">; por lo que en un estudio complementario a este informe se analizarán esas estructuras nuevamente para determinar si la carga de trabajo actual justifica o no el recurso </w:t>
      </w:r>
      <w:r w:rsidR="00E25779">
        <w:rPr>
          <w:rFonts w:ascii="Book Antiqua" w:eastAsia="Calibri" w:hAnsi="Book Antiqua" w:cs="Arial"/>
          <w:sz w:val="24"/>
          <w:szCs w:val="24"/>
        </w:rPr>
        <w:lastRenderedPageBreak/>
        <w:t xml:space="preserve">disponible. Asimismo, si es necesario recomendar algún cambio de competencia, máxime lo dispuesto por la Ley 9747 y la posibilidad que le otorga a la Corte de crear juzgados de Familia por Ministerio de Ley. </w:t>
      </w:r>
    </w:p>
    <w:p w14:paraId="6E9A12F1" w14:textId="77777777" w:rsidR="00FA2BBA" w:rsidRDefault="00FA2BBA" w:rsidP="00355630">
      <w:pPr>
        <w:spacing w:after="0" w:line="276" w:lineRule="auto"/>
        <w:jc w:val="both"/>
        <w:rPr>
          <w:rFonts w:ascii="Book Antiqua" w:eastAsia="Calibri" w:hAnsi="Book Antiqua" w:cs="Arial"/>
          <w:sz w:val="24"/>
          <w:szCs w:val="24"/>
        </w:rPr>
      </w:pPr>
    </w:p>
    <w:p w14:paraId="48AE7E96" w14:textId="469E36EC" w:rsidR="00FA2BBA" w:rsidRDefault="00FA2BBA" w:rsidP="00355630">
      <w:pPr>
        <w:spacing w:after="0" w:line="276" w:lineRule="auto"/>
        <w:jc w:val="both"/>
        <w:rPr>
          <w:rFonts w:ascii="Book Antiqua" w:eastAsia="Calibri" w:hAnsi="Book Antiqua" w:cs="Arial"/>
          <w:sz w:val="24"/>
          <w:szCs w:val="24"/>
        </w:rPr>
      </w:pPr>
      <w:r w:rsidRPr="00391382">
        <w:rPr>
          <w:rFonts w:ascii="Book Antiqua" w:eastAsia="Calibri" w:hAnsi="Book Antiqua" w:cs="Arial"/>
          <w:sz w:val="24"/>
          <w:szCs w:val="24"/>
        </w:rPr>
        <w:t xml:space="preserve">Sin embargo, </w:t>
      </w:r>
      <w:r w:rsidR="00F55423" w:rsidRPr="00391382">
        <w:rPr>
          <w:rFonts w:ascii="Book Antiqua" w:eastAsia="Calibri" w:hAnsi="Book Antiqua" w:cs="Arial"/>
          <w:sz w:val="24"/>
          <w:szCs w:val="24"/>
        </w:rPr>
        <w:t xml:space="preserve">en el caso del </w:t>
      </w:r>
      <w:r w:rsidR="00BD3E6C" w:rsidRPr="00391382">
        <w:rPr>
          <w:rFonts w:ascii="Book Antiqua" w:eastAsia="Calibri" w:hAnsi="Book Antiqua" w:cs="Arial"/>
          <w:sz w:val="24"/>
          <w:szCs w:val="24"/>
        </w:rPr>
        <w:t xml:space="preserve">Juzgado Contravencional de </w:t>
      </w:r>
      <w:r w:rsidR="001B3BC2" w:rsidRPr="00391382">
        <w:rPr>
          <w:rFonts w:ascii="Book Antiqua" w:eastAsia="Calibri" w:hAnsi="Book Antiqua" w:cs="Arial"/>
          <w:sz w:val="24"/>
          <w:szCs w:val="24"/>
        </w:rPr>
        <w:t xml:space="preserve">Paraíso </w:t>
      </w:r>
      <w:r w:rsidR="006602D4" w:rsidRPr="00391382">
        <w:rPr>
          <w:rFonts w:ascii="Book Antiqua" w:eastAsia="Calibri" w:hAnsi="Book Antiqua" w:cs="Arial"/>
          <w:sz w:val="24"/>
          <w:szCs w:val="24"/>
        </w:rPr>
        <w:t>está en proceso de revisión el informe</w:t>
      </w:r>
      <w:r w:rsidR="008C79CD" w:rsidRPr="00391382">
        <w:t xml:space="preserve"> </w:t>
      </w:r>
      <w:r w:rsidR="0099017E" w:rsidRPr="00391382">
        <w:t>“</w:t>
      </w:r>
      <w:r w:rsidR="008C79CD" w:rsidRPr="00391382">
        <w:rPr>
          <w:rFonts w:ascii="Book Antiqua" w:eastAsia="Calibri" w:hAnsi="Book Antiqua" w:cs="Arial"/>
          <w:sz w:val="24"/>
          <w:szCs w:val="24"/>
        </w:rPr>
        <w:t>Informe de análisis de estructura funcional y cargas de trabajo del personal del Juzgado de Trabajo de Cartago y análisis de la competencia actual de Juzgado Contravencional de Paraíso</w:t>
      </w:r>
      <w:r w:rsidR="0099017E" w:rsidRPr="00391382">
        <w:rPr>
          <w:rFonts w:ascii="Book Antiqua" w:eastAsia="Calibri" w:hAnsi="Book Antiqua" w:cs="Arial"/>
          <w:sz w:val="24"/>
          <w:szCs w:val="24"/>
        </w:rPr>
        <w:t xml:space="preserve">” en el que </w:t>
      </w:r>
      <w:r w:rsidR="003A5664" w:rsidRPr="00391382">
        <w:rPr>
          <w:rFonts w:ascii="Book Antiqua" w:eastAsia="Calibri" w:hAnsi="Book Antiqua" w:cs="Arial"/>
          <w:sz w:val="24"/>
          <w:szCs w:val="24"/>
        </w:rPr>
        <w:t>una vez anali</w:t>
      </w:r>
      <w:r w:rsidR="00C05C09" w:rsidRPr="00391382">
        <w:rPr>
          <w:rFonts w:ascii="Book Antiqua" w:eastAsia="Calibri" w:hAnsi="Book Antiqua" w:cs="Arial"/>
          <w:sz w:val="24"/>
          <w:szCs w:val="24"/>
        </w:rPr>
        <w:t xml:space="preserve">zadas las cargas de trabajo </w:t>
      </w:r>
      <w:r w:rsidR="006A4524" w:rsidRPr="00391382">
        <w:rPr>
          <w:rFonts w:ascii="Book Antiqua" w:eastAsia="Calibri" w:hAnsi="Book Antiqua" w:cs="Arial"/>
          <w:sz w:val="24"/>
          <w:szCs w:val="24"/>
        </w:rPr>
        <w:t xml:space="preserve">y la criticidad del despacho de acuerdo al análisis “MAIC”, </w:t>
      </w:r>
      <w:r w:rsidR="00CA3D93" w:rsidRPr="00391382">
        <w:rPr>
          <w:rFonts w:ascii="Book Antiqua" w:eastAsia="Calibri" w:hAnsi="Book Antiqua" w:cs="Arial"/>
          <w:sz w:val="24"/>
          <w:szCs w:val="24"/>
        </w:rPr>
        <w:t xml:space="preserve">se considera </w:t>
      </w:r>
      <w:r w:rsidR="00EB34A9" w:rsidRPr="00391382">
        <w:rPr>
          <w:rFonts w:ascii="Book Antiqua" w:eastAsia="Calibri" w:hAnsi="Book Antiqua" w:cs="Arial"/>
          <w:sz w:val="24"/>
          <w:szCs w:val="24"/>
        </w:rPr>
        <w:t xml:space="preserve">la necesidad de dotar al juzgado </w:t>
      </w:r>
      <w:r w:rsidR="00FB24FE" w:rsidRPr="00391382">
        <w:rPr>
          <w:rFonts w:ascii="Book Antiqua" w:eastAsia="Calibri" w:hAnsi="Book Antiqua" w:cs="Arial"/>
          <w:sz w:val="24"/>
          <w:szCs w:val="24"/>
        </w:rPr>
        <w:t xml:space="preserve">de un recurso de Juez o Jueza </w:t>
      </w:r>
      <w:r w:rsidR="009F2359" w:rsidRPr="00391382">
        <w:rPr>
          <w:rFonts w:ascii="Book Antiqua" w:eastAsia="Calibri" w:hAnsi="Book Antiqua" w:cs="Arial"/>
          <w:sz w:val="24"/>
          <w:szCs w:val="24"/>
        </w:rPr>
        <w:t>1</w:t>
      </w:r>
      <w:r w:rsidR="00FB24FE" w:rsidRPr="00391382">
        <w:rPr>
          <w:rFonts w:ascii="Book Antiqua" w:eastAsia="Calibri" w:hAnsi="Book Antiqua" w:cs="Arial"/>
          <w:sz w:val="24"/>
          <w:szCs w:val="24"/>
        </w:rPr>
        <w:t xml:space="preserve"> para </w:t>
      </w:r>
      <w:r w:rsidR="00576AE0" w:rsidRPr="00391382">
        <w:rPr>
          <w:rFonts w:ascii="Book Antiqua" w:eastAsia="Calibri" w:hAnsi="Book Antiqua" w:cs="Arial"/>
          <w:sz w:val="24"/>
          <w:szCs w:val="24"/>
        </w:rPr>
        <w:t xml:space="preserve">la atención en la carga de trabajo </w:t>
      </w:r>
      <w:r w:rsidR="00A1469D" w:rsidRPr="00391382">
        <w:rPr>
          <w:rFonts w:ascii="Book Antiqua" w:eastAsia="Calibri" w:hAnsi="Book Antiqua" w:cs="Arial"/>
          <w:sz w:val="24"/>
          <w:szCs w:val="24"/>
        </w:rPr>
        <w:t>de las materias de Pensiones Alimentarias, Violencia Doméstica y Faltas y Contravenciones.</w:t>
      </w:r>
      <w:r w:rsidR="006A4524">
        <w:rPr>
          <w:rFonts w:ascii="Book Antiqua" w:eastAsia="Calibri" w:hAnsi="Book Antiqua" w:cs="Arial"/>
          <w:sz w:val="24"/>
          <w:szCs w:val="24"/>
        </w:rPr>
        <w:t xml:space="preserve"> </w:t>
      </w:r>
    </w:p>
    <w:p w14:paraId="68D1EDF9" w14:textId="7EEB2823" w:rsidR="000E3CCF" w:rsidRDefault="000E3CCF" w:rsidP="00355630">
      <w:pPr>
        <w:spacing w:after="0" w:line="276" w:lineRule="auto"/>
        <w:jc w:val="both"/>
        <w:rPr>
          <w:rFonts w:ascii="Book Antiqua" w:eastAsia="Calibri" w:hAnsi="Book Antiqua" w:cs="Arial"/>
          <w:sz w:val="24"/>
          <w:szCs w:val="24"/>
        </w:rPr>
      </w:pPr>
    </w:p>
    <w:p w14:paraId="1E6FC545" w14:textId="5F2C3B9E" w:rsidR="000E3CCF" w:rsidRDefault="000E3CCF" w:rsidP="00355630">
      <w:pPr>
        <w:spacing w:after="0" w:line="276" w:lineRule="auto"/>
        <w:jc w:val="both"/>
        <w:rPr>
          <w:rFonts w:ascii="Book Antiqua" w:eastAsia="Calibri" w:hAnsi="Book Antiqua" w:cs="Arial"/>
          <w:sz w:val="24"/>
          <w:szCs w:val="24"/>
        </w:rPr>
      </w:pPr>
    </w:p>
    <w:p w14:paraId="5EAF3428" w14:textId="458833E6" w:rsidR="000E3CCF" w:rsidRPr="000E3CCF" w:rsidRDefault="000E3CCF" w:rsidP="008456A9">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0E3CCF">
        <w:rPr>
          <w:rFonts w:ascii="Book Antiqua" w:eastAsiaTheme="majorEastAsia" w:hAnsi="Book Antiqua" w:cstheme="majorBidi"/>
          <w:b/>
          <w:color w:val="1F3864" w:themeColor="accent1" w:themeShade="80"/>
          <w:sz w:val="24"/>
          <w:lang w:val="es-ES"/>
        </w:rPr>
        <w:t>Impacto del Código Procesal de Familia a partir del 1 de octubre de 2022 en materia de Familia-</w:t>
      </w:r>
      <w:r>
        <w:rPr>
          <w:rFonts w:ascii="Book Antiqua" w:eastAsiaTheme="majorEastAsia" w:hAnsi="Book Antiqua" w:cstheme="majorBidi"/>
          <w:b/>
          <w:color w:val="1F3864" w:themeColor="accent1" w:themeShade="80"/>
          <w:sz w:val="24"/>
          <w:lang w:val="es-ES"/>
        </w:rPr>
        <w:t>Segunda</w:t>
      </w:r>
      <w:r w:rsidRPr="000E3CCF">
        <w:rPr>
          <w:rFonts w:ascii="Book Antiqua" w:eastAsiaTheme="majorEastAsia" w:hAnsi="Book Antiqua" w:cstheme="majorBidi"/>
          <w:b/>
          <w:color w:val="1F3864" w:themeColor="accent1" w:themeShade="80"/>
          <w:sz w:val="24"/>
          <w:lang w:val="es-ES"/>
        </w:rPr>
        <w:t xml:space="preserve"> Instancia</w:t>
      </w:r>
      <w:r>
        <w:rPr>
          <w:rFonts w:ascii="Book Antiqua" w:eastAsiaTheme="majorEastAsia" w:hAnsi="Book Antiqua" w:cstheme="majorBidi"/>
          <w:b/>
          <w:color w:val="1F3864" w:themeColor="accent1" w:themeShade="80"/>
          <w:sz w:val="24"/>
          <w:lang w:val="es-ES"/>
        </w:rPr>
        <w:t xml:space="preserve"> y Casación</w:t>
      </w:r>
    </w:p>
    <w:p w14:paraId="31F41397" w14:textId="77777777" w:rsidR="000E3CCF" w:rsidRDefault="000E3CCF" w:rsidP="00355630">
      <w:pPr>
        <w:spacing w:after="0" w:line="276" w:lineRule="auto"/>
        <w:jc w:val="both"/>
        <w:rPr>
          <w:rFonts w:ascii="Book Antiqua" w:eastAsia="Calibri" w:hAnsi="Book Antiqua" w:cs="Arial"/>
          <w:sz w:val="24"/>
          <w:szCs w:val="24"/>
        </w:rPr>
      </w:pPr>
    </w:p>
    <w:p w14:paraId="24D76A1F"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bookmarkStart w:id="53" w:name="_Hlk97399620"/>
      <w:bookmarkEnd w:id="52"/>
    </w:p>
    <w:p w14:paraId="1123BF3E"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10170B92"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53AA577"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78407D5"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2B81C29A"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E6A883C" w14:textId="77777777" w:rsidR="008456A9" w:rsidRPr="008456A9" w:rsidRDefault="008456A9" w:rsidP="008456A9">
      <w:pPr>
        <w:pStyle w:val="Prrafodelista"/>
        <w:keepNext/>
        <w:keepLines/>
        <w:numPr>
          <w:ilvl w:val="1"/>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6A730973" w14:textId="2C136085" w:rsidR="006F27B4" w:rsidRPr="000E3CCF" w:rsidRDefault="006F27B4" w:rsidP="008456A9">
      <w:pPr>
        <w:pStyle w:val="Ttulo2"/>
      </w:pPr>
      <w:r w:rsidRPr="000E3CCF">
        <w:t>Tribunal de Familia</w:t>
      </w:r>
    </w:p>
    <w:bookmarkEnd w:id="53"/>
    <w:p w14:paraId="36077E37" w14:textId="4DE4F55A" w:rsidR="006F27B4" w:rsidRDefault="006F27B4" w:rsidP="00355630">
      <w:pPr>
        <w:spacing w:after="0" w:line="276" w:lineRule="auto"/>
        <w:jc w:val="both"/>
        <w:rPr>
          <w:rFonts w:ascii="Book Antiqua" w:eastAsia="Calibri" w:hAnsi="Book Antiqua" w:cs="Arial"/>
          <w:sz w:val="24"/>
          <w:szCs w:val="24"/>
        </w:rPr>
      </w:pPr>
    </w:p>
    <w:p w14:paraId="793B77D5" w14:textId="238CA073" w:rsidR="00A636FA" w:rsidRDefault="00A636FA" w:rsidP="00A636FA">
      <w:pPr>
        <w:spacing w:after="0" w:line="276" w:lineRule="auto"/>
        <w:jc w:val="both"/>
        <w:rPr>
          <w:rFonts w:ascii="Book Antiqua" w:eastAsia="Calibri" w:hAnsi="Book Antiqua" w:cs="Arial"/>
          <w:sz w:val="24"/>
          <w:szCs w:val="24"/>
        </w:rPr>
      </w:pPr>
      <w:r w:rsidRPr="00A636FA">
        <w:rPr>
          <w:rFonts w:ascii="Book Antiqua" w:eastAsia="Calibri" w:hAnsi="Book Antiqua" w:cs="Arial"/>
          <w:sz w:val="24"/>
          <w:szCs w:val="24"/>
        </w:rPr>
        <w:t>El Tribunal de Familia cuenta con la siguiente composición de recurso humano:</w:t>
      </w:r>
    </w:p>
    <w:p w14:paraId="64F41326" w14:textId="77777777" w:rsidR="00A636FA" w:rsidRPr="00A636FA" w:rsidRDefault="00A636FA" w:rsidP="00A636FA">
      <w:pPr>
        <w:spacing w:after="0" w:line="276" w:lineRule="auto"/>
        <w:jc w:val="both"/>
        <w:rPr>
          <w:rFonts w:ascii="Book Antiqua" w:eastAsia="Calibri" w:hAnsi="Book Antiqua" w:cs="Arial"/>
          <w:sz w:val="24"/>
          <w:szCs w:val="24"/>
        </w:rPr>
      </w:pPr>
    </w:p>
    <w:p w14:paraId="797125AE" w14:textId="77777777" w:rsidR="00A636FA" w:rsidRPr="00A636FA" w:rsidRDefault="00A636FA" w:rsidP="0090609F">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6 Juezas o Jueces 4</w:t>
      </w:r>
    </w:p>
    <w:p w14:paraId="04BF756E" w14:textId="77777777" w:rsidR="00A636FA" w:rsidRPr="00A636FA" w:rsidRDefault="00A636FA" w:rsidP="0090609F">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1 Jueza o Juez 1</w:t>
      </w:r>
    </w:p>
    <w:p w14:paraId="4008C21F" w14:textId="77777777" w:rsidR="00A636FA" w:rsidRPr="00A636FA" w:rsidRDefault="00A636FA" w:rsidP="0090609F">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1 Coordinadora o Coordinador Judicial 3</w:t>
      </w:r>
    </w:p>
    <w:p w14:paraId="2B0BEBD7" w14:textId="77777777" w:rsidR="00A636FA" w:rsidRPr="00A636FA" w:rsidRDefault="00A636FA" w:rsidP="0090609F">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4 Técnicas o Técnicos Judiciales 3</w:t>
      </w:r>
    </w:p>
    <w:p w14:paraId="03636303" w14:textId="6F097ED0" w:rsidR="00A636FA" w:rsidRDefault="00A636FA" w:rsidP="0090609F">
      <w:pPr>
        <w:numPr>
          <w:ilvl w:val="0"/>
          <w:numId w:val="26"/>
        </w:numPr>
        <w:spacing w:after="0" w:line="276" w:lineRule="auto"/>
        <w:ind w:left="0" w:firstLine="0"/>
        <w:contextualSpacing/>
        <w:jc w:val="both"/>
        <w:rPr>
          <w:rFonts w:ascii="Book Antiqua" w:eastAsia="Calibri" w:hAnsi="Book Antiqua" w:cs="Arial"/>
          <w:sz w:val="24"/>
          <w:szCs w:val="24"/>
          <w:lang w:eastAsia="es-CR"/>
        </w:rPr>
      </w:pPr>
      <w:r w:rsidRPr="00A636FA">
        <w:rPr>
          <w:rFonts w:ascii="Book Antiqua" w:eastAsia="Calibri" w:hAnsi="Book Antiqua" w:cs="Arial"/>
          <w:sz w:val="24"/>
          <w:szCs w:val="24"/>
          <w:lang w:eastAsia="es-CR"/>
        </w:rPr>
        <w:t>1 Auxiliar de Servicios Generales 2</w:t>
      </w:r>
    </w:p>
    <w:p w14:paraId="5A52EE2B" w14:textId="77777777" w:rsidR="000E3CCF" w:rsidRPr="00A636FA" w:rsidRDefault="000E3CCF" w:rsidP="000E3CCF">
      <w:pPr>
        <w:spacing w:after="0" w:line="276" w:lineRule="auto"/>
        <w:contextualSpacing/>
        <w:jc w:val="both"/>
        <w:rPr>
          <w:rFonts w:ascii="Book Antiqua" w:eastAsia="Calibri" w:hAnsi="Book Antiqua" w:cs="Arial"/>
          <w:sz w:val="24"/>
          <w:szCs w:val="24"/>
          <w:lang w:eastAsia="es-CR"/>
        </w:rPr>
      </w:pPr>
    </w:p>
    <w:p w14:paraId="4B7A5A0F" w14:textId="6B1635E3" w:rsidR="00A636FA" w:rsidRPr="00A636FA" w:rsidRDefault="00A636FA" w:rsidP="00A636F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636FA">
        <w:rPr>
          <w:rFonts w:ascii="Book Antiqua" w:eastAsia="Calibri" w:hAnsi="Book Antiqua" w:cs="Arial"/>
          <w:b/>
          <w:bCs/>
          <w:color w:val="1F497D"/>
          <w:szCs w:val="24"/>
          <w:lang w:val="es-ES" w:eastAsia="es-ES"/>
        </w:rPr>
        <w:lastRenderedPageBreak/>
        <w:t xml:space="preserve">Cuadro </w:t>
      </w:r>
      <w:r w:rsidRPr="00A636FA">
        <w:rPr>
          <w:rFonts w:ascii="Book Antiqua" w:eastAsia="Calibri" w:hAnsi="Book Antiqua" w:cs="Arial"/>
          <w:b/>
          <w:bCs/>
          <w:color w:val="1F497D"/>
          <w:szCs w:val="24"/>
          <w:lang w:val="es-ES" w:eastAsia="es-ES"/>
        </w:rPr>
        <w:fldChar w:fldCharType="begin"/>
      </w:r>
      <w:r w:rsidRPr="00A636FA">
        <w:rPr>
          <w:rFonts w:ascii="Book Antiqua" w:eastAsia="Calibri" w:hAnsi="Book Antiqua" w:cs="Arial"/>
          <w:b/>
          <w:bCs/>
          <w:color w:val="1F497D"/>
          <w:szCs w:val="24"/>
          <w:lang w:val="es-ES" w:eastAsia="es-ES"/>
        </w:rPr>
        <w:instrText xml:space="preserve"> SEQ Cuadro \* ARABIC </w:instrText>
      </w:r>
      <w:r w:rsidRPr="00A636FA">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53</w:t>
      </w:r>
      <w:r w:rsidRPr="00A636FA">
        <w:rPr>
          <w:rFonts w:ascii="Book Antiqua" w:eastAsia="Calibri" w:hAnsi="Book Antiqua" w:cs="Arial"/>
          <w:b/>
          <w:bCs/>
          <w:color w:val="1F497D"/>
          <w:szCs w:val="24"/>
          <w:lang w:val="es-ES" w:eastAsia="es-ES"/>
        </w:rPr>
        <w:fldChar w:fldCharType="end"/>
      </w:r>
    </w:p>
    <w:p w14:paraId="2FDDCAFD" w14:textId="77777777" w:rsidR="00A636FA" w:rsidRPr="00A636FA" w:rsidRDefault="00A636FA" w:rsidP="00A636FA">
      <w:pPr>
        <w:keepNext/>
        <w:numPr>
          <w:ilvl w:val="12"/>
          <w:numId w:val="0"/>
        </w:numPr>
        <w:spacing w:after="0" w:line="276" w:lineRule="auto"/>
        <w:jc w:val="center"/>
        <w:rPr>
          <w:rFonts w:ascii="Book Antiqua" w:eastAsia="Times New Roman" w:hAnsi="Book Antiqua" w:cs="Arial"/>
          <w:b/>
          <w:bCs/>
          <w:color w:val="1F497D"/>
          <w:lang w:eastAsia="es-ES"/>
        </w:rPr>
      </w:pPr>
      <w:r w:rsidRPr="00A636FA">
        <w:rPr>
          <w:rFonts w:ascii="Book Antiqua" w:eastAsia="Times New Roman" w:hAnsi="Book Antiqua" w:cs="Arial"/>
          <w:b/>
          <w:bCs/>
          <w:color w:val="1F497D"/>
          <w:lang w:eastAsia="es-ES"/>
        </w:rPr>
        <w:t xml:space="preserve">Movimiento histórico de la cantidad de apelaciones resueltas por el </w:t>
      </w:r>
    </w:p>
    <w:p w14:paraId="6AC12812" w14:textId="1AD9EEB5" w:rsidR="00A636FA" w:rsidRDefault="00A636FA" w:rsidP="00A636FA">
      <w:pPr>
        <w:keepNext/>
        <w:spacing w:after="0" w:line="276" w:lineRule="auto"/>
        <w:jc w:val="center"/>
        <w:rPr>
          <w:rFonts w:ascii="Book Antiqua" w:eastAsia="Times New Roman" w:hAnsi="Book Antiqua" w:cs="Arial"/>
          <w:b/>
          <w:color w:val="1F497D"/>
          <w:lang w:eastAsia="es-ES"/>
        </w:rPr>
      </w:pPr>
      <w:r w:rsidRPr="00A636FA">
        <w:rPr>
          <w:rFonts w:ascii="Book Antiqua" w:eastAsia="Times New Roman" w:hAnsi="Book Antiqua" w:cs="Arial"/>
          <w:b/>
          <w:color w:val="1F497D"/>
          <w:lang w:eastAsia="es-ES"/>
        </w:rPr>
        <w:t>Tribunal de Familia</w:t>
      </w:r>
      <w:r w:rsidRPr="00A636FA">
        <w:rPr>
          <w:rFonts w:ascii="Book Antiqua" w:eastAsia="Times New Roman" w:hAnsi="Book Antiqua" w:cs="Arial"/>
          <w:b/>
          <w:bCs/>
          <w:color w:val="1F497D"/>
          <w:lang w:eastAsia="es-ES"/>
        </w:rPr>
        <w:t xml:space="preserve"> </w:t>
      </w:r>
      <w:r w:rsidRPr="00A636FA">
        <w:rPr>
          <w:rFonts w:ascii="Book Antiqua" w:eastAsia="Times New Roman" w:hAnsi="Book Antiqua" w:cs="Arial"/>
          <w:b/>
          <w:color w:val="1F497D"/>
          <w:lang w:eastAsia="es-ES"/>
        </w:rPr>
        <w:t>según Juzgado de procedencia, del 20</w:t>
      </w:r>
      <w:r w:rsidR="00373D5E">
        <w:rPr>
          <w:rFonts w:ascii="Book Antiqua" w:eastAsia="Times New Roman" w:hAnsi="Book Antiqua" w:cs="Arial"/>
          <w:b/>
          <w:color w:val="1F497D"/>
          <w:lang w:eastAsia="es-ES"/>
        </w:rPr>
        <w:t>20</w:t>
      </w:r>
      <w:r w:rsidRPr="00A636FA">
        <w:rPr>
          <w:rFonts w:ascii="Book Antiqua" w:eastAsia="Times New Roman" w:hAnsi="Book Antiqua" w:cs="Arial"/>
          <w:b/>
          <w:color w:val="1F497D"/>
          <w:lang w:eastAsia="es-ES"/>
        </w:rPr>
        <w:t xml:space="preserve"> al 20</w:t>
      </w:r>
      <w:r w:rsidR="00373D5E">
        <w:rPr>
          <w:rFonts w:ascii="Book Antiqua" w:eastAsia="Times New Roman" w:hAnsi="Book Antiqua" w:cs="Arial"/>
          <w:b/>
          <w:color w:val="1F497D"/>
          <w:lang w:eastAsia="es-ES"/>
        </w:rPr>
        <w:t>2</w:t>
      </w:r>
      <w:r w:rsidRPr="00A636FA">
        <w:rPr>
          <w:rFonts w:ascii="Book Antiqua" w:eastAsia="Times New Roman" w:hAnsi="Book Antiqua" w:cs="Arial"/>
          <w:b/>
          <w:color w:val="1F497D"/>
          <w:lang w:eastAsia="es-ES"/>
        </w:rPr>
        <w:t>1</w:t>
      </w:r>
    </w:p>
    <w:p w14:paraId="35A75778" w14:textId="28D5BFB2" w:rsidR="00C7739C" w:rsidRPr="00A636FA" w:rsidRDefault="00BB333C" w:rsidP="00C7739C">
      <w:pPr>
        <w:keepNext/>
        <w:spacing w:after="0" w:line="276" w:lineRule="auto"/>
        <w:rPr>
          <w:rFonts w:ascii="Book Antiqua" w:eastAsia="Times New Roman" w:hAnsi="Book Antiqua" w:cs="Arial"/>
          <w:b/>
          <w:color w:val="1F497D"/>
          <w:lang w:eastAsia="es-ES"/>
        </w:rPr>
      </w:pPr>
      <w:r w:rsidRPr="00BB333C">
        <w:rPr>
          <w:noProof/>
        </w:rPr>
        <w:drawing>
          <wp:inline distT="0" distB="0" distL="0" distR="0" wp14:anchorId="10B8F9BC" wp14:editId="5259DCB0">
            <wp:extent cx="5612130" cy="2732405"/>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12130" cy="2732405"/>
                    </a:xfrm>
                    <a:prstGeom prst="rect">
                      <a:avLst/>
                    </a:prstGeom>
                    <a:noFill/>
                    <a:ln>
                      <a:noFill/>
                    </a:ln>
                  </pic:spPr>
                </pic:pic>
              </a:graphicData>
            </a:graphic>
          </wp:inline>
        </w:drawing>
      </w:r>
    </w:p>
    <w:p w14:paraId="66B8B119" w14:textId="38C52096" w:rsidR="00A636FA" w:rsidRDefault="00373D5E" w:rsidP="001D0C10">
      <w:pPr>
        <w:jc w:val="both"/>
        <w:rPr>
          <w:rFonts w:ascii="Book Antiqua" w:eastAsia="Calibri" w:hAnsi="Book Antiqua" w:cs="Arial"/>
          <w:i/>
          <w:iCs/>
          <w:sz w:val="20"/>
          <w:szCs w:val="20"/>
        </w:rPr>
      </w:pPr>
      <w:r w:rsidRPr="00373D5E">
        <w:rPr>
          <w:rFonts w:ascii="Book Antiqua" w:eastAsia="Calibri" w:hAnsi="Book Antiqua" w:cs="Arial"/>
          <w:i/>
          <w:iCs/>
          <w:sz w:val="20"/>
          <w:szCs w:val="20"/>
        </w:rPr>
        <w:t>Fuente: Subproceso de Modernización Institucional, con datos del Subproceso de Estadística, del 20</w:t>
      </w:r>
      <w:r>
        <w:rPr>
          <w:rFonts w:ascii="Book Antiqua" w:eastAsia="Calibri" w:hAnsi="Book Antiqua" w:cs="Arial"/>
          <w:i/>
          <w:iCs/>
          <w:sz w:val="20"/>
          <w:szCs w:val="20"/>
        </w:rPr>
        <w:t>20</w:t>
      </w:r>
      <w:r w:rsidRPr="00373D5E">
        <w:rPr>
          <w:rFonts w:ascii="Book Antiqua" w:eastAsia="Calibri" w:hAnsi="Book Antiqua" w:cs="Arial"/>
          <w:i/>
          <w:iCs/>
          <w:sz w:val="20"/>
          <w:szCs w:val="20"/>
        </w:rPr>
        <w:t xml:space="preserve"> al 20</w:t>
      </w:r>
      <w:r>
        <w:rPr>
          <w:rFonts w:ascii="Book Antiqua" w:eastAsia="Calibri" w:hAnsi="Book Antiqua" w:cs="Arial"/>
          <w:i/>
          <w:iCs/>
          <w:sz w:val="20"/>
          <w:szCs w:val="20"/>
        </w:rPr>
        <w:t>2</w:t>
      </w:r>
      <w:r w:rsidRPr="00373D5E">
        <w:rPr>
          <w:rFonts w:ascii="Book Antiqua" w:eastAsia="Calibri" w:hAnsi="Book Antiqua" w:cs="Arial"/>
          <w:i/>
          <w:iCs/>
          <w:sz w:val="20"/>
          <w:szCs w:val="20"/>
        </w:rPr>
        <w:t>1.</w:t>
      </w:r>
      <w:r w:rsidR="0042562F">
        <w:rPr>
          <w:rFonts w:ascii="Book Antiqua" w:eastAsia="Calibri" w:hAnsi="Book Antiqua" w:cs="Arial"/>
          <w:i/>
          <w:iCs/>
          <w:sz w:val="20"/>
          <w:szCs w:val="20"/>
        </w:rPr>
        <w:t>Nota: Valores indicado</w:t>
      </w:r>
      <w:r w:rsidR="00143EFA">
        <w:rPr>
          <w:rFonts w:ascii="Book Antiqua" w:eastAsia="Calibri" w:hAnsi="Book Antiqua" w:cs="Arial"/>
          <w:i/>
          <w:iCs/>
          <w:sz w:val="20"/>
          <w:szCs w:val="20"/>
        </w:rPr>
        <w:t>s</w:t>
      </w:r>
      <w:r w:rsidR="0042562F">
        <w:rPr>
          <w:rFonts w:ascii="Book Antiqua" w:eastAsia="Calibri" w:hAnsi="Book Antiqua" w:cs="Arial"/>
          <w:i/>
          <w:iCs/>
          <w:sz w:val="20"/>
          <w:szCs w:val="20"/>
        </w:rPr>
        <w:t xml:space="preserve"> en el cuadro anterior corresponde</w:t>
      </w:r>
      <w:r w:rsidR="00143EFA">
        <w:rPr>
          <w:rFonts w:ascii="Book Antiqua" w:eastAsia="Calibri" w:hAnsi="Book Antiqua" w:cs="Arial"/>
          <w:i/>
          <w:iCs/>
          <w:sz w:val="20"/>
          <w:szCs w:val="20"/>
        </w:rPr>
        <w:t>n</w:t>
      </w:r>
      <w:r w:rsidR="0042562F">
        <w:rPr>
          <w:rFonts w:ascii="Book Antiqua" w:eastAsia="Calibri" w:hAnsi="Book Antiqua" w:cs="Arial"/>
          <w:i/>
          <w:iCs/>
          <w:sz w:val="20"/>
          <w:szCs w:val="20"/>
        </w:rPr>
        <w:t xml:space="preserve"> a la suma de los años 2020 y 2021. Por ejemplo el tema de competencia, el ingreso en esos 2 años fue de 120 casos, un promedio anual de 60, o mensual de 5 casos. </w:t>
      </w:r>
    </w:p>
    <w:p w14:paraId="2B23A519" w14:textId="77777777" w:rsidR="00373D5E" w:rsidRPr="00373D5E" w:rsidRDefault="00373D5E" w:rsidP="00373D5E">
      <w:pPr>
        <w:rPr>
          <w:rFonts w:ascii="Book Antiqua" w:eastAsia="Calibri" w:hAnsi="Book Antiqua" w:cs="Arial"/>
          <w:i/>
          <w:iCs/>
          <w:sz w:val="20"/>
          <w:szCs w:val="20"/>
        </w:rPr>
      </w:pPr>
    </w:p>
    <w:p w14:paraId="2E5F1C7C" w14:textId="5BF57F9A" w:rsidR="00A636FA" w:rsidRPr="00A636FA" w:rsidRDefault="00A636FA" w:rsidP="00A636FA">
      <w:pPr>
        <w:spacing w:after="0" w:line="276" w:lineRule="auto"/>
        <w:jc w:val="both"/>
        <w:rPr>
          <w:rFonts w:ascii="Book Antiqua" w:eastAsia="Calibri" w:hAnsi="Book Antiqua" w:cs="Arial"/>
          <w:sz w:val="24"/>
          <w:szCs w:val="24"/>
        </w:rPr>
      </w:pPr>
      <w:r w:rsidRPr="00A636FA">
        <w:rPr>
          <w:rFonts w:ascii="Book Antiqua" w:eastAsia="Calibri" w:hAnsi="Book Antiqua" w:cs="Arial"/>
          <w:sz w:val="24"/>
          <w:szCs w:val="24"/>
        </w:rPr>
        <w:t>De la información del cuadro anterior, se desprende que el Tribunal de Familia conoció durante el periodo del 20</w:t>
      </w:r>
      <w:r w:rsidR="00373D5E">
        <w:rPr>
          <w:rFonts w:ascii="Book Antiqua" w:eastAsia="Calibri" w:hAnsi="Book Antiqua" w:cs="Arial"/>
          <w:sz w:val="24"/>
          <w:szCs w:val="24"/>
        </w:rPr>
        <w:t>20</w:t>
      </w:r>
      <w:r w:rsidRPr="00A636FA">
        <w:rPr>
          <w:rFonts w:ascii="Book Antiqua" w:eastAsia="Calibri" w:hAnsi="Book Antiqua" w:cs="Arial"/>
          <w:sz w:val="24"/>
          <w:szCs w:val="24"/>
        </w:rPr>
        <w:t xml:space="preserve"> al 20</w:t>
      </w:r>
      <w:r>
        <w:rPr>
          <w:rFonts w:ascii="Book Antiqua" w:eastAsia="Calibri" w:hAnsi="Book Antiqua" w:cs="Arial"/>
          <w:sz w:val="24"/>
          <w:szCs w:val="24"/>
        </w:rPr>
        <w:t>2</w:t>
      </w:r>
      <w:r w:rsidRPr="00A636FA">
        <w:rPr>
          <w:rFonts w:ascii="Book Antiqua" w:eastAsia="Calibri" w:hAnsi="Book Antiqua" w:cs="Arial"/>
          <w:sz w:val="24"/>
          <w:szCs w:val="24"/>
        </w:rPr>
        <w:t xml:space="preserve">1 un total </w:t>
      </w:r>
      <w:r w:rsidRPr="00F802E9">
        <w:rPr>
          <w:rFonts w:ascii="Book Antiqua" w:eastAsia="Calibri" w:hAnsi="Book Antiqua" w:cs="Arial"/>
          <w:sz w:val="24"/>
          <w:szCs w:val="24"/>
        </w:rPr>
        <w:t xml:space="preserve">de </w:t>
      </w:r>
      <w:r w:rsidR="00373D5E" w:rsidRPr="00F802E9">
        <w:rPr>
          <w:rFonts w:ascii="Book Antiqua" w:eastAsia="Calibri" w:hAnsi="Book Antiqua" w:cs="Arial"/>
          <w:sz w:val="24"/>
          <w:szCs w:val="24"/>
        </w:rPr>
        <w:t>1</w:t>
      </w:r>
      <w:r w:rsidRPr="00F802E9">
        <w:rPr>
          <w:rFonts w:ascii="Book Antiqua" w:eastAsia="Calibri" w:hAnsi="Book Antiqua" w:cs="Arial"/>
          <w:sz w:val="24"/>
          <w:szCs w:val="24"/>
        </w:rPr>
        <w:t> </w:t>
      </w:r>
      <w:r w:rsidR="00373D5E" w:rsidRPr="00F802E9">
        <w:rPr>
          <w:rFonts w:ascii="Book Antiqua" w:eastAsia="Calibri" w:hAnsi="Book Antiqua" w:cs="Arial"/>
          <w:sz w:val="24"/>
          <w:szCs w:val="24"/>
        </w:rPr>
        <w:t>4</w:t>
      </w:r>
      <w:r w:rsidRPr="00F802E9">
        <w:rPr>
          <w:rFonts w:ascii="Book Antiqua" w:eastAsia="Calibri" w:hAnsi="Book Antiqua" w:cs="Arial"/>
          <w:sz w:val="24"/>
          <w:szCs w:val="24"/>
        </w:rPr>
        <w:t xml:space="preserve">64 apelaciones procedentes de los Juzgados Especializados de Familia, los tres despachos que presentaron más recursos durante este periodo fueron el Juzgado de Familia del Segundo Circuito Judicial de </w:t>
      </w:r>
      <w:r w:rsidR="00A6287D">
        <w:rPr>
          <w:rFonts w:ascii="Book Antiqua" w:eastAsia="Calibri" w:hAnsi="Book Antiqua" w:cs="Arial"/>
          <w:sz w:val="24"/>
          <w:szCs w:val="24"/>
        </w:rPr>
        <w:t xml:space="preserve"> </w:t>
      </w:r>
      <w:r w:rsidRPr="00F802E9">
        <w:rPr>
          <w:rFonts w:ascii="Book Antiqua" w:eastAsia="Calibri" w:hAnsi="Book Antiqua" w:cs="Arial"/>
          <w:sz w:val="24"/>
          <w:szCs w:val="24"/>
        </w:rPr>
        <w:t xml:space="preserve">San José con </w:t>
      </w:r>
      <w:r w:rsidR="00373D5E" w:rsidRPr="00F802E9">
        <w:rPr>
          <w:rFonts w:ascii="Book Antiqua" w:eastAsia="Calibri" w:hAnsi="Book Antiqua" w:cs="Arial"/>
          <w:sz w:val="24"/>
          <w:szCs w:val="24"/>
        </w:rPr>
        <w:t>256</w:t>
      </w:r>
      <w:r w:rsidRPr="00F802E9">
        <w:rPr>
          <w:rFonts w:ascii="Book Antiqua" w:eastAsia="Calibri" w:hAnsi="Book Antiqua" w:cs="Arial"/>
          <w:sz w:val="24"/>
          <w:szCs w:val="24"/>
        </w:rPr>
        <w:t xml:space="preserve"> asuntos, seguido del </w:t>
      </w:r>
      <w:r w:rsidR="00373D5E" w:rsidRPr="00F802E9">
        <w:rPr>
          <w:rFonts w:ascii="Book Antiqua" w:eastAsia="Calibri" w:hAnsi="Book Antiqua" w:cs="Arial"/>
          <w:sz w:val="24"/>
          <w:szCs w:val="24"/>
        </w:rPr>
        <w:t xml:space="preserve">Juzgado </w:t>
      </w:r>
      <w:r w:rsidR="00F802E9" w:rsidRPr="00F802E9">
        <w:rPr>
          <w:rFonts w:ascii="Book Antiqua" w:eastAsia="Calibri" w:hAnsi="Book Antiqua" w:cs="Arial"/>
          <w:sz w:val="24"/>
          <w:szCs w:val="24"/>
        </w:rPr>
        <w:t xml:space="preserve">Primero </w:t>
      </w:r>
      <w:r w:rsidR="00373D5E" w:rsidRPr="00F802E9">
        <w:rPr>
          <w:rFonts w:ascii="Book Antiqua" w:eastAsia="Calibri" w:hAnsi="Book Antiqua" w:cs="Arial"/>
          <w:sz w:val="24"/>
          <w:szCs w:val="24"/>
        </w:rPr>
        <w:t xml:space="preserve">de Familia de San </w:t>
      </w:r>
      <w:r w:rsidR="00143EFA" w:rsidRPr="00F802E9">
        <w:rPr>
          <w:rFonts w:ascii="Book Antiqua" w:eastAsia="Calibri" w:hAnsi="Book Antiqua" w:cs="Arial"/>
          <w:sz w:val="24"/>
          <w:szCs w:val="24"/>
        </w:rPr>
        <w:t>José</w:t>
      </w:r>
      <w:r w:rsidR="00373D5E" w:rsidRPr="00F802E9">
        <w:rPr>
          <w:rFonts w:ascii="Book Antiqua" w:eastAsia="Calibri" w:hAnsi="Book Antiqua" w:cs="Arial"/>
          <w:sz w:val="24"/>
          <w:szCs w:val="24"/>
        </w:rPr>
        <w:t xml:space="preserve"> </w:t>
      </w:r>
      <w:r w:rsidR="00F802E9" w:rsidRPr="00F802E9">
        <w:rPr>
          <w:rFonts w:ascii="Book Antiqua" w:eastAsia="Calibri" w:hAnsi="Book Antiqua" w:cs="Arial"/>
          <w:sz w:val="24"/>
          <w:szCs w:val="24"/>
        </w:rPr>
        <w:t xml:space="preserve">con 213 y en tercer lugar el </w:t>
      </w:r>
      <w:r w:rsidR="00373D5E" w:rsidRPr="00F802E9">
        <w:rPr>
          <w:rFonts w:ascii="Book Antiqua" w:eastAsia="Calibri" w:hAnsi="Book Antiqua" w:cs="Arial"/>
          <w:sz w:val="24"/>
          <w:szCs w:val="24"/>
        </w:rPr>
        <w:t xml:space="preserve">Juzgado Segundo de Familia de San José con </w:t>
      </w:r>
      <w:r w:rsidR="00F802E9" w:rsidRPr="00F802E9">
        <w:rPr>
          <w:rFonts w:ascii="Book Antiqua" w:eastAsia="Calibri" w:hAnsi="Book Antiqua" w:cs="Arial"/>
          <w:sz w:val="24"/>
          <w:szCs w:val="24"/>
        </w:rPr>
        <w:t xml:space="preserve">179 </w:t>
      </w:r>
      <w:r w:rsidRPr="00F802E9">
        <w:rPr>
          <w:rFonts w:ascii="Book Antiqua" w:eastAsia="Calibri" w:hAnsi="Book Antiqua" w:cs="Arial"/>
          <w:sz w:val="24"/>
          <w:szCs w:val="24"/>
        </w:rPr>
        <w:t>casos,</w:t>
      </w:r>
      <w:r w:rsidRPr="00A636FA">
        <w:rPr>
          <w:rFonts w:ascii="Book Antiqua" w:eastAsia="Calibri" w:hAnsi="Book Antiqua" w:cs="Arial"/>
          <w:sz w:val="24"/>
          <w:szCs w:val="24"/>
        </w:rPr>
        <w:t xml:space="preserve"> en menor cantidad se tiene el </w:t>
      </w:r>
      <w:r w:rsidRPr="00F802E9">
        <w:rPr>
          <w:rFonts w:ascii="Book Antiqua" w:eastAsia="Calibri" w:hAnsi="Book Antiqua" w:cs="Arial"/>
          <w:sz w:val="24"/>
          <w:szCs w:val="24"/>
        </w:rPr>
        <w:t xml:space="preserve">Juzgado de Familia del </w:t>
      </w:r>
      <w:r w:rsidR="00F802E9" w:rsidRPr="00F802E9">
        <w:rPr>
          <w:rFonts w:ascii="Book Antiqua" w:eastAsia="Calibri" w:hAnsi="Book Antiqua" w:cs="Arial"/>
          <w:sz w:val="24"/>
          <w:szCs w:val="24"/>
        </w:rPr>
        <w:t>Primer</w:t>
      </w:r>
      <w:r w:rsidRPr="00F802E9">
        <w:rPr>
          <w:rFonts w:ascii="Book Antiqua" w:eastAsia="Calibri" w:hAnsi="Book Antiqua" w:cs="Arial"/>
          <w:sz w:val="24"/>
          <w:szCs w:val="24"/>
        </w:rPr>
        <w:t xml:space="preserve"> Circuito Judicial de la Zona Atlántica con 3</w:t>
      </w:r>
      <w:r w:rsidR="00F802E9" w:rsidRPr="00F802E9">
        <w:rPr>
          <w:rFonts w:ascii="Book Antiqua" w:eastAsia="Calibri" w:hAnsi="Book Antiqua" w:cs="Arial"/>
          <w:sz w:val="24"/>
          <w:szCs w:val="24"/>
        </w:rPr>
        <w:t>8</w:t>
      </w:r>
      <w:r w:rsidRPr="00F802E9">
        <w:rPr>
          <w:rFonts w:ascii="Book Antiqua" w:eastAsia="Calibri" w:hAnsi="Book Antiqua" w:cs="Arial"/>
          <w:sz w:val="24"/>
          <w:szCs w:val="24"/>
        </w:rPr>
        <w:t xml:space="preserve"> apelaciones, seguido del Juzgado de Familia del Segundo Circuito Judicial de </w:t>
      </w:r>
      <w:r w:rsidR="00F802E9" w:rsidRPr="00F802E9">
        <w:rPr>
          <w:rFonts w:ascii="Book Antiqua" w:eastAsia="Calibri" w:hAnsi="Book Antiqua" w:cs="Arial"/>
          <w:sz w:val="24"/>
          <w:szCs w:val="24"/>
        </w:rPr>
        <w:t>la Zona Atlántica</w:t>
      </w:r>
      <w:r w:rsidRPr="00F802E9">
        <w:rPr>
          <w:rFonts w:ascii="Book Antiqua" w:eastAsia="Calibri" w:hAnsi="Book Antiqua" w:cs="Arial"/>
          <w:sz w:val="24"/>
          <w:szCs w:val="24"/>
        </w:rPr>
        <w:t xml:space="preserve"> </w:t>
      </w:r>
      <w:r w:rsidR="00F802E9" w:rsidRPr="00F802E9">
        <w:rPr>
          <w:rFonts w:ascii="Book Antiqua" w:eastAsia="Calibri" w:hAnsi="Book Antiqua" w:cs="Arial"/>
          <w:sz w:val="24"/>
          <w:szCs w:val="24"/>
        </w:rPr>
        <w:t xml:space="preserve">y </w:t>
      </w:r>
      <w:r w:rsidRPr="00F802E9">
        <w:rPr>
          <w:rFonts w:ascii="Book Antiqua" w:eastAsia="Calibri" w:hAnsi="Book Antiqua" w:cs="Arial"/>
          <w:sz w:val="24"/>
          <w:szCs w:val="24"/>
        </w:rPr>
        <w:t xml:space="preserve">el </w:t>
      </w:r>
      <w:bookmarkStart w:id="54" w:name="_Hlk96997045"/>
      <w:r w:rsidRPr="00F802E9">
        <w:rPr>
          <w:rFonts w:ascii="Book Antiqua" w:eastAsia="Calibri" w:hAnsi="Book Antiqua" w:cs="Arial"/>
          <w:sz w:val="24"/>
          <w:szCs w:val="24"/>
        </w:rPr>
        <w:t xml:space="preserve">Juzgado </w:t>
      </w:r>
      <w:r w:rsidR="00F802E9" w:rsidRPr="00F802E9">
        <w:rPr>
          <w:rFonts w:ascii="Book Antiqua" w:eastAsia="Calibri" w:hAnsi="Book Antiqua" w:cs="Arial"/>
          <w:sz w:val="24"/>
          <w:szCs w:val="24"/>
        </w:rPr>
        <w:t>de Familia del Tercer Circuito Judicial</w:t>
      </w:r>
      <w:r w:rsidRPr="00F802E9">
        <w:rPr>
          <w:rFonts w:ascii="Book Antiqua" w:eastAsia="Calibri" w:hAnsi="Book Antiqua" w:cs="Arial"/>
          <w:sz w:val="24"/>
          <w:szCs w:val="24"/>
        </w:rPr>
        <w:t xml:space="preserve"> de San José</w:t>
      </w:r>
      <w:r w:rsidR="00F802E9" w:rsidRPr="00F802E9">
        <w:rPr>
          <w:rFonts w:ascii="Book Antiqua" w:eastAsia="Calibri" w:hAnsi="Book Antiqua" w:cs="Arial"/>
          <w:sz w:val="24"/>
          <w:szCs w:val="24"/>
        </w:rPr>
        <w:t>, Desamparados</w:t>
      </w:r>
      <w:r w:rsidRPr="00F802E9">
        <w:rPr>
          <w:rFonts w:ascii="Book Antiqua" w:eastAsia="Calibri" w:hAnsi="Book Antiqua" w:cs="Arial"/>
          <w:sz w:val="24"/>
          <w:szCs w:val="24"/>
        </w:rPr>
        <w:t xml:space="preserve"> </w:t>
      </w:r>
      <w:bookmarkEnd w:id="54"/>
      <w:r w:rsidRPr="00F802E9">
        <w:rPr>
          <w:rFonts w:ascii="Book Antiqua" w:eastAsia="Calibri" w:hAnsi="Book Antiqua" w:cs="Arial"/>
          <w:sz w:val="24"/>
          <w:szCs w:val="24"/>
        </w:rPr>
        <w:t>con 4</w:t>
      </w:r>
      <w:r w:rsidR="00F802E9" w:rsidRPr="00F802E9">
        <w:rPr>
          <w:rFonts w:ascii="Book Antiqua" w:eastAsia="Calibri" w:hAnsi="Book Antiqua" w:cs="Arial"/>
          <w:sz w:val="24"/>
          <w:szCs w:val="24"/>
        </w:rPr>
        <w:t xml:space="preserve">9 </w:t>
      </w:r>
      <w:r w:rsidRPr="00F802E9">
        <w:rPr>
          <w:rFonts w:ascii="Book Antiqua" w:eastAsia="Calibri" w:hAnsi="Book Antiqua" w:cs="Arial"/>
          <w:sz w:val="24"/>
          <w:szCs w:val="24"/>
        </w:rPr>
        <w:t>asuntos</w:t>
      </w:r>
      <w:r w:rsidR="00F802E9" w:rsidRPr="00F802E9">
        <w:rPr>
          <w:rFonts w:ascii="Book Antiqua" w:eastAsia="Calibri" w:hAnsi="Book Antiqua" w:cs="Arial"/>
          <w:sz w:val="24"/>
          <w:szCs w:val="24"/>
        </w:rPr>
        <w:t xml:space="preserve"> cada uno</w:t>
      </w:r>
      <w:r w:rsidRPr="00F802E9">
        <w:rPr>
          <w:rFonts w:ascii="Book Antiqua" w:eastAsia="Calibri" w:hAnsi="Book Antiqua" w:cs="Arial"/>
          <w:sz w:val="24"/>
          <w:szCs w:val="24"/>
        </w:rPr>
        <w:t xml:space="preserve">. Es decir, en promedio en esos 2 años, resolvió </w:t>
      </w:r>
      <w:r w:rsidR="004A0635">
        <w:rPr>
          <w:rFonts w:ascii="Book Antiqua" w:eastAsia="Calibri" w:hAnsi="Book Antiqua" w:cs="Arial"/>
          <w:sz w:val="24"/>
          <w:szCs w:val="24"/>
        </w:rPr>
        <w:t>73</w:t>
      </w:r>
      <w:r w:rsidR="00F802E9" w:rsidRPr="00F802E9">
        <w:rPr>
          <w:rFonts w:ascii="Book Antiqua" w:eastAsia="Calibri" w:hAnsi="Book Antiqua" w:cs="Arial"/>
          <w:sz w:val="24"/>
          <w:szCs w:val="24"/>
        </w:rPr>
        <w:t>2</w:t>
      </w:r>
      <w:r w:rsidRPr="00F802E9">
        <w:rPr>
          <w:rFonts w:ascii="Book Antiqua" w:eastAsia="Calibri" w:hAnsi="Book Antiqua" w:cs="Arial"/>
          <w:sz w:val="24"/>
          <w:szCs w:val="24"/>
        </w:rPr>
        <w:t xml:space="preserve"> apelaciones.</w:t>
      </w:r>
      <w:r w:rsidRPr="00A636FA">
        <w:rPr>
          <w:rFonts w:ascii="Book Antiqua" w:eastAsia="Calibri" w:hAnsi="Book Antiqua" w:cs="Arial"/>
          <w:sz w:val="24"/>
          <w:szCs w:val="24"/>
        </w:rPr>
        <w:t xml:space="preserve"> </w:t>
      </w:r>
    </w:p>
    <w:p w14:paraId="11D49545" w14:textId="77777777" w:rsidR="00A636FA" w:rsidRPr="00A636FA" w:rsidRDefault="00A636FA" w:rsidP="00A636FA">
      <w:pPr>
        <w:spacing w:after="0" w:line="276" w:lineRule="auto"/>
        <w:jc w:val="both"/>
        <w:rPr>
          <w:rFonts w:ascii="Book Antiqua" w:eastAsia="Calibri" w:hAnsi="Book Antiqua" w:cs="Arial"/>
          <w:sz w:val="24"/>
          <w:szCs w:val="24"/>
        </w:rPr>
      </w:pPr>
    </w:p>
    <w:p w14:paraId="236F31D7" w14:textId="5F06D11B" w:rsidR="00A636FA" w:rsidRPr="00A636FA" w:rsidRDefault="00A636FA" w:rsidP="00A636FA">
      <w:pPr>
        <w:spacing w:after="0" w:line="276" w:lineRule="auto"/>
        <w:jc w:val="both"/>
        <w:rPr>
          <w:rFonts w:ascii="Book Antiqua" w:eastAsia="Calibri" w:hAnsi="Book Antiqua" w:cs="Arial"/>
          <w:sz w:val="24"/>
          <w:szCs w:val="24"/>
        </w:rPr>
      </w:pPr>
      <w:r w:rsidRPr="00C7739C">
        <w:rPr>
          <w:rFonts w:ascii="Book Antiqua" w:eastAsia="Calibri" w:hAnsi="Book Antiqua" w:cs="Arial"/>
          <w:sz w:val="24"/>
          <w:szCs w:val="24"/>
        </w:rPr>
        <w:t>Para el 202</w:t>
      </w:r>
      <w:r w:rsidR="00C7739C" w:rsidRPr="00C7739C">
        <w:rPr>
          <w:rFonts w:ascii="Book Antiqua" w:eastAsia="Calibri" w:hAnsi="Book Antiqua" w:cs="Arial"/>
          <w:sz w:val="24"/>
          <w:szCs w:val="24"/>
        </w:rPr>
        <w:t>1</w:t>
      </w:r>
      <w:r w:rsidRPr="00C7739C">
        <w:rPr>
          <w:rFonts w:ascii="Book Antiqua" w:eastAsia="Calibri" w:hAnsi="Book Antiqua" w:cs="Arial"/>
          <w:sz w:val="24"/>
          <w:szCs w:val="24"/>
        </w:rPr>
        <w:t>, logró terminar 1</w:t>
      </w:r>
      <w:r w:rsidR="004A0635" w:rsidRPr="00C7739C">
        <w:rPr>
          <w:rFonts w:ascii="Book Antiqua" w:eastAsia="Calibri" w:hAnsi="Book Antiqua" w:cs="Arial"/>
          <w:sz w:val="24"/>
          <w:szCs w:val="24"/>
        </w:rPr>
        <w:t xml:space="preserve"> 1</w:t>
      </w:r>
      <w:r w:rsidR="00C7739C" w:rsidRPr="00C7739C">
        <w:rPr>
          <w:rFonts w:ascii="Book Antiqua" w:eastAsia="Calibri" w:hAnsi="Book Antiqua" w:cs="Arial"/>
          <w:sz w:val="24"/>
          <w:szCs w:val="24"/>
        </w:rPr>
        <w:t>81</w:t>
      </w:r>
      <w:r w:rsidRPr="00C7739C">
        <w:rPr>
          <w:rFonts w:ascii="Book Antiqua" w:eastAsia="Calibri" w:hAnsi="Book Antiqua" w:cs="Arial"/>
          <w:sz w:val="24"/>
          <w:szCs w:val="24"/>
        </w:rPr>
        <w:t xml:space="preserve"> recursos en </w:t>
      </w:r>
      <w:r w:rsidR="00C7739C" w:rsidRPr="00C7739C">
        <w:rPr>
          <w:rFonts w:ascii="Book Antiqua" w:eastAsia="Calibri" w:hAnsi="Book Antiqua" w:cs="Arial"/>
          <w:sz w:val="24"/>
          <w:szCs w:val="24"/>
        </w:rPr>
        <w:t>F</w:t>
      </w:r>
      <w:r w:rsidRPr="00C7739C">
        <w:rPr>
          <w:rFonts w:ascii="Book Antiqua" w:eastAsia="Calibri" w:hAnsi="Book Antiqua" w:cs="Arial"/>
          <w:sz w:val="24"/>
          <w:szCs w:val="24"/>
        </w:rPr>
        <w:t xml:space="preserve">amilia y </w:t>
      </w:r>
      <w:r w:rsidR="00C7739C" w:rsidRPr="00C7739C">
        <w:rPr>
          <w:rFonts w:ascii="Book Antiqua" w:eastAsia="Calibri" w:hAnsi="Book Antiqua" w:cs="Arial"/>
          <w:sz w:val="24"/>
          <w:szCs w:val="24"/>
        </w:rPr>
        <w:t>734 en Violencia Doméstica, f</w:t>
      </w:r>
      <w:r w:rsidRPr="00C7739C">
        <w:rPr>
          <w:rFonts w:ascii="Book Antiqua" w:eastAsia="Calibri" w:hAnsi="Book Antiqua" w:cs="Arial"/>
          <w:sz w:val="24"/>
          <w:szCs w:val="24"/>
        </w:rPr>
        <w:t>inalizó con un circulante en trámite de 3</w:t>
      </w:r>
      <w:r w:rsidR="00C7739C" w:rsidRPr="00C7739C">
        <w:rPr>
          <w:rFonts w:ascii="Book Antiqua" w:eastAsia="Calibri" w:hAnsi="Book Antiqua" w:cs="Arial"/>
          <w:sz w:val="24"/>
          <w:szCs w:val="24"/>
        </w:rPr>
        <w:t>38</w:t>
      </w:r>
      <w:r w:rsidRPr="00C7739C">
        <w:rPr>
          <w:rFonts w:ascii="Book Antiqua" w:eastAsia="Calibri" w:hAnsi="Book Antiqua" w:cs="Arial"/>
          <w:sz w:val="24"/>
          <w:szCs w:val="24"/>
        </w:rPr>
        <w:t xml:space="preserve"> asuntos (2</w:t>
      </w:r>
      <w:r w:rsidR="00C7739C" w:rsidRPr="00C7739C">
        <w:rPr>
          <w:rFonts w:ascii="Book Antiqua" w:eastAsia="Calibri" w:hAnsi="Book Antiqua" w:cs="Arial"/>
          <w:sz w:val="24"/>
          <w:szCs w:val="24"/>
        </w:rPr>
        <w:t>78</w:t>
      </w:r>
      <w:r w:rsidRPr="00C7739C">
        <w:rPr>
          <w:rFonts w:ascii="Book Antiqua" w:eastAsia="Calibri" w:hAnsi="Book Antiqua" w:cs="Arial"/>
          <w:sz w:val="24"/>
          <w:szCs w:val="24"/>
        </w:rPr>
        <w:t xml:space="preserve"> en Familia y </w:t>
      </w:r>
      <w:r w:rsidR="00C7739C" w:rsidRPr="00C7739C">
        <w:rPr>
          <w:rFonts w:ascii="Book Antiqua" w:eastAsia="Calibri" w:hAnsi="Book Antiqua" w:cs="Arial"/>
          <w:sz w:val="24"/>
          <w:szCs w:val="24"/>
        </w:rPr>
        <w:t>60</w:t>
      </w:r>
      <w:r w:rsidRPr="00C7739C">
        <w:rPr>
          <w:rFonts w:ascii="Book Antiqua" w:eastAsia="Calibri" w:hAnsi="Book Antiqua" w:cs="Arial"/>
          <w:sz w:val="24"/>
          <w:szCs w:val="24"/>
        </w:rPr>
        <w:t xml:space="preserve"> en Violencia Doméstica).</w:t>
      </w:r>
      <w:r w:rsidRPr="00A636FA">
        <w:rPr>
          <w:rFonts w:ascii="Book Antiqua" w:eastAsia="Calibri" w:hAnsi="Book Antiqua" w:cs="Arial"/>
          <w:sz w:val="24"/>
          <w:szCs w:val="24"/>
        </w:rPr>
        <w:t xml:space="preserve">  </w:t>
      </w:r>
    </w:p>
    <w:p w14:paraId="5346F00A" w14:textId="70393B7D" w:rsidR="00035CF6" w:rsidRPr="008456A9" w:rsidRDefault="00035CF6"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lastRenderedPageBreak/>
        <w:t>Duración de los procesos atendidos por el Tribunal de Familia</w:t>
      </w:r>
    </w:p>
    <w:p w14:paraId="26E4D45B" w14:textId="77777777" w:rsidR="008456A9" w:rsidRDefault="008456A9" w:rsidP="0001202E">
      <w:pPr>
        <w:spacing w:after="0" w:line="276" w:lineRule="auto"/>
        <w:jc w:val="both"/>
        <w:rPr>
          <w:rFonts w:ascii="Book Antiqua" w:eastAsia="Calibri" w:hAnsi="Book Antiqua" w:cs="Arial"/>
          <w:sz w:val="24"/>
          <w:szCs w:val="24"/>
        </w:rPr>
      </w:pPr>
    </w:p>
    <w:p w14:paraId="78920C07" w14:textId="6AAA6B57" w:rsidR="0001202E" w:rsidRDefault="0001202E" w:rsidP="0001202E">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 continuación se incluyen 2 cuadros con la información aportada por el Subproceso de Estadística, en donde se visualiza por clase de asunto, la duración o cantidad de tiempo transcurrido entre que ingreso el recurso hasta que se </w:t>
      </w:r>
      <w:r w:rsidR="009227B9">
        <w:rPr>
          <w:rFonts w:ascii="Book Antiqua" w:eastAsia="Calibri" w:hAnsi="Book Antiqua" w:cs="Arial"/>
          <w:sz w:val="24"/>
          <w:szCs w:val="24"/>
        </w:rPr>
        <w:t>finalizó</w:t>
      </w:r>
      <w:r>
        <w:rPr>
          <w:rFonts w:ascii="Book Antiqua" w:eastAsia="Calibri" w:hAnsi="Book Antiqua" w:cs="Arial"/>
          <w:sz w:val="24"/>
          <w:szCs w:val="24"/>
        </w:rPr>
        <w:t xml:space="preserve"> el proceso a nivel de los sistemas informáticos.</w:t>
      </w:r>
    </w:p>
    <w:p w14:paraId="760EFF14" w14:textId="77777777" w:rsidR="0001202E" w:rsidRDefault="0001202E" w:rsidP="0001202E">
      <w:pPr>
        <w:spacing w:after="0" w:line="276" w:lineRule="auto"/>
        <w:jc w:val="both"/>
        <w:rPr>
          <w:rFonts w:ascii="Book Antiqua" w:eastAsia="Calibri" w:hAnsi="Book Antiqua" w:cs="Arial"/>
          <w:sz w:val="24"/>
          <w:szCs w:val="24"/>
        </w:rPr>
      </w:pPr>
    </w:p>
    <w:p w14:paraId="40AB3177" w14:textId="77777777" w:rsidR="00C0062B" w:rsidRDefault="0001202E" w:rsidP="0001202E">
      <w:pPr>
        <w:spacing w:line="276" w:lineRule="auto"/>
        <w:jc w:val="both"/>
        <w:rPr>
          <w:rFonts w:ascii="Book Antiqua" w:hAnsi="Book Antiqua"/>
          <w:sz w:val="24"/>
          <w:szCs w:val="24"/>
        </w:rPr>
      </w:pPr>
      <w:r>
        <w:rPr>
          <w:rFonts w:ascii="Book Antiqua" w:hAnsi="Book Antiqua"/>
          <w:sz w:val="24"/>
          <w:szCs w:val="24"/>
        </w:rPr>
        <w:t xml:space="preserve">En cuanto a la duración de los procesos en el Tribunal de Familia, para el en promedio los procesos tardaron en resolverse en promedio en </w:t>
      </w:r>
      <w:r w:rsidRPr="0001202E">
        <w:rPr>
          <w:rFonts w:ascii="Book Antiqua" w:hAnsi="Book Antiqua"/>
          <w:b/>
          <w:bCs/>
          <w:sz w:val="24"/>
          <w:szCs w:val="24"/>
        </w:rPr>
        <w:t>2 meses y 3 semanas</w:t>
      </w:r>
      <w:r>
        <w:rPr>
          <w:rFonts w:ascii="Book Antiqua" w:hAnsi="Book Antiqua"/>
          <w:sz w:val="24"/>
          <w:szCs w:val="24"/>
        </w:rPr>
        <w:t xml:space="preserve"> y para el 2021 la duración fue de 3 meses</w:t>
      </w:r>
      <w:r w:rsidR="00C0062B">
        <w:rPr>
          <w:rFonts w:ascii="Book Antiqua" w:hAnsi="Book Antiqua"/>
          <w:sz w:val="24"/>
          <w:szCs w:val="24"/>
        </w:rPr>
        <w:t xml:space="preserve">.  </w:t>
      </w:r>
    </w:p>
    <w:p w14:paraId="55685B46" w14:textId="1E6887C3" w:rsidR="0001202E" w:rsidRDefault="00C0062B" w:rsidP="0001202E">
      <w:pPr>
        <w:spacing w:line="276" w:lineRule="auto"/>
        <w:jc w:val="both"/>
        <w:rPr>
          <w:rFonts w:ascii="Book Antiqua" w:hAnsi="Book Antiqua"/>
          <w:sz w:val="24"/>
          <w:szCs w:val="24"/>
        </w:rPr>
      </w:pPr>
      <w:r>
        <w:rPr>
          <w:rFonts w:ascii="Book Antiqua" w:hAnsi="Book Antiqua"/>
          <w:sz w:val="24"/>
          <w:szCs w:val="24"/>
        </w:rPr>
        <w:t>En 2020</w:t>
      </w:r>
      <w:r w:rsidR="0001202E">
        <w:rPr>
          <w:rFonts w:ascii="Book Antiqua" w:hAnsi="Book Antiqua"/>
          <w:sz w:val="24"/>
          <w:szCs w:val="24"/>
        </w:rPr>
        <w:t xml:space="preserve"> los</w:t>
      </w:r>
      <w:r>
        <w:rPr>
          <w:rFonts w:ascii="Book Antiqua" w:hAnsi="Book Antiqua"/>
          <w:sz w:val="24"/>
          <w:szCs w:val="24"/>
        </w:rPr>
        <w:t xml:space="preserve"> recursos que se resolvieron en menos tiempo fueron</w:t>
      </w:r>
      <w:r w:rsidR="0001202E">
        <w:rPr>
          <w:rFonts w:ascii="Book Antiqua" w:hAnsi="Book Antiqua"/>
          <w:sz w:val="24"/>
          <w:szCs w:val="24"/>
        </w:rPr>
        <w:t xml:space="preserve"> </w:t>
      </w:r>
      <w:r w:rsidR="0001202E" w:rsidRPr="00C0062B">
        <w:rPr>
          <w:rFonts w:ascii="Book Antiqua" w:hAnsi="Book Antiqua"/>
          <w:i/>
          <w:iCs/>
          <w:sz w:val="24"/>
          <w:szCs w:val="24"/>
        </w:rPr>
        <w:t>“Declaratoria de extramatrimonialidad”</w:t>
      </w:r>
      <w:r w:rsidR="0001202E">
        <w:rPr>
          <w:rFonts w:ascii="Book Antiqua" w:hAnsi="Book Antiqua"/>
          <w:sz w:val="24"/>
          <w:szCs w:val="24"/>
        </w:rPr>
        <w:t xml:space="preserve"> que se revolvi</w:t>
      </w:r>
      <w:r>
        <w:rPr>
          <w:rFonts w:ascii="Book Antiqua" w:hAnsi="Book Antiqua"/>
          <w:sz w:val="24"/>
          <w:szCs w:val="24"/>
        </w:rPr>
        <w:t>eron</w:t>
      </w:r>
      <w:r w:rsidR="0001202E">
        <w:rPr>
          <w:rFonts w:ascii="Book Antiqua" w:hAnsi="Book Antiqua"/>
          <w:sz w:val="24"/>
          <w:szCs w:val="24"/>
        </w:rPr>
        <w:t xml:space="preserve"> en 1 mes 1 semana</w:t>
      </w:r>
      <w:r>
        <w:rPr>
          <w:rFonts w:ascii="Book Antiqua" w:hAnsi="Book Antiqua"/>
          <w:sz w:val="24"/>
          <w:szCs w:val="24"/>
        </w:rPr>
        <w:t xml:space="preserve"> en promedio.   Para 2021 fueron los recursos en procesos de “</w:t>
      </w:r>
      <w:r w:rsidRPr="00C0062B">
        <w:rPr>
          <w:rFonts w:ascii="Book Antiqua" w:hAnsi="Book Antiqua"/>
          <w:i/>
          <w:iCs/>
          <w:sz w:val="24"/>
          <w:szCs w:val="24"/>
        </w:rPr>
        <w:t>Adopción</w:t>
      </w:r>
      <w:r>
        <w:rPr>
          <w:rFonts w:ascii="Book Antiqua" w:hAnsi="Book Antiqua"/>
          <w:sz w:val="24"/>
          <w:szCs w:val="24"/>
        </w:rPr>
        <w:t>” e “</w:t>
      </w:r>
      <w:r w:rsidRPr="00C0062B">
        <w:rPr>
          <w:rFonts w:ascii="Book Antiqua" w:hAnsi="Book Antiqua"/>
          <w:i/>
          <w:iCs/>
          <w:sz w:val="24"/>
          <w:szCs w:val="24"/>
        </w:rPr>
        <w:t>Inc. Nulidad notificación”,</w:t>
      </w:r>
      <w:r>
        <w:rPr>
          <w:rFonts w:ascii="Book Antiqua" w:hAnsi="Book Antiqua"/>
          <w:sz w:val="24"/>
          <w:szCs w:val="24"/>
        </w:rPr>
        <w:t xml:space="preserve"> resueltos en 1 mes 1 semana. </w:t>
      </w:r>
    </w:p>
    <w:p w14:paraId="2B85D5FB" w14:textId="337F1456"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54</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486ECD02" w14:textId="77777777"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5DBBA2DC" w14:textId="77777777"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 xml:space="preserve">del Tribunal de </w:t>
      </w:r>
      <w:r w:rsidRPr="001212F0">
        <w:rPr>
          <w:rFonts w:ascii="Book Antiqua" w:eastAsia="Calibri" w:hAnsi="Book Antiqua" w:cs="Arial"/>
          <w:b/>
          <w:bCs/>
          <w:color w:val="1F497D"/>
          <w:szCs w:val="24"/>
          <w:lang w:val="es-ES" w:eastAsia="es-ES"/>
        </w:rPr>
        <w:t>Familia 20</w:t>
      </w:r>
      <w:r>
        <w:rPr>
          <w:rFonts w:ascii="Book Antiqua" w:eastAsia="Calibri" w:hAnsi="Book Antiqua" w:cs="Arial"/>
          <w:b/>
          <w:bCs/>
          <w:color w:val="1F497D"/>
          <w:szCs w:val="24"/>
          <w:lang w:val="es-ES" w:eastAsia="es-ES"/>
        </w:rPr>
        <w:t>20</w:t>
      </w:r>
    </w:p>
    <w:tbl>
      <w:tblPr>
        <w:tblW w:w="5000" w:type="pct"/>
        <w:tblCellMar>
          <w:left w:w="70" w:type="dxa"/>
          <w:right w:w="70" w:type="dxa"/>
        </w:tblCellMar>
        <w:tblLook w:val="04A0" w:firstRow="1" w:lastRow="0" w:firstColumn="1" w:lastColumn="0" w:noHBand="0" w:noVBand="1"/>
      </w:tblPr>
      <w:tblGrid>
        <w:gridCol w:w="4629"/>
        <w:gridCol w:w="1119"/>
        <w:gridCol w:w="3080"/>
      </w:tblGrid>
      <w:tr w:rsidR="0001202E" w:rsidRPr="00C0062B" w14:paraId="19FA0651" w14:textId="77777777" w:rsidTr="00035934">
        <w:trPr>
          <w:trHeight w:val="290"/>
        </w:trPr>
        <w:tc>
          <w:tcPr>
            <w:tcW w:w="2779"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0263C9A9"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Clase y Procedimiento</w:t>
            </w:r>
          </w:p>
        </w:tc>
        <w:tc>
          <w:tcPr>
            <w:tcW w:w="791" w:type="pct"/>
            <w:tcBorders>
              <w:top w:val="single" w:sz="4" w:space="0" w:color="auto"/>
              <w:left w:val="nil"/>
              <w:bottom w:val="single" w:sz="4" w:space="0" w:color="auto"/>
              <w:right w:val="single" w:sz="4" w:space="0" w:color="auto"/>
            </w:tcBorders>
            <w:shd w:val="clear" w:color="000000" w:fill="002060"/>
            <w:noWrap/>
            <w:vAlign w:val="bottom"/>
            <w:hideMark/>
          </w:tcPr>
          <w:p w14:paraId="493C15E9"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Cantidad</w:t>
            </w:r>
          </w:p>
        </w:tc>
        <w:tc>
          <w:tcPr>
            <w:tcW w:w="1430" w:type="pct"/>
            <w:tcBorders>
              <w:top w:val="single" w:sz="4" w:space="0" w:color="auto"/>
              <w:left w:val="nil"/>
              <w:bottom w:val="single" w:sz="4" w:space="0" w:color="auto"/>
              <w:right w:val="single" w:sz="4" w:space="0" w:color="auto"/>
            </w:tcBorders>
            <w:shd w:val="clear" w:color="000000" w:fill="002060"/>
            <w:noWrap/>
            <w:vAlign w:val="bottom"/>
            <w:hideMark/>
          </w:tcPr>
          <w:p w14:paraId="21216A5C"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Duración Promedio</w:t>
            </w:r>
          </w:p>
        </w:tc>
      </w:tr>
      <w:tr w:rsidR="0001202E" w:rsidRPr="00C0062B" w14:paraId="5AEF3C00"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7D1226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Adopción</w:t>
            </w:r>
          </w:p>
        </w:tc>
        <w:tc>
          <w:tcPr>
            <w:tcW w:w="791" w:type="pct"/>
            <w:tcBorders>
              <w:top w:val="nil"/>
              <w:left w:val="nil"/>
              <w:bottom w:val="single" w:sz="4" w:space="0" w:color="auto"/>
              <w:right w:val="single" w:sz="4" w:space="0" w:color="auto"/>
            </w:tcBorders>
            <w:shd w:val="clear" w:color="auto" w:fill="auto"/>
            <w:noWrap/>
            <w:vAlign w:val="bottom"/>
            <w:hideMark/>
          </w:tcPr>
          <w:p w14:paraId="1D2270A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6</w:t>
            </w:r>
          </w:p>
        </w:tc>
        <w:tc>
          <w:tcPr>
            <w:tcW w:w="1430" w:type="pct"/>
            <w:tcBorders>
              <w:top w:val="nil"/>
              <w:left w:val="nil"/>
              <w:bottom w:val="single" w:sz="4" w:space="0" w:color="auto"/>
              <w:right w:val="single" w:sz="4" w:space="0" w:color="auto"/>
            </w:tcBorders>
            <w:shd w:val="clear" w:color="auto" w:fill="auto"/>
            <w:noWrap/>
            <w:vAlign w:val="bottom"/>
            <w:hideMark/>
          </w:tcPr>
          <w:p w14:paraId="4D47EA2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17390110"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6DDB7A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Autorización salida país</w:t>
            </w:r>
          </w:p>
        </w:tc>
        <w:tc>
          <w:tcPr>
            <w:tcW w:w="791" w:type="pct"/>
            <w:tcBorders>
              <w:top w:val="nil"/>
              <w:left w:val="nil"/>
              <w:bottom w:val="single" w:sz="4" w:space="0" w:color="auto"/>
              <w:right w:val="single" w:sz="4" w:space="0" w:color="auto"/>
            </w:tcBorders>
            <w:shd w:val="clear" w:color="auto" w:fill="auto"/>
            <w:noWrap/>
            <w:vAlign w:val="bottom"/>
            <w:hideMark/>
          </w:tcPr>
          <w:p w14:paraId="22DC1C0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18</w:t>
            </w:r>
          </w:p>
        </w:tc>
        <w:tc>
          <w:tcPr>
            <w:tcW w:w="1430" w:type="pct"/>
            <w:tcBorders>
              <w:top w:val="nil"/>
              <w:left w:val="nil"/>
              <w:bottom w:val="single" w:sz="4" w:space="0" w:color="auto"/>
              <w:right w:val="single" w:sz="4" w:space="0" w:color="auto"/>
            </w:tcBorders>
            <w:shd w:val="clear" w:color="auto" w:fill="auto"/>
            <w:noWrap/>
            <w:vAlign w:val="bottom"/>
            <w:hideMark/>
          </w:tcPr>
          <w:p w14:paraId="712AEFA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19F7909D"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00EA6E3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Conflicto autoridad parental</w:t>
            </w:r>
          </w:p>
        </w:tc>
        <w:tc>
          <w:tcPr>
            <w:tcW w:w="791" w:type="pct"/>
            <w:tcBorders>
              <w:top w:val="nil"/>
              <w:left w:val="nil"/>
              <w:bottom w:val="single" w:sz="4" w:space="0" w:color="auto"/>
              <w:right w:val="single" w:sz="4" w:space="0" w:color="auto"/>
            </w:tcBorders>
            <w:shd w:val="clear" w:color="auto" w:fill="auto"/>
            <w:noWrap/>
            <w:vAlign w:val="bottom"/>
            <w:hideMark/>
          </w:tcPr>
          <w:p w14:paraId="3C92548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10</w:t>
            </w:r>
          </w:p>
        </w:tc>
        <w:tc>
          <w:tcPr>
            <w:tcW w:w="1430" w:type="pct"/>
            <w:tcBorders>
              <w:top w:val="nil"/>
              <w:left w:val="nil"/>
              <w:bottom w:val="single" w:sz="4" w:space="0" w:color="auto"/>
              <w:right w:val="single" w:sz="4" w:space="0" w:color="auto"/>
            </w:tcBorders>
            <w:shd w:val="clear" w:color="auto" w:fill="auto"/>
            <w:noWrap/>
            <w:vAlign w:val="bottom"/>
            <w:hideMark/>
          </w:tcPr>
          <w:p w14:paraId="54C162C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12307B64" w14:textId="77777777" w:rsidTr="00C0062B">
        <w:trPr>
          <w:trHeight w:val="126"/>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49739779"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de extramatrimonialidad</w:t>
            </w:r>
          </w:p>
        </w:tc>
        <w:tc>
          <w:tcPr>
            <w:tcW w:w="791" w:type="pct"/>
            <w:tcBorders>
              <w:top w:val="nil"/>
              <w:left w:val="nil"/>
              <w:bottom w:val="single" w:sz="4" w:space="0" w:color="auto"/>
              <w:right w:val="single" w:sz="4" w:space="0" w:color="auto"/>
            </w:tcBorders>
            <w:shd w:val="clear" w:color="auto" w:fill="auto"/>
            <w:noWrap/>
            <w:vAlign w:val="bottom"/>
            <w:hideMark/>
          </w:tcPr>
          <w:p w14:paraId="7286DEE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5</w:t>
            </w:r>
          </w:p>
        </w:tc>
        <w:tc>
          <w:tcPr>
            <w:tcW w:w="1430" w:type="pct"/>
            <w:tcBorders>
              <w:top w:val="nil"/>
              <w:left w:val="nil"/>
              <w:bottom w:val="single" w:sz="4" w:space="0" w:color="auto"/>
              <w:right w:val="single" w:sz="4" w:space="0" w:color="auto"/>
            </w:tcBorders>
            <w:shd w:val="clear" w:color="auto" w:fill="auto"/>
            <w:noWrap/>
            <w:vAlign w:val="bottom"/>
            <w:hideMark/>
          </w:tcPr>
          <w:p w14:paraId="3B2193D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1 semana</w:t>
            </w:r>
          </w:p>
        </w:tc>
      </w:tr>
      <w:tr w:rsidR="0001202E" w:rsidRPr="00C0062B" w14:paraId="0B828197" w14:textId="77777777" w:rsidTr="00C0062B">
        <w:trPr>
          <w:trHeight w:val="230"/>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68FA6339"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judicial de abandono</w:t>
            </w:r>
          </w:p>
        </w:tc>
        <w:tc>
          <w:tcPr>
            <w:tcW w:w="791" w:type="pct"/>
            <w:tcBorders>
              <w:top w:val="nil"/>
              <w:left w:val="nil"/>
              <w:bottom w:val="single" w:sz="4" w:space="0" w:color="auto"/>
              <w:right w:val="single" w:sz="4" w:space="0" w:color="auto"/>
            </w:tcBorders>
            <w:shd w:val="clear" w:color="auto" w:fill="auto"/>
            <w:noWrap/>
            <w:vAlign w:val="bottom"/>
            <w:hideMark/>
          </w:tcPr>
          <w:p w14:paraId="68BD6EE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29</w:t>
            </w:r>
          </w:p>
        </w:tc>
        <w:tc>
          <w:tcPr>
            <w:tcW w:w="1430" w:type="pct"/>
            <w:tcBorders>
              <w:top w:val="nil"/>
              <w:left w:val="nil"/>
              <w:bottom w:val="single" w:sz="4" w:space="0" w:color="auto"/>
              <w:right w:val="single" w:sz="4" w:space="0" w:color="auto"/>
            </w:tcBorders>
            <w:shd w:val="clear" w:color="auto" w:fill="auto"/>
            <w:noWrap/>
            <w:vAlign w:val="bottom"/>
            <w:hideMark/>
          </w:tcPr>
          <w:p w14:paraId="46537A2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1 semana</w:t>
            </w:r>
          </w:p>
        </w:tc>
      </w:tr>
      <w:tr w:rsidR="0001202E" w:rsidRPr="00C0062B" w14:paraId="6B5860C4"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8B239A6"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paternidad</w:t>
            </w:r>
          </w:p>
        </w:tc>
        <w:tc>
          <w:tcPr>
            <w:tcW w:w="791" w:type="pct"/>
            <w:tcBorders>
              <w:top w:val="nil"/>
              <w:left w:val="nil"/>
              <w:bottom w:val="single" w:sz="4" w:space="0" w:color="auto"/>
              <w:right w:val="single" w:sz="4" w:space="0" w:color="auto"/>
            </w:tcBorders>
            <w:shd w:val="clear" w:color="auto" w:fill="auto"/>
            <w:noWrap/>
            <w:vAlign w:val="bottom"/>
            <w:hideMark/>
          </w:tcPr>
          <w:p w14:paraId="585A6D3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201BF37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11 meses 2 semanas</w:t>
            </w:r>
          </w:p>
        </w:tc>
      </w:tr>
      <w:tr w:rsidR="0001202E" w:rsidRPr="00C0062B" w14:paraId="5DA0429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38852A0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Depósito judicial</w:t>
            </w:r>
          </w:p>
        </w:tc>
        <w:tc>
          <w:tcPr>
            <w:tcW w:w="791" w:type="pct"/>
            <w:tcBorders>
              <w:top w:val="nil"/>
              <w:left w:val="nil"/>
              <w:bottom w:val="single" w:sz="4" w:space="0" w:color="auto"/>
              <w:right w:val="single" w:sz="4" w:space="0" w:color="auto"/>
            </w:tcBorders>
            <w:shd w:val="clear" w:color="auto" w:fill="auto"/>
            <w:noWrap/>
            <w:vAlign w:val="bottom"/>
            <w:hideMark/>
          </w:tcPr>
          <w:p w14:paraId="67AB0F7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w:t>
            </w:r>
          </w:p>
        </w:tc>
        <w:tc>
          <w:tcPr>
            <w:tcW w:w="1430" w:type="pct"/>
            <w:tcBorders>
              <w:top w:val="nil"/>
              <w:left w:val="nil"/>
              <w:bottom w:val="single" w:sz="4" w:space="0" w:color="auto"/>
              <w:right w:val="single" w:sz="4" w:space="0" w:color="auto"/>
            </w:tcBorders>
            <w:shd w:val="clear" w:color="auto" w:fill="auto"/>
            <w:noWrap/>
            <w:vAlign w:val="bottom"/>
            <w:hideMark/>
          </w:tcPr>
          <w:p w14:paraId="287CFA6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5D25764F" w14:textId="77777777" w:rsidTr="00035934">
        <w:trPr>
          <w:trHeight w:val="620"/>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6828C6D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Desafectación al régimen de habitación familiar</w:t>
            </w:r>
          </w:p>
        </w:tc>
        <w:tc>
          <w:tcPr>
            <w:tcW w:w="791" w:type="pct"/>
            <w:tcBorders>
              <w:top w:val="nil"/>
              <w:left w:val="nil"/>
              <w:bottom w:val="single" w:sz="4" w:space="0" w:color="auto"/>
              <w:right w:val="single" w:sz="4" w:space="0" w:color="auto"/>
            </w:tcBorders>
            <w:shd w:val="clear" w:color="auto" w:fill="auto"/>
            <w:noWrap/>
            <w:vAlign w:val="bottom"/>
            <w:hideMark/>
          </w:tcPr>
          <w:p w14:paraId="7F613AA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7</w:t>
            </w:r>
          </w:p>
        </w:tc>
        <w:tc>
          <w:tcPr>
            <w:tcW w:w="1430" w:type="pct"/>
            <w:tcBorders>
              <w:top w:val="nil"/>
              <w:left w:val="nil"/>
              <w:bottom w:val="single" w:sz="4" w:space="0" w:color="auto"/>
              <w:right w:val="single" w:sz="4" w:space="0" w:color="auto"/>
            </w:tcBorders>
            <w:shd w:val="clear" w:color="auto" w:fill="auto"/>
            <w:noWrap/>
            <w:vAlign w:val="bottom"/>
            <w:hideMark/>
          </w:tcPr>
          <w:p w14:paraId="5015533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39C8DA40"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0138AA0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Divorcio</w:t>
            </w:r>
          </w:p>
        </w:tc>
        <w:tc>
          <w:tcPr>
            <w:tcW w:w="791" w:type="pct"/>
            <w:tcBorders>
              <w:top w:val="nil"/>
              <w:left w:val="nil"/>
              <w:bottom w:val="single" w:sz="4" w:space="0" w:color="auto"/>
              <w:right w:val="single" w:sz="4" w:space="0" w:color="auto"/>
            </w:tcBorders>
            <w:shd w:val="clear" w:color="auto" w:fill="auto"/>
            <w:noWrap/>
            <w:vAlign w:val="bottom"/>
            <w:hideMark/>
          </w:tcPr>
          <w:p w14:paraId="75E0065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201</w:t>
            </w:r>
          </w:p>
        </w:tc>
        <w:tc>
          <w:tcPr>
            <w:tcW w:w="1430" w:type="pct"/>
            <w:tcBorders>
              <w:top w:val="nil"/>
              <w:left w:val="nil"/>
              <w:bottom w:val="single" w:sz="4" w:space="0" w:color="auto"/>
              <w:right w:val="single" w:sz="4" w:space="0" w:color="auto"/>
            </w:tcBorders>
            <w:shd w:val="clear" w:color="auto" w:fill="auto"/>
            <w:noWrap/>
            <w:vAlign w:val="bottom"/>
            <w:hideMark/>
          </w:tcPr>
          <w:p w14:paraId="2E60271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5ECAEA54"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69699FD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Divorcio por mutuo consentimiento</w:t>
            </w:r>
          </w:p>
        </w:tc>
        <w:tc>
          <w:tcPr>
            <w:tcW w:w="791" w:type="pct"/>
            <w:tcBorders>
              <w:top w:val="nil"/>
              <w:left w:val="nil"/>
              <w:bottom w:val="single" w:sz="4" w:space="0" w:color="auto"/>
              <w:right w:val="single" w:sz="4" w:space="0" w:color="auto"/>
            </w:tcBorders>
            <w:shd w:val="clear" w:color="auto" w:fill="auto"/>
            <w:noWrap/>
            <w:vAlign w:val="bottom"/>
            <w:hideMark/>
          </w:tcPr>
          <w:p w14:paraId="1426E09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26</w:t>
            </w:r>
          </w:p>
        </w:tc>
        <w:tc>
          <w:tcPr>
            <w:tcW w:w="1430" w:type="pct"/>
            <w:tcBorders>
              <w:top w:val="nil"/>
              <w:left w:val="nil"/>
              <w:bottom w:val="single" w:sz="4" w:space="0" w:color="auto"/>
              <w:right w:val="single" w:sz="4" w:space="0" w:color="auto"/>
            </w:tcBorders>
            <w:shd w:val="clear" w:color="auto" w:fill="auto"/>
            <w:noWrap/>
            <w:vAlign w:val="bottom"/>
            <w:hideMark/>
          </w:tcPr>
          <w:p w14:paraId="3282CBA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37CC9B9A"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98C889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Ejecución de sentencia</w:t>
            </w:r>
          </w:p>
        </w:tc>
        <w:tc>
          <w:tcPr>
            <w:tcW w:w="791" w:type="pct"/>
            <w:tcBorders>
              <w:top w:val="nil"/>
              <w:left w:val="nil"/>
              <w:bottom w:val="single" w:sz="4" w:space="0" w:color="auto"/>
              <w:right w:val="single" w:sz="4" w:space="0" w:color="auto"/>
            </w:tcBorders>
            <w:shd w:val="clear" w:color="auto" w:fill="auto"/>
            <w:noWrap/>
            <w:vAlign w:val="bottom"/>
            <w:hideMark/>
          </w:tcPr>
          <w:p w14:paraId="0F61985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49</w:t>
            </w:r>
          </w:p>
        </w:tc>
        <w:tc>
          <w:tcPr>
            <w:tcW w:w="1430" w:type="pct"/>
            <w:tcBorders>
              <w:top w:val="nil"/>
              <w:left w:val="nil"/>
              <w:bottom w:val="single" w:sz="4" w:space="0" w:color="auto"/>
              <w:right w:val="single" w:sz="4" w:space="0" w:color="auto"/>
            </w:tcBorders>
            <w:shd w:val="clear" w:color="auto" w:fill="auto"/>
            <w:noWrap/>
            <w:vAlign w:val="bottom"/>
            <w:hideMark/>
          </w:tcPr>
          <w:p w14:paraId="2E1D5ED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6F6F4208"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3F7A249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Fijación Alimentaria</w:t>
            </w:r>
          </w:p>
        </w:tc>
        <w:tc>
          <w:tcPr>
            <w:tcW w:w="791" w:type="pct"/>
            <w:tcBorders>
              <w:top w:val="nil"/>
              <w:left w:val="nil"/>
              <w:bottom w:val="single" w:sz="4" w:space="0" w:color="auto"/>
              <w:right w:val="single" w:sz="4" w:space="0" w:color="auto"/>
            </w:tcBorders>
            <w:shd w:val="clear" w:color="auto" w:fill="auto"/>
            <w:noWrap/>
            <w:vAlign w:val="bottom"/>
            <w:hideMark/>
          </w:tcPr>
          <w:p w14:paraId="4BDA467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48</w:t>
            </w:r>
          </w:p>
        </w:tc>
        <w:tc>
          <w:tcPr>
            <w:tcW w:w="1430" w:type="pct"/>
            <w:tcBorders>
              <w:top w:val="nil"/>
              <w:left w:val="nil"/>
              <w:bottom w:val="single" w:sz="4" w:space="0" w:color="auto"/>
              <w:right w:val="single" w:sz="4" w:space="0" w:color="auto"/>
            </w:tcBorders>
            <w:shd w:val="clear" w:color="auto" w:fill="auto"/>
            <w:noWrap/>
            <w:vAlign w:val="bottom"/>
            <w:hideMark/>
          </w:tcPr>
          <w:p w14:paraId="0FCE110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287202BC"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1A45119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Guarda crianza y educación</w:t>
            </w:r>
          </w:p>
        </w:tc>
        <w:tc>
          <w:tcPr>
            <w:tcW w:w="791" w:type="pct"/>
            <w:tcBorders>
              <w:top w:val="nil"/>
              <w:left w:val="nil"/>
              <w:bottom w:val="single" w:sz="4" w:space="0" w:color="auto"/>
              <w:right w:val="single" w:sz="4" w:space="0" w:color="auto"/>
            </w:tcBorders>
            <w:shd w:val="clear" w:color="auto" w:fill="auto"/>
            <w:noWrap/>
            <w:vAlign w:val="bottom"/>
            <w:hideMark/>
          </w:tcPr>
          <w:p w14:paraId="66C16C4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85</w:t>
            </w:r>
          </w:p>
        </w:tc>
        <w:tc>
          <w:tcPr>
            <w:tcW w:w="1430" w:type="pct"/>
            <w:tcBorders>
              <w:top w:val="nil"/>
              <w:left w:val="nil"/>
              <w:bottom w:val="single" w:sz="4" w:space="0" w:color="auto"/>
              <w:right w:val="single" w:sz="4" w:space="0" w:color="auto"/>
            </w:tcBorders>
            <w:shd w:val="clear" w:color="auto" w:fill="auto"/>
            <w:noWrap/>
            <w:vAlign w:val="bottom"/>
            <w:hideMark/>
          </w:tcPr>
          <w:p w14:paraId="2564D5F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490F9E13"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38DFA62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Impugnación de paternidad</w:t>
            </w:r>
          </w:p>
        </w:tc>
        <w:tc>
          <w:tcPr>
            <w:tcW w:w="791" w:type="pct"/>
            <w:tcBorders>
              <w:top w:val="nil"/>
              <w:left w:val="nil"/>
              <w:bottom w:val="single" w:sz="4" w:space="0" w:color="auto"/>
              <w:right w:val="single" w:sz="4" w:space="0" w:color="auto"/>
            </w:tcBorders>
            <w:shd w:val="clear" w:color="auto" w:fill="auto"/>
            <w:noWrap/>
            <w:vAlign w:val="bottom"/>
            <w:hideMark/>
          </w:tcPr>
          <w:p w14:paraId="76F55D4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17</w:t>
            </w:r>
          </w:p>
        </w:tc>
        <w:tc>
          <w:tcPr>
            <w:tcW w:w="1430" w:type="pct"/>
            <w:tcBorders>
              <w:top w:val="nil"/>
              <w:left w:val="nil"/>
              <w:bottom w:val="single" w:sz="4" w:space="0" w:color="auto"/>
              <w:right w:val="single" w:sz="4" w:space="0" w:color="auto"/>
            </w:tcBorders>
            <w:shd w:val="clear" w:color="auto" w:fill="auto"/>
            <w:noWrap/>
            <w:vAlign w:val="bottom"/>
            <w:hideMark/>
          </w:tcPr>
          <w:p w14:paraId="3E07B74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0C1AE792"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773012F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Impugnación de reconocimiento</w:t>
            </w:r>
          </w:p>
        </w:tc>
        <w:tc>
          <w:tcPr>
            <w:tcW w:w="791" w:type="pct"/>
            <w:tcBorders>
              <w:top w:val="nil"/>
              <w:left w:val="nil"/>
              <w:bottom w:val="single" w:sz="4" w:space="0" w:color="auto"/>
              <w:right w:val="single" w:sz="4" w:space="0" w:color="auto"/>
            </w:tcBorders>
            <w:shd w:val="clear" w:color="auto" w:fill="auto"/>
            <w:noWrap/>
            <w:vAlign w:val="bottom"/>
            <w:hideMark/>
          </w:tcPr>
          <w:p w14:paraId="0A54ACA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38</w:t>
            </w:r>
          </w:p>
        </w:tc>
        <w:tc>
          <w:tcPr>
            <w:tcW w:w="1430" w:type="pct"/>
            <w:tcBorders>
              <w:top w:val="nil"/>
              <w:left w:val="nil"/>
              <w:bottom w:val="single" w:sz="4" w:space="0" w:color="auto"/>
              <w:right w:val="single" w:sz="4" w:space="0" w:color="auto"/>
            </w:tcBorders>
            <w:shd w:val="clear" w:color="auto" w:fill="auto"/>
            <w:noWrap/>
            <w:vAlign w:val="bottom"/>
            <w:hideMark/>
          </w:tcPr>
          <w:p w14:paraId="6D70668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7A39D68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7F32964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Cobro honorarios abogado</w:t>
            </w:r>
          </w:p>
        </w:tc>
        <w:tc>
          <w:tcPr>
            <w:tcW w:w="791" w:type="pct"/>
            <w:tcBorders>
              <w:top w:val="nil"/>
              <w:left w:val="nil"/>
              <w:bottom w:val="single" w:sz="4" w:space="0" w:color="auto"/>
              <w:right w:val="single" w:sz="4" w:space="0" w:color="auto"/>
            </w:tcBorders>
            <w:shd w:val="clear" w:color="auto" w:fill="auto"/>
            <w:noWrap/>
            <w:vAlign w:val="bottom"/>
            <w:hideMark/>
          </w:tcPr>
          <w:p w14:paraId="52BC954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14</w:t>
            </w:r>
          </w:p>
        </w:tc>
        <w:tc>
          <w:tcPr>
            <w:tcW w:w="1430" w:type="pct"/>
            <w:tcBorders>
              <w:top w:val="nil"/>
              <w:left w:val="nil"/>
              <w:bottom w:val="single" w:sz="4" w:space="0" w:color="auto"/>
              <w:right w:val="single" w:sz="4" w:space="0" w:color="auto"/>
            </w:tcBorders>
            <w:shd w:val="clear" w:color="auto" w:fill="auto"/>
            <w:noWrap/>
            <w:vAlign w:val="bottom"/>
            <w:hideMark/>
          </w:tcPr>
          <w:p w14:paraId="27B8DE6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661EA78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17E9196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lastRenderedPageBreak/>
              <w:t>Inc. Nulidad actuac. y resol.</w:t>
            </w:r>
          </w:p>
        </w:tc>
        <w:tc>
          <w:tcPr>
            <w:tcW w:w="791" w:type="pct"/>
            <w:tcBorders>
              <w:top w:val="nil"/>
              <w:left w:val="nil"/>
              <w:bottom w:val="single" w:sz="4" w:space="0" w:color="auto"/>
              <w:right w:val="single" w:sz="4" w:space="0" w:color="auto"/>
            </w:tcBorders>
            <w:shd w:val="clear" w:color="auto" w:fill="auto"/>
            <w:noWrap/>
            <w:vAlign w:val="bottom"/>
            <w:hideMark/>
          </w:tcPr>
          <w:p w14:paraId="6481063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44D979B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0 semanas</w:t>
            </w:r>
          </w:p>
        </w:tc>
      </w:tr>
      <w:tr w:rsidR="0001202E" w:rsidRPr="00C0062B" w14:paraId="44F6B6FC"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410F097E"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Nulidad notificación</w:t>
            </w:r>
          </w:p>
        </w:tc>
        <w:tc>
          <w:tcPr>
            <w:tcW w:w="791" w:type="pct"/>
            <w:tcBorders>
              <w:top w:val="nil"/>
              <w:left w:val="nil"/>
              <w:bottom w:val="single" w:sz="4" w:space="0" w:color="auto"/>
              <w:right w:val="single" w:sz="4" w:space="0" w:color="auto"/>
            </w:tcBorders>
            <w:shd w:val="clear" w:color="auto" w:fill="auto"/>
            <w:noWrap/>
            <w:vAlign w:val="bottom"/>
            <w:hideMark/>
          </w:tcPr>
          <w:p w14:paraId="78EBF9D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0FDDA45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0 meses 2 semanas</w:t>
            </w:r>
          </w:p>
        </w:tc>
      </w:tr>
      <w:tr w:rsidR="0001202E" w:rsidRPr="00C0062B" w14:paraId="63A419AD"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47D6B46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Remoción Curador</w:t>
            </w:r>
          </w:p>
        </w:tc>
        <w:tc>
          <w:tcPr>
            <w:tcW w:w="791" w:type="pct"/>
            <w:tcBorders>
              <w:top w:val="nil"/>
              <w:left w:val="nil"/>
              <w:bottom w:val="single" w:sz="4" w:space="0" w:color="auto"/>
              <w:right w:val="single" w:sz="4" w:space="0" w:color="auto"/>
            </w:tcBorders>
            <w:shd w:val="clear" w:color="auto" w:fill="auto"/>
            <w:noWrap/>
            <w:vAlign w:val="bottom"/>
            <w:hideMark/>
          </w:tcPr>
          <w:p w14:paraId="12D442A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740E4CC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58 meses 2 semanas</w:t>
            </w:r>
          </w:p>
        </w:tc>
      </w:tr>
      <w:tr w:rsidR="0001202E" w:rsidRPr="00C0062B" w14:paraId="4D7B97E1" w14:textId="77777777" w:rsidTr="00C0062B">
        <w:trPr>
          <w:trHeight w:val="304"/>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2979E24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Interrelación Familiar (regimen de visitas)</w:t>
            </w:r>
          </w:p>
        </w:tc>
        <w:tc>
          <w:tcPr>
            <w:tcW w:w="791" w:type="pct"/>
            <w:tcBorders>
              <w:top w:val="nil"/>
              <w:left w:val="nil"/>
              <w:bottom w:val="single" w:sz="4" w:space="0" w:color="auto"/>
              <w:right w:val="single" w:sz="4" w:space="0" w:color="auto"/>
            </w:tcBorders>
            <w:shd w:val="clear" w:color="auto" w:fill="auto"/>
            <w:noWrap/>
            <w:vAlign w:val="bottom"/>
            <w:hideMark/>
          </w:tcPr>
          <w:p w14:paraId="43EAB53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136</w:t>
            </w:r>
          </w:p>
        </w:tc>
        <w:tc>
          <w:tcPr>
            <w:tcW w:w="1430" w:type="pct"/>
            <w:tcBorders>
              <w:top w:val="nil"/>
              <w:left w:val="nil"/>
              <w:bottom w:val="single" w:sz="4" w:space="0" w:color="auto"/>
              <w:right w:val="single" w:sz="4" w:space="0" w:color="auto"/>
            </w:tcBorders>
            <w:shd w:val="clear" w:color="auto" w:fill="auto"/>
            <w:noWrap/>
            <w:vAlign w:val="bottom"/>
            <w:hideMark/>
          </w:tcPr>
          <w:p w14:paraId="1E37607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311DF414"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197E81D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Investigación de paternidad</w:t>
            </w:r>
          </w:p>
        </w:tc>
        <w:tc>
          <w:tcPr>
            <w:tcW w:w="791" w:type="pct"/>
            <w:tcBorders>
              <w:top w:val="nil"/>
              <w:left w:val="nil"/>
              <w:bottom w:val="single" w:sz="4" w:space="0" w:color="auto"/>
              <w:right w:val="single" w:sz="4" w:space="0" w:color="auto"/>
            </w:tcBorders>
            <w:shd w:val="clear" w:color="auto" w:fill="auto"/>
            <w:noWrap/>
            <w:vAlign w:val="bottom"/>
            <w:hideMark/>
          </w:tcPr>
          <w:p w14:paraId="254896B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26</w:t>
            </w:r>
          </w:p>
        </w:tc>
        <w:tc>
          <w:tcPr>
            <w:tcW w:w="1430" w:type="pct"/>
            <w:tcBorders>
              <w:top w:val="nil"/>
              <w:left w:val="nil"/>
              <w:bottom w:val="single" w:sz="4" w:space="0" w:color="auto"/>
              <w:right w:val="single" w:sz="4" w:space="0" w:color="auto"/>
            </w:tcBorders>
            <w:shd w:val="clear" w:color="auto" w:fill="auto"/>
            <w:noWrap/>
            <w:vAlign w:val="bottom"/>
            <w:hideMark/>
          </w:tcPr>
          <w:p w14:paraId="6CCA8A0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383497B6" w14:textId="77777777" w:rsidTr="00C0062B">
        <w:trPr>
          <w:trHeight w:val="356"/>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65296C52"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Modificaciones de fallo (Patria Potestad)</w:t>
            </w:r>
          </w:p>
        </w:tc>
        <w:tc>
          <w:tcPr>
            <w:tcW w:w="791" w:type="pct"/>
            <w:tcBorders>
              <w:top w:val="nil"/>
              <w:left w:val="nil"/>
              <w:bottom w:val="single" w:sz="4" w:space="0" w:color="auto"/>
              <w:right w:val="single" w:sz="4" w:space="0" w:color="auto"/>
            </w:tcBorders>
            <w:shd w:val="clear" w:color="auto" w:fill="auto"/>
            <w:noWrap/>
            <w:vAlign w:val="bottom"/>
            <w:hideMark/>
          </w:tcPr>
          <w:p w14:paraId="012D637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11</w:t>
            </w:r>
          </w:p>
        </w:tc>
        <w:tc>
          <w:tcPr>
            <w:tcW w:w="1430" w:type="pct"/>
            <w:tcBorders>
              <w:top w:val="nil"/>
              <w:left w:val="nil"/>
              <w:bottom w:val="single" w:sz="4" w:space="0" w:color="auto"/>
              <w:right w:val="single" w:sz="4" w:space="0" w:color="auto"/>
            </w:tcBorders>
            <w:shd w:val="clear" w:color="auto" w:fill="auto"/>
            <w:noWrap/>
            <w:vAlign w:val="bottom"/>
            <w:hideMark/>
          </w:tcPr>
          <w:p w14:paraId="454D0E9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1F5765D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54ACE78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Nulidad de matrimonio</w:t>
            </w:r>
          </w:p>
        </w:tc>
        <w:tc>
          <w:tcPr>
            <w:tcW w:w="791" w:type="pct"/>
            <w:tcBorders>
              <w:top w:val="nil"/>
              <w:left w:val="nil"/>
              <w:bottom w:val="single" w:sz="4" w:space="0" w:color="auto"/>
              <w:right w:val="single" w:sz="4" w:space="0" w:color="auto"/>
            </w:tcBorders>
            <w:shd w:val="clear" w:color="auto" w:fill="auto"/>
            <w:noWrap/>
            <w:vAlign w:val="bottom"/>
            <w:hideMark/>
          </w:tcPr>
          <w:p w14:paraId="083BDC2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27</w:t>
            </w:r>
          </w:p>
        </w:tc>
        <w:tc>
          <w:tcPr>
            <w:tcW w:w="1430" w:type="pct"/>
            <w:tcBorders>
              <w:top w:val="nil"/>
              <w:left w:val="nil"/>
              <w:bottom w:val="single" w:sz="4" w:space="0" w:color="auto"/>
              <w:right w:val="single" w:sz="4" w:space="0" w:color="auto"/>
            </w:tcBorders>
            <w:shd w:val="clear" w:color="auto" w:fill="auto"/>
            <w:noWrap/>
            <w:vAlign w:val="bottom"/>
            <w:hideMark/>
          </w:tcPr>
          <w:p w14:paraId="7B7A568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7782BB9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76EBDF3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w:t>
            </w:r>
          </w:p>
        </w:tc>
        <w:tc>
          <w:tcPr>
            <w:tcW w:w="791" w:type="pct"/>
            <w:tcBorders>
              <w:top w:val="nil"/>
              <w:left w:val="nil"/>
              <w:bottom w:val="single" w:sz="4" w:space="0" w:color="auto"/>
              <w:right w:val="single" w:sz="4" w:space="0" w:color="auto"/>
            </w:tcBorders>
            <w:shd w:val="clear" w:color="auto" w:fill="auto"/>
            <w:noWrap/>
            <w:vAlign w:val="bottom"/>
            <w:hideMark/>
          </w:tcPr>
          <w:p w14:paraId="51DF64E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91</w:t>
            </w:r>
          </w:p>
        </w:tc>
        <w:tc>
          <w:tcPr>
            <w:tcW w:w="1430" w:type="pct"/>
            <w:tcBorders>
              <w:top w:val="nil"/>
              <w:left w:val="nil"/>
              <w:bottom w:val="single" w:sz="4" w:space="0" w:color="auto"/>
              <w:right w:val="single" w:sz="4" w:space="0" w:color="auto"/>
            </w:tcBorders>
            <w:shd w:val="clear" w:color="auto" w:fill="auto"/>
            <w:noWrap/>
            <w:vAlign w:val="bottom"/>
            <w:hideMark/>
          </w:tcPr>
          <w:p w14:paraId="022F9C1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751F7BD0" w14:textId="77777777" w:rsidTr="00035934">
        <w:trPr>
          <w:trHeight w:val="620"/>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6D64AA3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 de liquidación anticipada de bienes gananciales</w:t>
            </w:r>
          </w:p>
        </w:tc>
        <w:tc>
          <w:tcPr>
            <w:tcW w:w="791" w:type="pct"/>
            <w:tcBorders>
              <w:top w:val="nil"/>
              <w:left w:val="nil"/>
              <w:bottom w:val="single" w:sz="4" w:space="0" w:color="auto"/>
              <w:right w:val="single" w:sz="4" w:space="0" w:color="auto"/>
            </w:tcBorders>
            <w:shd w:val="clear" w:color="auto" w:fill="auto"/>
            <w:noWrap/>
            <w:vAlign w:val="bottom"/>
            <w:hideMark/>
          </w:tcPr>
          <w:p w14:paraId="49E3D11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46</w:t>
            </w:r>
          </w:p>
        </w:tc>
        <w:tc>
          <w:tcPr>
            <w:tcW w:w="1430" w:type="pct"/>
            <w:tcBorders>
              <w:top w:val="nil"/>
              <w:left w:val="nil"/>
              <w:bottom w:val="single" w:sz="4" w:space="0" w:color="auto"/>
              <w:right w:val="single" w:sz="4" w:space="0" w:color="auto"/>
            </w:tcBorders>
            <w:shd w:val="clear" w:color="auto" w:fill="auto"/>
            <w:noWrap/>
            <w:vAlign w:val="bottom"/>
            <w:hideMark/>
          </w:tcPr>
          <w:p w14:paraId="43D8F44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04389844"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53DDD3B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 Nulidad de venta</w:t>
            </w:r>
          </w:p>
        </w:tc>
        <w:tc>
          <w:tcPr>
            <w:tcW w:w="791" w:type="pct"/>
            <w:tcBorders>
              <w:top w:val="nil"/>
              <w:left w:val="nil"/>
              <w:bottom w:val="single" w:sz="4" w:space="0" w:color="auto"/>
              <w:right w:val="single" w:sz="4" w:space="0" w:color="auto"/>
            </w:tcBorders>
            <w:shd w:val="clear" w:color="auto" w:fill="auto"/>
            <w:noWrap/>
            <w:vAlign w:val="bottom"/>
            <w:hideMark/>
          </w:tcPr>
          <w:p w14:paraId="00102F1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07EC02E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 meses 0 semanas</w:t>
            </w:r>
          </w:p>
        </w:tc>
      </w:tr>
      <w:tr w:rsidR="0001202E" w:rsidRPr="00C0062B" w14:paraId="5C0CF5CD"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0A360DE4"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Proceso especial protección</w:t>
            </w:r>
          </w:p>
        </w:tc>
        <w:tc>
          <w:tcPr>
            <w:tcW w:w="791" w:type="pct"/>
            <w:tcBorders>
              <w:top w:val="nil"/>
              <w:left w:val="nil"/>
              <w:bottom w:val="single" w:sz="4" w:space="0" w:color="auto"/>
              <w:right w:val="single" w:sz="4" w:space="0" w:color="auto"/>
            </w:tcBorders>
            <w:shd w:val="clear" w:color="auto" w:fill="auto"/>
            <w:noWrap/>
            <w:vAlign w:val="bottom"/>
            <w:hideMark/>
          </w:tcPr>
          <w:p w14:paraId="56BF930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5</w:t>
            </w:r>
          </w:p>
        </w:tc>
        <w:tc>
          <w:tcPr>
            <w:tcW w:w="1430" w:type="pct"/>
            <w:tcBorders>
              <w:top w:val="nil"/>
              <w:left w:val="nil"/>
              <w:bottom w:val="single" w:sz="4" w:space="0" w:color="auto"/>
              <w:right w:val="single" w:sz="4" w:space="0" w:color="auto"/>
            </w:tcBorders>
            <w:shd w:val="clear" w:color="auto" w:fill="auto"/>
            <w:noWrap/>
            <w:vAlign w:val="bottom"/>
            <w:hideMark/>
          </w:tcPr>
          <w:p w14:paraId="0E793C5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087C6042" w14:textId="77777777" w:rsidTr="00035934">
        <w:trPr>
          <w:trHeight w:val="620"/>
        </w:trPr>
        <w:tc>
          <w:tcPr>
            <w:tcW w:w="2779" w:type="pct"/>
            <w:tcBorders>
              <w:top w:val="nil"/>
              <w:left w:val="single" w:sz="4" w:space="0" w:color="auto"/>
              <w:bottom w:val="single" w:sz="4" w:space="0" w:color="auto"/>
              <w:right w:val="single" w:sz="4" w:space="0" w:color="auto"/>
            </w:tcBorders>
            <w:shd w:val="clear" w:color="000000" w:fill="FFFFFF"/>
            <w:vAlign w:val="bottom"/>
            <w:hideMark/>
          </w:tcPr>
          <w:p w14:paraId="783EA0A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Reconocimiento de hijo mujer casada oposición</w:t>
            </w:r>
          </w:p>
        </w:tc>
        <w:tc>
          <w:tcPr>
            <w:tcW w:w="791" w:type="pct"/>
            <w:tcBorders>
              <w:top w:val="nil"/>
              <w:left w:val="nil"/>
              <w:bottom w:val="single" w:sz="4" w:space="0" w:color="auto"/>
              <w:right w:val="single" w:sz="4" w:space="0" w:color="auto"/>
            </w:tcBorders>
            <w:shd w:val="clear" w:color="auto" w:fill="auto"/>
            <w:noWrap/>
            <w:vAlign w:val="bottom"/>
            <w:hideMark/>
          </w:tcPr>
          <w:p w14:paraId="15A5DEB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w:t>
            </w:r>
          </w:p>
        </w:tc>
        <w:tc>
          <w:tcPr>
            <w:tcW w:w="1430" w:type="pct"/>
            <w:tcBorders>
              <w:top w:val="nil"/>
              <w:left w:val="nil"/>
              <w:bottom w:val="single" w:sz="4" w:space="0" w:color="auto"/>
              <w:right w:val="single" w:sz="4" w:space="0" w:color="auto"/>
            </w:tcBorders>
            <w:shd w:val="clear" w:color="auto" w:fill="auto"/>
            <w:noWrap/>
            <w:vAlign w:val="bottom"/>
            <w:hideMark/>
          </w:tcPr>
          <w:p w14:paraId="175DE73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2F6E2F5B"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68582B2"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Reconocimiento unión de hecho</w:t>
            </w:r>
          </w:p>
        </w:tc>
        <w:tc>
          <w:tcPr>
            <w:tcW w:w="791" w:type="pct"/>
            <w:tcBorders>
              <w:top w:val="nil"/>
              <w:left w:val="nil"/>
              <w:bottom w:val="single" w:sz="4" w:space="0" w:color="auto"/>
              <w:right w:val="single" w:sz="4" w:space="0" w:color="auto"/>
            </w:tcBorders>
            <w:shd w:val="clear" w:color="auto" w:fill="auto"/>
            <w:noWrap/>
            <w:vAlign w:val="bottom"/>
            <w:hideMark/>
          </w:tcPr>
          <w:p w14:paraId="6AF39B6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92</w:t>
            </w:r>
          </w:p>
        </w:tc>
        <w:tc>
          <w:tcPr>
            <w:tcW w:w="1430" w:type="pct"/>
            <w:tcBorders>
              <w:top w:val="nil"/>
              <w:left w:val="nil"/>
              <w:bottom w:val="single" w:sz="4" w:space="0" w:color="auto"/>
              <w:right w:val="single" w:sz="4" w:space="0" w:color="auto"/>
            </w:tcBorders>
            <w:shd w:val="clear" w:color="auto" w:fill="auto"/>
            <w:noWrap/>
            <w:vAlign w:val="bottom"/>
            <w:hideMark/>
          </w:tcPr>
          <w:p w14:paraId="1E9E068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028FEFC3" w14:textId="77777777" w:rsidTr="00062792">
        <w:trPr>
          <w:trHeight w:val="310"/>
        </w:trPr>
        <w:tc>
          <w:tcPr>
            <w:tcW w:w="2779" w:type="pct"/>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311B919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Restitución internacional de menores</w:t>
            </w:r>
          </w:p>
        </w:tc>
        <w:tc>
          <w:tcPr>
            <w:tcW w:w="791" w:type="pct"/>
            <w:tcBorders>
              <w:top w:val="nil"/>
              <w:left w:val="nil"/>
              <w:bottom w:val="single" w:sz="4" w:space="0" w:color="auto"/>
              <w:right w:val="single" w:sz="4" w:space="0" w:color="auto"/>
            </w:tcBorders>
            <w:shd w:val="clear" w:color="auto" w:fill="E2EFD9" w:themeFill="accent6" w:themeFillTint="33"/>
            <w:noWrap/>
            <w:vAlign w:val="bottom"/>
            <w:hideMark/>
          </w:tcPr>
          <w:p w14:paraId="09AE594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7</w:t>
            </w:r>
          </w:p>
        </w:tc>
        <w:tc>
          <w:tcPr>
            <w:tcW w:w="1430" w:type="pct"/>
            <w:tcBorders>
              <w:top w:val="nil"/>
              <w:left w:val="nil"/>
              <w:bottom w:val="single" w:sz="4" w:space="0" w:color="auto"/>
              <w:right w:val="single" w:sz="4" w:space="0" w:color="auto"/>
            </w:tcBorders>
            <w:shd w:val="clear" w:color="auto" w:fill="E2EFD9" w:themeFill="accent6" w:themeFillTint="33"/>
            <w:noWrap/>
            <w:vAlign w:val="bottom"/>
            <w:hideMark/>
          </w:tcPr>
          <w:p w14:paraId="00A2D9F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05CAF45D"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66EDACF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Salvaguardia</w:t>
            </w:r>
          </w:p>
        </w:tc>
        <w:tc>
          <w:tcPr>
            <w:tcW w:w="791" w:type="pct"/>
            <w:tcBorders>
              <w:top w:val="nil"/>
              <w:left w:val="nil"/>
              <w:bottom w:val="single" w:sz="4" w:space="0" w:color="auto"/>
              <w:right w:val="single" w:sz="4" w:space="0" w:color="auto"/>
            </w:tcBorders>
            <w:shd w:val="clear" w:color="auto" w:fill="auto"/>
            <w:noWrap/>
            <w:vAlign w:val="bottom"/>
            <w:hideMark/>
          </w:tcPr>
          <w:p w14:paraId="4711234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41</w:t>
            </w:r>
          </w:p>
        </w:tc>
        <w:tc>
          <w:tcPr>
            <w:tcW w:w="1430" w:type="pct"/>
            <w:tcBorders>
              <w:top w:val="nil"/>
              <w:left w:val="nil"/>
              <w:bottom w:val="single" w:sz="4" w:space="0" w:color="auto"/>
              <w:right w:val="single" w:sz="4" w:space="0" w:color="auto"/>
            </w:tcBorders>
            <w:shd w:val="clear" w:color="auto" w:fill="auto"/>
            <w:noWrap/>
            <w:vAlign w:val="bottom"/>
            <w:hideMark/>
          </w:tcPr>
          <w:p w14:paraId="77835E7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1 semana</w:t>
            </w:r>
          </w:p>
        </w:tc>
      </w:tr>
      <w:tr w:rsidR="0001202E" w:rsidRPr="00C0062B" w14:paraId="137C7CC7" w14:textId="77777777" w:rsidTr="00C0062B">
        <w:trPr>
          <w:trHeight w:val="327"/>
        </w:trPr>
        <w:tc>
          <w:tcPr>
            <w:tcW w:w="2779" w:type="pct"/>
            <w:tcBorders>
              <w:top w:val="nil"/>
              <w:left w:val="single" w:sz="4" w:space="0" w:color="auto"/>
              <w:bottom w:val="single" w:sz="4" w:space="0" w:color="auto"/>
              <w:right w:val="single" w:sz="4" w:space="0" w:color="auto"/>
            </w:tcBorders>
            <w:shd w:val="clear" w:color="auto" w:fill="auto"/>
            <w:vAlign w:val="bottom"/>
            <w:hideMark/>
          </w:tcPr>
          <w:p w14:paraId="560D490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Separación judicial por mutuo consentimiento</w:t>
            </w:r>
          </w:p>
        </w:tc>
        <w:tc>
          <w:tcPr>
            <w:tcW w:w="791" w:type="pct"/>
            <w:tcBorders>
              <w:top w:val="nil"/>
              <w:left w:val="nil"/>
              <w:bottom w:val="single" w:sz="4" w:space="0" w:color="auto"/>
              <w:right w:val="single" w:sz="4" w:space="0" w:color="auto"/>
            </w:tcBorders>
            <w:shd w:val="clear" w:color="auto" w:fill="auto"/>
            <w:noWrap/>
            <w:vAlign w:val="bottom"/>
            <w:hideMark/>
          </w:tcPr>
          <w:p w14:paraId="56B8A3E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12</w:t>
            </w:r>
          </w:p>
        </w:tc>
        <w:tc>
          <w:tcPr>
            <w:tcW w:w="1430" w:type="pct"/>
            <w:tcBorders>
              <w:top w:val="nil"/>
              <w:left w:val="nil"/>
              <w:bottom w:val="single" w:sz="4" w:space="0" w:color="auto"/>
              <w:right w:val="single" w:sz="4" w:space="0" w:color="auto"/>
            </w:tcBorders>
            <w:shd w:val="clear" w:color="auto" w:fill="auto"/>
            <w:noWrap/>
            <w:vAlign w:val="bottom"/>
            <w:hideMark/>
          </w:tcPr>
          <w:p w14:paraId="0474E4D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3 semanas</w:t>
            </w:r>
          </w:p>
        </w:tc>
      </w:tr>
      <w:tr w:rsidR="0001202E" w:rsidRPr="00C0062B" w14:paraId="67FCE90E"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29CBA241"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Solicitud de matrimonio</w:t>
            </w:r>
          </w:p>
        </w:tc>
        <w:tc>
          <w:tcPr>
            <w:tcW w:w="791" w:type="pct"/>
            <w:tcBorders>
              <w:top w:val="nil"/>
              <w:left w:val="nil"/>
              <w:bottom w:val="single" w:sz="4" w:space="0" w:color="auto"/>
              <w:right w:val="single" w:sz="4" w:space="0" w:color="auto"/>
            </w:tcBorders>
            <w:shd w:val="clear" w:color="auto" w:fill="auto"/>
            <w:noWrap/>
            <w:vAlign w:val="bottom"/>
            <w:hideMark/>
          </w:tcPr>
          <w:p w14:paraId="041C67C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430" w:type="pct"/>
            <w:tcBorders>
              <w:top w:val="nil"/>
              <w:left w:val="nil"/>
              <w:bottom w:val="single" w:sz="4" w:space="0" w:color="auto"/>
              <w:right w:val="single" w:sz="4" w:space="0" w:color="auto"/>
            </w:tcBorders>
            <w:shd w:val="clear" w:color="auto" w:fill="auto"/>
            <w:noWrap/>
            <w:vAlign w:val="bottom"/>
            <w:hideMark/>
          </w:tcPr>
          <w:p w14:paraId="50C6717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1 semana</w:t>
            </w:r>
          </w:p>
        </w:tc>
      </w:tr>
      <w:tr w:rsidR="0001202E" w:rsidRPr="00C0062B" w14:paraId="0A9D4865"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6C85A8B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Suspensión Patria Potestad</w:t>
            </w:r>
          </w:p>
        </w:tc>
        <w:tc>
          <w:tcPr>
            <w:tcW w:w="791" w:type="pct"/>
            <w:tcBorders>
              <w:top w:val="nil"/>
              <w:left w:val="nil"/>
              <w:bottom w:val="single" w:sz="4" w:space="0" w:color="auto"/>
              <w:right w:val="single" w:sz="4" w:space="0" w:color="auto"/>
            </w:tcBorders>
            <w:shd w:val="clear" w:color="auto" w:fill="auto"/>
            <w:noWrap/>
            <w:vAlign w:val="bottom"/>
            <w:hideMark/>
          </w:tcPr>
          <w:p w14:paraId="5EA613C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43</w:t>
            </w:r>
          </w:p>
        </w:tc>
        <w:tc>
          <w:tcPr>
            <w:tcW w:w="1430" w:type="pct"/>
            <w:tcBorders>
              <w:top w:val="nil"/>
              <w:left w:val="nil"/>
              <w:bottom w:val="single" w:sz="4" w:space="0" w:color="auto"/>
              <w:right w:val="single" w:sz="4" w:space="0" w:color="auto"/>
            </w:tcBorders>
            <w:shd w:val="clear" w:color="auto" w:fill="auto"/>
            <w:noWrap/>
            <w:vAlign w:val="bottom"/>
            <w:hideMark/>
          </w:tcPr>
          <w:p w14:paraId="2452769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24CB9B70" w14:textId="77777777" w:rsidTr="00C0062B">
        <w:trPr>
          <w:trHeight w:val="6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4EEEF89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Utilidad y necesidad</w:t>
            </w:r>
          </w:p>
        </w:tc>
        <w:tc>
          <w:tcPr>
            <w:tcW w:w="791" w:type="pct"/>
            <w:tcBorders>
              <w:top w:val="nil"/>
              <w:left w:val="nil"/>
              <w:bottom w:val="single" w:sz="4" w:space="0" w:color="auto"/>
              <w:right w:val="single" w:sz="4" w:space="0" w:color="auto"/>
            </w:tcBorders>
            <w:shd w:val="clear" w:color="auto" w:fill="auto"/>
            <w:noWrap/>
            <w:vAlign w:val="bottom"/>
            <w:hideMark/>
          </w:tcPr>
          <w:p w14:paraId="40C4D2D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6</w:t>
            </w:r>
          </w:p>
        </w:tc>
        <w:tc>
          <w:tcPr>
            <w:tcW w:w="1430" w:type="pct"/>
            <w:tcBorders>
              <w:top w:val="nil"/>
              <w:left w:val="nil"/>
              <w:bottom w:val="single" w:sz="4" w:space="0" w:color="auto"/>
              <w:right w:val="single" w:sz="4" w:space="0" w:color="auto"/>
            </w:tcBorders>
            <w:shd w:val="clear" w:color="auto" w:fill="auto"/>
            <w:noWrap/>
            <w:vAlign w:val="bottom"/>
            <w:hideMark/>
          </w:tcPr>
          <w:p w14:paraId="59DA3FB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59F24F9F" w14:textId="77777777" w:rsidTr="00035934">
        <w:trPr>
          <w:trHeight w:val="310"/>
        </w:trPr>
        <w:tc>
          <w:tcPr>
            <w:tcW w:w="2779" w:type="pct"/>
            <w:tcBorders>
              <w:top w:val="nil"/>
              <w:left w:val="single" w:sz="4" w:space="0" w:color="auto"/>
              <w:bottom w:val="single" w:sz="4" w:space="0" w:color="auto"/>
              <w:right w:val="single" w:sz="4" w:space="0" w:color="auto"/>
            </w:tcBorders>
            <w:shd w:val="clear" w:color="auto" w:fill="auto"/>
            <w:noWrap/>
            <w:vAlign w:val="bottom"/>
            <w:hideMark/>
          </w:tcPr>
          <w:p w14:paraId="3216DB80" w14:textId="77777777" w:rsidR="0001202E" w:rsidRPr="00C0062B" w:rsidRDefault="0001202E" w:rsidP="00C0062B">
            <w:pPr>
              <w:spacing w:after="0" w:line="276" w:lineRule="auto"/>
              <w:rPr>
                <w:rFonts w:ascii="Book Antiqua" w:eastAsia="Times New Roman" w:hAnsi="Book Antiqua" w:cs="Calibri"/>
                <w:b/>
                <w:bCs/>
                <w:lang w:eastAsia="es-CR"/>
              </w:rPr>
            </w:pPr>
            <w:r w:rsidRPr="00C0062B">
              <w:rPr>
                <w:rFonts w:ascii="Book Antiqua" w:eastAsia="Times New Roman" w:hAnsi="Book Antiqua" w:cs="Calibri"/>
                <w:b/>
                <w:bCs/>
                <w:lang w:eastAsia="es-CR"/>
              </w:rPr>
              <w:t>Total</w:t>
            </w:r>
          </w:p>
        </w:tc>
        <w:tc>
          <w:tcPr>
            <w:tcW w:w="791" w:type="pct"/>
            <w:tcBorders>
              <w:top w:val="nil"/>
              <w:left w:val="nil"/>
              <w:bottom w:val="single" w:sz="4" w:space="0" w:color="auto"/>
              <w:right w:val="single" w:sz="4" w:space="0" w:color="auto"/>
            </w:tcBorders>
            <w:shd w:val="clear" w:color="auto" w:fill="auto"/>
            <w:noWrap/>
            <w:vAlign w:val="bottom"/>
            <w:hideMark/>
          </w:tcPr>
          <w:p w14:paraId="31EF7FBD" w14:textId="77777777" w:rsidR="0001202E" w:rsidRPr="00C0062B" w:rsidRDefault="0001202E" w:rsidP="00C0062B">
            <w:pPr>
              <w:spacing w:after="0" w:line="276" w:lineRule="auto"/>
              <w:jc w:val="center"/>
              <w:rPr>
                <w:rFonts w:ascii="Book Antiqua" w:eastAsia="Times New Roman" w:hAnsi="Book Antiqua" w:cs="Calibri"/>
                <w:b/>
                <w:bCs/>
                <w:lang w:eastAsia="es-CR"/>
              </w:rPr>
            </w:pPr>
            <w:r w:rsidRPr="00C0062B">
              <w:rPr>
                <w:rFonts w:ascii="Book Antiqua" w:eastAsia="Times New Roman" w:hAnsi="Book Antiqua" w:cs="Calibri"/>
                <w:b/>
                <w:bCs/>
                <w:lang w:eastAsia="es-CR"/>
              </w:rPr>
              <w:t>1 115</w:t>
            </w:r>
          </w:p>
        </w:tc>
        <w:tc>
          <w:tcPr>
            <w:tcW w:w="1430" w:type="pct"/>
            <w:tcBorders>
              <w:top w:val="nil"/>
              <w:left w:val="nil"/>
              <w:bottom w:val="single" w:sz="4" w:space="0" w:color="auto"/>
              <w:right w:val="single" w:sz="4" w:space="0" w:color="auto"/>
            </w:tcBorders>
            <w:shd w:val="clear" w:color="auto" w:fill="auto"/>
            <w:noWrap/>
            <w:vAlign w:val="bottom"/>
            <w:hideMark/>
          </w:tcPr>
          <w:p w14:paraId="4C043F04" w14:textId="5EA47159" w:rsidR="0001202E" w:rsidRPr="00C0062B" w:rsidRDefault="0001202E" w:rsidP="00C0062B">
            <w:pPr>
              <w:spacing w:after="0" w:line="276" w:lineRule="auto"/>
              <w:jc w:val="center"/>
              <w:rPr>
                <w:rFonts w:ascii="Book Antiqua" w:eastAsia="Times New Roman" w:hAnsi="Book Antiqua" w:cs="Calibri"/>
                <w:b/>
                <w:bCs/>
                <w:lang w:eastAsia="es-CR"/>
              </w:rPr>
            </w:pPr>
            <w:r w:rsidRPr="00C0062B">
              <w:rPr>
                <w:rFonts w:ascii="Book Antiqua" w:eastAsia="Times New Roman" w:hAnsi="Book Antiqua" w:cs="Calibri"/>
                <w:b/>
                <w:bCs/>
                <w:lang w:eastAsia="es-CR"/>
              </w:rPr>
              <w:t>Promedio: 2 meses 3 semanas</w:t>
            </w:r>
          </w:p>
        </w:tc>
      </w:tr>
    </w:tbl>
    <w:p w14:paraId="3FE5786E" w14:textId="77777777" w:rsidR="0001202E" w:rsidRDefault="0001202E" w:rsidP="0001202E">
      <w:pPr>
        <w:spacing w:line="276" w:lineRule="auto"/>
        <w:jc w:val="both"/>
        <w:rPr>
          <w:rFonts w:ascii="Book Antiqua" w:hAnsi="Book Antiqua"/>
          <w:i/>
          <w:iCs/>
          <w:sz w:val="20"/>
          <w:szCs w:val="20"/>
        </w:rPr>
      </w:pPr>
      <w:r w:rsidRPr="00632CF0">
        <w:rPr>
          <w:rFonts w:ascii="Book Antiqua" w:hAnsi="Book Antiqua"/>
          <w:i/>
          <w:iCs/>
          <w:sz w:val="20"/>
          <w:szCs w:val="20"/>
        </w:rPr>
        <w:t>Fuente: Modernización Institucional con datos del Subproceso de Estadística.</w:t>
      </w:r>
    </w:p>
    <w:p w14:paraId="6149DC7D" w14:textId="77777777" w:rsidR="0001202E" w:rsidRDefault="0001202E" w:rsidP="0001202E">
      <w:pPr>
        <w:spacing w:line="276" w:lineRule="auto"/>
        <w:jc w:val="both"/>
        <w:rPr>
          <w:rFonts w:ascii="Book Antiqua" w:hAnsi="Book Antiqua"/>
          <w:sz w:val="24"/>
          <w:szCs w:val="24"/>
        </w:rPr>
      </w:pPr>
    </w:p>
    <w:p w14:paraId="38DA0F17" w14:textId="3B01EDD2"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55</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2081A9C4" w14:textId="77777777"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295A97D3" w14:textId="77777777" w:rsidR="0001202E" w:rsidRPr="001212F0" w:rsidRDefault="0001202E" w:rsidP="0001202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 xml:space="preserve">del Tribunal de </w:t>
      </w:r>
      <w:r w:rsidRPr="001212F0">
        <w:rPr>
          <w:rFonts w:ascii="Book Antiqua" w:eastAsia="Calibri" w:hAnsi="Book Antiqua" w:cs="Arial"/>
          <w:b/>
          <w:bCs/>
          <w:color w:val="1F497D"/>
          <w:szCs w:val="24"/>
          <w:lang w:val="es-ES" w:eastAsia="es-ES"/>
        </w:rPr>
        <w:t>Familia 20</w:t>
      </w:r>
      <w:r>
        <w:rPr>
          <w:rFonts w:ascii="Book Antiqua" w:eastAsia="Calibri" w:hAnsi="Book Antiqua" w:cs="Arial"/>
          <w:b/>
          <w:bCs/>
          <w:color w:val="1F497D"/>
          <w:szCs w:val="24"/>
          <w:lang w:val="es-ES" w:eastAsia="es-ES"/>
        </w:rPr>
        <w:t>21</w:t>
      </w:r>
    </w:p>
    <w:tbl>
      <w:tblPr>
        <w:tblW w:w="5000" w:type="pct"/>
        <w:tblCellMar>
          <w:left w:w="70" w:type="dxa"/>
          <w:right w:w="70" w:type="dxa"/>
        </w:tblCellMar>
        <w:tblLook w:val="04A0" w:firstRow="1" w:lastRow="0" w:firstColumn="1" w:lastColumn="0" w:noHBand="0" w:noVBand="1"/>
      </w:tblPr>
      <w:tblGrid>
        <w:gridCol w:w="4722"/>
        <w:gridCol w:w="1069"/>
        <w:gridCol w:w="3037"/>
      </w:tblGrid>
      <w:tr w:rsidR="0001202E" w:rsidRPr="00C0062B" w14:paraId="019FEF0E" w14:textId="77777777" w:rsidTr="00035934">
        <w:trPr>
          <w:trHeight w:val="290"/>
        </w:trPr>
        <w:tc>
          <w:tcPr>
            <w:tcW w:w="2907"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37F4868"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Clase y Procedimiento</w:t>
            </w:r>
          </w:p>
        </w:tc>
        <w:tc>
          <w:tcPr>
            <w:tcW w:w="837" w:type="pct"/>
            <w:tcBorders>
              <w:top w:val="single" w:sz="4" w:space="0" w:color="auto"/>
              <w:left w:val="nil"/>
              <w:bottom w:val="single" w:sz="4" w:space="0" w:color="auto"/>
              <w:right w:val="single" w:sz="4" w:space="0" w:color="auto"/>
            </w:tcBorders>
            <w:shd w:val="clear" w:color="000000" w:fill="002060"/>
            <w:noWrap/>
            <w:vAlign w:val="bottom"/>
            <w:hideMark/>
          </w:tcPr>
          <w:p w14:paraId="15096D97"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Cantidad</w:t>
            </w:r>
          </w:p>
        </w:tc>
        <w:tc>
          <w:tcPr>
            <w:tcW w:w="1256" w:type="pct"/>
            <w:tcBorders>
              <w:top w:val="single" w:sz="4" w:space="0" w:color="auto"/>
              <w:left w:val="nil"/>
              <w:bottom w:val="single" w:sz="4" w:space="0" w:color="auto"/>
              <w:right w:val="single" w:sz="4" w:space="0" w:color="auto"/>
            </w:tcBorders>
            <w:shd w:val="clear" w:color="000000" w:fill="002060"/>
            <w:noWrap/>
            <w:vAlign w:val="bottom"/>
            <w:hideMark/>
          </w:tcPr>
          <w:p w14:paraId="25BDE8FD" w14:textId="77777777" w:rsidR="0001202E" w:rsidRPr="00C0062B" w:rsidRDefault="0001202E" w:rsidP="00C0062B">
            <w:pPr>
              <w:spacing w:after="0" w:line="276" w:lineRule="auto"/>
              <w:jc w:val="center"/>
              <w:rPr>
                <w:rFonts w:ascii="Book Antiqua" w:eastAsia="Times New Roman" w:hAnsi="Book Antiqua" w:cs="Calibri"/>
                <w:b/>
                <w:bCs/>
                <w:color w:val="FFFFFF"/>
                <w:lang w:eastAsia="es-CR"/>
              </w:rPr>
            </w:pPr>
            <w:r w:rsidRPr="00C0062B">
              <w:rPr>
                <w:rFonts w:ascii="Book Antiqua" w:eastAsia="Times New Roman" w:hAnsi="Book Antiqua" w:cs="Calibri"/>
                <w:b/>
                <w:bCs/>
                <w:color w:val="FFFFFF"/>
                <w:lang w:eastAsia="es-CR"/>
              </w:rPr>
              <w:t>Duración Promedio</w:t>
            </w:r>
          </w:p>
        </w:tc>
      </w:tr>
      <w:tr w:rsidR="0001202E" w:rsidRPr="00C0062B" w14:paraId="47D09C35"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FA2A7F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Adopción</w:t>
            </w:r>
          </w:p>
        </w:tc>
        <w:tc>
          <w:tcPr>
            <w:tcW w:w="837" w:type="pct"/>
            <w:tcBorders>
              <w:top w:val="nil"/>
              <w:left w:val="nil"/>
              <w:bottom w:val="single" w:sz="4" w:space="0" w:color="auto"/>
              <w:right w:val="single" w:sz="4" w:space="0" w:color="auto"/>
            </w:tcBorders>
            <w:shd w:val="clear" w:color="auto" w:fill="auto"/>
            <w:noWrap/>
            <w:vAlign w:val="bottom"/>
            <w:hideMark/>
          </w:tcPr>
          <w:p w14:paraId="4E121A8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w:t>
            </w:r>
          </w:p>
        </w:tc>
        <w:tc>
          <w:tcPr>
            <w:tcW w:w="1256" w:type="pct"/>
            <w:tcBorders>
              <w:top w:val="nil"/>
              <w:left w:val="nil"/>
              <w:bottom w:val="single" w:sz="4" w:space="0" w:color="auto"/>
              <w:right w:val="single" w:sz="4" w:space="0" w:color="auto"/>
            </w:tcBorders>
            <w:shd w:val="clear" w:color="auto" w:fill="auto"/>
            <w:noWrap/>
            <w:vAlign w:val="bottom"/>
            <w:hideMark/>
          </w:tcPr>
          <w:p w14:paraId="278F843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1 semana</w:t>
            </w:r>
          </w:p>
        </w:tc>
      </w:tr>
      <w:tr w:rsidR="0001202E" w:rsidRPr="00C0062B" w14:paraId="6DE49B32"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29056FC0"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Autorización salida país</w:t>
            </w:r>
          </w:p>
        </w:tc>
        <w:tc>
          <w:tcPr>
            <w:tcW w:w="837" w:type="pct"/>
            <w:tcBorders>
              <w:top w:val="nil"/>
              <w:left w:val="nil"/>
              <w:bottom w:val="single" w:sz="4" w:space="0" w:color="auto"/>
              <w:right w:val="single" w:sz="4" w:space="0" w:color="auto"/>
            </w:tcBorders>
            <w:shd w:val="clear" w:color="auto" w:fill="auto"/>
            <w:noWrap/>
            <w:vAlign w:val="bottom"/>
            <w:hideMark/>
          </w:tcPr>
          <w:p w14:paraId="509CF21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11</w:t>
            </w:r>
          </w:p>
        </w:tc>
        <w:tc>
          <w:tcPr>
            <w:tcW w:w="1256" w:type="pct"/>
            <w:tcBorders>
              <w:top w:val="nil"/>
              <w:left w:val="nil"/>
              <w:bottom w:val="single" w:sz="4" w:space="0" w:color="auto"/>
              <w:right w:val="single" w:sz="4" w:space="0" w:color="auto"/>
            </w:tcBorders>
            <w:shd w:val="clear" w:color="auto" w:fill="auto"/>
            <w:noWrap/>
            <w:vAlign w:val="bottom"/>
            <w:hideMark/>
          </w:tcPr>
          <w:p w14:paraId="2FFF3D6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7D6C71AB"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7622BF21"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Conflicto autoridad parental</w:t>
            </w:r>
          </w:p>
        </w:tc>
        <w:tc>
          <w:tcPr>
            <w:tcW w:w="837" w:type="pct"/>
            <w:tcBorders>
              <w:top w:val="nil"/>
              <w:left w:val="nil"/>
              <w:bottom w:val="single" w:sz="4" w:space="0" w:color="auto"/>
              <w:right w:val="single" w:sz="4" w:space="0" w:color="auto"/>
            </w:tcBorders>
            <w:shd w:val="clear" w:color="auto" w:fill="auto"/>
            <w:noWrap/>
            <w:vAlign w:val="bottom"/>
            <w:hideMark/>
          </w:tcPr>
          <w:p w14:paraId="2E0B397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w:t>
            </w:r>
          </w:p>
        </w:tc>
        <w:tc>
          <w:tcPr>
            <w:tcW w:w="1256" w:type="pct"/>
            <w:tcBorders>
              <w:top w:val="nil"/>
              <w:left w:val="nil"/>
              <w:bottom w:val="single" w:sz="4" w:space="0" w:color="auto"/>
              <w:right w:val="single" w:sz="4" w:space="0" w:color="auto"/>
            </w:tcBorders>
            <w:shd w:val="clear" w:color="auto" w:fill="auto"/>
            <w:noWrap/>
            <w:vAlign w:val="bottom"/>
            <w:hideMark/>
          </w:tcPr>
          <w:p w14:paraId="7FA87A6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014A1DAF"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451AC6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de extramatrimonialidad</w:t>
            </w:r>
          </w:p>
        </w:tc>
        <w:tc>
          <w:tcPr>
            <w:tcW w:w="837" w:type="pct"/>
            <w:tcBorders>
              <w:top w:val="nil"/>
              <w:left w:val="nil"/>
              <w:bottom w:val="single" w:sz="4" w:space="0" w:color="auto"/>
              <w:right w:val="single" w:sz="4" w:space="0" w:color="auto"/>
            </w:tcBorders>
            <w:shd w:val="clear" w:color="auto" w:fill="auto"/>
            <w:noWrap/>
            <w:vAlign w:val="bottom"/>
            <w:hideMark/>
          </w:tcPr>
          <w:p w14:paraId="0C509C7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7</w:t>
            </w:r>
          </w:p>
        </w:tc>
        <w:tc>
          <w:tcPr>
            <w:tcW w:w="1256" w:type="pct"/>
            <w:tcBorders>
              <w:top w:val="nil"/>
              <w:left w:val="nil"/>
              <w:bottom w:val="single" w:sz="4" w:space="0" w:color="auto"/>
              <w:right w:val="single" w:sz="4" w:space="0" w:color="auto"/>
            </w:tcBorders>
            <w:shd w:val="clear" w:color="auto" w:fill="auto"/>
            <w:noWrap/>
            <w:vAlign w:val="bottom"/>
            <w:hideMark/>
          </w:tcPr>
          <w:p w14:paraId="0B8ED33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15B1E371"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3616C3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judicial de abandono</w:t>
            </w:r>
          </w:p>
        </w:tc>
        <w:tc>
          <w:tcPr>
            <w:tcW w:w="837" w:type="pct"/>
            <w:tcBorders>
              <w:top w:val="nil"/>
              <w:left w:val="nil"/>
              <w:bottom w:val="single" w:sz="4" w:space="0" w:color="auto"/>
              <w:right w:val="single" w:sz="4" w:space="0" w:color="auto"/>
            </w:tcBorders>
            <w:shd w:val="clear" w:color="auto" w:fill="auto"/>
            <w:noWrap/>
            <w:vAlign w:val="bottom"/>
            <w:hideMark/>
          </w:tcPr>
          <w:p w14:paraId="1B82135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25</w:t>
            </w:r>
          </w:p>
        </w:tc>
        <w:tc>
          <w:tcPr>
            <w:tcW w:w="1256" w:type="pct"/>
            <w:tcBorders>
              <w:top w:val="nil"/>
              <w:left w:val="nil"/>
              <w:bottom w:val="single" w:sz="4" w:space="0" w:color="auto"/>
              <w:right w:val="single" w:sz="4" w:space="0" w:color="auto"/>
            </w:tcBorders>
            <w:shd w:val="clear" w:color="auto" w:fill="auto"/>
            <w:noWrap/>
            <w:vAlign w:val="bottom"/>
            <w:hideMark/>
          </w:tcPr>
          <w:p w14:paraId="682CB1E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61CEA8C9"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46F333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Declaratoria paternidad</w:t>
            </w:r>
          </w:p>
        </w:tc>
        <w:tc>
          <w:tcPr>
            <w:tcW w:w="837" w:type="pct"/>
            <w:tcBorders>
              <w:top w:val="nil"/>
              <w:left w:val="nil"/>
              <w:bottom w:val="single" w:sz="4" w:space="0" w:color="auto"/>
              <w:right w:val="single" w:sz="4" w:space="0" w:color="auto"/>
            </w:tcBorders>
            <w:shd w:val="clear" w:color="auto" w:fill="auto"/>
            <w:noWrap/>
            <w:vAlign w:val="bottom"/>
            <w:hideMark/>
          </w:tcPr>
          <w:p w14:paraId="190D155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w:t>
            </w:r>
          </w:p>
        </w:tc>
        <w:tc>
          <w:tcPr>
            <w:tcW w:w="1256" w:type="pct"/>
            <w:tcBorders>
              <w:top w:val="nil"/>
              <w:left w:val="nil"/>
              <w:bottom w:val="single" w:sz="4" w:space="0" w:color="auto"/>
              <w:right w:val="single" w:sz="4" w:space="0" w:color="auto"/>
            </w:tcBorders>
            <w:shd w:val="clear" w:color="auto" w:fill="auto"/>
            <w:noWrap/>
            <w:vAlign w:val="bottom"/>
            <w:hideMark/>
          </w:tcPr>
          <w:p w14:paraId="25F9235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546E9F1B"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02E067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Depósito judicial</w:t>
            </w:r>
          </w:p>
        </w:tc>
        <w:tc>
          <w:tcPr>
            <w:tcW w:w="837" w:type="pct"/>
            <w:tcBorders>
              <w:top w:val="nil"/>
              <w:left w:val="nil"/>
              <w:bottom w:val="single" w:sz="4" w:space="0" w:color="auto"/>
              <w:right w:val="single" w:sz="4" w:space="0" w:color="auto"/>
            </w:tcBorders>
            <w:shd w:val="clear" w:color="auto" w:fill="auto"/>
            <w:noWrap/>
            <w:vAlign w:val="bottom"/>
            <w:hideMark/>
          </w:tcPr>
          <w:p w14:paraId="10BB5FE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23</w:t>
            </w:r>
          </w:p>
        </w:tc>
        <w:tc>
          <w:tcPr>
            <w:tcW w:w="1256" w:type="pct"/>
            <w:tcBorders>
              <w:top w:val="nil"/>
              <w:left w:val="nil"/>
              <w:bottom w:val="single" w:sz="4" w:space="0" w:color="auto"/>
              <w:right w:val="single" w:sz="4" w:space="0" w:color="auto"/>
            </w:tcBorders>
            <w:shd w:val="clear" w:color="auto" w:fill="auto"/>
            <w:noWrap/>
            <w:vAlign w:val="bottom"/>
            <w:hideMark/>
          </w:tcPr>
          <w:p w14:paraId="7F5AAB6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4ADE1CE3" w14:textId="77777777" w:rsidTr="00C0062B">
        <w:trPr>
          <w:trHeight w:val="264"/>
        </w:trPr>
        <w:tc>
          <w:tcPr>
            <w:tcW w:w="2907" w:type="pct"/>
            <w:tcBorders>
              <w:top w:val="nil"/>
              <w:left w:val="single" w:sz="4" w:space="0" w:color="auto"/>
              <w:bottom w:val="single" w:sz="4" w:space="0" w:color="auto"/>
              <w:right w:val="single" w:sz="4" w:space="0" w:color="auto"/>
            </w:tcBorders>
            <w:shd w:val="clear" w:color="auto" w:fill="auto"/>
            <w:vAlign w:val="bottom"/>
            <w:hideMark/>
          </w:tcPr>
          <w:p w14:paraId="32DA9F0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Desafectación al régimen de habitación familiar</w:t>
            </w:r>
          </w:p>
        </w:tc>
        <w:tc>
          <w:tcPr>
            <w:tcW w:w="837" w:type="pct"/>
            <w:tcBorders>
              <w:top w:val="nil"/>
              <w:left w:val="nil"/>
              <w:bottom w:val="single" w:sz="4" w:space="0" w:color="auto"/>
              <w:right w:val="single" w:sz="4" w:space="0" w:color="auto"/>
            </w:tcBorders>
            <w:shd w:val="clear" w:color="auto" w:fill="auto"/>
            <w:noWrap/>
            <w:vAlign w:val="bottom"/>
            <w:hideMark/>
          </w:tcPr>
          <w:p w14:paraId="0814CA8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w:t>
            </w:r>
          </w:p>
        </w:tc>
        <w:tc>
          <w:tcPr>
            <w:tcW w:w="1256" w:type="pct"/>
            <w:tcBorders>
              <w:top w:val="nil"/>
              <w:left w:val="nil"/>
              <w:bottom w:val="single" w:sz="4" w:space="0" w:color="auto"/>
              <w:right w:val="single" w:sz="4" w:space="0" w:color="auto"/>
            </w:tcBorders>
            <w:shd w:val="clear" w:color="auto" w:fill="auto"/>
            <w:noWrap/>
            <w:vAlign w:val="bottom"/>
            <w:hideMark/>
          </w:tcPr>
          <w:p w14:paraId="20AA933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6114C6DD"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60718F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lastRenderedPageBreak/>
              <w:t>Divorcio</w:t>
            </w:r>
          </w:p>
        </w:tc>
        <w:tc>
          <w:tcPr>
            <w:tcW w:w="837" w:type="pct"/>
            <w:tcBorders>
              <w:top w:val="nil"/>
              <w:left w:val="nil"/>
              <w:bottom w:val="single" w:sz="4" w:space="0" w:color="auto"/>
              <w:right w:val="single" w:sz="4" w:space="0" w:color="auto"/>
            </w:tcBorders>
            <w:shd w:val="clear" w:color="auto" w:fill="auto"/>
            <w:noWrap/>
            <w:vAlign w:val="bottom"/>
            <w:hideMark/>
          </w:tcPr>
          <w:p w14:paraId="19568AA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196</w:t>
            </w:r>
          </w:p>
        </w:tc>
        <w:tc>
          <w:tcPr>
            <w:tcW w:w="1256" w:type="pct"/>
            <w:tcBorders>
              <w:top w:val="nil"/>
              <w:left w:val="nil"/>
              <w:bottom w:val="single" w:sz="4" w:space="0" w:color="auto"/>
              <w:right w:val="single" w:sz="4" w:space="0" w:color="auto"/>
            </w:tcBorders>
            <w:shd w:val="clear" w:color="auto" w:fill="auto"/>
            <w:noWrap/>
            <w:vAlign w:val="bottom"/>
            <w:hideMark/>
          </w:tcPr>
          <w:p w14:paraId="28124CB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61B83C79"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751DFEB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Divorcio por mutuo consentimiento</w:t>
            </w:r>
          </w:p>
        </w:tc>
        <w:tc>
          <w:tcPr>
            <w:tcW w:w="837" w:type="pct"/>
            <w:tcBorders>
              <w:top w:val="nil"/>
              <w:left w:val="nil"/>
              <w:bottom w:val="single" w:sz="4" w:space="0" w:color="auto"/>
              <w:right w:val="single" w:sz="4" w:space="0" w:color="auto"/>
            </w:tcBorders>
            <w:shd w:val="clear" w:color="auto" w:fill="auto"/>
            <w:noWrap/>
            <w:vAlign w:val="bottom"/>
            <w:hideMark/>
          </w:tcPr>
          <w:p w14:paraId="1AC100E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42</w:t>
            </w:r>
          </w:p>
        </w:tc>
        <w:tc>
          <w:tcPr>
            <w:tcW w:w="1256" w:type="pct"/>
            <w:tcBorders>
              <w:top w:val="nil"/>
              <w:left w:val="nil"/>
              <w:bottom w:val="single" w:sz="4" w:space="0" w:color="auto"/>
              <w:right w:val="single" w:sz="4" w:space="0" w:color="auto"/>
            </w:tcBorders>
            <w:shd w:val="clear" w:color="auto" w:fill="auto"/>
            <w:noWrap/>
            <w:vAlign w:val="bottom"/>
            <w:hideMark/>
          </w:tcPr>
          <w:p w14:paraId="794B884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22E862C5"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73F4D3C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Ejecución de sentencia</w:t>
            </w:r>
          </w:p>
        </w:tc>
        <w:tc>
          <w:tcPr>
            <w:tcW w:w="837" w:type="pct"/>
            <w:tcBorders>
              <w:top w:val="nil"/>
              <w:left w:val="nil"/>
              <w:bottom w:val="single" w:sz="4" w:space="0" w:color="auto"/>
              <w:right w:val="single" w:sz="4" w:space="0" w:color="auto"/>
            </w:tcBorders>
            <w:shd w:val="clear" w:color="auto" w:fill="auto"/>
            <w:noWrap/>
            <w:vAlign w:val="bottom"/>
            <w:hideMark/>
          </w:tcPr>
          <w:p w14:paraId="126D9A1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63</w:t>
            </w:r>
          </w:p>
        </w:tc>
        <w:tc>
          <w:tcPr>
            <w:tcW w:w="1256" w:type="pct"/>
            <w:tcBorders>
              <w:top w:val="nil"/>
              <w:left w:val="nil"/>
              <w:bottom w:val="single" w:sz="4" w:space="0" w:color="auto"/>
              <w:right w:val="single" w:sz="4" w:space="0" w:color="auto"/>
            </w:tcBorders>
            <w:shd w:val="clear" w:color="auto" w:fill="auto"/>
            <w:noWrap/>
            <w:vAlign w:val="bottom"/>
            <w:hideMark/>
          </w:tcPr>
          <w:p w14:paraId="11BD36B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1 semana</w:t>
            </w:r>
          </w:p>
        </w:tc>
      </w:tr>
      <w:tr w:rsidR="0001202E" w:rsidRPr="00C0062B" w14:paraId="73451EA6"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821EF11"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Fijación Alimentaria</w:t>
            </w:r>
          </w:p>
        </w:tc>
        <w:tc>
          <w:tcPr>
            <w:tcW w:w="837" w:type="pct"/>
            <w:tcBorders>
              <w:top w:val="nil"/>
              <w:left w:val="nil"/>
              <w:bottom w:val="single" w:sz="4" w:space="0" w:color="auto"/>
              <w:right w:val="single" w:sz="4" w:space="0" w:color="auto"/>
            </w:tcBorders>
            <w:shd w:val="clear" w:color="auto" w:fill="auto"/>
            <w:noWrap/>
            <w:vAlign w:val="bottom"/>
            <w:hideMark/>
          </w:tcPr>
          <w:p w14:paraId="58DD2E4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30</w:t>
            </w:r>
          </w:p>
        </w:tc>
        <w:tc>
          <w:tcPr>
            <w:tcW w:w="1256" w:type="pct"/>
            <w:tcBorders>
              <w:top w:val="nil"/>
              <w:left w:val="nil"/>
              <w:bottom w:val="single" w:sz="4" w:space="0" w:color="auto"/>
              <w:right w:val="single" w:sz="4" w:space="0" w:color="auto"/>
            </w:tcBorders>
            <w:shd w:val="clear" w:color="auto" w:fill="auto"/>
            <w:noWrap/>
            <w:vAlign w:val="bottom"/>
            <w:hideMark/>
          </w:tcPr>
          <w:p w14:paraId="3846129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1483ED71"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3DB5ABA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Guarda crianza y educación</w:t>
            </w:r>
          </w:p>
        </w:tc>
        <w:tc>
          <w:tcPr>
            <w:tcW w:w="837" w:type="pct"/>
            <w:tcBorders>
              <w:top w:val="nil"/>
              <w:left w:val="nil"/>
              <w:bottom w:val="single" w:sz="4" w:space="0" w:color="auto"/>
              <w:right w:val="single" w:sz="4" w:space="0" w:color="auto"/>
            </w:tcBorders>
            <w:shd w:val="clear" w:color="auto" w:fill="auto"/>
            <w:noWrap/>
            <w:vAlign w:val="bottom"/>
            <w:hideMark/>
          </w:tcPr>
          <w:p w14:paraId="7D88294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80</w:t>
            </w:r>
          </w:p>
        </w:tc>
        <w:tc>
          <w:tcPr>
            <w:tcW w:w="1256" w:type="pct"/>
            <w:tcBorders>
              <w:top w:val="nil"/>
              <w:left w:val="nil"/>
              <w:bottom w:val="single" w:sz="4" w:space="0" w:color="auto"/>
              <w:right w:val="single" w:sz="4" w:space="0" w:color="auto"/>
            </w:tcBorders>
            <w:shd w:val="clear" w:color="auto" w:fill="auto"/>
            <w:noWrap/>
            <w:vAlign w:val="bottom"/>
            <w:hideMark/>
          </w:tcPr>
          <w:p w14:paraId="6BA42DF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1 semana</w:t>
            </w:r>
          </w:p>
        </w:tc>
      </w:tr>
      <w:tr w:rsidR="0001202E" w:rsidRPr="00C0062B" w14:paraId="1B90D1F5"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2438CF0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Impugnación de paternidad</w:t>
            </w:r>
          </w:p>
        </w:tc>
        <w:tc>
          <w:tcPr>
            <w:tcW w:w="837" w:type="pct"/>
            <w:tcBorders>
              <w:top w:val="nil"/>
              <w:left w:val="nil"/>
              <w:bottom w:val="single" w:sz="4" w:space="0" w:color="auto"/>
              <w:right w:val="single" w:sz="4" w:space="0" w:color="auto"/>
            </w:tcBorders>
            <w:shd w:val="clear" w:color="auto" w:fill="auto"/>
            <w:noWrap/>
            <w:vAlign w:val="bottom"/>
            <w:hideMark/>
          </w:tcPr>
          <w:p w14:paraId="326A5A1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21</w:t>
            </w:r>
          </w:p>
        </w:tc>
        <w:tc>
          <w:tcPr>
            <w:tcW w:w="1256" w:type="pct"/>
            <w:tcBorders>
              <w:top w:val="nil"/>
              <w:left w:val="nil"/>
              <w:bottom w:val="single" w:sz="4" w:space="0" w:color="auto"/>
              <w:right w:val="single" w:sz="4" w:space="0" w:color="auto"/>
            </w:tcBorders>
            <w:shd w:val="clear" w:color="auto" w:fill="auto"/>
            <w:noWrap/>
            <w:vAlign w:val="bottom"/>
            <w:hideMark/>
          </w:tcPr>
          <w:p w14:paraId="350F007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72E1D87C"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DD374D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Impugnación de reconocimiento</w:t>
            </w:r>
          </w:p>
        </w:tc>
        <w:tc>
          <w:tcPr>
            <w:tcW w:w="837" w:type="pct"/>
            <w:tcBorders>
              <w:top w:val="nil"/>
              <w:left w:val="nil"/>
              <w:bottom w:val="single" w:sz="4" w:space="0" w:color="auto"/>
              <w:right w:val="single" w:sz="4" w:space="0" w:color="auto"/>
            </w:tcBorders>
            <w:shd w:val="clear" w:color="auto" w:fill="auto"/>
            <w:noWrap/>
            <w:vAlign w:val="bottom"/>
            <w:hideMark/>
          </w:tcPr>
          <w:p w14:paraId="5436A8A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39</w:t>
            </w:r>
          </w:p>
        </w:tc>
        <w:tc>
          <w:tcPr>
            <w:tcW w:w="1256" w:type="pct"/>
            <w:tcBorders>
              <w:top w:val="nil"/>
              <w:left w:val="nil"/>
              <w:bottom w:val="single" w:sz="4" w:space="0" w:color="auto"/>
              <w:right w:val="single" w:sz="4" w:space="0" w:color="auto"/>
            </w:tcBorders>
            <w:shd w:val="clear" w:color="auto" w:fill="auto"/>
            <w:noWrap/>
            <w:vAlign w:val="bottom"/>
            <w:hideMark/>
          </w:tcPr>
          <w:p w14:paraId="4FF1309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530C833E"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D3AFFC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Cobro honorarios abogado</w:t>
            </w:r>
          </w:p>
        </w:tc>
        <w:tc>
          <w:tcPr>
            <w:tcW w:w="837" w:type="pct"/>
            <w:tcBorders>
              <w:top w:val="nil"/>
              <w:left w:val="nil"/>
              <w:bottom w:val="single" w:sz="4" w:space="0" w:color="auto"/>
              <w:right w:val="single" w:sz="4" w:space="0" w:color="auto"/>
            </w:tcBorders>
            <w:shd w:val="clear" w:color="auto" w:fill="auto"/>
            <w:noWrap/>
            <w:vAlign w:val="bottom"/>
            <w:hideMark/>
          </w:tcPr>
          <w:p w14:paraId="3B72B94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10</w:t>
            </w:r>
          </w:p>
        </w:tc>
        <w:tc>
          <w:tcPr>
            <w:tcW w:w="1256" w:type="pct"/>
            <w:tcBorders>
              <w:top w:val="nil"/>
              <w:left w:val="nil"/>
              <w:bottom w:val="single" w:sz="4" w:space="0" w:color="auto"/>
              <w:right w:val="single" w:sz="4" w:space="0" w:color="auto"/>
            </w:tcBorders>
            <w:shd w:val="clear" w:color="auto" w:fill="auto"/>
            <w:noWrap/>
            <w:vAlign w:val="bottom"/>
            <w:hideMark/>
          </w:tcPr>
          <w:p w14:paraId="3B3A9FA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4CEE2DCD"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2213C1BC"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Modif. Guarda Crianza y Educación</w:t>
            </w:r>
          </w:p>
        </w:tc>
        <w:tc>
          <w:tcPr>
            <w:tcW w:w="837" w:type="pct"/>
            <w:tcBorders>
              <w:top w:val="nil"/>
              <w:left w:val="nil"/>
              <w:bottom w:val="single" w:sz="4" w:space="0" w:color="auto"/>
              <w:right w:val="single" w:sz="4" w:space="0" w:color="auto"/>
            </w:tcBorders>
            <w:shd w:val="clear" w:color="auto" w:fill="auto"/>
            <w:noWrap/>
            <w:vAlign w:val="bottom"/>
            <w:hideMark/>
          </w:tcPr>
          <w:p w14:paraId="6AFC057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14</w:t>
            </w:r>
          </w:p>
        </w:tc>
        <w:tc>
          <w:tcPr>
            <w:tcW w:w="1256" w:type="pct"/>
            <w:tcBorders>
              <w:top w:val="nil"/>
              <w:left w:val="nil"/>
              <w:bottom w:val="single" w:sz="4" w:space="0" w:color="auto"/>
              <w:right w:val="single" w:sz="4" w:space="0" w:color="auto"/>
            </w:tcBorders>
            <w:shd w:val="clear" w:color="auto" w:fill="auto"/>
            <w:noWrap/>
            <w:vAlign w:val="bottom"/>
            <w:hideMark/>
          </w:tcPr>
          <w:p w14:paraId="616A7A9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2 semanas</w:t>
            </w:r>
          </w:p>
        </w:tc>
      </w:tr>
      <w:tr w:rsidR="0001202E" w:rsidRPr="00C0062B" w14:paraId="4956583C"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85FF2B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Modificación de fallo</w:t>
            </w:r>
          </w:p>
        </w:tc>
        <w:tc>
          <w:tcPr>
            <w:tcW w:w="837" w:type="pct"/>
            <w:tcBorders>
              <w:top w:val="nil"/>
              <w:left w:val="nil"/>
              <w:bottom w:val="single" w:sz="4" w:space="0" w:color="auto"/>
              <w:right w:val="single" w:sz="4" w:space="0" w:color="auto"/>
            </w:tcBorders>
            <w:shd w:val="clear" w:color="auto" w:fill="auto"/>
            <w:noWrap/>
            <w:vAlign w:val="bottom"/>
            <w:hideMark/>
          </w:tcPr>
          <w:p w14:paraId="43EFC0E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w:t>
            </w:r>
          </w:p>
        </w:tc>
        <w:tc>
          <w:tcPr>
            <w:tcW w:w="1256" w:type="pct"/>
            <w:tcBorders>
              <w:top w:val="nil"/>
              <w:left w:val="nil"/>
              <w:bottom w:val="single" w:sz="4" w:space="0" w:color="auto"/>
              <w:right w:val="single" w:sz="4" w:space="0" w:color="auto"/>
            </w:tcBorders>
            <w:shd w:val="clear" w:color="auto" w:fill="auto"/>
            <w:noWrap/>
            <w:vAlign w:val="bottom"/>
            <w:hideMark/>
          </w:tcPr>
          <w:p w14:paraId="5FC951DC"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027C0A5C"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083E48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Nulidad actuac. y resol.</w:t>
            </w:r>
          </w:p>
        </w:tc>
        <w:tc>
          <w:tcPr>
            <w:tcW w:w="837" w:type="pct"/>
            <w:tcBorders>
              <w:top w:val="nil"/>
              <w:left w:val="nil"/>
              <w:bottom w:val="single" w:sz="4" w:space="0" w:color="auto"/>
              <w:right w:val="single" w:sz="4" w:space="0" w:color="auto"/>
            </w:tcBorders>
            <w:shd w:val="clear" w:color="auto" w:fill="auto"/>
            <w:noWrap/>
            <w:vAlign w:val="bottom"/>
            <w:hideMark/>
          </w:tcPr>
          <w:p w14:paraId="2EE36DC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w:t>
            </w:r>
          </w:p>
        </w:tc>
        <w:tc>
          <w:tcPr>
            <w:tcW w:w="1256" w:type="pct"/>
            <w:tcBorders>
              <w:top w:val="nil"/>
              <w:left w:val="nil"/>
              <w:bottom w:val="single" w:sz="4" w:space="0" w:color="auto"/>
              <w:right w:val="single" w:sz="4" w:space="0" w:color="auto"/>
            </w:tcBorders>
            <w:shd w:val="clear" w:color="auto" w:fill="auto"/>
            <w:noWrap/>
            <w:vAlign w:val="bottom"/>
            <w:hideMark/>
          </w:tcPr>
          <w:p w14:paraId="65F8525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1FDB709F"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BA61FB8"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Nulidad notificación</w:t>
            </w:r>
          </w:p>
        </w:tc>
        <w:tc>
          <w:tcPr>
            <w:tcW w:w="837" w:type="pct"/>
            <w:tcBorders>
              <w:top w:val="nil"/>
              <w:left w:val="nil"/>
              <w:bottom w:val="single" w:sz="4" w:space="0" w:color="auto"/>
              <w:right w:val="single" w:sz="4" w:space="0" w:color="auto"/>
            </w:tcBorders>
            <w:shd w:val="clear" w:color="auto" w:fill="auto"/>
            <w:noWrap/>
            <w:vAlign w:val="bottom"/>
            <w:hideMark/>
          </w:tcPr>
          <w:p w14:paraId="5F1BCDC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w:t>
            </w:r>
          </w:p>
        </w:tc>
        <w:tc>
          <w:tcPr>
            <w:tcW w:w="1256" w:type="pct"/>
            <w:tcBorders>
              <w:top w:val="nil"/>
              <w:left w:val="nil"/>
              <w:bottom w:val="single" w:sz="4" w:space="0" w:color="auto"/>
              <w:right w:val="single" w:sz="4" w:space="0" w:color="auto"/>
            </w:tcBorders>
            <w:shd w:val="clear" w:color="auto" w:fill="auto"/>
            <w:noWrap/>
            <w:vAlign w:val="bottom"/>
            <w:hideMark/>
          </w:tcPr>
          <w:p w14:paraId="48B3414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1 semana</w:t>
            </w:r>
          </w:p>
        </w:tc>
      </w:tr>
      <w:tr w:rsidR="0001202E" w:rsidRPr="00C0062B" w14:paraId="47685AC7"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07C4FF7"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Remoción Curador</w:t>
            </w:r>
          </w:p>
        </w:tc>
        <w:tc>
          <w:tcPr>
            <w:tcW w:w="837" w:type="pct"/>
            <w:tcBorders>
              <w:top w:val="nil"/>
              <w:left w:val="nil"/>
              <w:bottom w:val="single" w:sz="4" w:space="0" w:color="auto"/>
              <w:right w:val="single" w:sz="4" w:space="0" w:color="auto"/>
            </w:tcBorders>
            <w:shd w:val="clear" w:color="auto" w:fill="auto"/>
            <w:noWrap/>
            <w:vAlign w:val="bottom"/>
            <w:hideMark/>
          </w:tcPr>
          <w:p w14:paraId="7C14862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256" w:type="pct"/>
            <w:tcBorders>
              <w:top w:val="nil"/>
              <w:left w:val="nil"/>
              <w:bottom w:val="single" w:sz="4" w:space="0" w:color="auto"/>
              <w:right w:val="single" w:sz="4" w:space="0" w:color="auto"/>
            </w:tcBorders>
            <w:shd w:val="clear" w:color="auto" w:fill="auto"/>
            <w:noWrap/>
            <w:vAlign w:val="bottom"/>
            <w:hideMark/>
          </w:tcPr>
          <w:p w14:paraId="3A6B74B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25824868"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96F7224"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Inc. Visitas</w:t>
            </w:r>
          </w:p>
        </w:tc>
        <w:tc>
          <w:tcPr>
            <w:tcW w:w="837" w:type="pct"/>
            <w:tcBorders>
              <w:top w:val="nil"/>
              <w:left w:val="nil"/>
              <w:bottom w:val="single" w:sz="4" w:space="0" w:color="auto"/>
              <w:right w:val="single" w:sz="4" w:space="0" w:color="auto"/>
            </w:tcBorders>
            <w:shd w:val="clear" w:color="auto" w:fill="auto"/>
            <w:noWrap/>
            <w:vAlign w:val="bottom"/>
            <w:hideMark/>
          </w:tcPr>
          <w:p w14:paraId="137A8D7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6</w:t>
            </w:r>
          </w:p>
        </w:tc>
        <w:tc>
          <w:tcPr>
            <w:tcW w:w="1256" w:type="pct"/>
            <w:tcBorders>
              <w:top w:val="nil"/>
              <w:left w:val="nil"/>
              <w:bottom w:val="single" w:sz="4" w:space="0" w:color="auto"/>
              <w:right w:val="single" w:sz="4" w:space="0" w:color="auto"/>
            </w:tcBorders>
            <w:shd w:val="clear" w:color="auto" w:fill="auto"/>
            <w:noWrap/>
            <w:vAlign w:val="bottom"/>
            <w:hideMark/>
          </w:tcPr>
          <w:p w14:paraId="5F93006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0 semanas</w:t>
            </w:r>
          </w:p>
        </w:tc>
      </w:tr>
      <w:tr w:rsidR="0001202E" w:rsidRPr="00C0062B" w14:paraId="4A78BEAA"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22075F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Interrelación Familiar (régimen de visitas)</w:t>
            </w:r>
          </w:p>
        </w:tc>
        <w:tc>
          <w:tcPr>
            <w:tcW w:w="837" w:type="pct"/>
            <w:tcBorders>
              <w:top w:val="nil"/>
              <w:left w:val="nil"/>
              <w:bottom w:val="single" w:sz="4" w:space="0" w:color="auto"/>
              <w:right w:val="single" w:sz="4" w:space="0" w:color="auto"/>
            </w:tcBorders>
            <w:shd w:val="clear" w:color="auto" w:fill="auto"/>
            <w:noWrap/>
            <w:vAlign w:val="bottom"/>
            <w:hideMark/>
          </w:tcPr>
          <w:p w14:paraId="025ADA8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146</w:t>
            </w:r>
          </w:p>
        </w:tc>
        <w:tc>
          <w:tcPr>
            <w:tcW w:w="1256" w:type="pct"/>
            <w:tcBorders>
              <w:top w:val="nil"/>
              <w:left w:val="nil"/>
              <w:bottom w:val="single" w:sz="4" w:space="0" w:color="auto"/>
              <w:right w:val="single" w:sz="4" w:space="0" w:color="auto"/>
            </w:tcBorders>
            <w:shd w:val="clear" w:color="auto" w:fill="auto"/>
            <w:noWrap/>
            <w:vAlign w:val="bottom"/>
            <w:hideMark/>
          </w:tcPr>
          <w:p w14:paraId="727D42C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79EC9239"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5376AD5"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Investigación de paternidad</w:t>
            </w:r>
          </w:p>
        </w:tc>
        <w:tc>
          <w:tcPr>
            <w:tcW w:w="837" w:type="pct"/>
            <w:tcBorders>
              <w:top w:val="nil"/>
              <w:left w:val="nil"/>
              <w:bottom w:val="single" w:sz="4" w:space="0" w:color="auto"/>
              <w:right w:val="single" w:sz="4" w:space="0" w:color="auto"/>
            </w:tcBorders>
            <w:shd w:val="clear" w:color="auto" w:fill="auto"/>
            <w:noWrap/>
            <w:vAlign w:val="bottom"/>
            <w:hideMark/>
          </w:tcPr>
          <w:p w14:paraId="0A0A3683"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29</w:t>
            </w:r>
          </w:p>
        </w:tc>
        <w:tc>
          <w:tcPr>
            <w:tcW w:w="1256" w:type="pct"/>
            <w:tcBorders>
              <w:top w:val="nil"/>
              <w:left w:val="nil"/>
              <w:bottom w:val="single" w:sz="4" w:space="0" w:color="auto"/>
              <w:right w:val="single" w:sz="4" w:space="0" w:color="auto"/>
            </w:tcBorders>
            <w:shd w:val="clear" w:color="auto" w:fill="auto"/>
            <w:noWrap/>
            <w:vAlign w:val="bottom"/>
            <w:hideMark/>
          </w:tcPr>
          <w:p w14:paraId="44D9FDD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3 semanas</w:t>
            </w:r>
          </w:p>
        </w:tc>
      </w:tr>
      <w:tr w:rsidR="0001202E" w:rsidRPr="00C0062B" w14:paraId="57FC8429" w14:textId="77777777" w:rsidTr="00C0062B">
        <w:trPr>
          <w:trHeight w:val="351"/>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3B2827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Nulidad de matrimonio</w:t>
            </w:r>
          </w:p>
        </w:tc>
        <w:tc>
          <w:tcPr>
            <w:tcW w:w="837" w:type="pct"/>
            <w:tcBorders>
              <w:top w:val="nil"/>
              <w:left w:val="nil"/>
              <w:bottom w:val="single" w:sz="4" w:space="0" w:color="auto"/>
              <w:right w:val="single" w:sz="4" w:space="0" w:color="auto"/>
            </w:tcBorders>
            <w:shd w:val="clear" w:color="auto" w:fill="auto"/>
            <w:noWrap/>
            <w:vAlign w:val="bottom"/>
            <w:hideMark/>
          </w:tcPr>
          <w:p w14:paraId="7244603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28</w:t>
            </w:r>
          </w:p>
        </w:tc>
        <w:tc>
          <w:tcPr>
            <w:tcW w:w="1256" w:type="pct"/>
            <w:tcBorders>
              <w:top w:val="nil"/>
              <w:left w:val="nil"/>
              <w:bottom w:val="single" w:sz="4" w:space="0" w:color="auto"/>
              <w:right w:val="single" w:sz="4" w:space="0" w:color="auto"/>
            </w:tcBorders>
            <w:shd w:val="clear" w:color="auto" w:fill="auto"/>
            <w:noWrap/>
            <w:vAlign w:val="bottom"/>
            <w:hideMark/>
          </w:tcPr>
          <w:p w14:paraId="442B9B9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630EE097"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D66FB5B"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w:t>
            </w:r>
          </w:p>
        </w:tc>
        <w:tc>
          <w:tcPr>
            <w:tcW w:w="837" w:type="pct"/>
            <w:tcBorders>
              <w:top w:val="nil"/>
              <w:left w:val="nil"/>
              <w:bottom w:val="single" w:sz="4" w:space="0" w:color="auto"/>
              <w:right w:val="single" w:sz="4" w:space="0" w:color="auto"/>
            </w:tcBorders>
            <w:shd w:val="clear" w:color="auto" w:fill="auto"/>
            <w:noWrap/>
            <w:vAlign w:val="bottom"/>
            <w:hideMark/>
          </w:tcPr>
          <w:p w14:paraId="42C5791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85</w:t>
            </w:r>
          </w:p>
        </w:tc>
        <w:tc>
          <w:tcPr>
            <w:tcW w:w="1256" w:type="pct"/>
            <w:tcBorders>
              <w:top w:val="nil"/>
              <w:left w:val="nil"/>
              <w:bottom w:val="single" w:sz="4" w:space="0" w:color="auto"/>
              <w:right w:val="single" w:sz="4" w:space="0" w:color="auto"/>
            </w:tcBorders>
            <w:shd w:val="clear" w:color="auto" w:fill="auto"/>
            <w:noWrap/>
            <w:vAlign w:val="bottom"/>
            <w:hideMark/>
          </w:tcPr>
          <w:p w14:paraId="2CC37FE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1 semana</w:t>
            </w:r>
          </w:p>
        </w:tc>
      </w:tr>
      <w:tr w:rsidR="0001202E" w:rsidRPr="00C0062B" w14:paraId="6A54C8FB" w14:textId="77777777" w:rsidTr="00035934">
        <w:trPr>
          <w:trHeight w:val="620"/>
        </w:trPr>
        <w:tc>
          <w:tcPr>
            <w:tcW w:w="2907" w:type="pct"/>
            <w:tcBorders>
              <w:top w:val="nil"/>
              <w:left w:val="single" w:sz="4" w:space="0" w:color="auto"/>
              <w:bottom w:val="single" w:sz="4" w:space="0" w:color="auto"/>
              <w:right w:val="single" w:sz="4" w:space="0" w:color="auto"/>
            </w:tcBorders>
            <w:shd w:val="clear" w:color="auto" w:fill="auto"/>
            <w:vAlign w:val="bottom"/>
            <w:hideMark/>
          </w:tcPr>
          <w:p w14:paraId="4CCADD9E"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 de liquidación anticipada de bienes gananciales</w:t>
            </w:r>
          </w:p>
        </w:tc>
        <w:tc>
          <w:tcPr>
            <w:tcW w:w="837" w:type="pct"/>
            <w:tcBorders>
              <w:top w:val="nil"/>
              <w:left w:val="nil"/>
              <w:bottom w:val="single" w:sz="4" w:space="0" w:color="auto"/>
              <w:right w:val="single" w:sz="4" w:space="0" w:color="auto"/>
            </w:tcBorders>
            <w:shd w:val="clear" w:color="auto" w:fill="auto"/>
            <w:noWrap/>
            <w:vAlign w:val="bottom"/>
            <w:hideMark/>
          </w:tcPr>
          <w:p w14:paraId="1DA4CB4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34</w:t>
            </w:r>
          </w:p>
        </w:tc>
        <w:tc>
          <w:tcPr>
            <w:tcW w:w="1256" w:type="pct"/>
            <w:tcBorders>
              <w:top w:val="nil"/>
              <w:left w:val="nil"/>
              <w:bottom w:val="single" w:sz="4" w:space="0" w:color="auto"/>
              <w:right w:val="single" w:sz="4" w:space="0" w:color="auto"/>
            </w:tcBorders>
            <w:shd w:val="clear" w:color="auto" w:fill="auto"/>
            <w:noWrap/>
            <w:vAlign w:val="bottom"/>
            <w:hideMark/>
          </w:tcPr>
          <w:p w14:paraId="5617CE5E"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3 semanas</w:t>
            </w:r>
          </w:p>
        </w:tc>
      </w:tr>
      <w:tr w:rsidR="0001202E" w:rsidRPr="00C0062B" w14:paraId="0A746403" w14:textId="77777777" w:rsidTr="00C0062B">
        <w:trPr>
          <w:trHeight w:val="312"/>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1AF4769"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Ordinario Nulidad de venta</w:t>
            </w:r>
          </w:p>
        </w:tc>
        <w:tc>
          <w:tcPr>
            <w:tcW w:w="837" w:type="pct"/>
            <w:tcBorders>
              <w:top w:val="nil"/>
              <w:left w:val="nil"/>
              <w:bottom w:val="single" w:sz="4" w:space="0" w:color="auto"/>
              <w:right w:val="single" w:sz="4" w:space="0" w:color="auto"/>
            </w:tcBorders>
            <w:shd w:val="clear" w:color="auto" w:fill="auto"/>
            <w:noWrap/>
            <w:vAlign w:val="bottom"/>
            <w:hideMark/>
          </w:tcPr>
          <w:p w14:paraId="4C53552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 </w:t>
            </w:r>
          </w:p>
        </w:tc>
        <w:tc>
          <w:tcPr>
            <w:tcW w:w="1256" w:type="pct"/>
            <w:tcBorders>
              <w:top w:val="nil"/>
              <w:left w:val="nil"/>
              <w:bottom w:val="single" w:sz="4" w:space="0" w:color="auto"/>
              <w:right w:val="single" w:sz="4" w:space="0" w:color="auto"/>
            </w:tcBorders>
            <w:shd w:val="clear" w:color="auto" w:fill="auto"/>
            <w:noWrap/>
            <w:vAlign w:val="bottom"/>
            <w:hideMark/>
          </w:tcPr>
          <w:p w14:paraId="33F649A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 </w:t>
            </w:r>
          </w:p>
        </w:tc>
      </w:tr>
      <w:tr w:rsidR="0001202E" w:rsidRPr="00C0062B" w14:paraId="1AE1A874"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2E2D807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Proceso especial protección</w:t>
            </w:r>
          </w:p>
        </w:tc>
        <w:tc>
          <w:tcPr>
            <w:tcW w:w="837" w:type="pct"/>
            <w:tcBorders>
              <w:top w:val="nil"/>
              <w:left w:val="nil"/>
              <w:bottom w:val="single" w:sz="4" w:space="0" w:color="auto"/>
              <w:right w:val="single" w:sz="4" w:space="0" w:color="auto"/>
            </w:tcBorders>
            <w:shd w:val="clear" w:color="auto" w:fill="auto"/>
            <w:noWrap/>
            <w:vAlign w:val="bottom"/>
            <w:hideMark/>
          </w:tcPr>
          <w:p w14:paraId="22A6F422"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5</w:t>
            </w:r>
          </w:p>
        </w:tc>
        <w:tc>
          <w:tcPr>
            <w:tcW w:w="1256" w:type="pct"/>
            <w:tcBorders>
              <w:top w:val="nil"/>
              <w:left w:val="nil"/>
              <w:bottom w:val="single" w:sz="4" w:space="0" w:color="auto"/>
              <w:right w:val="single" w:sz="4" w:space="0" w:color="auto"/>
            </w:tcBorders>
            <w:shd w:val="clear" w:color="auto" w:fill="auto"/>
            <w:noWrap/>
            <w:vAlign w:val="bottom"/>
            <w:hideMark/>
          </w:tcPr>
          <w:p w14:paraId="79F0831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5B20A780" w14:textId="77777777" w:rsidTr="00C0062B">
        <w:trPr>
          <w:trHeight w:val="353"/>
        </w:trPr>
        <w:tc>
          <w:tcPr>
            <w:tcW w:w="2907" w:type="pct"/>
            <w:tcBorders>
              <w:top w:val="nil"/>
              <w:left w:val="single" w:sz="4" w:space="0" w:color="auto"/>
              <w:bottom w:val="single" w:sz="4" w:space="0" w:color="auto"/>
              <w:right w:val="single" w:sz="4" w:space="0" w:color="auto"/>
            </w:tcBorders>
            <w:shd w:val="clear" w:color="000000" w:fill="FFFFFF"/>
            <w:vAlign w:val="bottom"/>
            <w:hideMark/>
          </w:tcPr>
          <w:p w14:paraId="5E082C4D"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Reconocimiento de hijo mujer casada oposición</w:t>
            </w:r>
          </w:p>
        </w:tc>
        <w:tc>
          <w:tcPr>
            <w:tcW w:w="837" w:type="pct"/>
            <w:tcBorders>
              <w:top w:val="nil"/>
              <w:left w:val="nil"/>
              <w:bottom w:val="single" w:sz="4" w:space="0" w:color="auto"/>
              <w:right w:val="single" w:sz="4" w:space="0" w:color="auto"/>
            </w:tcBorders>
            <w:shd w:val="clear" w:color="auto" w:fill="auto"/>
            <w:noWrap/>
            <w:vAlign w:val="bottom"/>
            <w:hideMark/>
          </w:tcPr>
          <w:p w14:paraId="7A986EB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9</w:t>
            </w:r>
          </w:p>
        </w:tc>
        <w:tc>
          <w:tcPr>
            <w:tcW w:w="1256" w:type="pct"/>
            <w:tcBorders>
              <w:top w:val="nil"/>
              <w:left w:val="nil"/>
              <w:bottom w:val="single" w:sz="4" w:space="0" w:color="auto"/>
              <w:right w:val="single" w:sz="4" w:space="0" w:color="auto"/>
            </w:tcBorders>
            <w:shd w:val="clear" w:color="auto" w:fill="auto"/>
            <w:noWrap/>
            <w:vAlign w:val="bottom"/>
            <w:hideMark/>
          </w:tcPr>
          <w:p w14:paraId="44DC868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2D5F99D1"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EC6D2E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Reconocimiento unión de hecho</w:t>
            </w:r>
          </w:p>
        </w:tc>
        <w:tc>
          <w:tcPr>
            <w:tcW w:w="837" w:type="pct"/>
            <w:tcBorders>
              <w:top w:val="nil"/>
              <w:left w:val="nil"/>
              <w:bottom w:val="single" w:sz="4" w:space="0" w:color="auto"/>
              <w:right w:val="single" w:sz="4" w:space="0" w:color="auto"/>
            </w:tcBorders>
            <w:shd w:val="clear" w:color="auto" w:fill="auto"/>
            <w:noWrap/>
            <w:vAlign w:val="bottom"/>
            <w:hideMark/>
          </w:tcPr>
          <w:p w14:paraId="7C950BD4"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117</w:t>
            </w:r>
          </w:p>
        </w:tc>
        <w:tc>
          <w:tcPr>
            <w:tcW w:w="1256" w:type="pct"/>
            <w:tcBorders>
              <w:top w:val="nil"/>
              <w:left w:val="nil"/>
              <w:bottom w:val="single" w:sz="4" w:space="0" w:color="auto"/>
              <w:right w:val="single" w:sz="4" w:space="0" w:color="auto"/>
            </w:tcBorders>
            <w:shd w:val="clear" w:color="auto" w:fill="auto"/>
            <w:noWrap/>
            <w:vAlign w:val="bottom"/>
            <w:hideMark/>
          </w:tcPr>
          <w:p w14:paraId="7CF3BB2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0 semanas</w:t>
            </w:r>
          </w:p>
        </w:tc>
      </w:tr>
      <w:tr w:rsidR="0001202E" w:rsidRPr="00C0062B" w14:paraId="7D6A1C1B" w14:textId="77777777" w:rsidTr="00C0062B">
        <w:trPr>
          <w:trHeight w:val="378"/>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479CA7E3"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Responsabilidad civil</w:t>
            </w:r>
          </w:p>
        </w:tc>
        <w:tc>
          <w:tcPr>
            <w:tcW w:w="837" w:type="pct"/>
            <w:tcBorders>
              <w:top w:val="nil"/>
              <w:left w:val="nil"/>
              <w:bottom w:val="single" w:sz="4" w:space="0" w:color="auto"/>
              <w:right w:val="single" w:sz="4" w:space="0" w:color="auto"/>
            </w:tcBorders>
            <w:shd w:val="clear" w:color="auto" w:fill="auto"/>
            <w:noWrap/>
            <w:vAlign w:val="bottom"/>
            <w:hideMark/>
          </w:tcPr>
          <w:p w14:paraId="5FE19BCF"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256" w:type="pct"/>
            <w:tcBorders>
              <w:top w:val="nil"/>
              <w:left w:val="nil"/>
              <w:bottom w:val="single" w:sz="4" w:space="0" w:color="auto"/>
              <w:right w:val="single" w:sz="4" w:space="0" w:color="auto"/>
            </w:tcBorders>
            <w:shd w:val="clear" w:color="auto" w:fill="auto"/>
            <w:noWrap/>
            <w:vAlign w:val="bottom"/>
            <w:hideMark/>
          </w:tcPr>
          <w:p w14:paraId="6D234710"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0 semanas</w:t>
            </w:r>
          </w:p>
        </w:tc>
      </w:tr>
      <w:tr w:rsidR="0001202E" w:rsidRPr="00C0062B" w14:paraId="753D80C6" w14:textId="77777777" w:rsidTr="00062792">
        <w:trPr>
          <w:trHeight w:val="310"/>
        </w:trPr>
        <w:tc>
          <w:tcPr>
            <w:tcW w:w="2907" w:type="pct"/>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6AC53C34"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Restitución internacional de menores</w:t>
            </w:r>
          </w:p>
        </w:tc>
        <w:tc>
          <w:tcPr>
            <w:tcW w:w="837" w:type="pct"/>
            <w:tcBorders>
              <w:top w:val="nil"/>
              <w:left w:val="nil"/>
              <w:bottom w:val="single" w:sz="4" w:space="0" w:color="auto"/>
              <w:right w:val="single" w:sz="4" w:space="0" w:color="auto"/>
            </w:tcBorders>
            <w:shd w:val="clear" w:color="auto" w:fill="E2EFD9" w:themeFill="accent6" w:themeFillTint="33"/>
            <w:noWrap/>
            <w:vAlign w:val="bottom"/>
            <w:hideMark/>
          </w:tcPr>
          <w:p w14:paraId="2BA3959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23</w:t>
            </w:r>
          </w:p>
        </w:tc>
        <w:tc>
          <w:tcPr>
            <w:tcW w:w="1256" w:type="pct"/>
            <w:tcBorders>
              <w:top w:val="nil"/>
              <w:left w:val="nil"/>
              <w:bottom w:val="single" w:sz="4" w:space="0" w:color="auto"/>
              <w:right w:val="single" w:sz="4" w:space="0" w:color="auto"/>
            </w:tcBorders>
            <w:shd w:val="clear" w:color="auto" w:fill="E2EFD9" w:themeFill="accent6" w:themeFillTint="33"/>
            <w:noWrap/>
            <w:vAlign w:val="bottom"/>
            <w:hideMark/>
          </w:tcPr>
          <w:p w14:paraId="3DAEC80D"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1215F34D"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38214E7"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Salvaguardia</w:t>
            </w:r>
          </w:p>
        </w:tc>
        <w:tc>
          <w:tcPr>
            <w:tcW w:w="837" w:type="pct"/>
            <w:tcBorders>
              <w:top w:val="nil"/>
              <w:left w:val="nil"/>
              <w:bottom w:val="single" w:sz="4" w:space="0" w:color="auto"/>
              <w:right w:val="single" w:sz="4" w:space="0" w:color="auto"/>
            </w:tcBorders>
            <w:shd w:val="clear" w:color="auto" w:fill="auto"/>
            <w:noWrap/>
            <w:vAlign w:val="bottom"/>
            <w:hideMark/>
          </w:tcPr>
          <w:p w14:paraId="4068CE31"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34</w:t>
            </w:r>
          </w:p>
        </w:tc>
        <w:tc>
          <w:tcPr>
            <w:tcW w:w="1256" w:type="pct"/>
            <w:tcBorders>
              <w:top w:val="nil"/>
              <w:left w:val="nil"/>
              <w:bottom w:val="single" w:sz="4" w:space="0" w:color="auto"/>
              <w:right w:val="single" w:sz="4" w:space="0" w:color="auto"/>
            </w:tcBorders>
            <w:shd w:val="clear" w:color="auto" w:fill="auto"/>
            <w:noWrap/>
            <w:vAlign w:val="bottom"/>
            <w:hideMark/>
          </w:tcPr>
          <w:p w14:paraId="0FBAF35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4 meses 0 semanas</w:t>
            </w:r>
          </w:p>
        </w:tc>
      </w:tr>
      <w:tr w:rsidR="0001202E" w:rsidRPr="00C0062B" w14:paraId="7858840E"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6F238844"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Separación judicial por mutuo consentimiento</w:t>
            </w:r>
          </w:p>
        </w:tc>
        <w:tc>
          <w:tcPr>
            <w:tcW w:w="837" w:type="pct"/>
            <w:tcBorders>
              <w:top w:val="nil"/>
              <w:left w:val="nil"/>
              <w:bottom w:val="single" w:sz="4" w:space="0" w:color="auto"/>
              <w:right w:val="single" w:sz="4" w:space="0" w:color="auto"/>
            </w:tcBorders>
            <w:shd w:val="clear" w:color="auto" w:fill="auto"/>
            <w:noWrap/>
            <w:vAlign w:val="bottom"/>
            <w:hideMark/>
          </w:tcPr>
          <w:p w14:paraId="412F9AD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24</w:t>
            </w:r>
          </w:p>
        </w:tc>
        <w:tc>
          <w:tcPr>
            <w:tcW w:w="1256" w:type="pct"/>
            <w:tcBorders>
              <w:top w:val="nil"/>
              <w:left w:val="nil"/>
              <w:bottom w:val="single" w:sz="4" w:space="0" w:color="auto"/>
              <w:right w:val="single" w:sz="4" w:space="0" w:color="auto"/>
            </w:tcBorders>
            <w:shd w:val="clear" w:color="auto" w:fill="auto"/>
            <w:noWrap/>
            <w:vAlign w:val="bottom"/>
            <w:hideMark/>
          </w:tcPr>
          <w:p w14:paraId="5A548AAA"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3 semanas</w:t>
            </w:r>
          </w:p>
        </w:tc>
      </w:tr>
      <w:tr w:rsidR="0001202E" w:rsidRPr="00C0062B" w14:paraId="3D0887A9"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76CF074A"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Suspensión Patria Potestad</w:t>
            </w:r>
          </w:p>
        </w:tc>
        <w:tc>
          <w:tcPr>
            <w:tcW w:w="837" w:type="pct"/>
            <w:tcBorders>
              <w:top w:val="nil"/>
              <w:left w:val="nil"/>
              <w:bottom w:val="single" w:sz="4" w:space="0" w:color="auto"/>
              <w:right w:val="single" w:sz="4" w:space="0" w:color="auto"/>
            </w:tcBorders>
            <w:shd w:val="clear" w:color="auto" w:fill="auto"/>
            <w:noWrap/>
            <w:vAlign w:val="bottom"/>
            <w:hideMark/>
          </w:tcPr>
          <w:p w14:paraId="7F57ABF9"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28</w:t>
            </w:r>
          </w:p>
        </w:tc>
        <w:tc>
          <w:tcPr>
            <w:tcW w:w="1256" w:type="pct"/>
            <w:tcBorders>
              <w:top w:val="nil"/>
              <w:left w:val="nil"/>
              <w:bottom w:val="single" w:sz="4" w:space="0" w:color="auto"/>
              <w:right w:val="single" w:sz="4" w:space="0" w:color="auto"/>
            </w:tcBorders>
            <w:shd w:val="clear" w:color="auto" w:fill="auto"/>
            <w:noWrap/>
            <w:vAlign w:val="bottom"/>
            <w:hideMark/>
          </w:tcPr>
          <w:p w14:paraId="616D66AB"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3 meses 2 semanas</w:t>
            </w:r>
          </w:p>
        </w:tc>
      </w:tr>
      <w:tr w:rsidR="0001202E" w:rsidRPr="00C0062B" w14:paraId="523BEB0F"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0B493A8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Tutela institucional</w:t>
            </w:r>
          </w:p>
        </w:tc>
        <w:tc>
          <w:tcPr>
            <w:tcW w:w="837" w:type="pct"/>
            <w:tcBorders>
              <w:top w:val="nil"/>
              <w:left w:val="nil"/>
              <w:bottom w:val="single" w:sz="4" w:space="0" w:color="auto"/>
              <w:right w:val="single" w:sz="4" w:space="0" w:color="auto"/>
            </w:tcBorders>
            <w:shd w:val="clear" w:color="auto" w:fill="auto"/>
            <w:noWrap/>
            <w:vAlign w:val="bottom"/>
            <w:hideMark/>
          </w:tcPr>
          <w:p w14:paraId="13584376"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w:t>
            </w:r>
          </w:p>
        </w:tc>
        <w:tc>
          <w:tcPr>
            <w:tcW w:w="1256" w:type="pct"/>
            <w:tcBorders>
              <w:top w:val="nil"/>
              <w:left w:val="nil"/>
              <w:bottom w:val="single" w:sz="4" w:space="0" w:color="auto"/>
              <w:right w:val="single" w:sz="4" w:space="0" w:color="auto"/>
            </w:tcBorders>
            <w:shd w:val="clear" w:color="auto" w:fill="auto"/>
            <w:noWrap/>
            <w:vAlign w:val="bottom"/>
            <w:hideMark/>
          </w:tcPr>
          <w:p w14:paraId="3C20D298"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 mes 3 semanas</w:t>
            </w:r>
          </w:p>
        </w:tc>
      </w:tr>
      <w:tr w:rsidR="0001202E" w:rsidRPr="00C0062B" w14:paraId="30323EF2" w14:textId="77777777" w:rsidTr="00035934">
        <w:trPr>
          <w:trHeight w:val="31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5FB5701F" w14:textId="77777777" w:rsidR="0001202E" w:rsidRPr="00C0062B" w:rsidRDefault="0001202E" w:rsidP="00C0062B">
            <w:pPr>
              <w:spacing w:after="0" w:line="276" w:lineRule="auto"/>
              <w:jc w:val="both"/>
              <w:rPr>
                <w:rFonts w:ascii="Book Antiqua" w:eastAsia="Times New Roman" w:hAnsi="Book Antiqua" w:cs="Calibri"/>
                <w:lang w:eastAsia="es-CR"/>
              </w:rPr>
            </w:pPr>
            <w:r w:rsidRPr="00C0062B">
              <w:rPr>
                <w:rFonts w:ascii="Book Antiqua" w:eastAsia="Times New Roman" w:hAnsi="Book Antiqua" w:cs="Calibri"/>
                <w:lang w:eastAsia="es-CR"/>
              </w:rPr>
              <w:t>Utilidad y necesidad</w:t>
            </w:r>
          </w:p>
        </w:tc>
        <w:tc>
          <w:tcPr>
            <w:tcW w:w="837" w:type="pct"/>
            <w:tcBorders>
              <w:top w:val="nil"/>
              <w:left w:val="nil"/>
              <w:bottom w:val="single" w:sz="4" w:space="0" w:color="auto"/>
              <w:right w:val="single" w:sz="4" w:space="0" w:color="auto"/>
            </w:tcBorders>
            <w:shd w:val="clear" w:color="auto" w:fill="auto"/>
            <w:noWrap/>
            <w:vAlign w:val="bottom"/>
            <w:hideMark/>
          </w:tcPr>
          <w:p w14:paraId="4E9B2EA7"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13</w:t>
            </w:r>
          </w:p>
        </w:tc>
        <w:tc>
          <w:tcPr>
            <w:tcW w:w="1256" w:type="pct"/>
            <w:tcBorders>
              <w:top w:val="nil"/>
              <w:left w:val="nil"/>
              <w:bottom w:val="single" w:sz="4" w:space="0" w:color="auto"/>
              <w:right w:val="single" w:sz="4" w:space="0" w:color="auto"/>
            </w:tcBorders>
            <w:shd w:val="clear" w:color="auto" w:fill="auto"/>
            <w:noWrap/>
            <w:vAlign w:val="bottom"/>
            <w:hideMark/>
          </w:tcPr>
          <w:p w14:paraId="32598AE5" w14:textId="77777777" w:rsidR="0001202E" w:rsidRPr="00C0062B" w:rsidRDefault="0001202E" w:rsidP="00C0062B">
            <w:pPr>
              <w:spacing w:after="0" w:line="276" w:lineRule="auto"/>
              <w:jc w:val="center"/>
              <w:rPr>
                <w:rFonts w:ascii="Book Antiqua" w:eastAsia="Times New Roman" w:hAnsi="Book Antiqua" w:cs="Calibri"/>
                <w:lang w:eastAsia="es-CR"/>
              </w:rPr>
            </w:pPr>
            <w:r w:rsidRPr="00C0062B">
              <w:rPr>
                <w:rFonts w:ascii="Book Antiqua" w:eastAsia="Times New Roman" w:hAnsi="Book Antiqua" w:cs="Calibri"/>
                <w:lang w:eastAsia="es-CR"/>
              </w:rPr>
              <w:t>2 meses 1 semana</w:t>
            </w:r>
          </w:p>
        </w:tc>
      </w:tr>
      <w:tr w:rsidR="0001202E" w:rsidRPr="00C0062B" w14:paraId="3D4540DC" w14:textId="77777777" w:rsidTr="00035934">
        <w:trPr>
          <w:trHeight w:val="290"/>
        </w:trPr>
        <w:tc>
          <w:tcPr>
            <w:tcW w:w="2907" w:type="pct"/>
            <w:tcBorders>
              <w:top w:val="nil"/>
              <w:left w:val="single" w:sz="4" w:space="0" w:color="auto"/>
              <w:bottom w:val="single" w:sz="4" w:space="0" w:color="auto"/>
              <w:right w:val="single" w:sz="4" w:space="0" w:color="auto"/>
            </w:tcBorders>
            <w:shd w:val="clear" w:color="auto" w:fill="auto"/>
            <w:noWrap/>
            <w:vAlign w:val="bottom"/>
            <w:hideMark/>
          </w:tcPr>
          <w:p w14:paraId="12A595E5" w14:textId="77777777" w:rsidR="0001202E" w:rsidRPr="00C0062B" w:rsidRDefault="0001202E" w:rsidP="00C0062B">
            <w:pPr>
              <w:spacing w:after="0" w:line="276" w:lineRule="auto"/>
              <w:jc w:val="both"/>
              <w:rPr>
                <w:rFonts w:ascii="Book Antiqua" w:eastAsia="Times New Roman" w:hAnsi="Book Antiqua" w:cs="Calibri"/>
                <w:b/>
                <w:bCs/>
                <w:color w:val="000000"/>
                <w:lang w:eastAsia="es-CR"/>
              </w:rPr>
            </w:pPr>
            <w:r w:rsidRPr="00C0062B">
              <w:rPr>
                <w:rFonts w:ascii="Book Antiqua" w:eastAsia="Times New Roman" w:hAnsi="Book Antiqua" w:cs="Calibri"/>
                <w:b/>
                <w:bCs/>
                <w:color w:val="000000"/>
                <w:lang w:eastAsia="es-CR"/>
              </w:rPr>
              <w:t>Total</w:t>
            </w:r>
          </w:p>
        </w:tc>
        <w:tc>
          <w:tcPr>
            <w:tcW w:w="837" w:type="pct"/>
            <w:tcBorders>
              <w:top w:val="nil"/>
              <w:left w:val="nil"/>
              <w:bottom w:val="single" w:sz="4" w:space="0" w:color="auto"/>
              <w:right w:val="single" w:sz="4" w:space="0" w:color="auto"/>
            </w:tcBorders>
            <w:shd w:val="clear" w:color="auto" w:fill="auto"/>
            <w:noWrap/>
            <w:vAlign w:val="bottom"/>
            <w:hideMark/>
          </w:tcPr>
          <w:p w14:paraId="75742CB5" w14:textId="77777777" w:rsidR="0001202E" w:rsidRPr="00C0062B" w:rsidRDefault="0001202E" w:rsidP="00C0062B">
            <w:pPr>
              <w:spacing w:after="0" w:line="276" w:lineRule="auto"/>
              <w:jc w:val="center"/>
              <w:rPr>
                <w:rFonts w:ascii="Book Antiqua" w:eastAsia="Times New Roman" w:hAnsi="Book Antiqua" w:cs="Calibri"/>
                <w:b/>
                <w:bCs/>
                <w:color w:val="000000"/>
                <w:lang w:eastAsia="es-CR"/>
              </w:rPr>
            </w:pPr>
            <w:r w:rsidRPr="00C0062B">
              <w:rPr>
                <w:rFonts w:ascii="Book Antiqua" w:eastAsia="Times New Roman" w:hAnsi="Book Antiqua" w:cs="Calibri"/>
                <w:b/>
                <w:bCs/>
                <w:color w:val="000000"/>
                <w:lang w:eastAsia="es-CR"/>
              </w:rPr>
              <w:t>1181</w:t>
            </w:r>
          </w:p>
        </w:tc>
        <w:tc>
          <w:tcPr>
            <w:tcW w:w="1256" w:type="pct"/>
            <w:tcBorders>
              <w:top w:val="nil"/>
              <w:left w:val="nil"/>
              <w:bottom w:val="single" w:sz="4" w:space="0" w:color="auto"/>
              <w:right w:val="single" w:sz="4" w:space="0" w:color="auto"/>
            </w:tcBorders>
            <w:shd w:val="clear" w:color="auto" w:fill="auto"/>
            <w:noWrap/>
            <w:vAlign w:val="bottom"/>
            <w:hideMark/>
          </w:tcPr>
          <w:p w14:paraId="04E416A4" w14:textId="793A5C18" w:rsidR="0001202E" w:rsidRPr="00C0062B" w:rsidRDefault="00C0062B" w:rsidP="00C0062B">
            <w:pPr>
              <w:spacing w:after="0" w:line="276" w:lineRule="auto"/>
              <w:jc w:val="center"/>
              <w:rPr>
                <w:rFonts w:ascii="Book Antiqua" w:eastAsia="Times New Roman" w:hAnsi="Book Antiqua" w:cs="Calibri"/>
                <w:b/>
                <w:bCs/>
                <w:color w:val="000000"/>
                <w:lang w:eastAsia="es-CR"/>
              </w:rPr>
            </w:pPr>
            <w:r>
              <w:rPr>
                <w:rFonts w:ascii="Book Antiqua" w:eastAsia="Times New Roman" w:hAnsi="Book Antiqua" w:cs="Calibri"/>
                <w:b/>
                <w:bCs/>
                <w:color w:val="000000"/>
                <w:lang w:eastAsia="es-CR"/>
              </w:rPr>
              <w:t xml:space="preserve">Promedio </w:t>
            </w:r>
            <w:r w:rsidR="0001202E" w:rsidRPr="00C0062B">
              <w:rPr>
                <w:rFonts w:ascii="Book Antiqua" w:eastAsia="Times New Roman" w:hAnsi="Book Antiqua" w:cs="Calibri"/>
                <w:b/>
                <w:bCs/>
                <w:color w:val="000000"/>
                <w:lang w:eastAsia="es-CR"/>
              </w:rPr>
              <w:t>3 meses o semanas</w:t>
            </w:r>
          </w:p>
        </w:tc>
      </w:tr>
    </w:tbl>
    <w:p w14:paraId="24D60301" w14:textId="77777777" w:rsidR="0001202E" w:rsidRDefault="0001202E" w:rsidP="0001202E">
      <w:pPr>
        <w:spacing w:line="276" w:lineRule="auto"/>
        <w:jc w:val="both"/>
        <w:rPr>
          <w:rFonts w:ascii="Book Antiqua" w:hAnsi="Book Antiqua"/>
          <w:i/>
          <w:iCs/>
          <w:sz w:val="20"/>
          <w:szCs w:val="20"/>
        </w:rPr>
      </w:pPr>
      <w:r w:rsidRPr="00632CF0">
        <w:rPr>
          <w:rFonts w:ascii="Book Antiqua" w:hAnsi="Book Antiqua"/>
          <w:i/>
          <w:iCs/>
          <w:sz w:val="20"/>
          <w:szCs w:val="20"/>
        </w:rPr>
        <w:t>Fuente: Modernización Institucional con datos del Subproceso de Estadística.</w:t>
      </w:r>
    </w:p>
    <w:p w14:paraId="413DF0FD" w14:textId="00C2F84B" w:rsidR="0001202E" w:rsidRDefault="0001202E" w:rsidP="0001202E">
      <w:pPr>
        <w:spacing w:line="276" w:lineRule="auto"/>
        <w:jc w:val="both"/>
        <w:rPr>
          <w:rFonts w:ascii="Book Antiqua" w:hAnsi="Book Antiqua"/>
          <w:sz w:val="24"/>
          <w:szCs w:val="24"/>
        </w:rPr>
      </w:pPr>
    </w:p>
    <w:p w14:paraId="52BBFCF5" w14:textId="77777777" w:rsidR="008456A9" w:rsidRPr="00632CF0" w:rsidRDefault="008456A9" w:rsidP="0001202E">
      <w:pPr>
        <w:spacing w:line="276" w:lineRule="auto"/>
        <w:jc w:val="both"/>
        <w:rPr>
          <w:rFonts w:ascii="Book Antiqua" w:hAnsi="Book Antiqua"/>
          <w:sz w:val="24"/>
          <w:szCs w:val="24"/>
        </w:rPr>
      </w:pPr>
    </w:p>
    <w:p w14:paraId="2CCAF2B8" w14:textId="4A8BF49B" w:rsidR="00035CF6" w:rsidRPr="008456A9" w:rsidRDefault="00035CF6"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lastRenderedPageBreak/>
        <w:t>Modelo de sostenibilidad y seguimiento-Tribunal de Familia</w:t>
      </w:r>
    </w:p>
    <w:p w14:paraId="1BC015C3" w14:textId="77777777" w:rsidR="008456A9" w:rsidRDefault="008456A9" w:rsidP="00A636FA">
      <w:pPr>
        <w:spacing w:after="0" w:line="276" w:lineRule="auto"/>
        <w:jc w:val="both"/>
        <w:rPr>
          <w:rFonts w:ascii="Book Antiqua" w:eastAsia="Calibri" w:hAnsi="Book Antiqua" w:cs="Arial"/>
          <w:sz w:val="24"/>
          <w:szCs w:val="24"/>
        </w:rPr>
      </w:pPr>
    </w:p>
    <w:p w14:paraId="5AF731E3" w14:textId="10E42730" w:rsidR="00A636FA" w:rsidRPr="00A636FA" w:rsidRDefault="00A636FA" w:rsidP="00A636FA">
      <w:pPr>
        <w:spacing w:after="0" w:line="276" w:lineRule="auto"/>
        <w:jc w:val="both"/>
        <w:rPr>
          <w:rFonts w:ascii="Book Antiqua" w:eastAsia="Calibri" w:hAnsi="Book Antiqua" w:cs="Arial"/>
          <w:sz w:val="24"/>
          <w:szCs w:val="24"/>
        </w:rPr>
      </w:pPr>
      <w:r w:rsidRPr="00A636FA">
        <w:rPr>
          <w:rFonts w:ascii="Book Antiqua" w:eastAsia="Calibri" w:hAnsi="Book Antiqua" w:cs="Arial"/>
          <w:sz w:val="24"/>
          <w:szCs w:val="24"/>
        </w:rPr>
        <w:t>Con la finalidad de brindar seguimiento al desempeño de</w:t>
      </w:r>
      <w:r w:rsidR="00A36E87">
        <w:rPr>
          <w:rFonts w:ascii="Book Antiqua" w:eastAsia="Calibri" w:hAnsi="Book Antiqua" w:cs="Arial"/>
          <w:sz w:val="24"/>
          <w:szCs w:val="24"/>
        </w:rPr>
        <w:t>l</w:t>
      </w:r>
      <w:r w:rsidRPr="00A636FA">
        <w:rPr>
          <w:rFonts w:ascii="Book Antiqua" w:eastAsia="Calibri" w:hAnsi="Book Antiqua" w:cs="Arial"/>
          <w:sz w:val="24"/>
          <w:szCs w:val="24"/>
        </w:rPr>
        <w:t xml:space="preserve"> Tribunal de Familia, como parte del Modelo de Sostenibilidad y Seguimiento implantado en la Jurisdicción y del acatamiento de las recomendaciones de la Contraloría General de la República para esta Jurisdicción, en 2020 se implantó el modelo en el Tribunal al que también se le diseñaron los respectivos indicadores de gestión:</w:t>
      </w:r>
    </w:p>
    <w:p w14:paraId="29D19C7B" w14:textId="77777777" w:rsidR="00A36E87" w:rsidRDefault="00A36E87" w:rsidP="00A636FA">
      <w:pPr>
        <w:spacing w:after="0" w:line="276" w:lineRule="auto"/>
        <w:jc w:val="both"/>
        <w:rPr>
          <w:rFonts w:ascii="Book Antiqua" w:eastAsia="Calibri" w:hAnsi="Book Antiqua" w:cs="Arial"/>
          <w:sz w:val="24"/>
          <w:szCs w:val="24"/>
        </w:rPr>
      </w:pPr>
    </w:p>
    <w:p w14:paraId="2A785BD1" w14:textId="77777777" w:rsidR="00BE3DC6" w:rsidRDefault="00A636FA" w:rsidP="00A636FA">
      <w:pPr>
        <w:spacing w:after="0" w:line="276" w:lineRule="auto"/>
        <w:jc w:val="both"/>
        <w:rPr>
          <w:rFonts w:ascii="Book Antiqua" w:eastAsia="Calibri" w:hAnsi="Book Antiqua" w:cs="Arial"/>
          <w:sz w:val="24"/>
          <w:szCs w:val="24"/>
        </w:rPr>
      </w:pPr>
      <w:r w:rsidRPr="00A636FA">
        <w:rPr>
          <w:rFonts w:ascii="Book Antiqua" w:eastAsia="Calibri" w:hAnsi="Book Antiqua" w:cs="Arial"/>
          <w:sz w:val="24"/>
          <w:szCs w:val="24"/>
        </w:rPr>
        <w:t>Solamente para los indicadores 1,2, 3, 4 y 7 se establecieron parámetros</w:t>
      </w:r>
      <w:r w:rsidR="009D0165">
        <w:rPr>
          <w:rFonts w:ascii="Book Antiqua" w:eastAsia="Calibri" w:hAnsi="Book Antiqua" w:cs="Arial"/>
          <w:sz w:val="24"/>
          <w:szCs w:val="24"/>
        </w:rPr>
        <w:t xml:space="preserve">, quedando </w:t>
      </w:r>
      <w:r w:rsidRPr="00A636FA">
        <w:rPr>
          <w:rFonts w:ascii="Book Antiqua" w:eastAsia="Calibri" w:hAnsi="Book Antiqua" w:cs="Arial"/>
          <w:sz w:val="24"/>
          <w:szCs w:val="24"/>
        </w:rPr>
        <w:t xml:space="preserve">los restantes </w:t>
      </w:r>
      <w:r w:rsidR="009D0165">
        <w:rPr>
          <w:rFonts w:ascii="Book Antiqua" w:eastAsia="Calibri" w:hAnsi="Book Antiqua" w:cs="Arial"/>
          <w:sz w:val="24"/>
          <w:szCs w:val="24"/>
        </w:rPr>
        <w:t xml:space="preserve">para definirse </w:t>
      </w:r>
      <w:r w:rsidRPr="00A636FA">
        <w:rPr>
          <w:rFonts w:ascii="Book Antiqua" w:eastAsia="Calibri" w:hAnsi="Book Antiqua" w:cs="Arial"/>
          <w:sz w:val="24"/>
          <w:szCs w:val="24"/>
        </w:rPr>
        <w:t>a partir del histórico del 2021, ya que esta oficina hasta finales del 2020 inició con el uso de la matriz</w:t>
      </w:r>
      <w:r w:rsidR="009D0165">
        <w:rPr>
          <w:rFonts w:ascii="Book Antiqua" w:eastAsia="Calibri" w:hAnsi="Book Antiqua" w:cs="Arial"/>
          <w:sz w:val="24"/>
          <w:szCs w:val="24"/>
        </w:rPr>
        <w:t xml:space="preserve">; por otra parte, durante el seguimiento realizado al Tribunal, </w:t>
      </w:r>
      <w:r w:rsidR="00CB79AD">
        <w:rPr>
          <w:rFonts w:ascii="Book Antiqua" w:eastAsia="Calibri" w:hAnsi="Book Antiqua" w:cs="Arial"/>
          <w:sz w:val="24"/>
          <w:szCs w:val="24"/>
        </w:rPr>
        <w:t xml:space="preserve">y </w:t>
      </w:r>
      <w:r w:rsidR="009D0165">
        <w:rPr>
          <w:rFonts w:ascii="Book Antiqua" w:eastAsia="Calibri" w:hAnsi="Book Antiqua" w:cs="Arial"/>
          <w:sz w:val="24"/>
          <w:szCs w:val="24"/>
        </w:rPr>
        <w:t xml:space="preserve">a solicitud de esta oficina se </w:t>
      </w:r>
      <w:r w:rsidR="00CB79AD">
        <w:rPr>
          <w:rFonts w:ascii="Book Antiqua" w:eastAsia="Calibri" w:hAnsi="Book Antiqua" w:cs="Arial"/>
          <w:sz w:val="24"/>
          <w:szCs w:val="24"/>
        </w:rPr>
        <w:t xml:space="preserve">modificó el nombre </w:t>
      </w:r>
      <w:r w:rsidR="00A2137B">
        <w:rPr>
          <w:rFonts w:ascii="Book Antiqua" w:eastAsia="Calibri" w:hAnsi="Book Antiqua" w:cs="Arial"/>
          <w:sz w:val="24"/>
          <w:szCs w:val="24"/>
        </w:rPr>
        <w:t>de los</w:t>
      </w:r>
      <w:r w:rsidR="00CB79AD">
        <w:rPr>
          <w:rFonts w:ascii="Book Antiqua" w:eastAsia="Calibri" w:hAnsi="Book Antiqua" w:cs="Arial"/>
          <w:sz w:val="24"/>
          <w:szCs w:val="24"/>
        </w:rPr>
        <w:t xml:space="preserve"> indicadores 5, 6, 15, 16 y 17 y se </w:t>
      </w:r>
      <w:r w:rsidR="009D0165">
        <w:rPr>
          <w:rFonts w:ascii="Book Antiqua" w:eastAsia="Calibri" w:hAnsi="Book Antiqua" w:cs="Arial"/>
          <w:sz w:val="24"/>
          <w:szCs w:val="24"/>
        </w:rPr>
        <w:t xml:space="preserve">incluyeron </w:t>
      </w:r>
      <w:r w:rsidR="00AD4D81">
        <w:rPr>
          <w:rFonts w:ascii="Book Antiqua" w:eastAsia="Calibri" w:hAnsi="Book Antiqua" w:cs="Arial"/>
          <w:sz w:val="24"/>
          <w:szCs w:val="24"/>
        </w:rPr>
        <w:t xml:space="preserve">nuevos </w:t>
      </w:r>
      <w:r w:rsidR="00CB79AD">
        <w:rPr>
          <w:rFonts w:ascii="Book Antiqua" w:eastAsia="Calibri" w:hAnsi="Book Antiqua" w:cs="Arial"/>
          <w:sz w:val="24"/>
          <w:szCs w:val="24"/>
        </w:rPr>
        <w:t xml:space="preserve">indicadores </w:t>
      </w:r>
      <w:r w:rsidR="009D0165">
        <w:rPr>
          <w:rFonts w:ascii="Book Antiqua" w:eastAsia="Calibri" w:hAnsi="Book Antiqua" w:cs="Arial"/>
          <w:sz w:val="24"/>
          <w:szCs w:val="24"/>
        </w:rPr>
        <w:t>con el fin de medir el trabajo que realiza la Jueza o Juez de Trámite</w:t>
      </w:r>
      <w:r w:rsidR="00BE3DC6">
        <w:rPr>
          <w:rFonts w:ascii="Book Antiqua" w:eastAsia="Calibri" w:hAnsi="Book Antiqua" w:cs="Arial"/>
          <w:sz w:val="24"/>
          <w:szCs w:val="24"/>
        </w:rPr>
        <w:t>.</w:t>
      </w:r>
    </w:p>
    <w:p w14:paraId="1DEDA96B" w14:textId="77777777" w:rsidR="00BE3DC6" w:rsidRDefault="00BE3DC6" w:rsidP="00A636FA">
      <w:pPr>
        <w:spacing w:after="0" w:line="276" w:lineRule="auto"/>
        <w:jc w:val="both"/>
        <w:rPr>
          <w:rFonts w:ascii="Book Antiqua" w:eastAsia="Calibri" w:hAnsi="Book Antiqua" w:cs="Arial"/>
          <w:sz w:val="24"/>
          <w:szCs w:val="24"/>
        </w:rPr>
      </w:pPr>
    </w:p>
    <w:p w14:paraId="6D43DF40" w14:textId="49C718D0" w:rsidR="00A636FA" w:rsidRDefault="00BE3DC6" w:rsidP="00A636FA">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Por otra parte</w:t>
      </w:r>
      <w:r w:rsidR="00A2137B">
        <w:rPr>
          <w:rFonts w:ascii="Book Antiqua" w:eastAsia="Calibri" w:hAnsi="Book Antiqua" w:cs="Arial"/>
          <w:sz w:val="24"/>
          <w:szCs w:val="24"/>
        </w:rPr>
        <w:t xml:space="preserve">, </w:t>
      </w:r>
      <w:r>
        <w:rPr>
          <w:rFonts w:ascii="Book Antiqua" w:eastAsia="Calibri" w:hAnsi="Book Antiqua" w:cs="Arial"/>
          <w:sz w:val="24"/>
          <w:szCs w:val="24"/>
        </w:rPr>
        <w:t>se ajusta la matriz con la parametrización de los demás indicadores con el fin de contar con una herramienta que permita al despacho contar con información para la toma de decisiones (</w:t>
      </w:r>
      <w:r w:rsidR="008D3407" w:rsidRPr="008D3407">
        <w:rPr>
          <w:rFonts w:ascii="Book Antiqua" w:eastAsia="Calibri" w:hAnsi="Book Antiqua" w:cs="Arial"/>
          <w:sz w:val="24"/>
          <w:szCs w:val="24"/>
        </w:rPr>
        <w:t xml:space="preserve">la propuesta de matriz se incluye en el </w:t>
      </w:r>
      <w:r w:rsidR="00A2137B" w:rsidRPr="001D0C10">
        <w:rPr>
          <w:rFonts w:ascii="Book Antiqua" w:eastAsia="Calibri" w:hAnsi="Book Antiqua" w:cs="Arial"/>
          <w:sz w:val="24"/>
          <w:szCs w:val="24"/>
        </w:rPr>
        <w:t xml:space="preserve">anexo </w:t>
      </w:r>
      <w:r w:rsidR="00EB4BCD">
        <w:rPr>
          <w:rFonts w:ascii="Book Antiqua" w:eastAsia="Calibri" w:hAnsi="Book Antiqua" w:cs="Arial"/>
          <w:sz w:val="24"/>
          <w:szCs w:val="24"/>
        </w:rPr>
        <w:t>18</w:t>
      </w:r>
      <w:r w:rsidR="008D3407" w:rsidRPr="001D0C10">
        <w:rPr>
          <w:rFonts w:ascii="Book Antiqua" w:eastAsia="Calibri" w:hAnsi="Book Antiqua" w:cs="Arial"/>
          <w:sz w:val="24"/>
          <w:szCs w:val="24"/>
        </w:rPr>
        <w:t xml:space="preserve">, sin embargo esta </w:t>
      </w:r>
      <w:r w:rsidR="000E3CCF">
        <w:rPr>
          <w:rFonts w:ascii="Book Antiqua" w:eastAsia="Calibri" w:hAnsi="Book Antiqua" w:cs="Arial"/>
          <w:sz w:val="24"/>
          <w:szCs w:val="24"/>
        </w:rPr>
        <w:t xml:space="preserve">aún </w:t>
      </w:r>
      <w:r w:rsidR="00684AE9">
        <w:rPr>
          <w:rFonts w:ascii="Book Antiqua" w:eastAsia="Calibri" w:hAnsi="Book Antiqua" w:cs="Arial"/>
          <w:sz w:val="24"/>
          <w:szCs w:val="24"/>
        </w:rPr>
        <w:t>no se comunica, sino que</w:t>
      </w:r>
      <w:r w:rsidR="008D3407" w:rsidRPr="001D0C10">
        <w:rPr>
          <w:rFonts w:ascii="Book Antiqua" w:eastAsia="Calibri" w:hAnsi="Book Antiqua" w:cs="Arial"/>
          <w:sz w:val="24"/>
          <w:szCs w:val="24"/>
        </w:rPr>
        <w:t xml:space="preserve"> se emitirá un </w:t>
      </w:r>
      <w:r w:rsidR="008D3407" w:rsidRPr="008D3407">
        <w:rPr>
          <w:rFonts w:ascii="Book Antiqua" w:eastAsia="Calibri" w:hAnsi="Book Antiqua" w:cs="Arial"/>
          <w:sz w:val="24"/>
          <w:szCs w:val="24"/>
        </w:rPr>
        <w:t>informe</w:t>
      </w:r>
      <w:r w:rsidR="008D3407" w:rsidRPr="001D0C10">
        <w:rPr>
          <w:rFonts w:ascii="Book Antiqua" w:eastAsia="Calibri" w:hAnsi="Book Antiqua" w:cs="Arial"/>
          <w:sz w:val="24"/>
          <w:szCs w:val="24"/>
        </w:rPr>
        <w:t xml:space="preserve"> </w:t>
      </w:r>
      <w:r w:rsidR="008D3407" w:rsidRPr="008D3407">
        <w:rPr>
          <w:rFonts w:ascii="Book Antiqua" w:eastAsia="Calibri" w:hAnsi="Book Antiqua" w:cs="Arial"/>
          <w:sz w:val="24"/>
          <w:szCs w:val="24"/>
        </w:rPr>
        <w:t>final</w:t>
      </w:r>
      <w:r w:rsidR="008D3407" w:rsidRPr="001D0C10">
        <w:rPr>
          <w:rFonts w:ascii="Book Antiqua" w:eastAsia="Calibri" w:hAnsi="Book Antiqua" w:cs="Arial"/>
          <w:sz w:val="24"/>
          <w:szCs w:val="24"/>
        </w:rPr>
        <w:t xml:space="preserve"> o de cierre del </w:t>
      </w:r>
      <w:r w:rsidR="008D3407" w:rsidRPr="008D3407">
        <w:rPr>
          <w:rFonts w:ascii="Book Antiqua" w:eastAsia="Calibri" w:hAnsi="Book Antiqua" w:cs="Arial"/>
          <w:sz w:val="24"/>
          <w:szCs w:val="24"/>
        </w:rPr>
        <w:t>abordaje</w:t>
      </w:r>
      <w:r w:rsidR="008D3407" w:rsidRPr="001D0C10">
        <w:rPr>
          <w:rFonts w:ascii="Book Antiqua" w:eastAsia="Calibri" w:hAnsi="Book Antiqua" w:cs="Arial"/>
          <w:sz w:val="24"/>
          <w:szCs w:val="24"/>
        </w:rPr>
        <w:t xml:space="preserve"> realizado en este </w:t>
      </w:r>
      <w:r w:rsidR="008D3407">
        <w:rPr>
          <w:rFonts w:ascii="Book Antiqua" w:eastAsia="Calibri" w:hAnsi="Book Antiqua" w:cs="Arial"/>
          <w:sz w:val="24"/>
          <w:szCs w:val="24"/>
        </w:rPr>
        <w:t>T</w:t>
      </w:r>
      <w:r w:rsidR="008D3407" w:rsidRPr="001D0C10">
        <w:rPr>
          <w:rFonts w:ascii="Book Antiqua" w:eastAsia="Calibri" w:hAnsi="Book Antiqua" w:cs="Arial"/>
          <w:sz w:val="24"/>
          <w:szCs w:val="24"/>
        </w:rPr>
        <w:t>ribunal</w:t>
      </w:r>
      <w:r w:rsidR="008D3407">
        <w:rPr>
          <w:rFonts w:ascii="Book Antiqua" w:eastAsia="Calibri" w:hAnsi="Book Antiqua" w:cs="Arial"/>
          <w:sz w:val="24"/>
          <w:szCs w:val="24"/>
        </w:rPr>
        <w:t xml:space="preserve"> considerando además los ajustes que se puedan </w:t>
      </w:r>
      <w:r w:rsidR="004D57D2">
        <w:rPr>
          <w:rFonts w:ascii="Book Antiqua" w:eastAsia="Calibri" w:hAnsi="Book Antiqua" w:cs="Arial"/>
          <w:sz w:val="24"/>
          <w:szCs w:val="24"/>
        </w:rPr>
        <w:t xml:space="preserve">dar </w:t>
      </w:r>
      <w:r w:rsidR="008D3407">
        <w:rPr>
          <w:rFonts w:ascii="Book Antiqua" w:eastAsia="Calibri" w:hAnsi="Book Antiqua" w:cs="Arial"/>
          <w:sz w:val="24"/>
          <w:szCs w:val="24"/>
        </w:rPr>
        <w:t>por el cambio en la fórmula estadística recientemente actualizada</w:t>
      </w:r>
      <w:r w:rsidR="008D3407" w:rsidRPr="001D0C10">
        <w:rPr>
          <w:rFonts w:ascii="Book Antiqua" w:eastAsia="Calibri" w:hAnsi="Book Antiqua" w:cs="Arial"/>
          <w:sz w:val="24"/>
          <w:szCs w:val="24"/>
        </w:rPr>
        <w:t>-</w:t>
      </w:r>
      <w:r w:rsidR="008D3407" w:rsidRPr="000E3CCF">
        <w:rPr>
          <w:rFonts w:ascii="Book Antiqua" w:eastAsia="Calibri" w:hAnsi="Book Antiqua" w:cs="Arial"/>
          <w:b/>
          <w:bCs/>
          <w:sz w:val="24"/>
          <w:szCs w:val="24"/>
        </w:rPr>
        <w:t>Referencia interna 1746-21</w:t>
      </w:r>
      <w:r w:rsidRPr="000E3CCF">
        <w:rPr>
          <w:rFonts w:ascii="Book Antiqua" w:eastAsia="Calibri" w:hAnsi="Book Antiqua" w:cs="Arial"/>
          <w:b/>
          <w:bCs/>
          <w:sz w:val="24"/>
          <w:szCs w:val="24"/>
        </w:rPr>
        <w:t>).</w:t>
      </w:r>
      <w:r w:rsidR="00A2137B">
        <w:rPr>
          <w:rFonts w:ascii="Book Antiqua" w:eastAsia="Calibri" w:hAnsi="Book Antiqua" w:cs="Arial"/>
          <w:sz w:val="24"/>
          <w:szCs w:val="24"/>
        </w:rPr>
        <w:t xml:space="preserve"> </w:t>
      </w:r>
    </w:p>
    <w:p w14:paraId="760FBE99" w14:textId="77777777" w:rsidR="00BD799A" w:rsidRDefault="00BD799A" w:rsidP="00A636FA">
      <w:pPr>
        <w:spacing w:after="0" w:line="276" w:lineRule="auto"/>
        <w:jc w:val="both"/>
        <w:rPr>
          <w:rFonts w:ascii="Book Antiqua" w:eastAsia="Calibri" w:hAnsi="Book Antiqua" w:cs="Arial"/>
          <w:sz w:val="24"/>
          <w:szCs w:val="24"/>
        </w:rPr>
      </w:pPr>
    </w:p>
    <w:p w14:paraId="27BE27A3" w14:textId="4E1E3123" w:rsidR="009D0165" w:rsidRPr="009D0165" w:rsidRDefault="009D0165" w:rsidP="009D016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9D0165">
        <w:rPr>
          <w:rFonts w:ascii="Book Antiqua" w:eastAsia="Calibri" w:hAnsi="Book Antiqua" w:cs="Arial"/>
          <w:b/>
          <w:bCs/>
          <w:color w:val="1F497D"/>
          <w:szCs w:val="24"/>
          <w:lang w:val="es-ES" w:eastAsia="es-ES"/>
        </w:rPr>
        <w:t xml:space="preserve">Cuadro </w:t>
      </w:r>
      <w:r w:rsidRPr="009D0165">
        <w:rPr>
          <w:rFonts w:ascii="Book Antiqua" w:eastAsia="Calibri" w:hAnsi="Book Antiqua" w:cs="Arial"/>
          <w:b/>
          <w:bCs/>
          <w:color w:val="1F497D"/>
          <w:szCs w:val="24"/>
          <w:lang w:val="es-ES" w:eastAsia="es-ES"/>
        </w:rPr>
        <w:fldChar w:fldCharType="begin"/>
      </w:r>
      <w:r w:rsidRPr="009D0165">
        <w:rPr>
          <w:rFonts w:ascii="Book Antiqua" w:eastAsia="Calibri" w:hAnsi="Book Antiqua" w:cs="Arial"/>
          <w:b/>
          <w:bCs/>
          <w:color w:val="1F497D"/>
          <w:szCs w:val="24"/>
          <w:lang w:val="es-ES" w:eastAsia="es-ES"/>
        </w:rPr>
        <w:instrText xml:space="preserve"> SEQ Cuadro \* ARABIC </w:instrText>
      </w:r>
      <w:r w:rsidRPr="009D0165">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56</w:t>
      </w:r>
      <w:r w:rsidRPr="009D0165">
        <w:rPr>
          <w:rFonts w:ascii="Book Antiqua" w:eastAsia="Calibri" w:hAnsi="Book Antiqua" w:cs="Arial"/>
          <w:b/>
          <w:bCs/>
          <w:color w:val="1F497D"/>
          <w:szCs w:val="24"/>
          <w:lang w:val="es-ES" w:eastAsia="es-ES"/>
        </w:rPr>
        <w:fldChar w:fldCharType="end"/>
      </w:r>
    </w:p>
    <w:p w14:paraId="45035774" w14:textId="77777777" w:rsidR="009D0165" w:rsidRPr="009D0165" w:rsidRDefault="009D0165" w:rsidP="009D0165">
      <w:pPr>
        <w:keepNext/>
        <w:numPr>
          <w:ilvl w:val="12"/>
          <w:numId w:val="0"/>
        </w:numPr>
        <w:spacing w:after="0" w:line="276" w:lineRule="auto"/>
        <w:jc w:val="center"/>
        <w:rPr>
          <w:rFonts w:ascii="Book Antiqua" w:eastAsia="Calibri" w:hAnsi="Book Antiqua" w:cs="Arial"/>
          <w:b/>
          <w:bCs/>
          <w:color w:val="1F497D"/>
          <w:szCs w:val="24"/>
          <w:lang w:val="es-ES" w:eastAsia="es-ES"/>
        </w:rPr>
      </w:pPr>
      <w:r w:rsidRPr="009D0165">
        <w:rPr>
          <w:rFonts w:ascii="Book Antiqua" w:eastAsia="Calibri" w:hAnsi="Book Antiqua" w:cs="Arial"/>
          <w:b/>
          <w:bCs/>
          <w:color w:val="1F497D"/>
          <w:szCs w:val="24"/>
          <w:lang w:val="es-ES" w:eastAsia="es-ES"/>
        </w:rPr>
        <w:t>Matriz de Indicadores del Tribunal de Familia, 2021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7"/>
        <w:gridCol w:w="501"/>
        <w:gridCol w:w="1522"/>
        <w:gridCol w:w="5978"/>
      </w:tblGrid>
      <w:tr w:rsidR="009D0165" w:rsidRPr="009D0165" w14:paraId="09AADF14" w14:textId="77777777" w:rsidTr="00306313">
        <w:trPr>
          <w:cantSplit/>
          <w:trHeight w:val="386"/>
          <w:tblHeader/>
        </w:trPr>
        <w:tc>
          <w:tcPr>
            <w:tcW w:w="468" w:type="pct"/>
            <w:shd w:val="clear" w:color="auto" w:fill="002060"/>
          </w:tcPr>
          <w:p w14:paraId="3144F00D" w14:textId="77777777" w:rsidR="009D0165" w:rsidRPr="009D0165" w:rsidRDefault="009D0165" w:rsidP="009D0165">
            <w:pPr>
              <w:spacing w:after="0" w:line="276" w:lineRule="auto"/>
              <w:jc w:val="center"/>
              <w:rPr>
                <w:rFonts w:ascii="Book Antiqua" w:eastAsia="Times New Roman" w:hAnsi="Book Antiqua" w:cs="Arial"/>
                <w:b/>
                <w:bCs/>
                <w:color w:val="FFFFFF"/>
                <w:lang w:eastAsia="es-CR"/>
              </w:rPr>
            </w:pPr>
            <w:r w:rsidRPr="009D0165">
              <w:rPr>
                <w:rFonts w:ascii="Book Antiqua" w:eastAsia="Times New Roman" w:hAnsi="Book Antiqua" w:cs="Arial"/>
                <w:b/>
                <w:bCs/>
                <w:color w:val="FFFFFF"/>
                <w:lang w:eastAsia="es-CR"/>
              </w:rPr>
              <w:t>Categ.</w:t>
            </w:r>
          </w:p>
        </w:tc>
        <w:tc>
          <w:tcPr>
            <w:tcW w:w="284" w:type="pct"/>
            <w:shd w:val="clear" w:color="auto" w:fill="002060"/>
            <w:noWrap/>
            <w:vAlign w:val="center"/>
            <w:hideMark/>
          </w:tcPr>
          <w:p w14:paraId="3CB9FE49" w14:textId="77777777" w:rsidR="009D0165" w:rsidRPr="009D0165" w:rsidRDefault="009D0165" w:rsidP="009D0165">
            <w:pPr>
              <w:spacing w:after="0" w:line="276" w:lineRule="auto"/>
              <w:jc w:val="center"/>
              <w:rPr>
                <w:rFonts w:ascii="Book Antiqua" w:eastAsia="Times New Roman" w:hAnsi="Book Antiqua" w:cs="Arial"/>
                <w:b/>
                <w:bCs/>
                <w:color w:val="FFFFFF"/>
                <w:lang w:eastAsia="es-CR"/>
              </w:rPr>
            </w:pPr>
            <w:r w:rsidRPr="009D0165">
              <w:rPr>
                <w:rFonts w:ascii="Book Antiqua" w:eastAsia="Times New Roman" w:hAnsi="Book Antiqua" w:cs="Arial"/>
                <w:b/>
                <w:bCs/>
                <w:color w:val="FFFFFF"/>
                <w:lang w:eastAsia="es-CR"/>
              </w:rPr>
              <w:t>N°</w:t>
            </w:r>
          </w:p>
        </w:tc>
        <w:tc>
          <w:tcPr>
            <w:tcW w:w="862" w:type="pct"/>
            <w:shd w:val="clear" w:color="auto" w:fill="002060"/>
            <w:noWrap/>
            <w:vAlign w:val="center"/>
            <w:hideMark/>
          </w:tcPr>
          <w:p w14:paraId="465D0F03" w14:textId="77777777" w:rsidR="009D0165" w:rsidRPr="009D0165" w:rsidRDefault="009D0165" w:rsidP="000E3CCF">
            <w:pPr>
              <w:spacing w:after="0" w:line="276" w:lineRule="auto"/>
              <w:jc w:val="center"/>
              <w:rPr>
                <w:rFonts w:ascii="Book Antiqua" w:eastAsia="Times New Roman" w:hAnsi="Book Antiqua" w:cs="Arial"/>
                <w:b/>
                <w:bCs/>
                <w:color w:val="FFFFFF"/>
                <w:lang w:eastAsia="es-CR"/>
              </w:rPr>
            </w:pPr>
            <w:r w:rsidRPr="009D0165">
              <w:rPr>
                <w:rFonts w:ascii="Book Antiqua" w:eastAsia="Times New Roman" w:hAnsi="Book Antiqua" w:cs="Arial"/>
                <w:b/>
                <w:bCs/>
                <w:color w:val="FFFFFF"/>
                <w:lang w:eastAsia="es-CR"/>
              </w:rPr>
              <w:t>Indicador</w:t>
            </w:r>
          </w:p>
        </w:tc>
        <w:tc>
          <w:tcPr>
            <w:tcW w:w="3386" w:type="pct"/>
            <w:shd w:val="clear" w:color="auto" w:fill="002060"/>
            <w:noWrap/>
            <w:vAlign w:val="center"/>
            <w:hideMark/>
          </w:tcPr>
          <w:p w14:paraId="7B15AD6B" w14:textId="77777777" w:rsidR="009D0165" w:rsidRPr="009D0165" w:rsidRDefault="009D0165" w:rsidP="009D0165">
            <w:pPr>
              <w:spacing w:after="0" w:line="276" w:lineRule="auto"/>
              <w:jc w:val="center"/>
              <w:rPr>
                <w:rFonts w:ascii="Book Antiqua" w:eastAsia="Times New Roman" w:hAnsi="Book Antiqua" w:cs="Arial"/>
                <w:b/>
                <w:bCs/>
                <w:color w:val="FFFFFF"/>
                <w:lang w:eastAsia="es-CR"/>
              </w:rPr>
            </w:pPr>
            <w:r w:rsidRPr="009D0165">
              <w:rPr>
                <w:rFonts w:ascii="Book Antiqua" w:eastAsia="Times New Roman" w:hAnsi="Book Antiqua" w:cs="Arial"/>
                <w:b/>
                <w:bCs/>
                <w:color w:val="FFFFFF"/>
                <w:lang w:eastAsia="es-CR"/>
              </w:rPr>
              <w:t>Detalle</w:t>
            </w:r>
          </w:p>
        </w:tc>
      </w:tr>
      <w:tr w:rsidR="009D0165" w:rsidRPr="009D0165" w14:paraId="431BFFEF" w14:textId="77777777" w:rsidTr="009D0165">
        <w:trPr>
          <w:cantSplit/>
          <w:trHeight w:val="1134"/>
        </w:trPr>
        <w:tc>
          <w:tcPr>
            <w:tcW w:w="468" w:type="pct"/>
            <w:vMerge w:val="restart"/>
            <w:shd w:val="clear" w:color="auto" w:fill="D5E2F9"/>
            <w:textDirection w:val="btLr"/>
          </w:tcPr>
          <w:p w14:paraId="7B3CC9D2" w14:textId="77777777" w:rsidR="009D0165" w:rsidRPr="009D0165" w:rsidRDefault="009D0165" w:rsidP="009D0165">
            <w:pPr>
              <w:spacing w:after="0" w:line="276" w:lineRule="auto"/>
              <w:ind w:left="113" w:right="113"/>
              <w:jc w:val="center"/>
              <w:rPr>
                <w:rFonts w:ascii="Book Antiqua" w:eastAsia="Times New Roman" w:hAnsi="Book Antiqua" w:cs="Arial"/>
                <w:b/>
                <w:bCs/>
                <w:color w:val="44546A"/>
                <w:lang w:eastAsia="es-CR"/>
              </w:rPr>
            </w:pPr>
            <w:r w:rsidRPr="009D0165">
              <w:rPr>
                <w:rFonts w:ascii="Book Antiqua" w:eastAsia="Times New Roman" w:hAnsi="Book Antiqua" w:cs="Arial"/>
                <w:b/>
                <w:bCs/>
                <w:lang w:eastAsia="es-CR"/>
              </w:rPr>
              <w:t>Rendimiento Estadístico</w:t>
            </w:r>
          </w:p>
        </w:tc>
        <w:tc>
          <w:tcPr>
            <w:tcW w:w="284" w:type="pct"/>
            <w:shd w:val="clear" w:color="auto" w:fill="FFFFFF"/>
            <w:vAlign w:val="center"/>
            <w:hideMark/>
          </w:tcPr>
          <w:p w14:paraId="66176909"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p>
        </w:tc>
        <w:tc>
          <w:tcPr>
            <w:tcW w:w="862" w:type="pct"/>
            <w:shd w:val="clear" w:color="auto" w:fill="FFFFFF"/>
            <w:vAlign w:val="center"/>
            <w:hideMark/>
          </w:tcPr>
          <w:p w14:paraId="2B255FE7"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Entrada total</w:t>
            </w:r>
          </w:p>
        </w:tc>
        <w:tc>
          <w:tcPr>
            <w:tcW w:w="3386" w:type="pct"/>
            <w:shd w:val="clear" w:color="auto" w:fill="auto"/>
            <w:vAlign w:val="center"/>
            <w:hideMark/>
          </w:tcPr>
          <w:p w14:paraId="53DCEE65"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Entrada total está conformada por el resultado de la sumatoria de la cantidad de asuntos nuevos ingresados y los casos reentrados en el mes. Este indicador esta subdividido por materia (Familia y Violencia Doméstica).</w:t>
            </w:r>
          </w:p>
          <w:p w14:paraId="5DB26B7C" w14:textId="77777777" w:rsidR="009D0165" w:rsidRPr="009D0165" w:rsidRDefault="009D0165" w:rsidP="009D0165">
            <w:pPr>
              <w:spacing w:after="0" w:line="276" w:lineRule="auto"/>
              <w:jc w:val="both"/>
              <w:rPr>
                <w:rFonts w:ascii="Book Antiqua" w:eastAsia="Times New Roman" w:hAnsi="Book Antiqua" w:cs="Arial"/>
                <w:i/>
                <w:iCs/>
                <w:lang w:eastAsia="es-CR"/>
              </w:rPr>
            </w:pPr>
          </w:p>
          <w:p w14:paraId="20D2693D"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parámetro se define del promedio del histórico del despacho del informe estadístico mensual de SIGMA.</w:t>
            </w:r>
          </w:p>
        </w:tc>
      </w:tr>
      <w:tr w:rsidR="009D0165" w:rsidRPr="009D0165" w14:paraId="3FAD3628" w14:textId="77777777" w:rsidTr="009D0165">
        <w:trPr>
          <w:cantSplit/>
          <w:trHeight w:val="20"/>
        </w:trPr>
        <w:tc>
          <w:tcPr>
            <w:tcW w:w="468" w:type="pct"/>
            <w:vMerge/>
            <w:shd w:val="clear" w:color="auto" w:fill="D5E2F9"/>
          </w:tcPr>
          <w:p w14:paraId="24364533"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hideMark/>
          </w:tcPr>
          <w:p w14:paraId="5109730B"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2</w:t>
            </w:r>
          </w:p>
        </w:tc>
        <w:tc>
          <w:tcPr>
            <w:tcW w:w="862" w:type="pct"/>
            <w:shd w:val="clear" w:color="auto" w:fill="FFFFFF"/>
            <w:vAlign w:val="center"/>
            <w:hideMark/>
          </w:tcPr>
          <w:p w14:paraId="728F4BB4"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Salida</w:t>
            </w:r>
          </w:p>
        </w:tc>
        <w:tc>
          <w:tcPr>
            <w:tcW w:w="3386" w:type="pct"/>
            <w:shd w:val="clear" w:color="auto" w:fill="auto"/>
            <w:vAlign w:val="center"/>
            <w:hideMark/>
          </w:tcPr>
          <w:p w14:paraId="7E582901" w14:textId="4E34B1F4"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Salida total</w:t>
            </w:r>
            <w:r w:rsidRPr="009D0165">
              <w:rPr>
                <w:rFonts w:ascii="Book Antiqua" w:eastAsia="Calibri" w:hAnsi="Book Antiqua" w:cs="Times New Roman"/>
              </w:rPr>
              <w:t xml:space="preserve"> </w:t>
            </w:r>
            <w:r w:rsidRPr="009D0165">
              <w:rPr>
                <w:rFonts w:ascii="Book Antiqua" w:eastAsia="Times New Roman" w:hAnsi="Book Antiqua" w:cs="Arial"/>
                <w:lang w:eastAsia="es-CR"/>
              </w:rPr>
              <w:t xml:space="preserve">está conformada por la suma de los casos terminados.  </w:t>
            </w:r>
            <w:r w:rsidR="00AD4D81" w:rsidRPr="009D0165">
              <w:rPr>
                <w:rFonts w:ascii="Book Antiqua" w:eastAsia="Times New Roman" w:hAnsi="Book Antiqua" w:cs="Arial"/>
                <w:lang w:eastAsia="es-CR"/>
              </w:rPr>
              <w:t>Este indicador esta subdividido por materia (Familia y Violencia Doméstica).</w:t>
            </w:r>
          </w:p>
          <w:p w14:paraId="172A0BDE" w14:textId="77777777" w:rsidR="009D0165" w:rsidRPr="009D0165" w:rsidRDefault="009D0165" w:rsidP="009D0165">
            <w:pPr>
              <w:spacing w:after="0" w:line="276" w:lineRule="auto"/>
              <w:jc w:val="both"/>
              <w:rPr>
                <w:rFonts w:ascii="Book Antiqua" w:eastAsia="Times New Roman" w:hAnsi="Book Antiqua" w:cs="Arial"/>
                <w:i/>
                <w:iCs/>
                <w:lang w:eastAsia="es-CR"/>
              </w:rPr>
            </w:pPr>
          </w:p>
          <w:p w14:paraId="43160AE8"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parámetro se define del promedio del histórico del despacho del informe estadístico mensual de SIGMA.</w:t>
            </w:r>
          </w:p>
        </w:tc>
      </w:tr>
      <w:tr w:rsidR="009D0165" w:rsidRPr="009D0165" w14:paraId="114B2A2E" w14:textId="77777777" w:rsidTr="009D0165">
        <w:trPr>
          <w:cantSplit/>
          <w:trHeight w:val="20"/>
        </w:trPr>
        <w:tc>
          <w:tcPr>
            <w:tcW w:w="468" w:type="pct"/>
            <w:vMerge/>
            <w:shd w:val="clear" w:color="auto" w:fill="D5E2F9"/>
          </w:tcPr>
          <w:p w14:paraId="73036822"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hideMark/>
          </w:tcPr>
          <w:p w14:paraId="64BEC4C1"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3</w:t>
            </w:r>
          </w:p>
        </w:tc>
        <w:tc>
          <w:tcPr>
            <w:tcW w:w="862" w:type="pct"/>
            <w:shd w:val="clear" w:color="auto" w:fill="FFFFFF"/>
            <w:vAlign w:val="center"/>
            <w:hideMark/>
          </w:tcPr>
          <w:p w14:paraId="058F093E"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Circulante</w:t>
            </w:r>
          </w:p>
        </w:tc>
        <w:tc>
          <w:tcPr>
            <w:tcW w:w="3386" w:type="pct"/>
            <w:shd w:val="clear" w:color="auto" w:fill="auto"/>
            <w:vAlign w:val="center"/>
            <w:hideMark/>
          </w:tcPr>
          <w:p w14:paraId="5B623CEE" w14:textId="5524E358" w:rsidR="009D0165" w:rsidRPr="009D0165" w:rsidRDefault="009D0165" w:rsidP="009D0165">
            <w:pPr>
              <w:spacing w:after="0" w:line="276" w:lineRule="auto"/>
              <w:jc w:val="both"/>
              <w:rPr>
                <w:rFonts w:ascii="Book Antiqua" w:eastAsia="Times New Roman" w:hAnsi="Book Antiqua" w:cs="Arial"/>
                <w:i/>
                <w:iCs/>
                <w:lang w:eastAsia="es-CR"/>
              </w:rPr>
            </w:pPr>
            <w:r w:rsidRPr="009D0165">
              <w:rPr>
                <w:rFonts w:ascii="Book Antiqua" w:eastAsia="Times New Roman" w:hAnsi="Book Antiqua" w:cs="Arial"/>
                <w:lang w:eastAsia="es-CR"/>
              </w:rPr>
              <w:t xml:space="preserve">Circulante: </w:t>
            </w:r>
            <w:r w:rsidRPr="009D0165">
              <w:rPr>
                <w:rFonts w:ascii="Book Antiqua" w:eastAsia="Times New Roman" w:hAnsi="Book Antiqua" w:cs="Arial"/>
                <w:i/>
                <w:iCs/>
                <w:lang w:eastAsia="es-CR"/>
              </w:rPr>
              <w:t>(Circulante Inicial + Entrad</w:t>
            </w:r>
            <w:r w:rsidR="00AD4D81">
              <w:rPr>
                <w:rFonts w:ascii="Book Antiqua" w:eastAsia="Times New Roman" w:hAnsi="Book Antiqua" w:cs="Arial"/>
                <w:i/>
                <w:iCs/>
                <w:lang w:eastAsia="es-CR"/>
              </w:rPr>
              <w:t>o</w:t>
            </w:r>
            <w:r w:rsidRPr="009D0165">
              <w:rPr>
                <w:rFonts w:ascii="Book Antiqua" w:eastAsia="Times New Roman" w:hAnsi="Book Antiqua" w:cs="Arial"/>
                <w:i/>
                <w:iCs/>
                <w:lang w:eastAsia="es-CR"/>
              </w:rPr>
              <w:t>s + Reentrados – Terminados)</w:t>
            </w:r>
          </w:p>
          <w:p w14:paraId="62C85325"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El parámetro se define del circulante del despacho al momento del abordaje al despacho. </w:t>
            </w:r>
          </w:p>
          <w:p w14:paraId="3A2AA6BB" w14:textId="28603A29"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Este indicador se subdivide por materia</w:t>
            </w:r>
            <w:r w:rsidR="00AD4D81">
              <w:rPr>
                <w:rFonts w:ascii="Book Antiqua" w:eastAsia="Times New Roman" w:hAnsi="Book Antiqua" w:cs="Arial"/>
                <w:lang w:eastAsia="es-CR"/>
              </w:rPr>
              <w:t xml:space="preserve"> (Familia y Violencia Doméstica)</w:t>
            </w:r>
            <w:r w:rsidRPr="009D0165">
              <w:rPr>
                <w:rFonts w:ascii="Book Antiqua" w:eastAsia="Times New Roman" w:hAnsi="Book Antiqua" w:cs="Arial"/>
                <w:lang w:eastAsia="es-CR"/>
              </w:rPr>
              <w:t>.</w:t>
            </w:r>
          </w:p>
        </w:tc>
      </w:tr>
      <w:tr w:rsidR="009D0165" w:rsidRPr="009D0165" w14:paraId="6D555951" w14:textId="77777777" w:rsidTr="00306313">
        <w:trPr>
          <w:cantSplit/>
          <w:trHeight w:val="20"/>
        </w:trPr>
        <w:tc>
          <w:tcPr>
            <w:tcW w:w="468" w:type="pct"/>
            <w:vMerge/>
            <w:shd w:val="clear" w:color="auto" w:fill="D5E2F9"/>
          </w:tcPr>
          <w:p w14:paraId="0B9DDCD0"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hideMark/>
          </w:tcPr>
          <w:p w14:paraId="422CD095"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4</w:t>
            </w:r>
          </w:p>
        </w:tc>
        <w:tc>
          <w:tcPr>
            <w:tcW w:w="862" w:type="pct"/>
            <w:shd w:val="clear" w:color="auto" w:fill="auto"/>
            <w:vAlign w:val="center"/>
            <w:hideMark/>
          </w:tcPr>
          <w:p w14:paraId="4C4AC6BC"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 xml:space="preserve">Relación salida Total / entrada total </w:t>
            </w:r>
          </w:p>
        </w:tc>
        <w:tc>
          <w:tcPr>
            <w:tcW w:w="3386" w:type="pct"/>
            <w:shd w:val="clear" w:color="auto" w:fill="auto"/>
            <w:vAlign w:val="center"/>
            <w:hideMark/>
          </w:tcPr>
          <w:p w14:paraId="6BB6F5A2" w14:textId="77777777" w:rsidR="009D0165" w:rsidRPr="009D0165" w:rsidRDefault="009D0165" w:rsidP="009D0165">
            <w:pPr>
              <w:spacing w:after="0" w:line="276" w:lineRule="auto"/>
              <w:jc w:val="both"/>
              <w:rPr>
                <w:rFonts w:ascii="Book Antiqua" w:eastAsia="Times New Roman" w:hAnsi="Book Antiqua" w:cs="Arial"/>
                <w:i/>
                <w:iCs/>
                <w:lang w:eastAsia="es-CR"/>
              </w:rPr>
            </w:pPr>
            <w:r w:rsidRPr="009D0165">
              <w:rPr>
                <w:rFonts w:ascii="Book Antiqua" w:eastAsia="Times New Roman" w:hAnsi="Book Antiqua" w:cs="Arial"/>
                <w:lang w:eastAsia="es-CR"/>
              </w:rPr>
              <w:t xml:space="preserve">Cálculo: </w:t>
            </w:r>
            <w:r w:rsidRPr="009D0165">
              <w:rPr>
                <w:rFonts w:ascii="Book Antiqua" w:eastAsia="Times New Roman" w:hAnsi="Book Antiqua" w:cs="Arial"/>
                <w:i/>
                <w:iCs/>
                <w:lang w:eastAsia="es-CR"/>
              </w:rPr>
              <w:t>(Salidas/ Entradas) *100</w:t>
            </w:r>
          </w:p>
          <w:p w14:paraId="64FA31CC" w14:textId="77777777" w:rsidR="009D0165" w:rsidRPr="009D0165" w:rsidRDefault="009D0165" w:rsidP="009D0165">
            <w:pPr>
              <w:spacing w:after="0" w:line="276" w:lineRule="auto"/>
              <w:jc w:val="both"/>
              <w:rPr>
                <w:rFonts w:ascii="Book Antiqua" w:eastAsia="Times New Roman" w:hAnsi="Book Antiqua" w:cs="Arial"/>
                <w:lang w:eastAsia="es-CR"/>
              </w:rPr>
            </w:pPr>
          </w:p>
        </w:tc>
      </w:tr>
      <w:tr w:rsidR="009D0165" w:rsidRPr="009D0165" w14:paraId="3674BC65" w14:textId="77777777" w:rsidTr="00306313">
        <w:trPr>
          <w:cantSplit/>
          <w:trHeight w:val="20"/>
        </w:trPr>
        <w:tc>
          <w:tcPr>
            <w:tcW w:w="468" w:type="pct"/>
            <w:vMerge/>
            <w:shd w:val="clear" w:color="auto" w:fill="D5E2F9"/>
          </w:tcPr>
          <w:p w14:paraId="7E505C14"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hideMark/>
          </w:tcPr>
          <w:p w14:paraId="6BE95B95"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5</w:t>
            </w:r>
          </w:p>
        </w:tc>
        <w:tc>
          <w:tcPr>
            <w:tcW w:w="862" w:type="pct"/>
            <w:shd w:val="clear" w:color="auto" w:fill="auto"/>
            <w:vAlign w:val="center"/>
            <w:hideMark/>
          </w:tcPr>
          <w:p w14:paraId="726B47C1" w14:textId="130ED9DE" w:rsidR="009D0165" w:rsidRPr="009D0165" w:rsidRDefault="00AD4D81" w:rsidP="000E3CCF">
            <w:pPr>
              <w:spacing w:after="0" w:line="276" w:lineRule="auto"/>
              <w:jc w:val="both"/>
              <w:rPr>
                <w:rFonts w:ascii="Book Antiqua" w:eastAsia="Times New Roman" w:hAnsi="Book Antiqua" w:cs="Arial"/>
                <w:b/>
                <w:bCs/>
                <w:color w:val="44546A"/>
                <w:lang w:eastAsia="es-CR"/>
              </w:rPr>
            </w:pPr>
            <w:r w:rsidRPr="00AD4D81">
              <w:rPr>
                <w:rFonts w:ascii="Book Antiqua" w:eastAsia="Times New Roman" w:hAnsi="Book Antiqua" w:cs="Arial"/>
                <w:b/>
                <w:bCs/>
                <w:color w:val="44546A"/>
                <w:lang w:eastAsia="es-CR"/>
              </w:rPr>
              <w:t>Cantidad de Sentencias o Resoluciones Confirmadas</w:t>
            </w:r>
          </w:p>
        </w:tc>
        <w:tc>
          <w:tcPr>
            <w:tcW w:w="3386" w:type="pct"/>
            <w:shd w:val="clear" w:color="auto" w:fill="auto"/>
            <w:vAlign w:val="center"/>
            <w:hideMark/>
          </w:tcPr>
          <w:p w14:paraId="18ACB538"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indicador contabiliza la cantidad de recursos donde se confirma la resolución de primera instancia. </w:t>
            </w:r>
          </w:p>
          <w:p w14:paraId="34B0F3CB" w14:textId="77777777" w:rsidR="009D0165" w:rsidRPr="009D0165" w:rsidRDefault="009D0165" w:rsidP="009D0165">
            <w:pPr>
              <w:spacing w:after="0" w:line="276" w:lineRule="auto"/>
              <w:jc w:val="both"/>
              <w:rPr>
                <w:rFonts w:ascii="Book Antiqua" w:eastAsia="Times New Roman" w:hAnsi="Book Antiqua" w:cs="Arial"/>
                <w:lang w:eastAsia="es-CR"/>
              </w:rPr>
            </w:pPr>
          </w:p>
          <w:p w14:paraId="03859368"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dato se obtiene del informe estadístico mensual de SIGMA.</w:t>
            </w:r>
          </w:p>
        </w:tc>
      </w:tr>
      <w:tr w:rsidR="009D0165" w:rsidRPr="009D0165" w14:paraId="06D26E5E" w14:textId="77777777" w:rsidTr="00306313">
        <w:trPr>
          <w:cantSplit/>
          <w:trHeight w:val="20"/>
        </w:trPr>
        <w:tc>
          <w:tcPr>
            <w:tcW w:w="468" w:type="pct"/>
            <w:vMerge/>
            <w:shd w:val="clear" w:color="auto" w:fill="D5E2F9"/>
          </w:tcPr>
          <w:p w14:paraId="376C50B3"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hideMark/>
          </w:tcPr>
          <w:p w14:paraId="5160ACFB"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6</w:t>
            </w:r>
          </w:p>
        </w:tc>
        <w:tc>
          <w:tcPr>
            <w:tcW w:w="862" w:type="pct"/>
            <w:shd w:val="clear" w:color="auto" w:fill="auto"/>
            <w:vAlign w:val="center"/>
            <w:hideMark/>
          </w:tcPr>
          <w:p w14:paraId="04D8FDBE" w14:textId="70F052AF" w:rsidR="009D0165" w:rsidRPr="009D0165" w:rsidRDefault="00AD4D81" w:rsidP="000E3CCF">
            <w:pPr>
              <w:spacing w:after="0" w:line="276" w:lineRule="auto"/>
              <w:jc w:val="both"/>
              <w:rPr>
                <w:rFonts w:ascii="Book Antiqua" w:eastAsia="Times New Roman" w:hAnsi="Book Antiqua" w:cs="Arial"/>
                <w:b/>
                <w:bCs/>
                <w:color w:val="44546A"/>
                <w:lang w:eastAsia="es-CR"/>
              </w:rPr>
            </w:pPr>
            <w:r w:rsidRPr="00AD4D81">
              <w:rPr>
                <w:rFonts w:ascii="Book Antiqua" w:eastAsia="Times New Roman" w:hAnsi="Book Antiqua" w:cs="Arial"/>
                <w:b/>
                <w:bCs/>
                <w:color w:val="44546A"/>
                <w:lang w:eastAsia="es-CR"/>
              </w:rPr>
              <w:t>Cantidad de Sentencias o Resoluciones Revocadas</w:t>
            </w:r>
          </w:p>
        </w:tc>
        <w:tc>
          <w:tcPr>
            <w:tcW w:w="3386" w:type="pct"/>
            <w:shd w:val="clear" w:color="auto" w:fill="auto"/>
            <w:vAlign w:val="center"/>
            <w:hideMark/>
          </w:tcPr>
          <w:p w14:paraId="138B0C5C"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indicador contabiliza la cantidad de recursos donde se revoca la resolución de primera instancia. </w:t>
            </w:r>
          </w:p>
          <w:p w14:paraId="5865F0F3" w14:textId="77777777" w:rsidR="009D0165" w:rsidRPr="009D0165" w:rsidRDefault="009D0165" w:rsidP="009D0165">
            <w:pPr>
              <w:spacing w:after="0" w:line="276" w:lineRule="auto"/>
              <w:jc w:val="both"/>
              <w:rPr>
                <w:rFonts w:ascii="Book Antiqua" w:eastAsia="Times New Roman" w:hAnsi="Book Antiqua" w:cs="Arial"/>
                <w:lang w:eastAsia="es-CR"/>
              </w:rPr>
            </w:pPr>
          </w:p>
          <w:p w14:paraId="59D977B6"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dato se obtiene del informe estadístico mensual de SIGMA.</w:t>
            </w:r>
          </w:p>
        </w:tc>
      </w:tr>
      <w:tr w:rsidR="00AD4D81" w:rsidRPr="009D0165" w14:paraId="5302CB4B" w14:textId="77777777" w:rsidTr="00306313">
        <w:trPr>
          <w:cantSplit/>
          <w:trHeight w:val="20"/>
        </w:trPr>
        <w:tc>
          <w:tcPr>
            <w:tcW w:w="468" w:type="pct"/>
            <w:shd w:val="clear" w:color="auto" w:fill="D5E2F9"/>
          </w:tcPr>
          <w:p w14:paraId="526FAD03" w14:textId="77777777" w:rsidR="00AD4D81" w:rsidRPr="009D0165" w:rsidRDefault="00AD4D81"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tcPr>
          <w:p w14:paraId="214D2C9A" w14:textId="2D3DE7D8" w:rsidR="00AD4D81" w:rsidRPr="009D0165" w:rsidRDefault="00AD4D81"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7</w:t>
            </w:r>
          </w:p>
        </w:tc>
        <w:tc>
          <w:tcPr>
            <w:tcW w:w="862" w:type="pct"/>
            <w:shd w:val="clear" w:color="auto" w:fill="auto"/>
            <w:vAlign w:val="center"/>
          </w:tcPr>
          <w:p w14:paraId="28B4C1A0" w14:textId="227E203D" w:rsidR="00AD4D81" w:rsidRPr="00AD4D81" w:rsidRDefault="00AD4D81" w:rsidP="000E3CCF">
            <w:pPr>
              <w:spacing w:after="0" w:line="276" w:lineRule="auto"/>
              <w:jc w:val="both"/>
              <w:rPr>
                <w:rFonts w:ascii="Book Antiqua" w:eastAsia="Times New Roman" w:hAnsi="Book Antiqua" w:cs="Arial"/>
                <w:b/>
                <w:bCs/>
                <w:color w:val="44546A"/>
                <w:lang w:eastAsia="es-CR"/>
              </w:rPr>
            </w:pPr>
            <w:r w:rsidRPr="00AD4D81">
              <w:rPr>
                <w:rFonts w:ascii="Book Antiqua" w:eastAsia="Times New Roman" w:hAnsi="Book Antiqua" w:cs="Arial"/>
                <w:b/>
                <w:bCs/>
                <w:color w:val="44546A"/>
                <w:lang w:eastAsia="es-CR"/>
              </w:rPr>
              <w:t>Cantidad de Sentencias o Resoluciones Anuladas</w:t>
            </w:r>
          </w:p>
        </w:tc>
        <w:tc>
          <w:tcPr>
            <w:tcW w:w="3386" w:type="pct"/>
            <w:shd w:val="clear" w:color="auto" w:fill="auto"/>
            <w:vAlign w:val="center"/>
          </w:tcPr>
          <w:p w14:paraId="11589860" w14:textId="41C62656" w:rsidR="00F97E3D" w:rsidRPr="009D0165" w:rsidRDefault="00F97E3D" w:rsidP="00F97E3D">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indicador contabiliza la cantidad de recursos donde se </w:t>
            </w:r>
            <w:r>
              <w:rPr>
                <w:rFonts w:ascii="Book Antiqua" w:eastAsia="Times New Roman" w:hAnsi="Book Antiqua" w:cs="Arial"/>
                <w:lang w:eastAsia="es-CR"/>
              </w:rPr>
              <w:t xml:space="preserve">anula </w:t>
            </w:r>
            <w:r w:rsidRPr="009D0165">
              <w:rPr>
                <w:rFonts w:ascii="Book Antiqua" w:eastAsia="Times New Roman" w:hAnsi="Book Antiqua" w:cs="Arial"/>
                <w:lang w:eastAsia="es-CR"/>
              </w:rPr>
              <w:t xml:space="preserve">la resolución de primera instancia. </w:t>
            </w:r>
          </w:p>
          <w:p w14:paraId="0EDA5EB0" w14:textId="77777777" w:rsidR="00F97E3D" w:rsidRPr="009D0165" w:rsidRDefault="00F97E3D" w:rsidP="00F97E3D">
            <w:pPr>
              <w:spacing w:after="0" w:line="276" w:lineRule="auto"/>
              <w:jc w:val="both"/>
              <w:rPr>
                <w:rFonts w:ascii="Book Antiqua" w:eastAsia="Times New Roman" w:hAnsi="Book Antiqua" w:cs="Arial"/>
                <w:lang w:eastAsia="es-CR"/>
              </w:rPr>
            </w:pPr>
          </w:p>
          <w:p w14:paraId="3974DB03" w14:textId="6A6F482C" w:rsidR="00AD4D81" w:rsidRPr="009D0165" w:rsidRDefault="00F97E3D" w:rsidP="00F97E3D">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dato se obtiene del informe estadístico mensual de SIGMA.</w:t>
            </w:r>
          </w:p>
        </w:tc>
      </w:tr>
      <w:tr w:rsidR="00AD4D81" w:rsidRPr="009D0165" w14:paraId="66550DAB" w14:textId="77777777" w:rsidTr="00306313">
        <w:trPr>
          <w:cantSplit/>
          <w:trHeight w:val="20"/>
        </w:trPr>
        <w:tc>
          <w:tcPr>
            <w:tcW w:w="468" w:type="pct"/>
            <w:shd w:val="clear" w:color="auto" w:fill="D5E2F9"/>
          </w:tcPr>
          <w:p w14:paraId="55810AA7" w14:textId="77777777" w:rsidR="00AD4D81" w:rsidRPr="009D0165" w:rsidRDefault="00AD4D81"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tcPr>
          <w:p w14:paraId="52827E9C" w14:textId="67FA4996" w:rsidR="00AD4D81" w:rsidRDefault="00AD4D81"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8</w:t>
            </w:r>
          </w:p>
        </w:tc>
        <w:tc>
          <w:tcPr>
            <w:tcW w:w="862" w:type="pct"/>
            <w:shd w:val="clear" w:color="auto" w:fill="auto"/>
            <w:vAlign w:val="center"/>
          </w:tcPr>
          <w:p w14:paraId="73400D9F" w14:textId="42A907A4" w:rsidR="00AD4D81" w:rsidRPr="00AD4D81" w:rsidRDefault="00AD4D81" w:rsidP="000E3CCF">
            <w:pPr>
              <w:spacing w:after="0" w:line="276" w:lineRule="auto"/>
              <w:jc w:val="both"/>
              <w:rPr>
                <w:rFonts w:ascii="Book Antiqua" w:eastAsia="Times New Roman" w:hAnsi="Book Antiqua" w:cs="Arial"/>
                <w:b/>
                <w:bCs/>
                <w:color w:val="44546A"/>
                <w:lang w:eastAsia="es-CR"/>
              </w:rPr>
            </w:pPr>
            <w:r w:rsidRPr="00AD4D81">
              <w:rPr>
                <w:rFonts w:ascii="Book Antiqua" w:eastAsia="Times New Roman" w:hAnsi="Book Antiqua" w:cs="Arial"/>
                <w:b/>
                <w:bCs/>
                <w:color w:val="44546A"/>
                <w:lang w:eastAsia="es-CR"/>
              </w:rPr>
              <w:t>Cantidad de Otros Tipos de Sentencias y Resoluciones</w:t>
            </w:r>
          </w:p>
        </w:tc>
        <w:tc>
          <w:tcPr>
            <w:tcW w:w="3386" w:type="pct"/>
            <w:shd w:val="clear" w:color="auto" w:fill="auto"/>
            <w:vAlign w:val="center"/>
          </w:tcPr>
          <w:p w14:paraId="5B1C1503" w14:textId="0F7357F5" w:rsidR="00F97E3D" w:rsidRPr="009D0165" w:rsidRDefault="00F97E3D" w:rsidP="00F97E3D">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indicador contabiliza la cantidad de </w:t>
            </w:r>
            <w:r>
              <w:rPr>
                <w:rFonts w:ascii="Book Antiqua" w:eastAsia="Times New Roman" w:hAnsi="Book Antiqua" w:cs="Arial"/>
                <w:lang w:eastAsia="es-CR"/>
              </w:rPr>
              <w:t xml:space="preserve">otros tipos de recursos </w:t>
            </w:r>
            <w:r w:rsidRPr="009D0165">
              <w:rPr>
                <w:rFonts w:ascii="Book Antiqua" w:eastAsia="Times New Roman" w:hAnsi="Book Antiqua" w:cs="Arial"/>
                <w:lang w:eastAsia="es-CR"/>
              </w:rPr>
              <w:t xml:space="preserve">de primera instancia. </w:t>
            </w:r>
          </w:p>
          <w:p w14:paraId="5F5F0528" w14:textId="77777777" w:rsidR="00F97E3D" w:rsidRPr="009D0165" w:rsidRDefault="00F97E3D" w:rsidP="00F97E3D">
            <w:pPr>
              <w:spacing w:after="0" w:line="276" w:lineRule="auto"/>
              <w:jc w:val="both"/>
              <w:rPr>
                <w:rFonts w:ascii="Book Antiqua" w:eastAsia="Times New Roman" w:hAnsi="Book Antiqua" w:cs="Arial"/>
                <w:lang w:eastAsia="es-CR"/>
              </w:rPr>
            </w:pPr>
          </w:p>
          <w:p w14:paraId="7B577CA0" w14:textId="5B55AD0A" w:rsidR="00AD4D81" w:rsidRPr="009D0165" w:rsidRDefault="00F97E3D" w:rsidP="00F97E3D">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dato se obtiene del informe estadístico mensual de SIGMA.</w:t>
            </w:r>
          </w:p>
        </w:tc>
      </w:tr>
      <w:tr w:rsidR="009D0165" w:rsidRPr="009D0165" w14:paraId="7B9F3195" w14:textId="77777777" w:rsidTr="009D0165">
        <w:trPr>
          <w:cantSplit/>
          <w:trHeight w:val="1134"/>
        </w:trPr>
        <w:tc>
          <w:tcPr>
            <w:tcW w:w="468" w:type="pct"/>
            <w:vMerge w:val="restart"/>
            <w:shd w:val="clear" w:color="auto" w:fill="EAF1DD"/>
            <w:textDirection w:val="btLr"/>
          </w:tcPr>
          <w:p w14:paraId="51E0B92E" w14:textId="77777777" w:rsidR="009D0165" w:rsidRPr="009D0165" w:rsidRDefault="009D0165" w:rsidP="009D0165">
            <w:pPr>
              <w:spacing w:after="0" w:line="276" w:lineRule="auto"/>
              <w:ind w:left="113" w:right="113"/>
              <w:jc w:val="center"/>
              <w:rPr>
                <w:rFonts w:ascii="Book Antiqua" w:eastAsia="Times New Roman" w:hAnsi="Book Antiqua" w:cs="Arial"/>
                <w:b/>
                <w:bCs/>
                <w:color w:val="44546A"/>
                <w:lang w:eastAsia="es-CR"/>
              </w:rPr>
            </w:pPr>
            <w:r w:rsidRPr="009D0165">
              <w:rPr>
                <w:rFonts w:ascii="Book Antiqua" w:eastAsia="Times New Roman" w:hAnsi="Book Antiqua" w:cs="Arial"/>
                <w:b/>
                <w:bCs/>
                <w:lang w:eastAsia="es-CR"/>
              </w:rPr>
              <w:lastRenderedPageBreak/>
              <w:t>Plazos</w:t>
            </w:r>
          </w:p>
        </w:tc>
        <w:tc>
          <w:tcPr>
            <w:tcW w:w="284" w:type="pct"/>
            <w:shd w:val="clear" w:color="auto" w:fill="FFFFFF"/>
            <w:vAlign w:val="center"/>
            <w:hideMark/>
          </w:tcPr>
          <w:p w14:paraId="352CF9EB" w14:textId="0203C398" w:rsidR="009D0165" w:rsidRPr="009D0165" w:rsidRDefault="00F97E3D"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9</w:t>
            </w:r>
          </w:p>
        </w:tc>
        <w:tc>
          <w:tcPr>
            <w:tcW w:w="862" w:type="pct"/>
            <w:shd w:val="clear" w:color="auto" w:fill="FFFFFF"/>
            <w:vAlign w:val="center"/>
            <w:hideMark/>
          </w:tcPr>
          <w:p w14:paraId="197C8EE8"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Plazo espera de dictado de sentencia</w:t>
            </w:r>
          </w:p>
        </w:tc>
        <w:tc>
          <w:tcPr>
            <w:tcW w:w="3386" w:type="pct"/>
            <w:shd w:val="clear" w:color="auto" w:fill="auto"/>
            <w:vAlign w:val="center"/>
            <w:hideMark/>
          </w:tcPr>
          <w:p w14:paraId="5A830849" w14:textId="6F0C96AC" w:rsidR="009D0165" w:rsidRPr="009D0165" w:rsidRDefault="009D0165" w:rsidP="009D0165">
            <w:pPr>
              <w:spacing w:after="0" w:line="276" w:lineRule="auto"/>
              <w:jc w:val="both"/>
              <w:rPr>
                <w:rFonts w:ascii="Book Antiqua" w:eastAsia="Times New Roman" w:hAnsi="Book Antiqua" w:cs="Arial"/>
                <w:i/>
                <w:iCs/>
                <w:lang w:eastAsia="es-CR"/>
              </w:rPr>
            </w:pPr>
            <w:r w:rsidRPr="009D0165">
              <w:rPr>
                <w:rFonts w:ascii="Book Antiqua" w:eastAsia="Times New Roman" w:hAnsi="Book Antiqua" w:cs="Arial"/>
                <w:lang w:eastAsia="es-CR"/>
              </w:rPr>
              <w:t xml:space="preserve">Se calcula: </w:t>
            </w:r>
            <w:r w:rsidRPr="009D0165">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9D0165">
              <w:rPr>
                <w:rFonts w:ascii="Book Antiqua" w:eastAsia="Times New Roman" w:hAnsi="Book Antiqua" w:cs="Arial"/>
                <w:i/>
                <w:iCs/>
                <w:lang w:eastAsia="es-CR"/>
              </w:rPr>
              <w:t xml:space="preserve"> fecha del expediente más antiguo pendiente de fallar). </w:t>
            </w:r>
            <w:r w:rsidRPr="009D0165">
              <w:rPr>
                <w:rFonts w:ascii="Book Antiqua" w:eastAsia="Times New Roman" w:hAnsi="Book Antiqua" w:cs="Arial"/>
                <w:lang w:eastAsia="es-CR"/>
              </w:rPr>
              <w:t>Se cuenta con el promedio y con el detalle por persona juzgadora y por materia.</w:t>
            </w:r>
            <w:r w:rsidRPr="009D0165">
              <w:rPr>
                <w:rFonts w:ascii="Book Antiqua" w:eastAsia="Times New Roman" w:hAnsi="Book Antiqua" w:cs="Arial"/>
                <w:i/>
                <w:iCs/>
                <w:lang w:eastAsia="es-CR"/>
              </w:rPr>
              <w:t xml:space="preserve"> </w:t>
            </w:r>
          </w:p>
          <w:p w14:paraId="6FE1C696" w14:textId="77777777" w:rsidR="009D0165" w:rsidRPr="009D0165" w:rsidRDefault="009D0165" w:rsidP="009D0165">
            <w:pPr>
              <w:spacing w:after="0" w:line="276" w:lineRule="auto"/>
              <w:jc w:val="both"/>
              <w:rPr>
                <w:rFonts w:ascii="Book Antiqua" w:eastAsia="Times New Roman" w:hAnsi="Book Antiqua" w:cs="Arial"/>
                <w:i/>
                <w:iCs/>
                <w:lang w:eastAsia="es-CR"/>
              </w:rPr>
            </w:pPr>
          </w:p>
          <w:p w14:paraId="438C622D" w14:textId="77777777" w:rsidR="009D0165" w:rsidRPr="009D0165" w:rsidRDefault="009D0165" w:rsidP="009D0165">
            <w:pPr>
              <w:spacing w:after="0" w:line="276" w:lineRule="auto"/>
              <w:jc w:val="both"/>
              <w:rPr>
                <w:rFonts w:ascii="Book Antiqua" w:eastAsia="Calibri" w:hAnsi="Book Antiqua" w:cs="Arial"/>
                <w:lang w:eastAsia="es-CR"/>
              </w:rPr>
            </w:pPr>
            <w:r w:rsidRPr="009D0165">
              <w:rPr>
                <w:rFonts w:ascii="Book Antiqua" w:eastAsia="Times New Roman" w:hAnsi="Book Antiqua" w:cs="Arial"/>
                <w:lang w:eastAsia="es-CR"/>
              </w:rPr>
              <w:t>Este dato es la fecha del expediente más antiguo pendiente de fallo registrada en el despacho, se obtiene del libro de pase a fallo y Módulo de pase a fallo del Escritorio Virtual.</w:t>
            </w:r>
            <w:r w:rsidRPr="009D0165">
              <w:rPr>
                <w:rFonts w:ascii="Book Antiqua" w:eastAsia="Calibri" w:hAnsi="Book Antiqua" w:cs="Arial"/>
                <w:lang w:eastAsia="es-CR"/>
              </w:rPr>
              <w:t xml:space="preserve">  Los parámetros se definen según plazo legal para dictar sentencia en segunda instancia por materia. A saber 32 días hábiles (1,5 meses) para fallar asuntos de Familia de conformidad con el artículo 151 CPC de 1989. Y 15 días hábiles para fallo asuntos de Violencia Doméstica en segunda Instancia, de conformidad con el artículo 16 de la Ley Contra la Violencia Doméstica. </w:t>
            </w:r>
          </w:p>
        </w:tc>
      </w:tr>
      <w:tr w:rsidR="009D0165" w:rsidRPr="009D0165" w14:paraId="03F74C29" w14:textId="77777777" w:rsidTr="009D0165">
        <w:trPr>
          <w:cantSplit/>
          <w:trHeight w:val="1614"/>
        </w:trPr>
        <w:tc>
          <w:tcPr>
            <w:tcW w:w="468" w:type="pct"/>
            <w:vMerge/>
            <w:shd w:val="clear" w:color="auto" w:fill="EAF1DD"/>
          </w:tcPr>
          <w:p w14:paraId="253E2E25"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hideMark/>
          </w:tcPr>
          <w:p w14:paraId="5D7D1596" w14:textId="4778BD17" w:rsidR="009D0165" w:rsidRPr="009D0165" w:rsidRDefault="00F97E3D"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10</w:t>
            </w:r>
          </w:p>
        </w:tc>
        <w:tc>
          <w:tcPr>
            <w:tcW w:w="862" w:type="pct"/>
            <w:shd w:val="clear" w:color="auto" w:fill="FFFFFF"/>
            <w:vAlign w:val="center"/>
            <w:hideMark/>
          </w:tcPr>
          <w:p w14:paraId="22B1F4A9"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Plazo para resolver escritos</w:t>
            </w:r>
          </w:p>
        </w:tc>
        <w:tc>
          <w:tcPr>
            <w:tcW w:w="3386" w:type="pct"/>
            <w:shd w:val="clear" w:color="auto" w:fill="auto"/>
            <w:vAlign w:val="center"/>
            <w:hideMark/>
          </w:tcPr>
          <w:p w14:paraId="2003B0B8" w14:textId="50FD2870" w:rsidR="009D0165" w:rsidRPr="009D0165" w:rsidRDefault="009D0165" w:rsidP="009D0165">
            <w:pPr>
              <w:spacing w:after="0" w:line="276" w:lineRule="auto"/>
              <w:jc w:val="both"/>
              <w:rPr>
                <w:rFonts w:ascii="Book Antiqua" w:eastAsia="Times New Roman" w:hAnsi="Book Antiqua" w:cs="Arial"/>
                <w:i/>
                <w:iCs/>
                <w:lang w:eastAsia="es-CR"/>
              </w:rPr>
            </w:pPr>
            <w:r w:rsidRPr="009D0165">
              <w:rPr>
                <w:rFonts w:ascii="Book Antiqua" w:eastAsia="Times New Roman" w:hAnsi="Book Antiqua" w:cs="Arial"/>
                <w:lang w:eastAsia="es-CR"/>
              </w:rPr>
              <w:t>Se calcula: (</w:t>
            </w:r>
            <w:r w:rsidRPr="009D0165">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9D0165">
              <w:rPr>
                <w:rFonts w:ascii="Book Antiqua" w:eastAsia="Times New Roman" w:hAnsi="Book Antiqua" w:cs="Arial"/>
                <w:i/>
                <w:iCs/>
                <w:lang w:eastAsia="es-CR"/>
              </w:rPr>
              <w:t xml:space="preserve"> fecha del escrito más antiguo pendiente de resolver). </w:t>
            </w:r>
          </w:p>
          <w:p w14:paraId="489F3499"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Se obtiene de la bandeja de Escritos del Escritorio Virtual</w:t>
            </w:r>
          </w:p>
          <w:p w14:paraId="1ECB39C6" w14:textId="2703CA61" w:rsidR="009D0165" w:rsidRPr="009D0165" w:rsidRDefault="009D0165" w:rsidP="009D0165">
            <w:pPr>
              <w:spacing w:after="0" w:line="276" w:lineRule="auto"/>
              <w:jc w:val="both"/>
              <w:rPr>
                <w:rFonts w:ascii="Book Antiqua" w:eastAsia="Times New Roman" w:hAnsi="Book Antiqua" w:cs="Arial"/>
                <w:b/>
                <w:bCs/>
                <w:lang w:eastAsia="es-CR"/>
              </w:rPr>
            </w:pPr>
            <w:r w:rsidRPr="009D0165">
              <w:rPr>
                <w:rFonts w:ascii="Book Antiqua" w:eastAsia="Times New Roman" w:hAnsi="Book Antiqua" w:cs="Arial"/>
                <w:lang w:eastAsia="es-CR"/>
              </w:rPr>
              <w:t xml:space="preserve">Se deben revisar todos los Escritos que se encuentran tramitándose, como los que se encuentran pendientes de distribuir, todas las ubicaciones, todos los Auxiliares, todas las materias, estado del escrito en trámite. </w:t>
            </w:r>
          </w:p>
          <w:p w14:paraId="75742689" w14:textId="77777777" w:rsidR="009D0165" w:rsidRPr="009D0165" w:rsidRDefault="009D0165" w:rsidP="009D0165">
            <w:pPr>
              <w:spacing w:after="0" w:line="276" w:lineRule="auto"/>
              <w:jc w:val="both"/>
              <w:rPr>
                <w:rFonts w:ascii="Book Antiqua" w:eastAsia="Times New Roman" w:hAnsi="Book Antiqua" w:cs="Arial"/>
                <w:lang w:eastAsia="es-CR"/>
              </w:rPr>
            </w:pPr>
          </w:p>
        </w:tc>
      </w:tr>
      <w:tr w:rsidR="009D0165" w:rsidRPr="009D0165" w14:paraId="3CE884FB" w14:textId="77777777" w:rsidTr="009D0165">
        <w:trPr>
          <w:cantSplit/>
          <w:trHeight w:val="20"/>
        </w:trPr>
        <w:tc>
          <w:tcPr>
            <w:tcW w:w="468" w:type="pct"/>
            <w:vMerge/>
            <w:shd w:val="clear" w:color="auto" w:fill="EAF1DD"/>
          </w:tcPr>
          <w:p w14:paraId="41317412"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vAlign w:val="center"/>
          </w:tcPr>
          <w:p w14:paraId="213EB2B4" w14:textId="2A2D85AA" w:rsidR="009D0165" w:rsidRPr="009D0165" w:rsidRDefault="00F97E3D"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11</w:t>
            </w:r>
          </w:p>
        </w:tc>
        <w:tc>
          <w:tcPr>
            <w:tcW w:w="862" w:type="pct"/>
            <w:vAlign w:val="center"/>
          </w:tcPr>
          <w:p w14:paraId="7D5A66E6"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Plazo de espera de expediente votado más antiguo pendiente de firmar sentencia</w:t>
            </w:r>
          </w:p>
        </w:tc>
        <w:tc>
          <w:tcPr>
            <w:tcW w:w="3386" w:type="pct"/>
            <w:shd w:val="clear" w:color="auto" w:fill="auto"/>
            <w:vAlign w:val="center"/>
          </w:tcPr>
          <w:p w14:paraId="102A78A6"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Se calcula: (</w:t>
            </w:r>
            <w:r w:rsidRPr="009D0165">
              <w:rPr>
                <w:rFonts w:ascii="Book Antiqua" w:eastAsia="Times New Roman" w:hAnsi="Book Antiqua" w:cs="Arial"/>
                <w:i/>
                <w:iCs/>
                <w:lang w:eastAsia="es-CR"/>
              </w:rPr>
              <w:t>Fecha de expediente votado más antiguo pendiente de firma- fecha actual).</w:t>
            </w:r>
          </w:p>
          <w:p w14:paraId="48632BC8" w14:textId="77777777" w:rsidR="009D0165" w:rsidRPr="009D0165" w:rsidRDefault="009D0165" w:rsidP="009D0165">
            <w:pPr>
              <w:spacing w:after="0" w:line="276" w:lineRule="auto"/>
              <w:jc w:val="both"/>
              <w:rPr>
                <w:rFonts w:ascii="Book Antiqua" w:eastAsia="Times New Roman" w:hAnsi="Book Antiqua" w:cs="Arial"/>
                <w:lang w:eastAsia="es-CR"/>
              </w:rPr>
            </w:pPr>
          </w:p>
          <w:p w14:paraId="1F936955"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dato se obtiene del libro en el que se consigne las fechas de firmado de sentencia de los expedientes con número de voto asignados. </w:t>
            </w:r>
          </w:p>
          <w:p w14:paraId="753C94E7"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Permite conocer el dato del tiempo de firmado desde el momento que se vota el proyecto hasta la aplicación de la última firma de sentencia. </w:t>
            </w:r>
          </w:p>
          <w:p w14:paraId="30295682"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Se encuentra subdividido por persona juzgadora y por materia. </w:t>
            </w:r>
          </w:p>
        </w:tc>
      </w:tr>
      <w:tr w:rsidR="009D0165" w:rsidRPr="009D0165" w14:paraId="269F17DF" w14:textId="77777777" w:rsidTr="00306313">
        <w:trPr>
          <w:cantSplit/>
          <w:trHeight w:val="20"/>
        </w:trPr>
        <w:tc>
          <w:tcPr>
            <w:tcW w:w="468" w:type="pct"/>
            <w:vMerge w:val="restart"/>
            <w:shd w:val="clear" w:color="auto" w:fill="F9DDD5"/>
            <w:textDirection w:val="btLr"/>
          </w:tcPr>
          <w:p w14:paraId="3F425D29" w14:textId="77777777" w:rsidR="009D0165" w:rsidRPr="009D0165" w:rsidRDefault="009D0165" w:rsidP="009D0165">
            <w:pPr>
              <w:spacing w:after="0" w:line="276" w:lineRule="auto"/>
              <w:ind w:left="113" w:right="113"/>
              <w:jc w:val="center"/>
              <w:rPr>
                <w:rFonts w:ascii="Book Antiqua" w:eastAsia="Times New Roman" w:hAnsi="Book Antiqua" w:cs="Arial"/>
                <w:b/>
                <w:bCs/>
                <w:lang w:eastAsia="es-CR"/>
              </w:rPr>
            </w:pPr>
            <w:r w:rsidRPr="009D0165">
              <w:rPr>
                <w:rFonts w:ascii="Book Antiqua" w:eastAsia="Times New Roman" w:hAnsi="Book Antiqua" w:cs="Arial"/>
                <w:b/>
                <w:bCs/>
                <w:lang w:eastAsia="es-CR"/>
              </w:rPr>
              <w:t>Operacional</w:t>
            </w:r>
          </w:p>
        </w:tc>
        <w:tc>
          <w:tcPr>
            <w:tcW w:w="284" w:type="pct"/>
            <w:shd w:val="clear" w:color="auto" w:fill="auto"/>
            <w:vAlign w:val="center"/>
            <w:hideMark/>
          </w:tcPr>
          <w:p w14:paraId="6FFCCEC6" w14:textId="19BE10DF"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r w:rsidR="00F97E3D">
              <w:rPr>
                <w:rFonts w:ascii="Book Antiqua" w:eastAsia="Times New Roman" w:hAnsi="Book Antiqua" w:cs="Arial"/>
                <w:b/>
                <w:bCs/>
                <w:color w:val="44546A"/>
                <w:lang w:eastAsia="es-CR"/>
              </w:rPr>
              <w:t>2</w:t>
            </w:r>
          </w:p>
        </w:tc>
        <w:tc>
          <w:tcPr>
            <w:tcW w:w="862" w:type="pct"/>
            <w:shd w:val="clear" w:color="auto" w:fill="auto"/>
            <w:vAlign w:val="center"/>
            <w:hideMark/>
          </w:tcPr>
          <w:p w14:paraId="50957CD0"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expedientes pendientes de fallo</w:t>
            </w:r>
          </w:p>
        </w:tc>
        <w:tc>
          <w:tcPr>
            <w:tcW w:w="3386" w:type="pct"/>
            <w:shd w:val="clear" w:color="auto" w:fill="auto"/>
            <w:vAlign w:val="center"/>
            <w:hideMark/>
          </w:tcPr>
          <w:p w14:paraId="11E20D35" w14:textId="4F09E190"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Indicador subdividido por persona juzgadora</w:t>
            </w:r>
            <w:r w:rsidR="0088234C">
              <w:rPr>
                <w:rFonts w:ascii="Book Antiqua" w:eastAsia="Times New Roman" w:hAnsi="Book Antiqua" w:cs="Arial"/>
                <w:lang w:eastAsia="es-CR"/>
              </w:rPr>
              <w:t xml:space="preserve"> y por materia</w:t>
            </w:r>
            <w:r w:rsidRPr="009D0165">
              <w:rPr>
                <w:rFonts w:ascii="Book Antiqua" w:eastAsia="Times New Roman" w:hAnsi="Book Antiqua" w:cs="Arial"/>
                <w:lang w:eastAsia="es-CR"/>
              </w:rPr>
              <w:t xml:space="preserve">. </w:t>
            </w:r>
          </w:p>
          <w:p w14:paraId="28217555" w14:textId="0F828346"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Se </w:t>
            </w:r>
            <w:r w:rsidR="00F97E3D">
              <w:rPr>
                <w:rFonts w:ascii="Book Antiqua" w:eastAsia="Times New Roman" w:hAnsi="Book Antiqua" w:cs="Arial"/>
                <w:lang w:eastAsia="es-CR"/>
              </w:rPr>
              <w:t xml:space="preserve">obtiene </w:t>
            </w:r>
            <w:r w:rsidRPr="009D0165">
              <w:rPr>
                <w:rFonts w:ascii="Book Antiqua" w:eastAsia="Times New Roman" w:hAnsi="Book Antiqua" w:cs="Arial"/>
                <w:lang w:eastAsia="es-CR"/>
              </w:rPr>
              <w:t xml:space="preserve">del libro en el que se consigne las </w:t>
            </w:r>
            <w:r w:rsidR="0088234C">
              <w:rPr>
                <w:rFonts w:ascii="Book Antiqua" w:eastAsia="Times New Roman" w:hAnsi="Book Antiqua" w:cs="Arial"/>
                <w:lang w:eastAsia="es-CR"/>
              </w:rPr>
              <w:t xml:space="preserve">sentencias o del </w:t>
            </w:r>
            <w:r w:rsidR="00F74947" w:rsidRPr="00F74947">
              <w:rPr>
                <w:rFonts w:ascii="Book Antiqua" w:eastAsia="Times New Roman" w:hAnsi="Book Antiqua" w:cs="Arial"/>
                <w:lang w:eastAsia="es-CR"/>
              </w:rPr>
              <w:t>Módulo de pase a fallo del Escritorio Virtual</w:t>
            </w:r>
            <w:r w:rsidR="00F74947">
              <w:rPr>
                <w:rFonts w:ascii="Book Antiqua" w:eastAsia="Times New Roman" w:hAnsi="Book Antiqua" w:cs="Arial"/>
                <w:lang w:eastAsia="es-CR"/>
              </w:rPr>
              <w:t>.</w:t>
            </w:r>
          </w:p>
        </w:tc>
      </w:tr>
      <w:tr w:rsidR="009D0165" w:rsidRPr="009D0165" w14:paraId="076E4159" w14:textId="77777777" w:rsidTr="00306313">
        <w:trPr>
          <w:cantSplit/>
          <w:trHeight w:val="20"/>
        </w:trPr>
        <w:tc>
          <w:tcPr>
            <w:tcW w:w="468" w:type="pct"/>
            <w:vMerge/>
            <w:shd w:val="clear" w:color="auto" w:fill="F9DDD5"/>
          </w:tcPr>
          <w:p w14:paraId="40637F42"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hideMark/>
          </w:tcPr>
          <w:p w14:paraId="4415D820" w14:textId="1C3FAF7D"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r w:rsidR="0088234C">
              <w:rPr>
                <w:rFonts w:ascii="Book Antiqua" w:eastAsia="Times New Roman" w:hAnsi="Book Antiqua" w:cs="Arial"/>
                <w:b/>
                <w:bCs/>
                <w:color w:val="44546A"/>
                <w:lang w:eastAsia="es-CR"/>
              </w:rPr>
              <w:t>3</w:t>
            </w:r>
          </w:p>
        </w:tc>
        <w:tc>
          <w:tcPr>
            <w:tcW w:w="862" w:type="pct"/>
            <w:shd w:val="clear" w:color="auto" w:fill="auto"/>
            <w:vAlign w:val="center"/>
            <w:hideMark/>
          </w:tcPr>
          <w:p w14:paraId="1511129A"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Expedientes pasados a firmar</w:t>
            </w:r>
          </w:p>
        </w:tc>
        <w:tc>
          <w:tcPr>
            <w:tcW w:w="3386" w:type="pct"/>
            <w:shd w:val="clear" w:color="auto" w:fill="auto"/>
            <w:vAlign w:val="center"/>
            <w:hideMark/>
          </w:tcPr>
          <w:p w14:paraId="4B0362A7"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Es la cantidad de expedientes pasados a firmar por cada persona técnica.</w:t>
            </w:r>
          </w:p>
          <w:p w14:paraId="5BEC9029"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Se obtiene del Escritorio Virtual, cantidad de expedientes pasados a firmar a la persona juzgadora por persona técnica judicial, Estadística, Firmado/Proveído.</w:t>
            </w:r>
          </w:p>
          <w:p w14:paraId="1D635987"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El parámetro se obtiene de cada despacho tomando en cuenta la cuota de proveído definida para cada persona técnica judicial.</w:t>
            </w:r>
          </w:p>
        </w:tc>
      </w:tr>
      <w:tr w:rsidR="009D0165" w:rsidRPr="009D0165" w14:paraId="1B32EBD5" w14:textId="77777777" w:rsidTr="009D0165">
        <w:trPr>
          <w:cantSplit/>
          <w:trHeight w:val="20"/>
        </w:trPr>
        <w:tc>
          <w:tcPr>
            <w:tcW w:w="468" w:type="pct"/>
            <w:vMerge/>
            <w:shd w:val="clear" w:color="auto" w:fill="F9DDD5"/>
          </w:tcPr>
          <w:p w14:paraId="2BCDBABE"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0E81C279" w14:textId="63E78A36"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r w:rsidR="0088234C">
              <w:rPr>
                <w:rFonts w:ascii="Book Antiqua" w:eastAsia="Times New Roman" w:hAnsi="Book Antiqua" w:cs="Arial"/>
                <w:b/>
                <w:bCs/>
                <w:color w:val="44546A"/>
                <w:lang w:eastAsia="es-CR"/>
              </w:rPr>
              <w:t>4</w:t>
            </w:r>
          </w:p>
        </w:tc>
        <w:tc>
          <w:tcPr>
            <w:tcW w:w="862" w:type="pct"/>
            <w:shd w:val="clear" w:color="auto" w:fill="FFFFFF"/>
            <w:vAlign w:val="center"/>
          </w:tcPr>
          <w:p w14:paraId="230E5F52"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Porcentaje de efectividad en la firma por la persona juzgadora de trámite</w:t>
            </w:r>
          </w:p>
        </w:tc>
        <w:tc>
          <w:tcPr>
            <w:tcW w:w="3386" w:type="pct"/>
            <w:shd w:val="clear" w:color="auto" w:fill="auto"/>
            <w:vAlign w:val="center"/>
          </w:tcPr>
          <w:p w14:paraId="796B8B93"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Este indicador mide la cantidad de resoluciones firmadas por la persona juzgadora de trámite entre la cantidad de resoluciones pasadas a firmar. Se obtiene de la consulta en el Escritorio Virtual.</w:t>
            </w:r>
          </w:p>
          <w:p w14:paraId="2DD68ED9" w14:textId="44AE298F"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El parámetro se obtiene tomando en cuenta la cuota de firmado definida para cada persona juzgadora, lo que equivale a la cantidad de expedientes que debe pasar a firmar las personas técnicas judiciales a cada persona juzgadora. </w:t>
            </w:r>
          </w:p>
        </w:tc>
      </w:tr>
      <w:tr w:rsidR="00E4393C" w:rsidRPr="009D0165" w14:paraId="2CD85D58" w14:textId="77777777" w:rsidTr="009D0165">
        <w:trPr>
          <w:cantSplit/>
          <w:trHeight w:val="20"/>
        </w:trPr>
        <w:tc>
          <w:tcPr>
            <w:tcW w:w="468" w:type="pct"/>
            <w:vMerge/>
            <w:shd w:val="clear" w:color="auto" w:fill="F9DDD5"/>
          </w:tcPr>
          <w:p w14:paraId="2F6FACEA" w14:textId="77777777" w:rsidR="00E4393C" w:rsidRPr="009D0165" w:rsidRDefault="00E4393C"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6A49699E" w14:textId="221D3371" w:rsidR="00E4393C" w:rsidRPr="009D0165" w:rsidRDefault="00E4393C"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15</w:t>
            </w:r>
          </w:p>
        </w:tc>
        <w:tc>
          <w:tcPr>
            <w:tcW w:w="862" w:type="pct"/>
            <w:shd w:val="clear" w:color="auto" w:fill="FFFFFF"/>
            <w:vAlign w:val="center"/>
          </w:tcPr>
          <w:p w14:paraId="1D65BFB9" w14:textId="3ABEB73B" w:rsidR="00E4393C" w:rsidRPr="009D0165" w:rsidRDefault="00E4393C" w:rsidP="000E3CCF">
            <w:pPr>
              <w:spacing w:after="0" w:line="276" w:lineRule="auto"/>
              <w:jc w:val="both"/>
              <w:rPr>
                <w:rFonts w:ascii="Book Antiqua" w:eastAsia="Times New Roman" w:hAnsi="Book Antiqua" w:cs="Arial"/>
                <w:b/>
                <w:bCs/>
                <w:color w:val="44546A"/>
                <w:lang w:eastAsia="es-CR"/>
              </w:rPr>
            </w:pPr>
            <w:r w:rsidRPr="00E4393C">
              <w:rPr>
                <w:rFonts w:ascii="Book Antiqua" w:eastAsia="Times New Roman" w:hAnsi="Book Antiqua" w:cs="Arial"/>
                <w:b/>
                <w:bCs/>
                <w:color w:val="44546A"/>
                <w:lang w:eastAsia="es-CR"/>
              </w:rPr>
              <w:t>Cantidad de Expedientes de Proyectos de Trámite Rápido de Familia Redactados</w:t>
            </w:r>
          </w:p>
        </w:tc>
        <w:tc>
          <w:tcPr>
            <w:tcW w:w="3386" w:type="pct"/>
            <w:shd w:val="clear" w:color="auto" w:fill="auto"/>
            <w:vAlign w:val="center"/>
          </w:tcPr>
          <w:p w14:paraId="0A36B76C" w14:textId="6FE6B3F1" w:rsidR="00E4393C" w:rsidRDefault="00E4393C" w:rsidP="009D0165">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Este indicador mide la cantidad de proyectos de trámite rápido de Familia redactados por la persona Juzgadora de Trámite.</w:t>
            </w:r>
          </w:p>
          <w:p w14:paraId="520A7363" w14:textId="702765CD" w:rsidR="00E4393C" w:rsidRDefault="00E4393C" w:rsidP="009D0165">
            <w:pPr>
              <w:spacing w:after="0" w:line="276" w:lineRule="auto"/>
              <w:jc w:val="both"/>
              <w:rPr>
                <w:rFonts w:ascii="Book Antiqua" w:eastAsia="Times New Roman" w:hAnsi="Book Antiqua" w:cs="Arial"/>
                <w:lang w:eastAsia="es-CR"/>
              </w:rPr>
            </w:pPr>
            <w:r w:rsidRPr="00E4393C">
              <w:rPr>
                <w:rFonts w:ascii="Book Antiqua" w:eastAsia="Times New Roman" w:hAnsi="Book Antiqua" w:cs="Arial"/>
                <w:lang w:eastAsia="es-CR"/>
              </w:rPr>
              <w:t>Cantidad de expedientes de Trámite Rápido redactados de Familia por la Jueza o Juez de Trámite</w:t>
            </w:r>
            <w:r>
              <w:rPr>
                <w:rFonts w:ascii="Book Antiqua" w:eastAsia="Times New Roman" w:hAnsi="Book Antiqua" w:cs="Arial"/>
                <w:lang w:eastAsia="es-CR"/>
              </w:rPr>
              <w:t xml:space="preserve">. </w:t>
            </w:r>
          </w:p>
          <w:p w14:paraId="6378D035" w14:textId="0178B8BD" w:rsidR="00E4393C" w:rsidRPr="009D0165" w:rsidRDefault="00E4393C" w:rsidP="009D0165">
            <w:pPr>
              <w:spacing w:after="0" w:line="276" w:lineRule="auto"/>
              <w:jc w:val="both"/>
              <w:rPr>
                <w:rFonts w:ascii="Book Antiqua" w:eastAsia="Times New Roman" w:hAnsi="Book Antiqua" w:cs="Arial"/>
                <w:lang w:eastAsia="es-CR"/>
              </w:rPr>
            </w:pPr>
            <w:r w:rsidRPr="00E4393C">
              <w:rPr>
                <w:rFonts w:ascii="Book Antiqua" w:eastAsia="Times New Roman" w:hAnsi="Book Antiqua" w:cs="Arial"/>
                <w:lang w:eastAsia="es-CR"/>
              </w:rPr>
              <w:t xml:space="preserve">Este dato se obtiene de los controles </w:t>
            </w:r>
            <w:r>
              <w:rPr>
                <w:rFonts w:ascii="Book Antiqua" w:eastAsia="Times New Roman" w:hAnsi="Book Antiqua" w:cs="Arial"/>
                <w:lang w:eastAsia="es-CR"/>
              </w:rPr>
              <w:t xml:space="preserve">propios </w:t>
            </w:r>
            <w:r w:rsidRPr="00E4393C">
              <w:rPr>
                <w:rFonts w:ascii="Book Antiqua" w:eastAsia="Times New Roman" w:hAnsi="Book Antiqua" w:cs="Arial"/>
                <w:lang w:eastAsia="es-CR"/>
              </w:rPr>
              <w:t>del Tribunal de Familia.</w:t>
            </w:r>
          </w:p>
        </w:tc>
      </w:tr>
      <w:tr w:rsidR="00E4393C" w:rsidRPr="009D0165" w14:paraId="31B47F85" w14:textId="77777777" w:rsidTr="009D0165">
        <w:trPr>
          <w:cantSplit/>
          <w:trHeight w:val="20"/>
        </w:trPr>
        <w:tc>
          <w:tcPr>
            <w:tcW w:w="468" w:type="pct"/>
            <w:vMerge/>
            <w:shd w:val="clear" w:color="auto" w:fill="F9DDD5"/>
          </w:tcPr>
          <w:p w14:paraId="45C9E8EF" w14:textId="77777777" w:rsidR="00E4393C" w:rsidRPr="009D0165" w:rsidRDefault="00E4393C"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6DFA00F9" w14:textId="5D1AAFB8" w:rsidR="00E4393C" w:rsidRDefault="00E4393C"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16</w:t>
            </w:r>
          </w:p>
        </w:tc>
        <w:tc>
          <w:tcPr>
            <w:tcW w:w="862" w:type="pct"/>
            <w:shd w:val="clear" w:color="auto" w:fill="FFFFFF"/>
            <w:vAlign w:val="center"/>
          </w:tcPr>
          <w:p w14:paraId="2B043CBB" w14:textId="634CFBF4" w:rsidR="00E4393C" w:rsidRPr="00E4393C" w:rsidRDefault="00E4393C" w:rsidP="000E3CCF">
            <w:pPr>
              <w:spacing w:after="0" w:line="276" w:lineRule="auto"/>
              <w:jc w:val="both"/>
              <w:rPr>
                <w:rFonts w:ascii="Book Antiqua" w:eastAsia="Times New Roman" w:hAnsi="Book Antiqua" w:cs="Arial"/>
                <w:b/>
                <w:bCs/>
                <w:color w:val="44546A"/>
                <w:lang w:eastAsia="es-CR"/>
              </w:rPr>
            </w:pPr>
            <w:r w:rsidRPr="00E4393C">
              <w:rPr>
                <w:rFonts w:ascii="Book Antiqua" w:eastAsia="Times New Roman" w:hAnsi="Book Antiqua" w:cs="Arial"/>
                <w:b/>
                <w:bCs/>
                <w:color w:val="44546A"/>
                <w:lang w:eastAsia="es-CR"/>
              </w:rPr>
              <w:t>Cantidad de Expedientes de Proyectos de Trámite Rápido de V.D. Redactados</w:t>
            </w:r>
          </w:p>
        </w:tc>
        <w:tc>
          <w:tcPr>
            <w:tcW w:w="3386" w:type="pct"/>
            <w:shd w:val="clear" w:color="auto" w:fill="auto"/>
            <w:vAlign w:val="center"/>
          </w:tcPr>
          <w:p w14:paraId="509AD529" w14:textId="11AB5DDB" w:rsidR="008A0099" w:rsidRDefault="008A0099" w:rsidP="008A009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Este indicador mide la cantidad de proyectos de trámite rápido de Violencia Doméstica redactados por la persona Juzgadora de Trámite.</w:t>
            </w:r>
          </w:p>
          <w:p w14:paraId="5EF05E62" w14:textId="77777777" w:rsidR="008A0099" w:rsidRDefault="008A0099" w:rsidP="008A0099">
            <w:pPr>
              <w:spacing w:after="0" w:line="276" w:lineRule="auto"/>
              <w:jc w:val="both"/>
              <w:rPr>
                <w:rFonts w:ascii="Book Antiqua" w:eastAsia="Times New Roman" w:hAnsi="Book Antiqua" w:cs="Arial"/>
                <w:lang w:eastAsia="es-CR"/>
              </w:rPr>
            </w:pPr>
            <w:r w:rsidRPr="00E4393C">
              <w:rPr>
                <w:rFonts w:ascii="Book Antiqua" w:eastAsia="Times New Roman" w:hAnsi="Book Antiqua" w:cs="Arial"/>
                <w:lang w:eastAsia="es-CR"/>
              </w:rPr>
              <w:t>Cantidad de expedientes de Trámite Rápido redactados de Familia por la Jueza o Juez de Trámite</w:t>
            </w:r>
            <w:r>
              <w:rPr>
                <w:rFonts w:ascii="Book Antiqua" w:eastAsia="Times New Roman" w:hAnsi="Book Antiqua" w:cs="Arial"/>
                <w:lang w:eastAsia="es-CR"/>
              </w:rPr>
              <w:t xml:space="preserve">. </w:t>
            </w:r>
          </w:p>
          <w:p w14:paraId="5C9A978A" w14:textId="4661C34C" w:rsidR="00E4393C" w:rsidRDefault="008A0099" w:rsidP="008A0099">
            <w:pPr>
              <w:spacing w:after="0" w:line="276" w:lineRule="auto"/>
              <w:jc w:val="both"/>
              <w:rPr>
                <w:rFonts w:ascii="Book Antiqua" w:eastAsia="Times New Roman" w:hAnsi="Book Antiqua" w:cs="Arial"/>
                <w:lang w:eastAsia="es-CR"/>
              </w:rPr>
            </w:pPr>
            <w:r w:rsidRPr="00E4393C">
              <w:rPr>
                <w:rFonts w:ascii="Book Antiqua" w:eastAsia="Times New Roman" w:hAnsi="Book Antiqua" w:cs="Arial"/>
                <w:lang w:eastAsia="es-CR"/>
              </w:rPr>
              <w:t xml:space="preserve">Este dato se obtiene de los controles </w:t>
            </w:r>
            <w:r>
              <w:rPr>
                <w:rFonts w:ascii="Book Antiqua" w:eastAsia="Times New Roman" w:hAnsi="Book Antiqua" w:cs="Arial"/>
                <w:lang w:eastAsia="es-CR"/>
              </w:rPr>
              <w:t xml:space="preserve">propios </w:t>
            </w:r>
            <w:r w:rsidRPr="00E4393C">
              <w:rPr>
                <w:rFonts w:ascii="Book Antiqua" w:eastAsia="Times New Roman" w:hAnsi="Book Antiqua" w:cs="Arial"/>
                <w:lang w:eastAsia="es-CR"/>
              </w:rPr>
              <w:t>del Tribunal de Familia.</w:t>
            </w:r>
          </w:p>
        </w:tc>
      </w:tr>
      <w:tr w:rsidR="008A0099" w:rsidRPr="009D0165" w14:paraId="558C2572" w14:textId="77777777" w:rsidTr="009D0165">
        <w:trPr>
          <w:cantSplit/>
          <w:trHeight w:val="20"/>
        </w:trPr>
        <w:tc>
          <w:tcPr>
            <w:tcW w:w="468" w:type="pct"/>
            <w:vMerge/>
            <w:shd w:val="clear" w:color="auto" w:fill="F9DDD5"/>
          </w:tcPr>
          <w:p w14:paraId="6B7677D0" w14:textId="77777777" w:rsidR="008A0099" w:rsidRPr="009D0165" w:rsidRDefault="008A0099"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3ADF4C2A" w14:textId="250F40AC" w:rsidR="008A0099" w:rsidRDefault="008A0099"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17</w:t>
            </w:r>
          </w:p>
        </w:tc>
        <w:tc>
          <w:tcPr>
            <w:tcW w:w="862" w:type="pct"/>
            <w:shd w:val="clear" w:color="auto" w:fill="FFFFFF"/>
            <w:vAlign w:val="center"/>
          </w:tcPr>
          <w:p w14:paraId="2379CCCA" w14:textId="10A0F832" w:rsidR="008A0099" w:rsidRPr="00E4393C" w:rsidRDefault="008A0099" w:rsidP="000E3CCF">
            <w:pPr>
              <w:spacing w:after="0" w:line="276" w:lineRule="auto"/>
              <w:jc w:val="both"/>
              <w:rPr>
                <w:rFonts w:ascii="Book Antiqua" w:eastAsia="Times New Roman" w:hAnsi="Book Antiqua" w:cs="Arial"/>
                <w:b/>
                <w:bCs/>
                <w:color w:val="44546A"/>
                <w:lang w:eastAsia="es-CR"/>
              </w:rPr>
            </w:pPr>
            <w:r w:rsidRPr="008A0099">
              <w:rPr>
                <w:rFonts w:ascii="Book Antiqua" w:eastAsia="Times New Roman" w:hAnsi="Book Antiqua" w:cs="Arial"/>
                <w:b/>
                <w:bCs/>
                <w:color w:val="44546A"/>
                <w:lang w:eastAsia="es-CR"/>
              </w:rPr>
              <w:t>Cantidad de Expedientes Revisados (general)</w:t>
            </w:r>
          </w:p>
        </w:tc>
        <w:tc>
          <w:tcPr>
            <w:tcW w:w="3386" w:type="pct"/>
            <w:shd w:val="clear" w:color="auto" w:fill="auto"/>
            <w:vAlign w:val="center"/>
          </w:tcPr>
          <w:p w14:paraId="4361639A" w14:textId="77777777" w:rsidR="008A0099" w:rsidRDefault="008A0099" w:rsidP="008A0099">
            <w:pPr>
              <w:spacing w:after="0" w:line="276" w:lineRule="auto"/>
              <w:jc w:val="both"/>
              <w:rPr>
                <w:rFonts w:ascii="Book Antiqua" w:eastAsia="Times New Roman" w:hAnsi="Book Antiqua" w:cs="Arial"/>
                <w:lang w:eastAsia="es-CR"/>
              </w:rPr>
            </w:pPr>
            <w:r w:rsidRPr="008A0099">
              <w:rPr>
                <w:rFonts w:ascii="Book Antiqua" w:eastAsia="Times New Roman" w:hAnsi="Book Antiqua" w:cs="Arial"/>
                <w:lang w:eastAsia="es-CR"/>
              </w:rPr>
              <w:t>Cantidad de expedientes revisados por la Jueza o Juez de Trámite</w:t>
            </w:r>
            <w:r>
              <w:rPr>
                <w:rFonts w:ascii="Book Antiqua" w:eastAsia="Times New Roman" w:hAnsi="Book Antiqua" w:cs="Arial"/>
                <w:lang w:eastAsia="es-CR"/>
              </w:rPr>
              <w:t>.</w:t>
            </w:r>
          </w:p>
          <w:p w14:paraId="12B21995" w14:textId="772D421A" w:rsidR="008A0099" w:rsidRDefault="008A0099" w:rsidP="008A0099">
            <w:pPr>
              <w:spacing w:after="0" w:line="276" w:lineRule="auto"/>
              <w:jc w:val="both"/>
              <w:rPr>
                <w:rFonts w:ascii="Book Antiqua" w:eastAsia="Times New Roman" w:hAnsi="Book Antiqua" w:cs="Arial"/>
                <w:lang w:eastAsia="es-CR"/>
              </w:rPr>
            </w:pPr>
            <w:r w:rsidRPr="008A0099">
              <w:rPr>
                <w:rFonts w:ascii="Book Antiqua" w:eastAsia="Times New Roman" w:hAnsi="Book Antiqua" w:cs="Arial"/>
                <w:lang w:eastAsia="es-CR"/>
              </w:rPr>
              <w:t>Este dato se obtiene de los controles del Tribunal de Familia.</w:t>
            </w:r>
          </w:p>
        </w:tc>
      </w:tr>
      <w:tr w:rsidR="009D0165" w:rsidRPr="009D0165" w14:paraId="2C641AD1" w14:textId="77777777" w:rsidTr="009D0165">
        <w:trPr>
          <w:cantSplit/>
          <w:trHeight w:val="20"/>
        </w:trPr>
        <w:tc>
          <w:tcPr>
            <w:tcW w:w="468" w:type="pct"/>
            <w:vMerge/>
            <w:shd w:val="clear" w:color="auto" w:fill="F9DDD5"/>
          </w:tcPr>
          <w:p w14:paraId="0B8E0B6C"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6358D4D2" w14:textId="24D2CFC0"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r w:rsidR="008A0099">
              <w:rPr>
                <w:rFonts w:ascii="Book Antiqua" w:eastAsia="Times New Roman" w:hAnsi="Book Antiqua" w:cs="Arial"/>
                <w:b/>
                <w:bCs/>
                <w:color w:val="44546A"/>
                <w:lang w:eastAsia="es-CR"/>
              </w:rPr>
              <w:t>8</w:t>
            </w:r>
          </w:p>
        </w:tc>
        <w:tc>
          <w:tcPr>
            <w:tcW w:w="862" w:type="pct"/>
            <w:shd w:val="clear" w:color="auto" w:fill="auto"/>
            <w:vAlign w:val="center"/>
            <w:hideMark/>
          </w:tcPr>
          <w:p w14:paraId="61E96B08"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sentencias dictadas por persona juzgadora</w:t>
            </w:r>
          </w:p>
        </w:tc>
        <w:tc>
          <w:tcPr>
            <w:tcW w:w="3386" w:type="pct"/>
            <w:shd w:val="clear" w:color="auto" w:fill="auto"/>
            <w:vAlign w:val="center"/>
            <w:hideMark/>
          </w:tcPr>
          <w:p w14:paraId="52BBFD94"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Indicador contabiliza la cantidad global de sentencias dictadas por cada persona juzgadora y por materia. </w:t>
            </w:r>
          </w:p>
          <w:p w14:paraId="10FBF148" w14:textId="3A945186"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Este dato se obtiene del Módulo de pase a fallo del Escritorio Virtual o Libro de Pase a Fallo</w:t>
            </w:r>
            <w:r w:rsidR="00F74947">
              <w:rPr>
                <w:rFonts w:ascii="Book Antiqua" w:eastAsia="Times New Roman" w:hAnsi="Book Antiqua" w:cs="Arial"/>
                <w:lang w:eastAsia="es-CR"/>
              </w:rPr>
              <w:t>.</w:t>
            </w:r>
          </w:p>
        </w:tc>
      </w:tr>
      <w:tr w:rsidR="009D0165" w:rsidRPr="009D0165" w14:paraId="602D38C6" w14:textId="77777777" w:rsidTr="009D0165">
        <w:trPr>
          <w:cantSplit/>
          <w:trHeight w:val="20"/>
        </w:trPr>
        <w:tc>
          <w:tcPr>
            <w:tcW w:w="468" w:type="pct"/>
            <w:vMerge/>
            <w:shd w:val="clear" w:color="auto" w:fill="F9DDD5"/>
          </w:tcPr>
          <w:p w14:paraId="17659E98"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FFFFFF"/>
            <w:vAlign w:val="center"/>
          </w:tcPr>
          <w:p w14:paraId="3081D874" w14:textId="29F17530" w:rsidR="009D0165" w:rsidRPr="009D0165" w:rsidRDefault="009D0165" w:rsidP="009D0165">
            <w:pPr>
              <w:spacing w:after="0" w:line="276" w:lineRule="auto"/>
              <w:jc w:val="center"/>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1</w:t>
            </w:r>
            <w:r w:rsidR="00F74947">
              <w:rPr>
                <w:rFonts w:ascii="Book Antiqua" w:eastAsia="Times New Roman" w:hAnsi="Book Antiqua" w:cs="Arial"/>
                <w:b/>
                <w:bCs/>
                <w:color w:val="44546A"/>
                <w:lang w:eastAsia="es-CR"/>
              </w:rPr>
              <w:t>9</w:t>
            </w:r>
          </w:p>
        </w:tc>
        <w:tc>
          <w:tcPr>
            <w:tcW w:w="862" w:type="pct"/>
            <w:shd w:val="clear" w:color="auto" w:fill="FFFFFF"/>
            <w:vAlign w:val="center"/>
            <w:hideMark/>
          </w:tcPr>
          <w:p w14:paraId="0059AC91"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sentencias dictadas debido a votos salvados</w:t>
            </w:r>
          </w:p>
        </w:tc>
        <w:tc>
          <w:tcPr>
            <w:tcW w:w="3386" w:type="pct"/>
            <w:shd w:val="clear" w:color="auto" w:fill="auto"/>
            <w:vAlign w:val="center"/>
            <w:hideMark/>
          </w:tcPr>
          <w:p w14:paraId="0B3DE2AA" w14:textId="2F296E15"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Cantidad de sentencias dictadas debido a votos salvados por Jueza o Juez. Este dato se obtiene del Módulo de pase a fallo del Escritorio Virtual o Libro de Pase a Fallo.</w:t>
            </w:r>
          </w:p>
        </w:tc>
      </w:tr>
      <w:tr w:rsidR="009D0165" w:rsidRPr="009D0165" w14:paraId="51165E19" w14:textId="77777777" w:rsidTr="00306313">
        <w:trPr>
          <w:cantSplit/>
          <w:trHeight w:val="20"/>
        </w:trPr>
        <w:tc>
          <w:tcPr>
            <w:tcW w:w="468" w:type="pct"/>
            <w:vMerge/>
            <w:shd w:val="clear" w:color="auto" w:fill="F9DDD5"/>
          </w:tcPr>
          <w:p w14:paraId="41E7E1CE"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tcPr>
          <w:p w14:paraId="77CE7D3D" w14:textId="78F72F45" w:rsidR="009D0165" w:rsidRPr="009D0165" w:rsidRDefault="00F74947"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20</w:t>
            </w:r>
          </w:p>
        </w:tc>
        <w:tc>
          <w:tcPr>
            <w:tcW w:w="862" w:type="pct"/>
            <w:shd w:val="clear" w:color="auto" w:fill="auto"/>
            <w:vAlign w:val="center"/>
          </w:tcPr>
          <w:p w14:paraId="47A79275"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proyectos de resolución circulando pendiente de revisión</w:t>
            </w:r>
          </w:p>
        </w:tc>
        <w:tc>
          <w:tcPr>
            <w:tcW w:w="3386" w:type="pct"/>
            <w:shd w:val="clear" w:color="auto" w:fill="auto"/>
            <w:vAlign w:val="center"/>
          </w:tcPr>
          <w:p w14:paraId="02AA71BE"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Cantidad de Proyectos de Resolución Circulando por Jueza o Juez redactor pendientes de revisión por los integrantes del Tribunal.</w:t>
            </w:r>
          </w:p>
          <w:p w14:paraId="5FDA3454"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Este dato se obtiene del libro en el que se consigne las fechas de pase a fallo del expediente (Módulo de pase a fallo del Escritorio Virtual o Libro de Pase a Fallo) o sistema utilizado para esos efectos.</w:t>
            </w:r>
          </w:p>
        </w:tc>
      </w:tr>
      <w:tr w:rsidR="009D0165" w:rsidRPr="009D0165" w14:paraId="5D256D71" w14:textId="77777777" w:rsidTr="00306313">
        <w:trPr>
          <w:cantSplit/>
          <w:trHeight w:val="20"/>
        </w:trPr>
        <w:tc>
          <w:tcPr>
            <w:tcW w:w="468" w:type="pct"/>
            <w:vMerge/>
            <w:shd w:val="clear" w:color="auto" w:fill="F9DDD5"/>
          </w:tcPr>
          <w:p w14:paraId="6224BEEB"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tcPr>
          <w:p w14:paraId="36BD3568" w14:textId="2A5D36B2" w:rsidR="009D0165" w:rsidRPr="009D0165" w:rsidRDefault="00F74947"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21</w:t>
            </w:r>
          </w:p>
        </w:tc>
        <w:tc>
          <w:tcPr>
            <w:tcW w:w="862" w:type="pct"/>
            <w:shd w:val="clear" w:color="auto" w:fill="auto"/>
            <w:vAlign w:val="center"/>
          </w:tcPr>
          <w:p w14:paraId="13B6B02C" w14:textId="77777777"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Cantidad de escritos pendientes</w:t>
            </w:r>
          </w:p>
        </w:tc>
        <w:tc>
          <w:tcPr>
            <w:tcW w:w="3386" w:type="pct"/>
            <w:shd w:val="clear" w:color="auto" w:fill="auto"/>
            <w:vAlign w:val="center"/>
          </w:tcPr>
          <w:p w14:paraId="62915635"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Cantidad de escritos pendientes de resolver al finalizar el mes.</w:t>
            </w:r>
          </w:p>
          <w:p w14:paraId="7CA5215E"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Se obtiene de la bandeja de Escritos del Escritorio Virtual</w:t>
            </w:r>
          </w:p>
          <w:p w14:paraId="65FE057D"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Se deben revisar todos los Escritos que se encuentran Tramitándose, como los que se encuentran pendientes de distribuir, todas las ubicaciones, todos los Auxiliares, estado del escrito en trámite. </w:t>
            </w:r>
          </w:p>
        </w:tc>
      </w:tr>
      <w:tr w:rsidR="009D0165" w:rsidRPr="009D0165" w14:paraId="6434FF08" w14:textId="77777777" w:rsidTr="00306313">
        <w:trPr>
          <w:cantSplit/>
          <w:trHeight w:val="20"/>
        </w:trPr>
        <w:tc>
          <w:tcPr>
            <w:tcW w:w="468" w:type="pct"/>
            <w:vMerge/>
            <w:shd w:val="clear" w:color="auto" w:fill="F9DDD5"/>
          </w:tcPr>
          <w:p w14:paraId="7FE46A81" w14:textId="77777777" w:rsidR="009D0165" w:rsidRPr="009D0165" w:rsidRDefault="009D0165" w:rsidP="009D0165">
            <w:pPr>
              <w:spacing w:after="0" w:line="276" w:lineRule="auto"/>
              <w:jc w:val="center"/>
              <w:rPr>
                <w:rFonts w:ascii="Book Antiqua" w:eastAsia="Times New Roman" w:hAnsi="Book Antiqua" w:cs="Arial"/>
                <w:b/>
                <w:bCs/>
                <w:color w:val="44546A"/>
                <w:lang w:eastAsia="es-CR"/>
              </w:rPr>
            </w:pPr>
          </w:p>
        </w:tc>
        <w:tc>
          <w:tcPr>
            <w:tcW w:w="284" w:type="pct"/>
            <w:shd w:val="clear" w:color="auto" w:fill="auto"/>
            <w:vAlign w:val="center"/>
          </w:tcPr>
          <w:p w14:paraId="78D6CAA0" w14:textId="48033207" w:rsidR="009D0165" w:rsidRPr="009D0165" w:rsidRDefault="00F74947" w:rsidP="009D0165">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22</w:t>
            </w:r>
          </w:p>
        </w:tc>
        <w:tc>
          <w:tcPr>
            <w:tcW w:w="862" w:type="pct"/>
            <w:shd w:val="clear" w:color="auto" w:fill="auto"/>
            <w:vAlign w:val="center"/>
            <w:hideMark/>
          </w:tcPr>
          <w:p w14:paraId="63284E64" w14:textId="72BAB5F0" w:rsidR="009D0165" w:rsidRPr="009D0165" w:rsidRDefault="009D0165" w:rsidP="000E3CCF">
            <w:pPr>
              <w:spacing w:after="0" w:line="276" w:lineRule="auto"/>
              <w:jc w:val="both"/>
              <w:rPr>
                <w:rFonts w:ascii="Book Antiqua" w:eastAsia="Times New Roman" w:hAnsi="Book Antiqua" w:cs="Arial"/>
                <w:b/>
                <w:bCs/>
                <w:color w:val="44546A"/>
                <w:lang w:eastAsia="es-CR"/>
              </w:rPr>
            </w:pPr>
            <w:r w:rsidRPr="009D0165">
              <w:rPr>
                <w:rFonts w:ascii="Book Antiqua" w:eastAsia="Times New Roman" w:hAnsi="Book Antiqua" w:cs="Arial"/>
                <w:b/>
                <w:bCs/>
                <w:color w:val="44546A"/>
                <w:lang w:eastAsia="es-CR"/>
              </w:rPr>
              <w:t xml:space="preserve">Cantidad de expedientes devueltos a primera instancia por </w:t>
            </w:r>
            <w:r w:rsidR="00F74947">
              <w:rPr>
                <w:rFonts w:ascii="Book Antiqua" w:eastAsia="Times New Roman" w:hAnsi="Book Antiqua" w:cs="Arial"/>
                <w:b/>
                <w:bCs/>
                <w:color w:val="44546A"/>
                <w:lang w:eastAsia="es-CR"/>
              </w:rPr>
              <w:t>falta de trámite</w:t>
            </w:r>
          </w:p>
        </w:tc>
        <w:tc>
          <w:tcPr>
            <w:tcW w:w="3386" w:type="pct"/>
            <w:shd w:val="clear" w:color="auto" w:fill="auto"/>
            <w:vAlign w:val="center"/>
            <w:hideMark/>
          </w:tcPr>
          <w:p w14:paraId="1C542C52" w14:textId="77777777" w:rsidR="009D0165" w:rsidRPr="009D0165" w:rsidRDefault="009D0165" w:rsidP="009D0165">
            <w:pPr>
              <w:spacing w:after="0" w:line="276" w:lineRule="auto"/>
              <w:jc w:val="both"/>
              <w:rPr>
                <w:rFonts w:ascii="Book Antiqua" w:eastAsia="Times New Roman" w:hAnsi="Book Antiqua" w:cs="Arial"/>
                <w:lang w:eastAsia="es-CR"/>
              </w:rPr>
            </w:pPr>
            <w:r w:rsidRPr="009D0165">
              <w:rPr>
                <w:rFonts w:ascii="Book Antiqua" w:eastAsia="Times New Roman" w:hAnsi="Book Antiqua" w:cs="Arial"/>
                <w:lang w:eastAsia="es-CR"/>
              </w:rPr>
              <w:t xml:space="preserve">Este dato se obtiene del Sistema de Gestión. </w:t>
            </w:r>
          </w:p>
        </w:tc>
      </w:tr>
    </w:tbl>
    <w:p w14:paraId="70409D32" w14:textId="6C621F62" w:rsidR="00795EE6" w:rsidRPr="00AD4D81" w:rsidRDefault="00AD4D81" w:rsidP="00355630">
      <w:pPr>
        <w:spacing w:after="0" w:line="276" w:lineRule="auto"/>
        <w:jc w:val="both"/>
        <w:rPr>
          <w:rFonts w:ascii="Book Antiqua" w:eastAsia="Calibri" w:hAnsi="Book Antiqua" w:cs="Arial"/>
          <w:i/>
          <w:iCs/>
          <w:sz w:val="20"/>
          <w:szCs w:val="20"/>
        </w:rPr>
      </w:pPr>
      <w:r w:rsidRPr="00AD4D81">
        <w:rPr>
          <w:rFonts w:ascii="Book Antiqua" w:eastAsia="Calibri" w:hAnsi="Book Antiqua" w:cs="Arial"/>
          <w:i/>
          <w:iCs/>
          <w:sz w:val="20"/>
          <w:szCs w:val="20"/>
        </w:rPr>
        <w:t>Fuente: Subproceso de Modernización Institucional de la Dirección de Planificación.</w:t>
      </w:r>
    </w:p>
    <w:p w14:paraId="7292192C" w14:textId="69DCABFC" w:rsidR="00795EE6" w:rsidRDefault="00795EE6" w:rsidP="00355630">
      <w:pPr>
        <w:spacing w:after="0" w:line="276" w:lineRule="auto"/>
        <w:jc w:val="both"/>
        <w:rPr>
          <w:rFonts w:ascii="Book Antiqua" w:eastAsia="Calibri" w:hAnsi="Book Antiqua" w:cs="Arial"/>
          <w:sz w:val="24"/>
          <w:szCs w:val="24"/>
        </w:rPr>
      </w:pPr>
    </w:p>
    <w:p w14:paraId="07F41614" w14:textId="77777777" w:rsidR="008456A9" w:rsidRDefault="008456A9" w:rsidP="008456A9">
      <w:pPr>
        <w:spacing w:after="0" w:line="276" w:lineRule="auto"/>
        <w:jc w:val="both"/>
        <w:rPr>
          <w:rFonts w:ascii="Book Antiqua" w:eastAsia="Calibri" w:hAnsi="Book Antiqua" w:cs="Arial"/>
          <w:b/>
          <w:bCs/>
          <w:sz w:val="24"/>
          <w:szCs w:val="24"/>
        </w:rPr>
      </w:pPr>
    </w:p>
    <w:p w14:paraId="23B8BD57" w14:textId="77777777" w:rsidR="008456A9" w:rsidRDefault="008456A9" w:rsidP="008456A9">
      <w:pPr>
        <w:spacing w:after="0" w:line="276" w:lineRule="auto"/>
        <w:jc w:val="both"/>
        <w:rPr>
          <w:rFonts w:ascii="Book Antiqua" w:eastAsia="Calibri" w:hAnsi="Book Antiqua" w:cs="Arial"/>
          <w:b/>
          <w:bCs/>
          <w:sz w:val="24"/>
          <w:szCs w:val="24"/>
        </w:rPr>
      </w:pPr>
    </w:p>
    <w:p w14:paraId="3B853D57" w14:textId="77777777" w:rsidR="008456A9" w:rsidRDefault="008456A9" w:rsidP="008456A9">
      <w:pPr>
        <w:spacing w:after="0" w:line="276" w:lineRule="auto"/>
        <w:jc w:val="both"/>
        <w:rPr>
          <w:rFonts w:ascii="Book Antiqua" w:eastAsia="Calibri" w:hAnsi="Book Antiqua" w:cs="Arial"/>
          <w:b/>
          <w:bCs/>
          <w:sz w:val="24"/>
          <w:szCs w:val="24"/>
        </w:rPr>
      </w:pPr>
    </w:p>
    <w:p w14:paraId="3C45B7C8" w14:textId="01447D3D" w:rsidR="00035CF6" w:rsidRPr="008456A9" w:rsidRDefault="00035CF6" w:rsidP="008456A9">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lastRenderedPageBreak/>
        <w:t xml:space="preserve">Seguimiento </w:t>
      </w:r>
      <w:r w:rsidR="00035487" w:rsidRPr="008456A9">
        <w:rPr>
          <w:rFonts w:ascii="Book Antiqua" w:eastAsia="Calibri" w:hAnsi="Book Antiqua" w:cs="Arial"/>
          <w:b/>
          <w:bCs/>
          <w:sz w:val="24"/>
          <w:szCs w:val="24"/>
        </w:rPr>
        <w:t xml:space="preserve">de </w:t>
      </w:r>
      <w:r w:rsidRPr="008456A9">
        <w:rPr>
          <w:rFonts w:ascii="Book Antiqua" w:eastAsia="Calibri" w:hAnsi="Book Antiqua" w:cs="Arial"/>
          <w:b/>
          <w:bCs/>
          <w:sz w:val="24"/>
          <w:szCs w:val="24"/>
        </w:rPr>
        <w:t>indicadores</w:t>
      </w:r>
      <w:r w:rsidR="00035487" w:rsidRPr="008456A9">
        <w:rPr>
          <w:rFonts w:ascii="Book Antiqua" w:eastAsia="Calibri" w:hAnsi="Book Antiqua" w:cs="Arial"/>
          <w:b/>
          <w:bCs/>
          <w:sz w:val="24"/>
          <w:szCs w:val="24"/>
        </w:rPr>
        <w:t xml:space="preserve"> </w:t>
      </w:r>
    </w:p>
    <w:p w14:paraId="75CA11AA" w14:textId="77777777" w:rsidR="008456A9" w:rsidRDefault="008456A9" w:rsidP="00684AE9">
      <w:pPr>
        <w:spacing w:line="276" w:lineRule="auto"/>
        <w:jc w:val="both"/>
        <w:rPr>
          <w:rFonts w:ascii="Book Antiqua" w:hAnsi="Book Antiqua"/>
          <w:sz w:val="24"/>
          <w:szCs w:val="24"/>
        </w:rPr>
      </w:pPr>
    </w:p>
    <w:p w14:paraId="58906E60" w14:textId="047ACAFD" w:rsidR="00684AE9" w:rsidRDefault="00684AE9" w:rsidP="00684AE9">
      <w:pPr>
        <w:spacing w:line="276" w:lineRule="auto"/>
        <w:jc w:val="both"/>
        <w:rPr>
          <w:rFonts w:ascii="Book Antiqua" w:hAnsi="Book Antiqua"/>
          <w:sz w:val="24"/>
          <w:szCs w:val="24"/>
        </w:rPr>
      </w:pPr>
      <w:r>
        <w:rPr>
          <w:rFonts w:ascii="Book Antiqua" w:hAnsi="Book Antiqua"/>
          <w:sz w:val="24"/>
          <w:szCs w:val="24"/>
        </w:rPr>
        <w:t xml:space="preserve">En cuanto al seguimiento realizado al Tribunal de Familia relacionado con los indicadores de gestión para el periodo del 2021, en relación a los asuntos terminados el comportamiento no es contante, sin embargo, se mantienen en el estándar con excepción de los meses de abril, mayo y diciembre, se resalta junio como el mes en el que finalizaron más asuntos 227, se observa una tendencia a la alza del circulante, pero para diciembre 2021 se logró disminuir en 93 asuntos, en comparación con octubre, pasaron de 431 en octubre de ese año a 338 asuntos en diciembre, y una relación promedio de la salida entre la entrada de un 103%. </w:t>
      </w:r>
    </w:p>
    <w:p w14:paraId="37E74F00" w14:textId="4E773FE1" w:rsidR="00684AE9" w:rsidRDefault="00684AE9" w:rsidP="00684AE9">
      <w:pPr>
        <w:spacing w:line="276" w:lineRule="auto"/>
        <w:jc w:val="both"/>
        <w:rPr>
          <w:rFonts w:ascii="Book Antiqua" w:hAnsi="Book Antiqua"/>
          <w:sz w:val="24"/>
          <w:szCs w:val="24"/>
        </w:rPr>
      </w:pPr>
      <w:r>
        <w:rPr>
          <w:rFonts w:ascii="Book Antiqua" w:hAnsi="Book Antiqua"/>
          <w:sz w:val="24"/>
          <w:szCs w:val="24"/>
        </w:rPr>
        <w:t>De abril a diciembre 2021, el Tribunal confirmó 504 sentencias y revocó 247, anuló 184 sentencias de junio a diciembre 2021. El promedio del plazo de dictado de la sentencia es de 43 días por lo que se mantienen dentro del estándar (42 a 44), los escritos se resuelven en un promedio de dos días, el plazo de espera del expediente votado más antiguo pendiente de firmar la sentencia es de 42 días en promedio desde que se vota el proyecto hasta la aplicación de la última firma de la sentencia</w:t>
      </w:r>
      <w:r w:rsidR="008A18A2">
        <w:rPr>
          <w:rFonts w:ascii="Book Antiqua" w:hAnsi="Book Antiqua"/>
          <w:sz w:val="24"/>
          <w:szCs w:val="24"/>
        </w:rPr>
        <w:t xml:space="preserve"> (plazo que debe mejorar el Tribunal ya que se espera que el plazo entre la votación y la firma de la sentencia sea el menor posible)</w:t>
      </w:r>
      <w:r>
        <w:rPr>
          <w:rFonts w:ascii="Book Antiqua" w:hAnsi="Book Antiqua"/>
          <w:sz w:val="24"/>
          <w:szCs w:val="24"/>
        </w:rPr>
        <w:t>.</w:t>
      </w:r>
    </w:p>
    <w:p w14:paraId="3FCE875F" w14:textId="2C788454" w:rsidR="00684AE9" w:rsidRDefault="00684AE9" w:rsidP="00684AE9">
      <w:pPr>
        <w:spacing w:line="276" w:lineRule="auto"/>
        <w:jc w:val="both"/>
        <w:rPr>
          <w:rFonts w:ascii="Book Antiqua" w:hAnsi="Book Antiqua"/>
          <w:sz w:val="24"/>
          <w:szCs w:val="24"/>
        </w:rPr>
      </w:pPr>
      <w:r>
        <w:rPr>
          <w:rFonts w:ascii="Book Antiqua" w:hAnsi="Book Antiqua"/>
          <w:sz w:val="24"/>
          <w:szCs w:val="24"/>
        </w:rPr>
        <w:t xml:space="preserve">El pendiente de fallo en Familia en promedio es de 133 expedientes y en Violencia Doméstica de 21 asuntos, mientras que la cantidad de expedientes pasados a firmar por el personal técnico judicial es de 289 por mes y el promedio de firma de la persona Juzgadora de Trámite es de un 107%, de junio a diciembre la Jueza o Juez de trámite realizó en promedio redactó 24 proyectos de trámite rápido de Familia, 7 de Violencia Doméstica y revisó 181 expedientes; por otra parte, las personas juzgadoras en promedio dictaron 136 sentencias y una en promedio debido a voto salvado y 5 proyectos de resolución circulando por </w:t>
      </w:r>
      <w:r w:rsidR="008A18A2">
        <w:rPr>
          <w:rFonts w:ascii="Book Antiqua" w:hAnsi="Book Antiqua"/>
          <w:sz w:val="24"/>
          <w:szCs w:val="24"/>
        </w:rPr>
        <w:t>Jueza o Juez</w:t>
      </w:r>
      <w:r>
        <w:rPr>
          <w:rFonts w:ascii="Book Antiqua" w:hAnsi="Book Antiqua"/>
          <w:sz w:val="24"/>
          <w:szCs w:val="24"/>
        </w:rPr>
        <w:t xml:space="preserve"> redactor </w:t>
      </w:r>
      <w:r w:rsidR="008A18A2">
        <w:rPr>
          <w:rFonts w:ascii="Book Antiqua" w:hAnsi="Book Antiqua"/>
          <w:sz w:val="24"/>
          <w:szCs w:val="24"/>
        </w:rPr>
        <w:t xml:space="preserve">se mantienen al mes </w:t>
      </w:r>
      <w:r>
        <w:rPr>
          <w:rFonts w:ascii="Book Antiqua" w:hAnsi="Book Antiqua"/>
          <w:sz w:val="24"/>
          <w:szCs w:val="24"/>
        </w:rPr>
        <w:t>pendiente de revisión por los integrantes del tribunal.</w:t>
      </w:r>
    </w:p>
    <w:p w14:paraId="712C0F37" w14:textId="77777777" w:rsidR="00684AE9" w:rsidRDefault="00684AE9" w:rsidP="00684AE9">
      <w:pPr>
        <w:spacing w:line="276" w:lineRule="auto"/>
        <w:jc w:val="both"/>
        <w:rPr>
          <w:rFonts w:ascii="Book Antiqua" w:hAnsi="Book Antiqua"/>
          <w:sz w:val="24"/>
          <w:szCs w:val="24"/>
        </w:rPr>
      </w:pPr>
      <w:r>
        <w:rPr>
          <w:rFonts w:ascii="Book Antiqua" w:hAnsi="Book Antiqua"/>
          <w:sz w:val="24"/>
          <w:szCs w:val="24"/>
        </w:rPr>
        <w:t>Por último, se tiene un promedio de cinco escritos pendientes de resolver y en promedio se devolvieron 16 expedientes a primera instancia por falta de trámite.</w:t>
      </w:r>
    </w:p>
    <w:p w14:paraId="2B1ED2F9" w14:textId="77777777" w:rsidR="00684AE9" w:rsidRDefault="00684AE9" w:rsidP="00355630">
      <w:pPr>
        <w:spacing w:after="0" w:line="276" w:lineRule="auto"/>
        <w:jc w:val="both"/>
        <w:rPr>
          <w:rFonts w:ascii="Book Antiqua" w:eastAsia="Calibri" w:hAnsi="Book Antiqua" w:cs="Arial"/>
          <w:sz w:val="24"/>
          <w:szCs w:val="24"/>
        </w:rPr>
      </w:pPr>
    </w:p>
    <w:p w14:paraId="319668D1" w14:textId="77777777" w:rsidR="009F59E8" w:rsidRDefault="009F59E8" w:rsidP="009F59E8">
      <w:pPr>
        <w:spacing w:after="0" w:line="276" w:lineRule="auto"/>
        <w:jc w:val="both"/>
        <w:rPr>
          <w:rFonts w:ascii="Book Antiqua" w:eastAsia="Calibri" w:hAnsi="Book Antiqua" w:cs="Arial"/>
          <w:b/>
          <w:bCs/>
          <w:sz w:val="24"/>
          <w:szCs w:val="24"/>
        </w:rPr>
      </w:pPr>
    </w:p>
    <w:p w14:paraId="165E4715" w14:textId="77777777" w:rsidR="009F59E8" w:rsidRDefault="009F59E8" w:rsidP="009F59E8">
      <w:pPr>
        <w:spacing w:after="0" w:line="276" w:lineRule="auto"/>
        <w:jc w:val="both"/>
        <w:rPr>
          <w:rFonts w:ascii="Book Antiqua" w:eastAsia="Calibri" w:hAnsi="Book Antiqua" w:cs="Arial"/>
          <w:b/>
          <w:bCs/>
          <w:sz w:val="24"/>
          <w:szCs w:val="24"/>
        </w:rPr>
      </w:pPr>
    </w:p>
    <w:p w14:paraId="7A748B30" w14:textId="723FD86A" w:rsidR="00035487" w:rsidRPr="009F59E8" w:rsidRDefault="00035487" w:rsidP="009F59E8">
      <w:pPr>
        <w:spacing w:after="0" w:line="276" w:lineRule="auto"/>
        <w:jc w:val="both"/>
        <w:rPr>
          <w:rFonts w:ascii="Book Antiqua" w:eastAsia="Calibri" w:hAnsi="Book Antiqua" w:cs="Arial"/>
          <w:b/>
          <w:bCs/>
          <w:sz w:val="24"/>
          <w:szCs w:val="24"/>
        </w:rPr>
      </w:pPr>
      <w:r w:rsidRPr="008456A9">
        <w:rPr>
          <w:rFonts w:ascii="Book Antiqua" w:eastAsia="Calibri" w:hAnsi="Book Antiqua" w:cs="Arial"/>
          <w:b/>
          <w:bCs/>
          <w:sz w:val="24"/>
          <w:szCs w:val="24"/>
        </w:rPr>
        <w:lastRenderedPageBreak/>
        <w:t>Impacto en el Tribunal por los cambios de competencia, reforma al artículo 99</w:t>
      </w:r>
      <w:r w:rsidRPr="009F59E8">
        <w:rPr>
          <w:rFonts w:ascii="Book Antiqua" w:eastAsia="Calibri" w:hAnsi="Book Antiqua" w:cs="Arial"/>
          <w:b/>
          <w:bCs/>
          <w:sz w:val="24"/>
          <w:szCs w:val="24"/>
        </w:rPr>
        <w:t xml:space="preserve"> LOPJ </w:t>
      </w:r>
    </w:p>
    <w:p w14:paraId="6E9EA449" w14:textId="77777777" w:rsidR="009F59E8" w:rsidRDefault="009F59E8" w:rsidP="00C94966">
      <w:pPr>
        <w:spacing w:after="0" w:line="276" w:lineRule="auto"/>
        <w:jc w:val="both"/>
        <w:rPr>
          <w:rFonts w:ascii="Book Antiqua" w:eastAsia="Calibri" w:hAnsi="Book Antiqua" w:cs="Arial"/>
          <w:sz w:val="24"/>
          <w:szCs w:val="24"/>
        </w:rPr>
      </w:pPr>
    </w:p>
    <w:p w14:paraId="08BC2F90" w14:textId="39D9ABBF" w:rsidR="00C94966" w:rsidRPr="00C94966"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t xml:space="preserve">Para conocer el impacto que generaría </w:t>
      </w:r>
      <w:r w:rsidR="003122A3">
        <w:rPr>
          <w:rFonts w:ascii="Book Antiqua" w:eastAsia="Calibri" w:hAnsi="Book Antiqua" w:cs="Arial"/>
          <w:sz w:val="24"/>
          <w:szCs w:val="24"/>
        </w:rPr>
        <w:t xml:space="preserve">la entrada en vigencia del CPF en el Tribunal de Familia, </w:t>
      </w:r>
      <w:r w:rsidRPr="00C94966">
        <w:rPr>
          <w:rFonts w:ascii="Book Antiqua" w:eastAsia="Calibri" w:hAnsi="Book Antiqua" w:cs="Arial"/>
          <w:sz w:val="24"/>
          <w:szCs w:val="24"/>
        </w:rPr>
        <w:t>se revisaron los datos estadísticos de los años 201</w:t>
      </w:r>
      <w:r w:rsidR="00407F65" w:rsidRPr="00407F65">
        <w:rPr>
          <w:rFonts w:ascii="Book Antiqua" w:eastAsia="Calibri" w:hAnsi="Book Antiqua" w:cs="Arial"/>
          <w:sz w:val="24"/>
          <w:szCs w:val="24"/>
        </w:rPr>
        <w:t>7</w:t>
      </w:r>
      <w:r w:rsidRPr="00C94966">
        <w:rPr>
          <w:rFonts w:ascii="Book Antiqua" w:eastAsia="Calibri" w:hAnsi="Book Antiqua" w:cs="Arial"/>
          <w:sz w:val="24"/>
          <w:szCs w:val="24"/>
        </w:rPr>
        <w:t>-20</w:t>
      </w:r>
      <w:r w:rsidR="00407F65" w:rsidRPr="00407F65">
        <w:rPr>
          <w:rFonts w:ascii="Book Antiqua" w:eastAsia="Calibri" w:hAnsi="Book Antiqua" w:cs="Arial"/>
          <w:sz w:val="24"/>
          <w:szCs w:val="24"/>
        </w:rPr>
        <w:t>2</w:t>
      </w:r>
      <w:r w:rsidRPr="00C94966">
        <w:rPr>
          <w:rFonts w:ascii="Book Antiqua" w:eastAsia="Calibri" w:hAnsi="Book Antiqua" w:cs="Arial"/>
          <w:sz w:val="24"/>
          <w:szCs w:val="24"/>
        </w:rPr>
        <w:t xml:space="preserve">1, por lo que se determina que la incidencia de </w:t>
      </w:r>
      <w:r w:rsidRPr="00FE2490">
        <w:rPr>
          <w:rFonts w:ascii="Book Antiqua" w:eastAsia="Calibri" w:hAnsi="Book Antiqua" w:cs="Arial"/>
          <w:sz w:val="24"/>
          <w:szCs w:val="24"/>
        </w:rPr>
        <w:t xml:space="preserve">procesos de restitución internacional es mínima, ya que durante dicho período el Tribunal de Familia recibió </w:t>
      </w:r>
      <w:r w:rsidR="00407F65" w:rsidRPr="00FE2490">
        <w:rPr>
          <w:rFonts w:ascii="Book Antiqua" w:eastAsia="Calibri" w:hAnsi="Book Antiqua" w:cs="Arial"/>
          <w:sz w:val="24"/>
          <w:szCs w:val="24"/>
        </w:rPr>
        <w:t>36</w:t>
      </w:r>
      <w:r w:rsidRPr="00FE2490">
        <w:rPr>
          <w:rFonts w:ascii="Book Antiqua" w:eastAsia="Calibri" w:hAnsi="Book Antiqua" w:cs="Arial"/>
          <w:sz w:val="24"/>
          <w:szCs w:val="24"/>
        </w:rPr>
        <w:t xml:space="preserve"> casos, cuatro ingresados en 2017</w:t>
      </w:r>
      <w:r w:rsidR="00407F65" w:rsidRPr="00FE2490">
        <w:rPr>
          <w:rFonts w:ascii="Book Antiqua" w:eastAsia="Calibri" w:hAnsi="Book Antiqua" w:cs="Arial"/>
          <w:sz w:val="24"/>
          <w:szCs w:val="24"/>
        </w:rPr>
        <w:t>,</w:t>
      </w:r>
      <w:r w:rsidRPr="00FE2490">
        <w:rPr>
          <w:rFonts w:ascii="Book Antiqua" w:eastAsia="Calibri" w:hAnsi="Book Antiqua" w:cs="Arial"/>
          <w:sz w:val="24"/>
          <w:szCs w:val="24"/>
        </w:rPr>
        <w:t xml:space="preserve"> cuatro en el 2018</w:t>
      </w:r>
      <w:r w:rsidR="00407F65" w:rsidRPr="00FE2490">
        <w:rPr>
          <w:rFonts w:ascii="Book Antiqua" w:eastAsia="Calibri" w:hAnsi="Book Antiqua" w:cs="Arial"/>
          <w:sz w:val="24"/>
          <w:szCs w:val="24"/>
        </w:rPr>
        <w:t xml:space="preserve">, cinco </w:t>
      </w:r>
      <w:r w:rsidR="00FE2490" w:rsidRPr="00FE2490">
        <w:rPr>
          <w:rFonts w:ascii="Book Antiqua" w:eastAsia="Calibri" w:hAnsi="Book Antiqua" w:cs="Arial"/>
          <w:sz w:val="24"/>
          <w:szCs w:val="24"/>
        </w:rPr>
        <w:t xml:space="preserve">en </w:t>
      </w:r>
      <w:r w:rsidR="00407F65" w:rsidRPr="00FE2490">
        <w:rPr>
          <w:rFonts w:ascii="Book Antiqua" w:eastAsia="Calibri" w:hAnsi="Book Antiqua" w:cs="Arial"/>
          <w:sz w:val="24"/>
          <w:szCs w:val="24"/>
        </w:rPr>
        <w:t>2020</w:t>
      </w:r>
      <w:r w:rsidR="00FE2490" w:rsidRPr="00FE2490">
        <w:rPr>
          <w:rFonts w:ascii="Book Antiqua" w:eastAsia="Calibri" w:hAnsi="Book Antiqua" w:cs="Arial"/>
          <w:sz w:val="24"/>
          <w:szCs w:val="24"/>
        </w:rPr>
        <w:t>,</w:t>
      </w:r>
      <w:r w:rsidR="00407F65" w:rsidRPr="00FE2490">
        <w:rPr>
          <w:rFonts w:ascii="Book Antiqua" w:eastAsia="Calibri" w:hAnsi="Book Antiqua" w:cs="Arial"/>
          <w:sz w:val="24"/>
          <w:szCs w:val="24"/>
        </w:rPr>
        <w:t xml:space="preserve"> 23 en 2021</w:t>
      </w:r>
      <w:r w:rsidR="00FE2490" w:rsidRPr="00FE2490">
        <w:rPr>
          <w:rFonts w:ascii="Book Antiqua" w:eastAsia="Calibri" w:hAnsi="Book Antiqua" w:cs="Arial"/>
          <w:sz w:val="24"/>
          <w:szCs w:val="24"/>
        </w:rPr>
        <w:t xml:space="preserve"> y para el 2019 no se recibió ninguno</w:t>
      </w:r>
      <w:r w:rsidRPr="00FE2490">
        <w:rPr>
          <w:rFonts w:ascii="Book Antiqua" w:eastAsia="Calibri" w:hAnsi="Book Antiqua" w:cs="Arial"/>
          <w:sz w:val="24"/>
          <w:szCs w:val="24"/>
        </w:rPr>
        <w:t xml:space="preserve">. </w:t>
      </w:r>
    </w:p>
    <w:p w14:paraId="36795193" w14:textId="77777777" w:rsidR="00C94966" w:rsidRPr="00C94966" w:rsidRDefault="00C94966" w:rsidP="00C94966">
      <w:pPr>
        <w:spacing w:after="0" w:line="276" w:lineRule="auto"/>
        <w:jc w:val="both"/>
        <w:rPr>
          <w:rFonts w:ascii="Book Antiqua" w:eastAsia="Calibri" w:hAnsi="Book Antiqua" w:cs="Arial"/>
          <w:sz w:val="24"/>
          <w:szCs w:val="24"/>
        </w:rPr>
      </w:pPr>
    </w:p>
    <w:p w14:paraId="673B38F6" w14:textId="1C336F4C" w:rsidR="00C94966" w:rsidRPr="00C94966"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t>En cuanto a la desjudicialización de procesos, durante el período analizado el Tribunal de Familia acumuló un promedio mensual estimado de una apelación de proceso</w:t>
      </w:r>
      <w:r w:rsidR="00FE2490">
        <w:rPr>
          <w:rFonts w:ascii="Book Antiqua" w:eastAsia="Calibri" w:hAnsi="Book Antiqua" w:cs="Arial"/>
          <w:sz w:val="24"/>
          <w:szCs w:val="24"/>
        </w:rPr>
        <w:t>s</w:t>
      </w:r>
      <w:r w:rsidRPr="00C94966">
        <w:rPr>
          <w:rFonts w:ascii="Book Antiqua" w:eastAsia="Calibri" w:hAnsi="Book Antiqua" w:cs="Arial"/>
          <w:sz w:val="24"/>
          <w:szCs w:val="24"/>
        </w:rPr>
        <w:t xml:space="preserve"> de este tipo, las cuales al año representaron un 0,4% de la entrada general. Este dato surge de la siguiente información:</w:t>
      </w:r>
    </w:p>
    <w:p w14:paraId="6839B406" w14:textId="77777777" w:rsidR="00C94966" w:rsidRDefault="00C94966" w:rsidP="00355630">
      <w:pPr>
        <w:spacing w:after="0" w:line="276" w:lineRule="auto"/>
        <w:jc w:val="both"/>
        <w:rPr>
          <w:rFonts w:ascii="Book Antiqua" w:eastAsia="Calibri" w:hAnsi="Book Antiqua" w:cs="Arial"/>
          <w:sz w:val="24"/>
          <w:szCs w:val="24"/>
        </w:rPr>
      </w:pPr>
    </w:p>
    <w:p w14:paraId="176AB30D" w14:textId="774FE64D" w:rsidR="00C94966" w:rsidRPr="00C94966" w:rsidRDefault="00C94966" w:rsidP="00C94966">
      <w:pPr>
        <w:keepNext/>
        <w:numPr>
          <w:ilvl w:val="12"/>
          <w:numId w:val="0"/>
        </w:numPr>
        <w:spacing w:after="0" w:line="276" w:lineRule="auto"/>
        <w:jc w:val="center"/>
        <w:rPr>
          <w:rFonts w:ascii="Book Antiqua" w:eastAsia="Calibri" w:hAnsi="Book Antiqua" w:cs="Arial"/>
          <w:b/>
          <w:bCs/>
          <w:color w:val="1F497D"/>
          <w:szCs w:val="24"/>
          <w:lang w:val="es-ES" w:eastAsia="es-ES"/>
        </w:rPr>
      </w:pPr>
      <w:bookmarkStart w:id="55" w:name="_Hlk97402028"/>
      <w:r w:rsidRPr="00C94966">
        <w:rPr>
          <w:rFonts w:ascii="Book Antiqua" w:eastAsia="Calibri" w:hAnsi="Book Antiqua" w:cs="Arial"/>
          <w:b/>
          <w:bCs/>
          <w:color w:val="1F497D"/>
          <w:szCs w:val="24"/>
          <w:lang w:val="es-ES" w:eastAsia="es-ES"/>
        </w:rPr>
        <w:t xml:space="preserve">Cuadro </w:t>
      </w:r>
      <w:r w:rsidRPr="00C94966">
        <w:rPr>
          <w:rFonts w:ascii="Book Antiqua" w:eastAsia="Calibri" w:hAnsi="Book Antiqua" w:cs="Arial"/>
          <w:b/>
          <w:bCs/>
          <w:color w:val="1F497D"/>
          <w:szCs w:val="24"/>
          <w:lang w:val="es-ES" w:eastAsia="es-ES"/>
        </w:rPr>
        <w:fldChar w:fldCharType="begin"/>
      </w:r>
      <w:r w:rsidRPr="00C94966">
        <w:rPr>
          <w:rFonts w:ascii="Book Antiqua" w:eastAsia="Calibri" w:hAnsi="Book Antiqua" w:cs="Arial"/>
          <w:b/>
          <w:bCs/>
          <w:color w:val="1F497D"/>
          <w:szCs w:val="24"/>
          <w:lang w:val="es-ES" w:eastAsia="es-ES"/>
        </w:rPr>
        <w:instrText xml:space="preserve"> SEQ Cuadro \* ARABIC </w:instrText>
      </w:r>
      <w:r w:rsidRPr="00C9496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57</w:t>
      </w:r>
      <w:r w:rsidRPr="00C94966">
        <w:rPr>
          <w:rFonts w:ascii="Book Antiqua" w:eastAsia="Calibri" w:hAnsi="Book Antiqua" w:cs="Arial"/>
          <w:b/>
          <w:bCs/>
          <w:color w:val="1F497D"/>
          <w:szCs w:val="24"/>
          <w:lang w:val="es-ES" w:eastAsia="es-ES"/>
        </w:rPr>
        <w:fldChar w:fldCharType="end"/>
      </w:r>
      <w:r w:rsidRPr="00C94966">
        <w:rPr>
          <w:rFonts w:ascii="Book Antiqua" w:eastAsia="Calibri" w:hAnsi="Book Antiqua" w:cs="Arial"/>
          <w:b/>
          <w:bCs/>
          <w:color w:val="1F497D"/>
          <w:szCs w:val="24"/>
          <w:lang w:val="es-ES" w:eastAsia="es-ES"/>
        </w:rPr>
        <w:t xml:space="preserve"> </w:t>
      </w:r>
    </w:p>
    <w:p w14:paraId="7363C04D" w14:textId="78C78BC9" w:rsidR="00C94966" w:rsidRPr="00C94966" w:rsidRDefault="00C94966" w:rsidP="00C94966">
      <w:pPr>
        <w:keepNext/>
        <w:numPr>
          <w:ilvl w:val="12"/>
          <w:numId w:val="0"/>
        </w:numPr>
        <w:spacing w:after="0" w:line="276" w:lineRule="auto"/>
        <w:jc w:val="center"/>
        <w:rPr>
          <w:rFonts w:ascii="Book Antiqua" w:eastAsia="Calibri" w:hAnsi="Book Antiqua" w:cs="Arial"/>
          <w:b/>
          <w:bCs/>
          <w:color w:val="1F497D"/>
          <w:szCs w:val="24"/>
          <w:lang w:val="es-ES" w:eastAsia="es-ES"/>
        </w:rPr>
      </w:pPr>
      <w:r w:rsidRPr="00C94966">
        <w:rPr>
          <w:rFonts w:ascii="Book Antiqua" w:eastAsia="Calibri" w:hAnsi="Book Antiqua" w:cs="Arial"/>
          <w:b/>
          <w:bCs/>
          <w:color w:val="1F497D"/>
          <w:szCs w:val="24"/>
          <w:lang w:val="es-ES" w:eastAsia="es-ES"/>
        </w:rPr>
        <w:t>Movimiento de asuntos que se desjudicializan en el Tribunal de Familia 201</w:t>
      </w:r>
      <w:r w:rsidR="00C06535" w:rsidRPr="00C06535">
        <w:rPr>
          <w:rFonts w:ascii="Book Antiqua" w:eastAsia="Calibri" w:hAnsi="Book Antiqua" w:cs="Arial"/>
          <w:b/>
          <w:bCs/>
          <w:color w:val="1F497D"/>
          <w:szCs w:val="24"/>
          <w:lang w:val="es-ES" w:eastAsia="es-ES"/>
        </w:rPr>
        <w:t>7</w:t>
      </w:r>
      <w:r w:rsidRPr="00C94966">
        <w:rPr>
          <w:rFonts w:ascii="Book Antiqua" w:eastAsia="Calibri" w:hAnsi="Book Antiqua" w:cs="Arial"/>
          <w:b/>
          <w:bCs/>
          <w:color w:val="1F497D"/>
          <w:szCs w:val="24"/>
          <w:lang w:val="es-ES" w:eastAsia="es-ES"/>
        </w:rPr>
        <w:t>-20</w:t>
      </w:r>
      <w:r w:rsidR="00C06535" w:rsidRPr="00C06535">
        <w:rPr>
          <w:rFonts w:ascii="Book Antiqua" w:eastAsia="Calibri" w:hAnsi="Book Antiqua" w:cs="Arial"/>
          <w:b/>
          <w:bCs/>
          <w:color w:val="1F497D"/>
          <w:szCs w:val="24"/>
          <w:lang w:val="es-ES" w:eastAsia="es-ES"/>
        </w:rPr>
        <w:t>2</w:t>
      </w:r>
      <w:r w:rsidRPr="00C94966">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3807"/>
        <w:gridCol w:w="1002"/>
        <w:gridCol w:w="1002"/>
        <w:gridCol w:w="1002"/>
        <w:gridCol w:w="1002"/>
        <w:gridCol w:w="1003"/>
      </w:tblGrid>
      <w:tr w:rsidR="00C06535" w:rsidRPr="008E601B" w14:paraId="5CA83BD4" w14:textId="77777777" w:rsidTr="00C06535">
        <w:trPr>
          <w:trHeight w:val="320"/>
        </w:trPr>
        <w:tc>
          <w:tcPr>
            <w:tcW w:w="2159" w:type="pct"/>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bookmarkEnd w:id="55"/>
          <w:p w14:paraId="7D2D35A9"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Variable</w:t>
            </w:r>
          </w:p>
        </w:tc>
        <w:tc>
          <w:tcPr>
            <w:tcW w:w="2841" w:type="pct"/>
            <w:gridSpan w:val="5"/>
            <w:tcBorders>
              <w:top w:val="single" w:sz="8" w:space="0" w:color="auto"/>
              <w:left w:val="nil"/>
              <w:bottom w:val="single" w:sz="8" w:space="0" w:color="auto"/>
              <w:right w:val="single" w:sz="8" w:space="0" w:color="000000"/>
            </w:tcBorders>
            <w:shd w:val="clear" w:color="000000" w:fill="002060"/>
            <w:noWrap/>
            <w:vAlign w:val="center"/>
            <w:hideMark/>
          </w:tcPr>
          <w:p w14:paraId="4A7098F1"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Año</w:t>
            </w:r>
          </w:p>
        </w:tc>
      </w:tr>
      <w:tr w:rsidR="00C06535" w:rsidRPr="008E601B" w14:paraId="2ACC77BD" w14:textId="77777777" w:rsidTr="00C06535">
        <w:trPr>
          <w:trHeight w:val="320"/>
        </w:trPr>
        <w:tc>
          <w:tcPr>
            <w:tcW w:w="2159" w:type="pct"/>
            <w:vMerge/>
            <w:tcBorders>
              <w:top w:val="single" w:sz="8" w:space="0" w:color="auto"/>
              <w:left w:val="single" w:sz="8" w:space="0" w:color="auto"/>
              <w:bottom w:val="single" w:sz="8" w:space="0" w:color="000000"/>
              <w:right w:val="single" w:sz="8" w:space="0" w:color="auto"/>
            </w:tcBorders>
            <w:vAlign w:val="center"/>
            <w:hideMark/>
          </w:tcPr>
          <w:p w14:paraId="3D0C0B88" w14:textId="77777777" w:rsidR="00C06535" w:rsidRPr="001D0C10" w:rsidRDefault="00C06535" w:rsidP="00C06535">
            <w:pPr>
              <w:spacing w:after="0" w:line="240" w:lineRule="auto"/>
              <w:rPr>
                <w:rFonts w:ascii="Book Antiqua" w:eastAsia="Times New Roman" w:hAnsi="Book Antiqua" w:cs="Calibri"/>
                <w:b/>
                <w:bCs/>
                <w:color w:val="FFFFFF"/>
                <w:lang w:eastAsia="es-CR"/>
              </w:rPr>
            </w:pPr>
          </w:p>
        </w:tc>
        <w:tc>
          <w:tcPr>
            <w:tcW w:w="568" w:type="pct"/>
            <w:tcBorders>
              <w:top w:val="nil"/>
              <w:left w:val="nil"/>
              <w:bottom w:val="single" w:sz="8" w:space="0" w:color="auto"/>
              <w:right w:val="single" w:sz="8" w:space="0" w:color="auto"/>
            </w:tcBorders>
            <w:shd w:val="clear" w:color="000000" w:fill="002060"/>
            <w:noWrap/>
            <w:vAlign w:val="center"/>
            <w:hideMark/>
          </w:tcPr>
          <w:p w14:paraId="1223403E"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2017</w:t>
            </w:r>
          </w:p>
        </w:tc>
        <w:tc>
          <w:tcPr>
            <w:tcW w:w="568" w:type="pct"/>
            <w:tcBorders>
              <w:top w:val="nil"/>
              <w:left w:val="nil"/>
              <w:bottom w:val="single" w:sz="8" w:space="0" w:color="auto"/>
              <w:right w:val="single" w:sz="8" w:space="0" w:color="auto"/>
            </w:tcBorders>
            <w:shd w:val="clear" w:color="000000" w:fill="002060"/>
            <w:noWrap/>
            <w:vAlign w:val="center"/>
            <w:hideMark/>
          </w:tcPr>
          <w:p w14:paraId="6D644A36"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2018</w:t>
            </w:r>
          </w:p>
        </w:tc>
        <w:tc>
          <w:tcPr>
            <w:tcW w:w="568" w:type="pct"/>
            <w:tcBorders>
              <w:top w:val="nil"/>
              <w:left w:val="nil"/>
              <w:bottom w:val="single" w:sz="8" w:space="0" w:color="auto"/>
              <w:right w:val="single" w:sz="8" w:space="0" w:color="auto"/>
            </w:tcBorders>
            <w:shd w:val="clear" w:color="000000" w:fill="002060"/>
            <w:noWrap/>
            <w:vAlign w:val="center"/>
            <w:hideMark/>
          </w:tcPr>
          <w:p w14:paraId="3B7FE298"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2019</w:t>
            </w:r>
          </w:p>
        </w:tc>
        <w:tc>
          <w:tcPr>
            <w:tcW w:w="568" w:type="pct"/>
            <w:tcBorders>
              <w:top w:val="nil"/>
              <w:left w:val="nil"/>
              <w:bottom w:val="single" w:sz="8" w:space="0" w:color="auto"/>
              <w:right w:val="single" w:sz="8" w:space="0" w:color="auto"/>
            </w:tcBorders>
            <w:shd w:val="clear" w:color="000000" w:fill="002060"/>
            <w:noWrap/>
            <w:vAlign w:val="center"/>
            <w:hideMark/>
          </w:tcPr>
          <w:p w14:paraId="3424A721"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2020</w:t>
            </w:r>
          </w:p>
        </w:tc>
        <w:tc>
          <w:tcPr>
            <w:tcW w:w="569" w:type="pct"/>
            <w:tcBorders>
              <w:top w:val="nil"/>
              <w:left w:val="nil"/>
              <w:bottom w:val="single" w:sz="8" w:space="0" w:color="auto"/>
              <w:right w:val="single" w:sz="8" w:space="0" w:color="auto"/>
            </w:tcBorders>
            <w:shd w:val="clear" w:color="000000" w:fill="002060"/>
            <w:noWrap/>
            <w:vAlign w:val="center"/>
            <w:hideMark/>
          </w:tcPr>
          <w:p w14:paraId="7D2C6285" w14:textId="77777777" w:rsidR="00C06535" w:rsidRPr="001D0C10" w:rsidRDefault="00C06535" w:rsidP="00C06535">
            <w:pPr>
              <w:spacing w:after="0" w:line="240" w:lineRule="auto"/>
              <w:jc w:val="center"/>
              <w:rPr>
                <w:rFonts w:ascii="Book Antiqua" w:eastAsia="Times New Roman" w:hAnsi="Book Antiqua" w:cs="Calibri"/>
                <w:b/>
                <w:bCs/>
                <w:color w:val="FFFFFF"/>
                <w:lang w:eastAsia="es-CR"/>
              </w:rPr>
            </w:pPr>
            <w:r w:rsidRPr="001D0C10">
              <w:rPr>
                <w:rFonts w:ascii="Book Antiqua" w:eastAsia="Times New Roman" w:hAnsi="Book Antiqua" w:cs="Calibri"/>
                <w:b/>
                <w:bCs/>
                <w:color w:val="FFFFFF"/>
                <w:lang w:eastAsia="es-CR"/>
              </w:rPr>
              <w:t>2021</w:t>
            </w:r>
          </w:p>
        </w:tc>
      </w:tr>
      <w:tr w:rsidR="00C06535" w:rsidRPr="008E601B" w14:paraId="5051CBCB" w14:textId="77777777" w:rsidTr="00C06535">
        <w:trPr>
          <w:trHeight w:val="62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011A4509"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Total de asuntos entrados al Tribunal de Familia (incluye Violencia Doméstica)</w:t>
            </w:r>
          </w:p>
        </w:tc>
        <w:tc>
          <w:tcPr>
            <w:tcW w:w="568" w:type="pct"/>
            <w:tcBorders>
              <w:top w:val="nil"/>
              <w:left w:val="nil"/>
              <w:bottom w:val="single" w:sz="8" w:space="0" w:color="auto"/>
              <w:right w:val="single" w:sz="8" w:space="0" w:color="auto"/>
            </w:tcBorders>
            <w:shd w:val="clear" w:color="000000" w:fill="FFFFFF"/>
            <w:noWrap/>
            <w:vAlign w:val="center"/>
            <w:hideMark/>
          </w:tcPr>
          <w:p w14:paraId="67D726A9"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1837</w:t>
            </w:r>
          </w:p>
        </w:tc>
        <w:tc>
          <w:tcPr>
            <w:tcW w:w="568" w:type="pct"/>
            <w:tcBorders>
              <w:top w:val="nil"/>
              <w:left w:val="nil"/>
              <w:bottom w:val="single" w:sz="8" w:space="0" w:color="auto"/>
              <w:right w:val="single" w:sz="8" w:space="0" w:color="auto"/>
            </w:tcBorders>
            <w:shd w:val="clear" w:color="000000" w:fill="FFFFFF"/>
            <w:noWrap/>
            <w:vAlign w:val="center"/>
            <w:hideMark/>
          </w:tcPr>
          <w:p w14:paraId="43F30AAC"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1772</w:t>
            </w:r>
          </w:p>
        </w:tc>
        <w:tc>
          <w:tcPr>
            <w:tcW w:w="568" w:type="pct"/>
            <w:tcBorders>
              <w:top w:val="nil"/>
              <w:left w:val="nil"/>
              <w:bottom w:val="single" w:sz="8" w:space="0" w:color="auto"/>
              <w:right w:val="single" w:sz="8" w:space="0" w:color="auto"/>
            </w:tcBorders>
            <w:shd w:val="clear" w:color="auto" w:fill="auto"/>
            <w:noWrap/>
            <w:vAlign w:val="center"/>
            <w:hideMark/>
          </w:tcPr>
          <w:p w14:paraId="5DED2F4A"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1892</w:t>
            </w:r>
          </w:p>
        </w:tc>
        <w:tc>
          <w:tcPr>
            <w:tcW w:w="568" w:type="pct"/>
            <w:tcBorders>
              <w:top w:val="nil"/>
              <w:left w:val="nil"/>
              <w:bottom w:val="single" w:sz="8" w:space="0" w:color="auto"/>
              <w:right w:val="single" w:sz="8" w:space="0" w:color="auto"/>
            </w:tcBorders>
            <w:shd w:val="clear" w:color="000000" w:fill="FFFFFF"/>
            <w:noWrap/>
            <w:vAlign w:val="center"/>
            <w:hideMark/>
          </w:tcPr>
          <w:p w14:paraId="6F3C1CAC"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1655</w:t>
            </w:r>
          </w:p>
        </w:tc>
        <w:tc>
          <w:tcPr>
            <w:tcW w:w="569" w:type="pct"/>
            <w:tcBorders>
              <w:top w:val="nil"/>
              <w:left w:val="nil"/>
              <w:bottom w:val="single" w:sz="8" w:space="0" w:color="auto"/>
              <w:right w:val="single" w:sz="8" w:space="0" w:color="auto"/>
            </w:tcBorders>
            <w:shd w:val="clear" w:color="auto" w:fill="auto"/>
            <w:noWrap/>
            <w:vAlign w:val="center"/>
            <w:hideMark/>
          </w:tcPr>
          <w:p w14:paraId="7024D6D0"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1963</w:t>
            </w:r>
          </w:p>
        </w:tc>
      </w:tr>
      <w:tr w:rsidR="00C06535" w:rsidRPr="008E601B" w14:paraId="3DA41423" w14:textId="77777777" w:rsidTr="00C06535">
        <w:trPr>
          <w:trHeight w:val="62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6D0409AE"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Total de apelaciones de procesos que se desjudicializan</w:t>
            </w:r>
          </w:p>
        </w:tc>
        <w:tc>
          <w:tcPr>
            <w:tcW w:w="568" w:type="pct"/>
            <w:tcBorders>
              <w:top w:val="nil"/>
              <w:left w:val="nil"/>
              <w:bottom w:val="single" w:sz="8" w:space="0" w:color="auto"/>
              <w:right w:val="single" w:sz="8" w:space="0" w:color="auto"/>
            </w:tcBorders>
            <w:shd w:val="clear" w:color="000000" w:fill="FFFFFF"/>
            <w:noWrap/>
            <w:vAlign w:val="center"/>
            <w:hideMark/>
          </w:tcPr>
          <w:p w14:paraId="4EF4375F"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8</w:t>
            </w:r>
          </w:p>
        </w:tc>
        <w:tc>
          <w:tcPr>
            <w:tcW w:w="568" w:type="pct"/>
            <w:tcBorders>
              <w:top w:val="nil"/>
              <w:left w:val="nil"/>
              <w:bottom w:val="single" w:sz="8" w:space="0" w:color="auto"/>
              <w:right w:val="single" w:sz="8" w:space="0" w:color="auto"/>
            </w:tcBorders>
            <w:shd w:val="clear" w:color="000000" w:fill="FFFFFF"/>
            <w:noWrap/>
            <w:vAlign w:val="center"/>
            <w:hideMark/>
          </w:tcPr>
          <w:p w14:paraId="09FD055E"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8</w:t>
            </w:r>
          </w:p>
        </w:tc>
        <w:tc>
          <w:tcPr>
            <w:tcW w:w="568" w:type="pct"/>
            <w:tcBorders>
              <w:top w:val="nil"/>
              <w:left w:val="nil"/>
              <w:bottom w:val="single" w:sz="8" w:space="0" w:color="auto"/>
              <w:right w:val="single" w:sz="8" w:space="0" w:color="auto"/>
            </w:tcBorders>
            <w:shd w:val="clear" w:color="auto" w:fill="auto"/>
            <w:noWrap/>
            <w:vAlign w:val="center"/>
            <w:hideMark/>
          </w:tcPr>
          <w:p w14:paraId="4AC3900F"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9</w:t>
            </w:r>
          </w:p>
        </w:tc>
        <w:tc>
          <w:tcPr>
            <w:tcW w:w="568" w:type="pct"/>
            <w:tcBorders>
              <w:top w:val="nil"/>
              <w:left w:val="nil"/>
              <w:bottom w:val="single" w:sz="8" w:space="0" w:color="auto"/>
              <w:right w:val="single" w:sz="8" w:space="0" w:color="auto"/>
            </w:tcBorders>
            <w:shd w:val="clear" w:color="000000" w:fill="FFFFFF"/>
            <w:noWrap/>
            <w:vAlign w:val="center"/>
            <w:hideMark/>
          </w:tcPr>
          <w:p w14:paraId="4B7A7008"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5</w:t>
            </w:r>
          </w:p>
        </w:tc>
        <w:tc>
          <w:tcPr>
            <w:tcW w:w="569" w:type="pct"/>
            <w:tcBorders>
              <w:top w:val="nil"/>
              <w:left w:val="nil"/>
              <w:bottom w:val="single" w:sz="8" w:space="0" w:color="auto"/>
              <w:right w:val="single" w:sz="8" w:space="0" w:color="auto"/>
            </w:tcBorders>
            <w:shd w:val="clear" w:color="auto" w:fill="auto"/>
            <w:noWrap/>
            <w:vAlign w:val="center"/>
            <w:hideMark/>
          </w:tcPr>
          <w:p w14:paraId="3328C1EB"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12</w:t>
            </w:r>
          </w:p>
        </w:tc>
      </w:tr>
      <w:tr w:rsidR="00C06535" w:rsidRPr="008E601B" w14:paraId="38A4DA5C" w14:textId="77777777" w:rsidTr="00C06535">
        <w:trPr>
          <w:trHeight w:val="93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5AA54C4B"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Promedio de entrada mensual de apelaciones de procesos que se desjudicializan</w:t>
            </w:r>
          </w:p>
        </w:tc>
        <w:tc>
          <w:tcPr>
            <w:tcW w:w="568" w:type="pct"/>
            <w:tcBorders>
              <w:top w:val="nil"/>
              <w:left w:val="nil"/>
              <w:bottom w:val="single" w:sz="8" w:space="0" w:color="auto"/>
              <w:right w:val="single" w:sz="8" w:space="0" w:color="auto"/>
            </w:tcBorders>
            <w:shd w:val="clear" w:color="000000" w:fill="FFFFFF"/>
            <w:noWrap/>
            <w:vAlign w:val="center"/>
            <w:hideMark/>
          </w:tcPr>
          <w:p w14:paraId="126CC153"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1</w:t>
            </w:r>
          </w:p>
        </w:tc>
        <w:tc>
          <w:tcPr>
            <w:tcW w:w="568" w:type="pct"/>
            <w:tcBorders>
              <w:top w:val="nil"/>
              <w:left w:val="nil"/>
              <w:bottom w:val="single" w:sz="8" w:space="0" w:color="auto"/>
              <w:right w:val="single" w:sz="8" w:space="0" w:color="auto"/>
            </w:tcBorders>
            <w:shd w:val="clear" w:color="000000" w:fill="FFFFFF"/>
            <w:noWrap/>
            <w:vAlign w:val="center"/>
            <w:hideMark/>
          </w:tcPr>
          <w:p w14:paraId="71414C17"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1</w:t>
            </w:r>
          </w:p>
        </w:tc>
        <w:tc>
          <w:tcPr>
            <w:tcW w:w="568" w:type="pct"/>
            <w:tcBorders>
              <w:top w:val="nil"/>
              <w:left w:val="nil"/>
              <w:bottom w:val="single" w:sz="8" w:space="0" w:color="auto"/>
              <w:right w:val="single" w:sz="8" w:space="0" w:color="auto"/>
            </w:tcBorders>
            <w:shd w:val="clear" w:color="000000" w:fill="FFFFFF"/>
            <w:noWrap/>
            <w:vAlign w:val="center"/>
            <w:hideMark/>
          </w:tcPr>
          <w:p w14:paraId="7110FE5F"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1</w:t>
            </w:r>
          </w:p>
        </w:tc>
        <w:tc>
          <w:tcPr>
            <w:tcW w:w="568" w:type="pct"/>
            <w:tcBorders>
              <w:top w:val="nil"/>
              <w:left w:val="nil"/>
              <w:bottom w:val="single" w:sz="8" w:space="0" w:color="auto"/>
              <w:right w:val="single" w:sz="8" w:space="0" w:color="auto"/>
            </w:tcBorders>
            <w:shd w:val="clear" w:color="000000" w:fill="FFFFFF"/>
            <w:noWrap/>
            <w:vAlign w:val="center"/>
            <w:hideMark/>
          </w:tcPr>
          <w:p w14:paraId="33FB71A2" w14:textId="64A81AD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0,4</w:t>
            </w:r>
          </w:p>
        </w:tc>
        <w:tc>
          <w:tcPr>
            <w:tcW w:w="569" w:type="pct"/>
            <w:tcBorders>
              <w:top w:val="nil"/>
              <w:left w:val="nil"/>
              <w:bottom w:val="single" w:sz="8" w:space="0" w:color="auto"/>
              <w:right w:val="single" w:sz="8" w:space="0" w:color="auto"/>
            </w:tcBorders>
            <w:shd w:val="clear" w:color="000000" w:fill="FFFFFF"/>
            <w:noWrap/>
            <w:vAlign w:val="center"/>
            <w:hideMark/>
          </w:tcPr>
          <w:p w14:paraId="504315B6" w14:textId="77777777"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1</w:t>
            </w:r>
          </w:p>
        </w:tc>
      </w:tr>
      <w:tr w:rsidR="00C06535" w:rsidRPr="008E601B" w14:paraId="0C219D20" w14:textId="77777777" w:rsidTr="00C06535">
        <w:trPr>
          <w:trHeight w:val="98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2759BCD6"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Promedio mensual estimado de apelaciones de procesos que se desjudicializan</w:t>
            </w:r>
          </w:p>
        </w:tc>
        <w:tc>
          <w:tcPr>
            <w:tcW w:w="2841" w:type="pct"/>
            <w:gridSpan w:val="5"/>
            <w:tcBorders>
              <w:top w:val="single" w:sz="8" w:space="0" w:color="auto"/>
              <w:left w:val="nil"/>
              <w:bottom w:val="single" w:sz="8" w:space="0" w:color="auto"/>
              <w:right w:val="single" w:sz="8" w:space="0" w:color="000000"/>
            </w:tcBorders>
            <w:shd w:val="clear" w:color="000000" w:fill="FFFFFF"/>
            <w:noWrap/>
            <w:vAlign w:val="center"/>
            <w:hideMark/>
          </w:tcPr>
          <w:p w14:paraId="38AE272C" w14:textId="6EB63EAD" w:rsidR="00C06535" w:rsidRPr="001D0C10" w:rsidRDefault="00C06535" w:rsidP="00C06535">
            <w:pPr>
              <w:spacing w:after="0" w:line="240" w:lineRule="auto"/>
              <w:jc w:val="center"/>
              <w:rPr>
                <w:rFonts w:ascii="Book Antiqua" w:eastAsia="Times New Roman" w:hAnsi="Book Antiqua" w:cs="Calibri"/>
                <w:b/>
                <w:bCs/>
                <w:color w:val="000000"/>
                <w:lang w:eastAsia="es-CR"/>
              </w:rPr>
            </w:pPr>
            <w:r w:rsidRPr="001D0C10">
              <w:rPr>
                <w:rFonts w:ascii="Book Antiqua" w:eastAsia="Times New Roman" w:hAnsi="Book Antiqua" w:cs="Calibri"/>
                <w:b/>
                <w:bCs/>
                <w:color w:val="000000"/>
                <w:lang w:eastAsia="es-CR"/>
              </w:rPr>
              <w:t>1</w:t>
            </w:r>
          </w:p>
        </w:tc>
      </w:tr>
      <w:tr w:rsidR="00C06535" w:rsidRPr="008E601B" w14:paraId="71CB2BF9" w14:textId="77777777" w:rsidTr="00C06535">
        <w:trPr>
          <w:trHeight w:val="62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00959BD0"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Porcentaje anual de apelaciones de procesos que se desjudicializan</w:t>
            </w:r>
          </w:p>
        </w:tc>
        <w:tc>
          <w:tcPr>
            <w:tcW w:w="568" w:type="pct"/>
            <w:tcBorders>
              <w:top w:val="nil"/>
              <w:left w:val="nil"/>
              <w:bottom w:val="single" w:sz="8" w:space="0" w:color="auto"/>
              <w:right w:val="single" w:sz="8" w:space="0" w:color="auto"/>
            </w:tcBorders>
            <w:shd w:val="clear" w:color="000000" w:fill="FFFFFF"/>
            <w:noWrap/>
            <w:vAlign w:val="center"/>
            <w:hideMark/>
          </w:tcPr>
          <w:p w14:paraId="06871D1C" w14:textId="33A04711"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0,4%</w:t>
            </w:r>
          </w:p>
        </w:tc>
        <w:tc>
          <w:tcPr>
            <w:tcW w:w="568" w:type="pct"/>
            <w:tcBorders>
              <w:top w:val="nil"/>
              <w:left w:val="nil"/>
              <w:bottom w:val="single" w:sz="8" w:space="0" w:color="auto"/>
              <w:right w:val="single" w:sz="8" w:space="0" w:color="auto"/>
            </w:tcBorders>
            <w:shd w:val="clear" w:color="000000" w:fill="FFFFFF"/>
            <w:noWrap/>
            <w:vAlign w:val="center"/>
            <w:hideMark/>
          </w:tcPr>
          <w:p w14:paraId="0874648A" w14:textId="26D3215B"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0,4%</w:t>
            </w:r>
          </w:p>
        </w:tc>
        <w:tc>
          <w:tcPr>
            <w:tcW w:w="568" w:type="pct"/>
            <w:tcBorders>
              <w:top w:val="nil"/>
              <w:left w:val="nil"/>
              <w:bottom w:val="single" w:sz="8" w:space="0" w:color="auto"/>
              <w:right w:val="single" w:sz="8" w:space="0" w:color="auto"/>
            </w:tcBorders>
            <w:shd w:val="clear" w:color="000000" w:fill="FFFFFF"/>
            <w:noWrap/>
            <w:vAlign w:val="center"/>
            <w:hideMark/>
          </w:tcPr>
          <w:p w14:paraId="7441A4EE" w14:textId="0CB37328"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0,4%</w:t>
            </w:r>
          </w:p>
        </w:tc>
        <w:tc>
          <w:tcPr>
            <w:tcW w:w="568" w:type="pct"/>
            <w:tcBorders>
              <w:top w:val="nil"/>
              <w:left w:val="nil"/>
              <w:bottom w:val="single" w:sz="8" w:space="0" w:color="auto"/>
              <w:right w:val="single" w:sz="8" w:space="0" w:color="auto"/>
            </w:tcBorders>
            <w:shd w:val="clear" w:color="000000" w:fill="FFFFFF"/>
            <w:noWrap/>
            <w:vAlign w:val="center"/>
            <w:hideMark/>
          </w:tcPr>
          <w:p w14:paraId="15613222" w14:textId="5B5589DD"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0,2%</w:t>
            </w:r>
          </w:p>
        </w:tc>
        <w:tc>
          <w:tcPr>
            <w:tcW w:w="569" w:type="pct"/>
            <w:tcBorders>
              <w:top w:val="nil"/>
              <w:left w:val="nil"/>
              <w:bottom w:val="single" w:sz="8" w:space="0" w:color="auto"/>
              <w:right w:val="single" w:sz="8" w:space="0" w:color="auto"/>
            </w:tcBorders>
            <w:shd w:val="clear" w:color="000000" w:fill="FFFFFF"/>
            <w:noWrap/>
            <w:vAlign w:val="center"/>
            <w:hideMark/>
          </w:tcPr>
          <w:p w14:paraId="4CCD0F27" w14:textId="7B96D64C" w:rsidR="00C06535" w:rsidRPr="001D0C10" w:rsidRDefault="00C06535" w:rsidP="00C06535">
            <w:pPr>
              <w:spacing w:after="0" w:line="240" w:lineRule="auto"/>
              <w:jc w:val="center"/>
              <w:rPr>
                <w:rFonts w:ascii="Book Antiqua" w:eastAsia="Times New Roman" w:hAnsi="Book Antiqua" w:cs="Calibri"/>
                <w:color w:val="000000"/>
                <w:lang w:eastAsia="es-CR"/>
              </w:rPr>
            </w:pPr>
            <w:r w:rsidRPr="001D0C10">
              <w:rPr>
                <w:rFonts w:ascii="Book Antiqua" w:eastAsia="Times New Roman" w:hAnsi="Book Antiqua" w:cs="Calibri"/>
                <w:lang w:eastAsia="es-CR"/>
              </w:rPr>
              <w:t>0,6%</w:t>
            </w:r>
          </w:p>
        </w:tc>
      </w:tr>
      <w:tr w:rsidR="00C06535" w:rsidRPr="008E601B" w14:paraId="0F70875F" w14:textId="77777777" w:rsidTr="00C06535">
        <w:trPr>
          <w:trHeight w:val="920"/>
        </w:trPr>
        <w:tc>
          <w:tcPr>
            <w:tcW w:w="2159" w:type="pct"/>
            <w:tcBorders>
              <w:top w:val="nil"/>
              <w:left w:val="single" w:sz="8" w:space="0" w:color="auto"/>
              <w:bottom w:val="single" w:sz="8" w:space="0" w:color="auto"/>
              <w:right w:val="single" w:sz="8" w:space="0" w:color="auto"/>
            </w:tcBorders>
            <w:shd w:val="clear" w:color="000000" w:fill="FFFFFF"/>
            <w:vAlign w:val="center"/>
            <w:hideMark/>
          </w:tcPr>
          <w:p w14:paraId="1A62E360" w14:textId="77777777" w:rsidR="00C06535" w:rsidRPr="001D0C10" w:rsidRDefault="00C06535" w:rsidP="00C06535">
            <w:pPr>
              <w:spacing w:after="0" w:line="240" w:lineRule="auto"/>
              <w:jc w:val="both"/>
              <w:rPr>
                <w:rFonts w:ascii="Book Antiqua" w:eastAsia="Times New Roman" w:hAnsi="Book Antiqua" w:cs="Calibri"/>
                <w:color w:val="000000"/>
                <w:lang w:eastAsia="es-CR"/>
              </w:rPr>
            </w:pPr>
            <w:r w:rsidRPr="001D0C10">
              <w:rPr>
                <w:rFonts w:ascii="Book Antiqua" w:eastAsia="Times New Roman" w:hAnsi="Book Antiqua" w:cs="Calibri"/>
                <w:color w:val="000000"/>
                <w:lang w:eastAsia="es-CR"/>
              </w:rPr>
              <w:t>Promedio de porcentaje anual de apelaciones de procesos que se desjudicializan</w:t>
            </w:r>
          </w:p>
        </w:tc>
        <w:tc>
          <w:tcPr>
            <w:tcW w:w="2841" w:type="pct"/>
            <w:gridSpan w:val="5"/>
            <w:tcBorders>
              <w:top w:val="single" w:sz="8" w:space="0" w:color="auto"/>
              <w:left w:val="nil"/>
              <w:bottom w:val="single" w:sz="8" w:space="0" w:color="auto"/>
              <w:right w:val="single" w:sz="8" w:space="0" w:color="000000"/>
            </w:tcBorders>
            <w:shd w:val="clear" w:color="000000" w:fill="FFFFFF"/>
            <w:noWrap/>
            <w:vAlign w:val="center"/>
            <w:hideMark/>
          </w:tcPr>
          <w:p w14:paraId="5EB98D59" w14:textId="5BFA7D28" w:rsidR="00C06535" w:rsidRPr="001D0C10" w:rsidRDefault="00C06535" w:rsidP="00C06535">
            <w:pPr>
              <w:spacing w:after="0" w:line="240" w:lineRule="auto"/>
              <w:jc w:val="center"/>
              <w:rPr>
                <w:rFonts w:ascii="Book Antiqua" w:eastAsia="Times New Roman" w:hAnsi="Book Antiqua" w:cs="Calibri"/>
                <w:b/>
                <w:bCs/>
                <w:color w:val="000000"/>
                <w:lang w:eastAsia="es-CR"/>
              </w:rPr>
            </w:pPr>
            <w:r w:rsidRPr="001D0C10">
              <w:rPr>
                <w:rFonts w:ascii="Book Antiqua" w:eastAsia="Times New Roman" w:hAnsi="Book Antiqua" w:cs="Calibri"/>
                <w:b/>
                <w:bCs/>
                <w:color w:val="000000"/>
                <w:lang w:eastAsia="es-CR"/>
              </w:rPr>
              <w:t>0,4%</w:t>
            </w:r>
          </w:p>
        </w:tc>
      </w:tr>
    </w:tbl>
    <w:p w14:paraId="4563834E" w14:textId="2B4B863A" w:rsidR="00795EE6" w:rsidRPr="00C06535" w:rsidRDefault="00C06535" w:rsidP="00355630">
      <w:pPr>
        <w:spacing w:after="0" w:line="276" w:lineRule="auto"/>
        <w:jc w:val="both"/>
        <w:rPr>
          <w:rFonts w:ascii="Book Antiqua" w:eastAsia="Calibri" w:hAnsi="Book Antiqua" w:cs="Arial"/>
          <w:i/>
          <w:iCs/>
          <w:sz w:val="20"/>
          <w:szCs w:val="20"/>
        </w:rPr>
      </w:pPr>
      <w:r w:rsidRPr="00C06535">
        <w:rPr>
          <w:rFonts w:ascii="Book Antiqua" w:eastAsia="Calibri" w:hAnsi="Book Antiqua" w:cs="Arial"/>
          <w:i/>
          <w:iCs/>
          <w:sz w:val="20"/>
          <w:szCs w:val="20"/>
        </w:rPr>
        <w:t>Fuente: Modernización Institucional con base en datos de Cuadros Estadísticos del Subproceso de Estadística</w:t>
      </w:r>
      <w:r>
        <w:rPr>
          <w:rFonts w:ascii="Book Antiqua" w:eastAsia="Calibri" w:hAnsi="Book Antiqua" w:cs="Arial"/>
          <w:i/>
          <w:iCs/>
          <w:sz w:val="20"/>
          <w:szCs w:val="20"/>
        </w:rPr>
        <w:t>.</w:t>
      </w:r>
    </w:p>
    <w:p w14:paraId="20B3DCDC" w14:textId="2F2C9959" w:rsidR="00F74947" w:rsidRDefault="00F74947" w:rsidP="00355630">
      <w:pPr>
        <w:spacing w:after="0" w:line="276" w:lineRule="auto"/>
        <w:jc w:val="both"/>
        <w:rPr>
          <w:rFonts w:ascii="Book Antiqua" w:eastAsia="Calibri" w:hAnsi="Book Antiqua" w:cs="Arial"/>
          <w:sz w:val="24"/>
          <w:szCs w:val="24"/>
        </w:rPr>
      </w:pPr>
    </w:p>
    <w:p w14:paraId="1192F74D" w14:textId="14281C67" w:rsidR="003122A3"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lastRenderedPageBreak/>
        <w:t xml:space="preserve">Sobre </w:t>
      </w:r>
      <w:r w:rsidR="003122A3">
        <w:rPr>
          <w:rFonts w:ascii="Book Antiqua" w:eastAsia="Calibri" w:hAnsi="Book Antiqua" w:cs="Arial"/>
          <w:sz w:val="24"/>
          <w:szCs w:val="24"/>
        </w:rPr>
        <w:t xml:space="preserve">los conflictos de competencia territorial, no se tiene el dato de cuales son las oficinas en conflicto, pero en promedio ingresan 60 asuntos al año por esta causa al Tribunal, ese sería el número máximo en promedio que perderían por esta causa, dependiendo finalmente de lo que vaya a resolver la Sala Segunda. </w:t>
      </w:r>
    </w:p>
    <w:p w14:paraId="25371D3B" w14:textId="77777777" w:rsidR="003122A3" w:rsidRDefault="003122A3" w:rsidP="00C94966">
      <w:pPr>
        <w:spacing w:after="0" w:line="276" w:lineRule="auto"/>
        <w:jc w:val="both"/>
        <w:rPr>
          <w:rFonts w:ascii="Book Antiqua" w:eastAsia="Calibri" w:hAnsi="Book Antiqua" w:cs="Arial"/>
          <w:sz w:val="24"/>
          <w:szCs w:val="24"/>
        </w:rPr>
      </w:pPr>
    </w:p>
    <w:p w14:paraId="4AF8FADB" w14:textId="5AAABB97" w:rsidR="00C94966" w:rsidRPr="00C94966" w:rsidRDefault="003122A3"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Respecto al posible aumento en la entrada, </w:t>
      </w:r>
      <w:r w:rsidR="00C94966" w:rsidRPr="00C94966">
        <w:rPr>
          <w:rFonts w:ascii="Book Antiqua" w:eastAsia="Calibri" w:hAnsi="Book Antiqua" w:cs="Arial"/>
          <w:sz w:val="24"/>
          <w:szCs w:val="24"/>
        </w:rPr>
        <w:t>de momento no existen datos estadísticos para estimar el comportamiento de las apelaciones por la creación del proceso de protección cautelar para personas con discapacidad, tanto en los juzgados de violencia doméstica y protección cautelar (primera instancia) como en el Tribunal de Familia (segunda instancia), por tratarse de un nuevo tipo de proceso dentro del Poder Judicial. Por su naturaleza, se estima que podrían tener una baja incidencia en esos despachos.</w:t>
      </w:r>
    </w:p>
    <w:p w14:paraId="4CBC86FD" w14:textId="77777777" w:rsidR="00C94966" w:rsidRPr="00C94966" w:rsidRDefault="00C94966" w:rsidP="00C94966">
      <w:pPr>
        <w:spacing w:after="0" w:line="276" w:lineRule="auto"/>
        <w:jc w:val="both"/>
        <w:rPr>
          <w:rFonts w:ascii="Book Antiqua" w:eastAsia="Calibri" w:hAnsi="Book Antiqua" w:cs="Arial"/>
          <w:sz w:val="24"/>
          <w:szCs w:val="24"/>
        </w:rPr>
      </w:pPr>
    </w:p>
    <w:p w14:paraId="7793732B" w14:textId="04881EC0" w:rsidR="00C94966" w:rsidRPr="00C94966"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t>Además de los cambios antes descritos, el Lic. Jiménez Mata consider</w:t>
      </w:r>
      <w:r w:rsidR="008D3407">
        <w:rPr>
          <w:rFonts w:ascii="Book Antiqua" w:eastAsia="Calibri" w:hAnsi="Book Antiqua" w:cs="Arial"/>
          <w:sz w:val="24"/>
          <w:szCs w:val="24"/>
        </w:rPr>
        <w:t>ó en 2020</w:t>
      </w:r>
      <w:r w:rsidRPr="00C94966">
        <w:rPr>
          <w:rFonts w:ascii="Book Antiqua" w:eastAsia="Calibri" w:hAnsi="Book Antiqua" w:cs="Arial"/>
          <w:sz w:val="24"/>
          <w:szCs w:val="24"/>
        </w:rPr>
        <w:t xml:space="preserve"> que el Tribunal de Familia ve</w:t>
      </w:r>
      <w:r w:rsidR="008D3407">
        <w:rPr>
          <w:rFonts w:ascii="Book Antiqua" w:eastAsia="Calibri" w:hAnsi="Book Antiqua" w:cs="Arial"/>
          <w:sz w:val="24"/>
          <w:szCs w:val="24"/>
        </w:rPr>
        <w:t>rá</w:t>
      </w:r>
      <w:r w:rsidRPr="00C94966">
        <w:rPr>
          <w:rFonts w:ascii="Book Antiqua" w:eastAsia="Calibri" w:hAnsi="Book Antiqua" w:cs="Arial"/>
          <w:sz w:val="24"/>
          <w:szCs w:val="24"/>
        </w:rPr>
        <w:t xml:space="preserve"> disminuida considerablemente su ingreso en virtud de las limitaciones de las apelaciones interlocutorias tanto por la cantidad de resoluciones apelables como por el efecto diferido que tendrá la admisión de muchas de las apelaciones que se interpondrán (las admitidas en audiencia).</w:t>
      </w:r>
    </w:p>
    <w:p w14:paraId="6EB641F6" w14:textId="77777777" w:rsidR="00C94966" w:rsidRPr="00C94966" w:rsidRDefault="00C94966" w:rsidP="00C94966">
      <w:pPr>
        <w:spacing w:after="0" w:line="276" w:lineRule="auto"/>
        <w:jc w:val="both"/>
        <w:rPr>
          <w:rFonts w:ascii="Book Antiqua" w:eastAsia="Calibri" w:hAnsi="Book Antiqua" w:cs="Arial"/>
          <w:sz w:val="24"/>
          <w:szCs w:val="24"/>
        </w:rPr>
      </w:pPr>
    </w:p>
    <w:p w14:paraId="610D789F" w14:textId="4E81784E" w:rsidR="00C94966" w:rsidRDefault="00C94966" w:rsidP="00C94966">
      <w:pPr>
        <w:spacing w:after="0" w:line="276" w:lineRule="auto"/>
        <w:jc w:val="both"/>
        <w:rPr>
          <w:rFonts w:ascii="Book Antiqua" w:eastAsia="Calibri" w:hAnsi="Book Antiqua" w:cs="Arial"/>
          <w:sz w:val="24"/>
          <w:szCs w:val="24"/>
        </w:rPr>
      </w:pPr>
      <w:r w:rsidRPr="00C94966">
        <w:rPr>
          <w:rFonts w:ascii="Book Antiqua" w:eastAsia="Calibri" w:hAnsi="Book Antiqua" w:cs="Arial"/>
          <w:sz w:val="24"/>
          <w:szCs w:val="24"/>
        </w:rPr>
        <w:t>Por tanto, se estima que la carga laboral actual del Tribunal de Familia presentará una disminución superior al 0,4% según los datos que refleja la información estadística, motivada principalmente por la desjudicialización de procesos,</w:t>
      </w:r>
      <w:r w:rsidR="006B0E83">
        <w:rPr>
          <w:rFonts w:ascii="Book Antiqua" w:eastAsia="Calibri" w:hAnsi="Book Antiqua" w:cs="Arial"/>
          <w:sz w:val="24"/>
          <w:szCs w:val="24"/>
        </w:rPr>
        <w:t xml:space="preserve"> traslados de competencias del Tribunal a la Sala Segunda y reducción en la cantidad de resoluciones apelables, sin embargo en este</w:t>
      </w:r>
      <w:r w:rsidR="003122A3">
        <w:rPr>
          <w:rFonts w:ascii="Book Antiqua" w:eastAsia="Calibri" w:hAnsi="Book Antiqua" w:cs="Arial"/>
          <w:sz w:val="24"/>
          <w:szCs w:val="24"/>
        </w:rPr>
        <w:t xml:space="preserve"> momento no se</w:t>
      </w:r>
      <w:r w:rsidRPr="00C94966">
        <w:rPr>
          <w:rFonts w:ascii="Book Antiqua" w:eastAsia="Calibri" w:hAnsi="Book Antiqua" w:cs="Arial"/>
          <w:sz w:val="24"/>
          <w:szCs w:val="24"/>
        </w:rPr>
        <w:t xml:space="preserve"> sug</w:t>
      </w:r>
      <w:r w:rsidR="003122A3">
        <w:rPr>
          <w:rFonts w:ascii="Book Antiqua" w:eastAsia="Calibri" w:hAnsi="Book Antiqua" w:cs="Arial"/>
          <w:sz w:val="24"/>
          <w:szCs w:val="24"/>
        </w:rPr>
        <w:t>ieren</w:t>
      </w:r>
      <w:r w:rsidRPr="00C94966">
        <w:rPr>
          <w:rFonts w:ascii="Book Antiqua" w:eastAsia="Calibri" w:hAnsi="Book Antiqua" w:cs="Arial"/>
          <w:sz w:val="24"/>
          <w:szCs w:val="24"/>
        </w:rPr>
        <w:t xml:space="preserve"> variaciones de plazas profesionales en esta oficina</w:t>
      </w:r>
      <w:r w:rsidR="006B0E83">
        <w:rPr>
          <w:rFonts w:ascii="Book Antiqua" w:eastAsia="Calibri" w:hAnsi="Book Antiqua" w:cs="Arial"/>
          <w:sz w:val="24"/>
          <w:szCs w:val="24"/>
        </w:rPr>
        <w:t>; sin embargo si se requiere mantener el seguimiento</w:t>
      </w:r>
      <w:r w:rsidR="001A118B">
        <w:rPr>
          <w:rFonts w:ascii="Book Antiqua" w:eastAsia="Calibri" w:hAnsi="Book Antiqua" w:cs="Arial"/>
          <w:sz w:val="24"/>
          <w:szCs w:val="24"/>
        </w:rPr>
        <w:t xml:space="preserve"> de la misma</w:t>
      </w:r>
      <w:r w:rsidR="006B0E83">
        <w:rPr>
          <w:rFonts w:ascii="Book Antiqua" w:eastAsia="Calibri" w:hAnsi="Book Antiqua" w:cs="Arial"/>
          <w:sz w:val="24"/>
          <w:szCs w:val="24"/>
        </w:rPr>
        <w:t>.</w:t>
      </w:r>
    </w:p>
    <w:p w14:paraId="57F11669" w14:textId="77777777" w:rsidR="00292F21" w:rsidRDefault="00292F21" w:rsidP="00C94966">
      <w:pPr>
        <w:spacing w:after="0" w:line="276" w:lineRule="auto"/>
        <w:jc w:val="both"/>
        <w:rPr>
          <w:rFonts w:ascii="Book Antiqua" w:eastAsia="Calibri" w:hAnsi="Book Antiqua" w:cs="Arial"/>
          <w:sz w:val="24"/>
          <w:szCs w:val="24"/>
        </w:rPr>
      </w:pPr>
    </w:p>
    <w:p w14:paraId="7F44F7F2" w14:textId="210B2A36" w:rsidR="00FA0713" w:rsidRDefault="00FA0713" w:rsidP="008456A9">
      <w:pPr>
        <w:pStyle w:val="Ttulo2"/>
      </w:pPr>
      <w:r>
        <w:t>Sala Segunda</w:t>
      </w:r>
    </w:p>
    <w:p w14:paraId="5C5297D1" w14:textId="3D7BE828" w:rsidR="00132F0A" w:rsidRDefault="00132F0A" w:rsidP="00132F0A">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En a</w:t>
      </w:r>
      <w:r w:rsidRPr="00132F0A">
        <w:rPr>
          <w:rFonts w:ascii="Book Antiqua" w:eastAsia="Calibri" w:hAnsi="Book Antiqua" w:cs="Arial"/>
          <w:sz w:val="24"/>
          <w:szCs w:val="24"/>
        </w:rPr>
        <w:t xml:space="preserve">tención de la referencia interna </w:t>
      </w:r>
      <w:r w:rsidRPr="00132F0A">
        <w:rPr>
          <w:rFonts w:ascii="Book Antiqua" w:eastAsia="Calibri" w:hAnsi="Book Antiqua" w:cs="Arial"/>
          <w:b/>
          <w:bCs/>
          <w:sz w:val="24"/>
          <w:szCs w:val="24"/>
        </w:rPr>
        <w:t>39-2022</w:t>
      </w:r>
      <w:r w:rsidRPr="00132F0A">
        <w:rPr>
          <w:rFonts w:ascii="Book Antiqua" w:eastAsia="Calibri" w:hAnsi="Book Antiqua" w:cs="Arial"/>
          <w:sz w:val="24"/>
          <w:szCs w:val="24"/>
        </w:rPr>
        <w:t>, relacionada con el oficio 19-2022</w:t>
      </w:r>
      <w:r w:rsidR="00BE1B5F">
        <w:rPr>
          <w:rFonts w:ascii="Book Antiqua" w:eastAsia="Calibri" w:hAnsi="Book Antiqua" w:cs="Arial"/>
          <w:sz w:val="24"/>
          <w:szCs w:val="24"/>
        </w:rPr>
        <w:t xml:space="preserve"> del 7 de enero de 2022</w:t>
      </w:r>
      <w:r w:rsidRPr="00132F0A">
        <w:rPr>
          <w:rFonts w:ascii="Book Antiqua" w:eastAsia="Calibri" w:hAnsi="Book Antiqua" w:cs="Arial"/>
          <w:sz w:val="24"/>
          <w:szCs w:val="24"/>
        </w:rPr>
        <w:t xml:space="preserve"> suscrito por don Orlando Aguirre Gómez,</w:t>
      </w:r>
      <w:r w:rsidR="00BE1B5F" w:rsidRPr="00BE1B5F">
        <w:t xml:space="preserve"> </w:t>
      </w:r>
      <w:r w:rsidR="00BE1B5F" w:rsidRPr="00BE1B5F">
        <w:rPr>
          <w:rFonts w:ascii="Book Antiqua" w:eastAsia="Calibri" w:hAnsi="Book Antiqua" w:cs="Arial"/>
          <w:sz w:val="24"/>
          <w:szCs w:val="24"/>
        </w:rPr>
        <w:t>Presidente de la Sala Segunda</w:t>
      </w:r>
      <w:r w:rsidR="00584BE8">
        <w:rPr>
          <w:rFonts w:ascii="Book Antiqua" w:eastAsia="Calibri" w:hAnsi="Book Antiqua" w:cs="Arial"/>
          <w:sz w:val="24"/>
          <w:szCs w:val="24"/>
        </w:rPr>
        <w:t xml:space="preserve"> </w:t>
      </w:r>
      <w:r w:rsidRPr="00132F0A">
        <w:rPr>
          <w:rFonts w:ascii="Book Antiqua" w:eastAsia="Calibri" w:hAnsi="Book Antiqua" w:cs="Arial"/>
          <w:sz w:val="24"/>
          <w:szCs w:val="24"/>
        </w:rPr>
        <w:t xml:space="preserve">en </w:t>
      </w:r>
      <w:r w:rsidR="00BE1B5F">
        <w:rPr>
          <w:rFonts w:ascii="Book Antiqua" w:eastAsia="Calibri" w:hAnsi="Book Antiqua" w:cs="Arial"/>
          <w:sz w:val="24"/>
          <w:szCs w:val="24"/>
        </w:rPr>
        <w:t xml:space="preserve">el que </w:t>
      </w:r>
      <w:r w:rsidRPr="00132F0A">
        <w:rPr>
          <w:rFonts w:ascii="Book Antiqua" w:eastAsia="Calibri" w:hAnsi="Book Antiqua" w:cs="Arial"/>
          <w:sz w:val="24"/>
          <w:szCs w:val="24"/>
        </w:rPr>
        <w:t>solicita:</w:t>
      </w:r>
    </w:p>
    <w:p w14:paraId="67970E68" w14:textId="77777777" w:rsidR="00132F0A" w:rsidRDefault="00132F0A" w:rsidP="00132F0A">
      <w:pPr>
        <w:spacing w:after="0" w:line="276" w:lineRule="auto"/>
        <w:jc w:val="both"/>
        <w:rPr>
          <w:rFonts w:ascii="Book Antiqua" w:eastAsia="Calibri" w:hAnsi="Book Antiqua" w:cs="Arial"/>
          <w:sz w:val="24"/>
          <w:szCs w:val="24"/>
        </w:rPr>
      </w:pPr>
    </w:p>
    <w:p w14:paraId="291091AF" w14:textId="006D3D8C" w:rsidR="00132F0A" w:rsidRPr="006E61F9" w:rsidRDefault="00132F0A" w:rsidP="006B0E83">
      <w:pPr>
        <w:spacing w:after="0" w:line="276" w:lineRule="auto"/>
        <w:ind w:firstLine="851"/>
        <w:jc w:val="both"/>
        <w:rPr>
          <w:rFonts w:ascii="Book Antiqua" w:eastAsia="Times New Roman" w:hAnsi="Book Antiqua" w:cs="Times New Roman"/>
          <w:bCs/>
          <w:i/>
          <w:iCs/>
          <w:lang w:val="es-ES" w:eastAsia="es-ES"/>
        </w:rPr>
      </w:pPr>
      <w:r w:rsidRPr="006E61F9">
        <w:rPr>
          <w:rFonts w:ascii="Book Antiqua" w:eastAsia="Times New Roman" w:hAnsi="Book Antiqua" w:cs="Times New Roman"/>
          <w:bCs/>
          <w:i/>
          <w:iCs/>
          <w:lang w:val="es-ES" w:eastAsia="es-ES"/>
        </w:rPr>
        <w:t>(…)</w:t>
      </w:r>
    </w:p>
    <w:p w14:paraId="14A3FF48" w14:textId="204B3642" w:rsidR="00BE1B5F" w:rsidRPr="00BE1B5F" w:rsidRDefault="00BE1B5F" w:rsidP="00BE1B5F">
      <w:pPr>
        <w:spacing w:after="0" w:line="276" w:lineRule="auto"/>
        <w:ind w:left="851" w:right="708"/>
        <w:jc w:val="both"/>
        <w:rPr>
          <w:rFonts w:ascii="Book Antiqua" w:eastAsia="Times New Roman" w:hAnsi="Book Antiqua" w:cs="Times New Roman"/>
          <w:bCs/>
          <w:i/>
          <w:iCs/>
          <w:lang w:val="es-ES" w:eastAsia="es-ES"/>
        </w:rPr>
      </w:pPr>
      <w:r>
        <w:rPr>
          <w:rFonts w:ascii="Book Antiqua" w:eastAsia="Times New Roman" w:hAnsi="Book Antiqua" w:cs="Times New Roman"/>
          <w:bCs/>
          <w:i/>
          <w:iCs/>
          <w:lang w:val="es-ES" w:eastAsia="es-ES"/>
        </w:rPr>
        <w:lastRenderedPageBreak/>
        <w:t>“</w:t>
      </w:r>
      <w:r w:rsidRPr="00BE1B5F">
        <w:rPr>
          <w:rFonts w:ascii="Book Antiqua" w:eastAsia="Times New Roman" w:hAnsi="Book Antiqua" w:cs="Times New Roman"/>
          <w:bCs/>
          <w:i/>
          <w:iCs/>
          <w:lang w:val="es-ES" w:eastAsia="es-ES"/>
        </w:rPr>
        <w:t xml:space="preserve">Por otro lado, a partir del primero de octubre del presente año, entrará a regir el Código Procesal de Familia, el cual igualmente introduce mediante la adición del artículo 55 bis a la Ley Orgánica del Poder Judicial, nuevas competencias para la Sala Segunda, como conocer los recursos de apelación contra la decisión final en los procesos de restitución internacional de personas menores de edad y conflictos de competencia territorial entre los juzgados de familia. </w:t>
      </w:r>
    </w:p>
    <w:p w14:paraId="72851B89" w14:textId="77777777" w:rsidR="00BE1B5F" w:rsidRPr="00BE1B5F" w:rsidRDefault="00BE1B5F" w:rsidP="00BE1B5F">
      <w:pPr>
        <w:spacing w:after="0" w:line="276" w:lineRule="auto"/>
        <w:ind w:left="851" w:right="708"/>
        <w:jc w:val="both"/>
        <w:rPr>
          <w:rFonts w:ascii="Book Antiqua" w:eastAsia="Times New Roman" w:hAnsi="Book Antiqua" w:cs="Times New Roman"/>
          <w:bCs/>
          <w:i/>
          <w:iCs/>
          <w:lang w:val="es-ES" w:eastAsia="es-ES"/>
        </w:rPr>
      </w:pPr>
      <w:r w:rsidRPr="00BE1B5F">
        <w:rPr>
          <w:rFonts w:ascii="Book Antiqua" w:eastAsia="Times New Roman" w:hAnsi="Book Antiqua" w:cs="Times New Roman"/>
          <w:bCs/>
          <w:i/>
          <w:iCs/>
          <w:lang w:val="es-ES" w:eastAsia="es-ES"/>
        </w:rPr>
        <w:t xml:space="preserve">Igualmente, dicha normativa procesal establece que la Sala conocerá del recurso de casación formulado contra todas aquellas sentencias de segunda instancia dictadas en procesos resolutivos familiares que produzcan cosa juzgada material, excepto las de terminación de los atributos de responsabilidad parental con fines de adopción y en procesos de ejecuciones de sentencia con cosa juzgada material (artículo 105 Código Procesal de Familia). </w:t>
      </w:r>
    </w:p>
    <w:p w14:paraId="3D1C4CCB" w14:textId="419CA5A7" w:rsidR="00BE1B5F" w:rsidRDefault="00BE1B5F" w:rsidP="00BE1B5F">
      <w:pPr>
        <w:spacing w:after="0" w:line="276" w:lineRule="auto"/>
        <w:ind w:left="851" w:right="708"/>
        <w:jc w:val="both"/>
        <w:rPr>
          <w:rFonts w:ascii="Book Antiqua" w:eastAsia="Times New Roman" w:hAnsi="Book Antiqua" w:cs="Times New Roman"/>
          <w:bCs/>
          <w:i/>
          <w:iCs/>
          <w:lang w:val="es-ES" w:eastAsia="es-ES"/>
        </w:rPr>
      </w:pPr>
      <w:r w:rsidRPr="00BE1B5F">
        <w:rPr>
          <w:rFonts w:ascii="Book Antiqua" w:eastAsia="Times New Roman" w:hAnsi="Book Antiqua" w:cs="Times New Roman"/>
          <w:bCs/>
          <w:i/>
          <w:iCs/>
          <w:lang w:val="es-ES" w:eastAsia="es-ES"/>
        </w:rPr>
        <w:t>Así mismo, introduce nuevas causales de procedencia del recurso de revisión, como lo son: cuando se haya producido una grave y trascendente violación al debido proceso; cuando surgieran nuevos medíos probatorios científicos o tecnológicos que permitan desvirtuar las conclusiones que se obtuvieron en la sentencia impugnada, salvo en materia filiatoria cuando la sentencia establezca un estado de filiación de una persona menor de edad; sin embargo, en este último caso procederá la revisión a instancia de la persona cuya filiación se declaró cuando adquiera la mayoría de edad, y cuando en materia filíatoria se hubiera denegado el emplazamiento de estado, en virtud de que no fue posible verificar la prueba científica acorde con el tiempo del proceso.</w:t>
      </w:r>
    </w:p>
    <w:p w14:paraId="318BE0CB" w14:textId="77777777" w:rsidR="00BE1B5F" w:rsidRDefault="00BE1B5F" w:rsidP="00BE1B5F">
      <w:pPr>
        <w:spacing w:after="0" w:line="276" w:lineRule="auto"/>
        <w:ind w:left="851" w:right="708"/>
        <w:jc w:val="both"/>
        <w:rPr>
          <w:rFonts w:ascii="Book Antiqua" w:eastAsia="Times New Roman" w:hAnsi="Book Antiqua" w:cs="Times New Roman"/>
          <w:bCs/>
          <w:i/>
          <w:iCs/>
          <w:lang w:val="es-ES" w:eastAsia="es-ES"/>
        </w:rPr>
      </w:pPr>
    </w:p>
    <w:p w14:paraId="63E3CEDB" w14:textId="3E31471B" w:rsidR="00FA0713" w:rsidRPr="00132F0A" w:rsidRDefault="00132F0A" w:rsidP="00132F0A">
      <w:pPr>
        <w:spacing w:after="0" w:line="276" w:lineRule="auto"/>
        <w:ind w:left="851" w:right="708"/>
        <w:jc w:val="both"/>
        <w:rPr>
          <w:rFonts w:ascii="Book Antiqua" w:eastAsia="Times New Roman" w:hAnsi="Book Antiqua" w:cs="Times New Roman"/>
          <w:b/>
          <w:bCs/>
          <w:i/>
          <w:iCs/>
          <w:lang w:val="es-ES" w:eastAsia="es-ES"/>
        </w:rPr>
      </w:pPr>
      <w:r w:rsidRPr="007B21E8">
        <w:rPr>
          <w:rFonts w:ascii="Book Antiqua" w:eastAsia="Times New Roman" w:hAnsi="Book Antiqua" w:cs="Times New Roman"/>
          <w:bCs/>
          <w:i/>
          <w:iCs/>
          <w:lang w:val="es-ES" w:eastAsia="es-ES"/>
        </w:rPr>
        <w:t>Por lo anterior, a efectos de atender las tareas de la Sala, y siendo que a diferencia de otras de Salas de la Corte, esta Sala no cuenta con un equipo profesional en derecho que se pueda dedicar exclusivamente al estudio de la admisibilidad de los recursos de casación y revisión, o la redacción de proyectos de competencia, casaciones por inadmisión, se solicita se otorgue durante este año 2022, una plaza extraordinaria de Profesional en Derecho que venga a dar apoyo en la fase de admisibilidad de los procesos y permita una mejor distribución de las cargas de trabajo del personal encargado de estudio y redacción de resoluciones de admisibilidad, y que dicha plaza se contemple y recomiende en la formulación presupuestaria 2023, en el estudio de requerimiento humano del anteproyecto de ese presupuesto</w:t>
      </w:r>
      <w:r w:rsidR="00BE1B5F">
        <w:rPr>
          <w:rFonts w:ascii="Book Antiqua" w:eastAsia="Times New Roman" w:hAnsi="Book Antiqua" w:cs="Times New Roman"/>
          <w:bCs/>
          <w:i/>
          <w:iCs/>
          <w:lang w:val="es-ES" w:eastAsia="es-ES"/>
        </w:rPr>
        <w:t>”</w:t>
      </w:r>
      <w:r w:rsidRPr="007B21E8">
        <w:rPr>
          <w:rFonts w:ascii="Book Antiqua" w:eastAsia="Times New Roman" w:hAnsi="Book Antiqua" w:cs="Times New Roman"/>
          <w:b/>
          <w:bCs/>
          <w:i/>
          <w:iCs/>
          <w:lang w:val="es-ES" w:eastAsia="es-ES"/>
        </w:rPr>
        <w:t>.</w:t>
      </w:r>
    </w:p>
    <w:p w14:paraId="567C9D42" w14:textId="77777777" w:rsidR="00797860" w:rsidRDefault="00797860" w:rsidP="00C94966">
      <w:pPr>
        <w:spacing w:after="0" w:line="276" w:lineRule="auto"/>
        <w:jc w:val="both"/>
        <w:rPr>
          <w:rFonts w:ascii="Book Antiqua" w:eastAsia="Calibri" w:hAnsi="Book Antiqua" w:cs="Arial"/>
          <w:sz w:val="24"/>
          <w:szCs w:val="24"/>
        </w:rPr>
      </w:pPr>
    </w:p>
    <w:p w14:paraId="2736DE07" w14:textId="645A14E0" w:rsidR="00D7608C" w:rsidRDefault="00BE1B5F"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Al respecto, </w:t>
      </w:r>
      <w:r w:rsidR="00797860">
        <w:rPr>
          <w:rFonts w:ascii="Book Antiqua" w:eastAsia="Calibri" w:hAnsi="Book Antiqua" w:cs="Arial"/>
          <w:sz w:val="24"/>
          <w:szCs w:val="24"/>
        </w:rPr>
        <w:t>se analiza la entrada de la Sala Segunda para el periodo 2019 al 2021.</w:t>
      </w:r>
    </w:p>
    <w:p w14:paraId="42A398D7" w14:textId="17BB89DE" w:rsidR="00797860" w:rsidRDefault="00797860" w:rsidP="00C94966">
      <w:pPr>
        <w:spacing w:after="0" w:line="276" w:lineRule="auto"/>
        <w:jc w:val="both"/>
        <w:rPr>
          <w:rFonts w:ascii="Book Antiqua" w:eastAsia="Calibri" w:hAnsi="Book Antiqua" w:cs="Arial"/>
          <w:sz w:val="24"/>
          <w:szCs w:val="24"/>
        </w:rPr>
      </w:pPr>
    </w:p>
    <w:p w14:paraId="008EC35B" w14:textId="7D7A0980" w:rsidR="00797860" w:rsidRPr="00C94966" w:rsidRDefault="00797860" w:rsidP="00797860">
      <w:pPr>
        <w:keepNext/>
        <w:numPr>
          <w:ilvl w:val="12"/>
          <w:numId w:val="0"/>
        </w:numPr>
        <w:spacing w:after="0" w:line="276" w:lineRule="auto"/>
        <w:jc w:val="center"/>
        <w:rPr>
          <w:rFonts w:ascii="Book Antiqua" w:eastAsia="Calibri" w:hAnsi="Book Antiqua" w:cs="Arial"/>
          <w:b/>
          <w:bCs/>
          <w:color w:val="1F497D"/>
          <w:szCs w:val="24"/>
          <w:lang w:val="es-ES" w:eastAsia="es-ES"/>
        </w:rPr>
      </w:pPr>
      <w:r w:rsidRPr="00C94966">
        <w:rPr>
          <w:rFonts w:ascii="Book Antiqua" w:eastAsia="Calibri" w:hAnsi="Book Antiqua" w:cs="Arial"/>
          <w:b/>
          <w:bCs/>
          <w:color w:val="1F497D"/>
          <w:szCs w:val="24"/>
          <w:lang w:val="es-ES" w:eastAsia="es-ES"/>
        </w:rPr>
        <w:lastRenderedPageBreak/>
        <w:t xml:space="preserve">Cuadro </w:t>
      </w:r>
      <w:r w:rsidRPr="00C94966">
        <w:rPr>
          <w:rFonts w:ascii="Book Antiqua" w:eastAsia="Calibri" w:hAnsi="Book Antiqua" w:cs="Arial"/>
          <w:b/>
          <w:bCs/>
          <w:color w:val="1F497D"/>
          <w:szCs w:val="24"/>
          <w:lang w:val="es-ES" w:eastAsia="es-ES"/>
        </w:rPr>
        <w:fldChar w:fldCharType="begin"/>
      </w:r>
      <w:r w:rsidRPr="00C94966">
        <w:rPr>
          <w:rFonts w:ascii="Book Antiqua" w:eastAsia="Calibri" w:hAnsi="Book Antiqua" w:cs="Arial"/>
          <w:b/>
          <w:bCs/>
          <w:color w:val="1F497D"/>
          <w:szCs w:val="24"/>
          <w:lang w:val="es-ES" w:eastAsia="es-ES"/>
        </w:rPr>
        <w:instrText xml:space="preserve"> SEQ Cuadro \* ARABIC </w:instrText>
      </w:r>
      <w:r w:rsidRPr="00C9496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58</w:t>
      </w:r>
      <w:r w:rsidRPr="00C94966">
        <w:rPr>
          <w:rFonts w:ascii="Book Antiqua" w:eastAsia="Calibri" w:hAnsi="Book Antiqua" w:cs="Arial"/>
          <w:b/>
          <w:bCs/>
          <w:color w:val="1F497D"/>
          <w:szCs w:val="24"/>
          <w:lang w:val="es-ES" w:eastAsia="es-ES"/>
        </w:rPr>
        <w:fldChar w:fldCharType="end"/>
      </w:r>
      <w:r w:rsidRPr="00C94966">
        <w:rPr>
          <w:rFonts w:ascii="Book Antiqua" w:eastAsia="Calibri" w:hAnsi="Book Antiqua" w:cs="Arial"/>
          <w:b/>
          <w:bCs/>
          <w:color w:val="1F497D"/>
          <w:szCs w:val="24"/>
          <w:lang w:val="es-ES" w:eastAsia="es-ES"/>
        </w:rPr>
        <w:t xml:space="preserve"> </w:t>
      </w:r>
    </w:p>
    <w:p w14:paraId="7FE9188D" w14:textId="17BBD25C" w:rsidR="00797860" w:rsidRDefault="00797860" w:rsidP="00797860">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Cantidad de casos entrados en la Sala Segunda,</w:t>
      </w:r>
      <w:r w:rsidRPr="00C94966">
        <w:rPr>
          <w:rFonts w:ascii="Book Antiqua" w:eastAsia="Calibri" w:hAnsi="Book Antiqua" w:cs="Arial"/>
          <w:b/>
          <w:bCs/>
          <w:color w:val="1F497D"/>
          <w:szCs w:val="24"/>
          <w:lang w:val="es-ES" w:eastAsia="es-ES"/>
        </w:rPr>
        <w:t xml:space="preserve"> 201</w:t>
      </w:r>
      <w:r>
        <w:rPr>
          <w:rFonts w:ascii="Book Antiqua" w:eastAsia="Calibri" w:hAnsi="Book Antiqua" w:cs="Arial"/>
          <w:b/>
          <w:bCs/>
          <w:color w:val="1F497D"/>
          <w:szCs w:val="24"/>
          <w:lang w:val="es-ES" w:eastAsia="es-ES"/>
        </w:rPr>
        <w:t>9</w:t>
      </w:r>
      <w:r w:rsidRPr="00C94966">
        <w:rPr>
          <w:rFonts w:ascii="Book Antiqua" w:eastAsia="Calibri" w:hAnsi="Book Antiqua" w:cs="Arial"/>
          <w:b/>
          <w:bCs/>
          <w:color w:val="1F497D"/>
          <w:szCs w:val="24"/>
          <w:lang w:val="es-ES" w:eastAsia="es-ES"/>
        </w:rPr>
        <w:t>-20</w:t>
      </w:r>
      <w:r w:rsidRPr="00C06535">
        <w:rPr>
          <w:rFonts w:ascii="Book Antiqua" w:eastAsia="Calibri" w:hAnsi="Book Antiqua" w:cs="Arial"/>
          <w:b/>
          <w:bCs/>
          <w:color w:val="1F497D"/>
          <w:szCs w:val="24"/>
          <w:lang w:val="es-ES" w:eastAsia="es-ES"/>
        </w:rPr>
        <w:t>2</w:t>
      </w:r>
      <w:r w:rsidRPr="00C94966">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3709"/>
        <w:gridCol w:w="1688"/>
        <w:gridCol w:w="1688"/>
        <w:gridCol w:w="1743"/>
      </w:tblGrid>
      <w:tr w:rsidR="00252364" w:rsidRPr="00252364" w14:paraId="5EEDD409" w14:textId="77777777" w:rsidTr="00252364">
        <w:trPr>
          <w:trHeight w:val="290"/>
        </w:trPr>
        <w:tc>
          <w:tcPr>
            <w:tcW w:w="2101" w:type="pct"/>
            <w:tcBorders>
              <w:top w:val="single" w:sz="4" w:space="0" w:color="auto"/>
              <w:left w:val="single" w:sz="4" w:space="0" w:color="auto"/>
              <w:bottom w:val="single" w:sz="4" w:space="0" w:color="auto"/>
              <w:right w:val="single" w:sz="4" w:space="0" w:color="auto"/>
            </w:tcBorders>
            <w:shd w:val="clear" w:color="000000" w:fill="003366"/>
            <w:noWrap/>
            <w:vAlign w:val="bottom"/>
            <w:hideMark/>
          </w:tcPr>
          <w:p w14:paraId="745FED46" w14:textId="77777777" w:rsidR="00252364" w:rsidRPr="00252364" w:rsidRDefault="00252364" w:rsidP="00252364">
            <w:pPr>
              <w:spacing w:after="0" w:line="240" w:lineRule="auto"/>
              <w:jc w:val="center"/>
              <w:rPr>
                <w:rFonts w:ascii="Book Antiqua" w:eastAsia="Times New Roman" w:hAnsi="Book Antiqua" w:cs="Calibri"/>
                <w:b/>
                <w:bCs/>
                <w:color w:val="FFFFFF"/>
                <w:lang w:eastAsia="es-CR"/>
              </w:rPr>
            </w:pPr>
            <w:r w:rsidRPr="00252364">
              <w:rPr>
                <w:rFonts w:ascii="Book Antiqua" w:eastAsia="Times New Roman" w:hAnsi="Book Antiqua" w:cs="Calibri"/>
                <w:b/>
                <w:bCs/>
                <w:color w:val="FFFFFF"/>
                <w:lang w:eastAsia="es-CR"/>
              </w:rPr>
              <w:t>Materia</w:t>
            </w:r>
          </w:p>
        </w:tc>
        <w:tc>
          <w:tcPr>
            <w:tcW w:w="956" w:type="pct"/>
            <w:tcBorders>
              <w:top w:val="single" w:sz="4" w:space="0" w:color="auto"/>
              <w:left w:val="nil"/>
              <w:bottom w:val="single" w:sz="4" w:space="0" w:color="auto"/>
              <w:right w:val="single" w:sz="4" w:space="0" w:color="auto"/>
            </w:tcBorders>
            <w:shd w:val="clear" w:color="000000" w:fill="002060"/>
            <w:noWrap/>
            <w:vAlign w:val="bottom"/>
            <w:hideMark/>
          </w:tcPr>
          <w:p w14:paraId="1F1E9B94" w14:textId="77777777" w:rsidR="00252364" w:rsidRPr="00252364" w:rsidRDefault="00252364" w:rsidP="00252364">
            <w:pPr>
              <w:spacing w:after="0" w:line="240" w:lineRule="auto"/>
              <w:jc w:val="center"/>
              <w:rPr>
                <w:rFonts w:ascii="Book Antiqua" w:eastAsia="Times New Roman" w:hAnsi="Book Antiqua" w:cs="Calibri"/>
                <w:b/>
                <w:bCs/>
                <w:color w:val="FFFFFF"/>
                <w:lang w:eastAsia="es-CR"/>
              </w:rPr>
            </w:pPr>
            <w:r w:rsidRPr="00252364">
              <w:rPr>
                <w:rFonts w:ascii="Book Antiqua" w:eastAsia="Times New Roman" w:hAnsi="Book Antiqua" w:cs="Calibri"/>
                <w:b/>
                <w:bCs/>
                <w:color w:val="FFFFFF"/>
                <w:lang w:eastAsia="es-CR"/>
              </w:rPr>
              <w:t>2019</w:t>
            </w:r>
          </w:p>
        </w:tc>
        <w:tc>
          <w:tcPr>
            <w:tcW w:w="956" w:type="pct"/>
            <w:tcBorders>
              <w:top w:val="single" w:sz="4" w:space="0" w:color="auto"/>
              <w:left w:val="nil"/>
              <w:bottom w:val="single" w:sz="4" w:space="0" w:color="auto"/>
              <w:right w:val="single" w:sz="4" w:space="0" w:color="auto"/>
            </w:tcBorders>
            <w:shd w:val="clear" w:color="000000" w:fill="002060"/>
            <w:noWrap/>
            <w:vAlign w:val="bottom"/>
            <w:hideMark/>
          </w:tcPr>
          <w:p w14:paraId="74434E0F" w14:textId="77777777" w:rsidR="00252364" w:rsidRPr="00252364" w:rsidRDefault="00252364" w:rsidP="00252364">
            <w:pPr>
              <w:spacing w:after="0" w:line="240" w:lineRule="auto"/>
              <w:jc w:val="center"/>
              <w:rPr>
                <w:rFonts w:ascii="Book Antiqua" w:eastAsia="Times New Roman" w:hAnsi="Book Antiqua" w:cs="Calibri"/>
                <w:b/>
                <w:bCs/>
                <w:color w:val="FFFFFF"/>
                <w:lang w:eastAsia="es-CR"/>
              </w:rPr>
            </w:pPr>
            <w:r w:rsidRPr="00252364">
              <w:rPr>
                <w:rFonts w:ascii="Book Antiqua" w:eastAsia="Times New Roman" w:hAnsi="Book Antiqua" w:cs="Calibri"/>
                <w:b/>
                <w:bCs/>
                <w:color w:val="FFFFFF"/>
                <w:lang w:eastAsia="es-CR"/>
              </w:rPr>
              <w:t>2020</w:t>
            </w:r>
          </w:p>
        </w:tc>
        <w:tc>
          <w:tcPr>
            <w:tcW w:w="987" w:type="pct"/>
            <w:tcBorders>
              <w:top w:val="single" w:sz="4" w:space="0" w:color="auto"/>
              <w:left w:val="nil"/>
              <w:bottom w:val="single" w:sz="4" w:space="0" w:color="auto"/>
              <w:right w:val="single" w:sz="4" w:space="0" w:color="auto"/>
            </w:tcBorders>
            <w:shd w:val="clear" w:color="000000" w:fill="002060"/>
            <w:noWrap/>
            <w:vAlign w:val="bottom"/>
            <w:hideMark/>
          </w:tcPr>
          <w:p w14:paraId="551698B9" w14:textId="77777777" w:rsidR="00252364" w:rsidRPr="00252364" w:rsidRDefault="00252364" w:rsidP="00252364">
            <w:pPr>
              <w:spacing w:after="0" w:line="240" w:lineRule="auto"/>
              <w:jc w:val="center"/>
              <w:rPr>
                <w:rFonts w:ascii="Book Antiqua" w:eastAsia="Times New Roman" w:hAnsi="Book Antiqua" w:cs="Calibri"/>
                <w:b/>
                <w:bCs/>
                <w:color w:val="FFFFFF"/>
                <w:lang w:eastAsia="es-CR"/>
              </w:rPr>
            </w:pPr>
            <w:r w:rsidRPr="00252364">
              <w:rPr>
                <w:rFonts w:ascii="Book Antiqua" w:eastAsia="Times New Roman" w:hAnsi="Book Antiqua" w:cs="Calibri"/>
                <w:b/>
                <w:bCs/>
                <w:color w:val="FFFFFF"/>
                <w:lang w:eastAsia="es-CR"/>
              </w:rPr>
              <w:t>2021</w:t>
            </w:r>
          </w:p>
        </w:tc>
      </w:tr>
      <w:tr w:rsidR="00252364" w:rsidRPr="00252364" w14:paraId="5EB51BF6"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64EC4D83"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Familia</w:t>
            </w:r>
          </w:p>
        </w:tc>
        <w:tc>
          <w:tcPr>
            <w:tcW w:w="956" w:type="pct"/>
            <w:tcBorders>
              <w:top w:val="nil"/>
              <w:left w:val="nil"/>
              <w:bottom w:val="single" w:sz="4" w:space="0" w:color="auto"/>
              <w:right w:val="single" w:sz="4" w:space="0" w:color="auto"/>
            </w:tcBorders>
            <w:shd w:val="clear" w:color="auto" w:fill="auto"/>
            <w:noWrap/>
            <w:vAlign w:val="bottom"/>
            <w:hideMark/>
          </w:tcPr>
          <w:p w14:paraId="5866782D"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225</w:t>
            </w:r>
          </w:p>
        </w:tc>
        <w:tc>
          <w:tcPr>
            <w:tcW w:w="956" w:type="pct"/>
            <w:tcBorders>
              <w:top w:val="nil"/>
              <w:left w:val="nil"/>
              <w:bottom w:val="single" w:sz="4" w:space="0" w:color="auto"/>
              <w:right w:val="single" w:sz="4" w:space="0" w:color="auto"/>
            </w:tcBorders>
            <w:shd w:val="clear" w:color="auto" w:fill="auto"/>
            <w:noWrap/>
            <w:vAlign w:val="bottom"/>
            <w:hideMark/>
          </w:tcPr>
          <w:p w14:paraId="6E1D2B2A"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158</w:t>
            </w:r>
          </w:p>
        </w:tc>
        <w:tc>
          <w:tcPr>
            <w:tcW w:w="987" w:type="pct"/>
            <w:tcBorders>
              <w:top w:val="nil"/>
              <w:left w:val="nil"/>
              <w:bottom w:val="single" w:sz="4" w:space="0" w:color="auto"/>
              <w:right w:val="single" w:sz="4" w:space="0" w:color="auto"/>
            </w:tcBorders>
            <w:shd w:val="clear" w:color="auto" w:fill="auto"/>
            <w:noWrap/>
            <w:vAlign w:val="bottom"/>
            <w:hideMark/>
          </w:tcPr>
          <w:p w14:paraId="700DDBC6"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355</w:t>
            </w:r>
          </w:p>
        </w:tc>
      </w:tr>
      <w:tr w:rsidR="00252364" w:rsidRPr="00252364" w14:paraId="5620C9C5"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64FE8EE5"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Laboral</w:t>
            </w:r>
          </w:p>
        </w:tc>
        <w:tc>
          <w:tcPr>
            <w:tcW w:w="956" w:type="pct"/>
            <w:tcBorders>
              <w:top w:val="nil"/>
              <w:left w:val="nil"/>
              <w:bottom w:val="single" w:sz="4" w:space="0" w:color="auto"/>
              <w:right w:val="single" w:sz="4" w:space="0" w:color="auto"/>
            </w:tcBorders>
            <w:shd w:val="clear" w:color="auto" w:fill="auto"/>
            <w:noWrap/>
            <w:vAlign w:val="bottom"/>
            <w:hideMark/>
          </w:tcPr>
          <w:p w14:paraId="14BCE1ED"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3218</w:t>
            </w:r>
          </w:p>
        </w:tc>
        <w:tc>
          <w:tcPr>
            <w:tcW w:w="956" w:type="pct"/>
            <w:tcBorders>
              <w:top w:val="nil"/>
              <w:left w:val="nil"/>
              <w:bottom w:val="single" w:sz="4" w:space="0" w:color="auto"/>
              <w:right w:val="single" w:sz="4" w:space="0" w:color="auto"/>
            </w:tcBorders>
            <w:shd w:val="clear" w:color="auto" w:fill="auto"/>
            <w:noWrap/>
            <w:vAlign w:val="bottom"/>
            <w:hideMark/>
          </w:tcPr>
          <w:p w14:paraId="2D3408CE"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2746</w:t>
            </w:r>
          </w:p>
        </w:tc>
        <w:tc>
          <w:tcPr>
            <w:tcW w:w="987" w:type="pct"/>
            <w:tcBorders>
              <w:top w:val="nil"/>
              <w:left w:val="nil"/>
              <w:bottom w:val="single" w:sz="4" w:space="0" w:color="auto"/>
              <w:right w:val="single" w:sz="4" w:space="0" w:color="auto"/>
            </w:tcBorders>
            <w:shd w:val="clear" w:color="auto" w:fill="auto"/>
            <w:noWrap/>
            <w:vAlign w:val="bottom"/>
            <w:hideMark/>
          </w:tcPr>
          <w:p w14:paraId="40429A28"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2446</w:t>
            </w:r>
          </w:p>
        </w:tc>
      </w:tr>
      <w:tr w:rsidR="00252364" w:rsidRPr="00252364" w14:paraId="16B4FBB5"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42E97138"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Concursal</w:t>
            </w:r>
          </w:p>
        </w:tc>
        <w:tc>
          <w:tcPr>
            <w:tcW w:w="956" w:type="pct"/>
            <w:tcBorders>
              <w:top w:val="nil"/>
              <w:left w:val="nil"/>
              <w:bottom w:val="single" w:sz="4" w:space="0" w:color="auto"/>
              <w:right w:val="single" w:sz="4" w:space="0" w:color="auto"/>
            </w:tcBorders>
            <w:shd w:val="clear" w:color="auto" w:fill="auto"/>
            <w:noWrap/>
            <w:vAlign w:val="bottom"/>
            <w:hideMark/>
          </w:tcPr>
          <w:p w14:paraId="10A94557"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36</w:t>
            </w:r>
          </w:p>
        </w:tc>
        <w:tc>
          <w:tcPr>
            <w:tcW w:w="956" w:type="pct"/>
            <w:tcBorders>
              <w:top w:val="nil"/>
              <w:left w:val="nil"/>
              <w:bottom w:val="single" w:sz="4" w:space="0" w:color="auto"/>
              <w:right w:val="single" w:sz="4" w:space="0" w:color="auto"/>
            </w:tcBorders>
            <w:shd w:val="clear" w:color="auto" w:fill="auto"/>
            <w:noWrap/>
            <w:vAlign w:val="bottom"/>
            <w:hideMark/>
          </w:tcPr>
          <w:p w14:paraId="48D5E5D5"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14</w:t>
            </w:r>
          </w:p>
        </w:tc>
        <w:tc>
          <w:tcPr>
            <w:tcW w:w="987" w:type="pct"/>
            <w:tcBorders>
              <w:top w:val="nil"/>
              <w:left w:val="nil"/>
              <w:bottom w:val="single" w:sz="4" w:space="0" w:color="auto"/>
              <w:right w:val="single" w:sz="4" w:space="0" w:color="auto"/>
            </w:tcBorders>
            <w:shd w:val="clear" w:color="auto" w:fill="auto"/>
            <w:noWrap/>
            <w:vAlign w:val="bottom"/>
            <w:hideMark/>
          </w:tcPr>
          <w:p w14:paraId="50DF044E"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10</w:t>
            </w:r>
          </w:p>
        </w:tc>
      </w:tr>
      <w:tr w:rsidR="00252364" w:rsidRPr="00252364" w14:paraId="27FBB0C1"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3828FA4A"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Civil</w:t>
            </w:r>
          </w:p>
        </w:tc>
        <w:tc>
          <w:tcPr>
            <w:tcW w:w="956" w:type="pct"/>
            <w:tcBorders>
              <w:top w:val="nil"/>
              <w:left w:val="nil"/>
              <w:bottom w:val="single" w:sz="4" w:space="0" w:color="auto"/>
              <w:right w:val="single" w:sz="4" w:space="0" w:color="auto"/>
            </w:tcBorders>
            <w:shd w:val="clear" w:color="auto" w:fill="auto"/>
            <w:noWrap/>
            <w:vAlign w:val="bottom"/>
            <w:hideMark/>
          </w:tcPr>
          <w:p w14:paraId="1716B0D1"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43</w:t>
            </w:r>
          </w:p>
        </w:tc>
        <w:tc>
          <w:tcPr>
            <w:tcW w:w="956" w:type="pct"/>
            <w:tcBorders>
              <w:top w:val="nil"/>
              <w:left w:val="nil"/>
              <w:bottom w:val="single" w:sz="4" w:space="0" w:color="auto"/>
              <w:right w:val="single" w:sz="4" w:space="0" w:color="auto"/>
            </w:tcBorders>
            <w:shd w:val="clear" w:color="auto" w:fill="auto"/>
            <w:noWrap/>
            <w:vAlign w:val="bottom"/>
            <w:hideMark/>
          </w:tcPr>
          <w:p w14:paraId="5C8A03C9"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38</w:t>
            </w:r>
          </w:p>
        </w:tc>
        <w:tc>
          <w:tcPr>
            <w:tcW w:w="987" w:type="pct"/>
            <w:tcBorders>
              <w:top w:val="nil"/>
              <w:left w:val="nil"/>
              <w:bottom w:val="single" w:sz="4" w:space="0" w:color="auto"/>
              <w:right w:val="single" w:sz="4" w:space="0" w:color="auto"/>
            </w:tcBorders>
            <w:shd w:val="clear" w:color="auto" w:fill="auto"/>
            <w:noWrap/>
            <w:vAlign w:val="bottom"/>
            <w:hideMark/>
          </w:tcPr>
          <w:p w14:paraId="35C02943"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75</w:t>
            </w:r>
          </w:p>
        </w:tc>
      </w:tr>
      <w:tr w:rsidR="00252364" w:rsidRPr="00252364" w14:paraId="708432FB"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7DB8A58A"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Pensiones Alimentarias</w:t>
            </w:r>
          </w:p>
        </w:tc>
        <w:tc>
          <w:tcPr>
            <w:tcW w:w="956" w:type="pct"/>
            <w:tcBorders>
              <w:top w:val="nil"/>
              <w:left w:val="nil"/>
              <w:bottom w:val="single" w:sz="4" w:space="0" w:color="auto"/>
              <w:right w:val="single" w:sz="4" w:space="0" w:color="auto"/>
            </w:tcBorders>
            <w:shd w:val="clear" w:color="auto" w:fill="auto"/>
            <w:noWrap/>
            <w:vAlign w:val="bottom"/>
            <w:hideMark/>
          </w:tcPr>
          <w:p w14:paraId="2FB39FA3"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6</w:t>
            </w:r>
          </w:p>
        </w:tc>
        <w:tc>
          <w:tcPr>
            <w:tcW w:w="956" w:type="pct"/>
            <w:tcBorders>
              <w:top w:val="nil"/>
              <w:left w:val="nil"/>
              <w:bottom w:val="single" w:sz="4" w:space="0" w:color="auto"/>
              <w:right w:val="single" w:sz="4" w:space="0" w:color="auto"/>
            </w:tcBorders>
            <w:shd w:val="clear" w:color="auto" w:fill="auto"/>
            <w:noWrap/>
            <w:vAlign w:val="bottom"/>
            <w:hideMark/>
          </w:tcPr>
          <w:p w14:paraId="18FFF779"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11</w:t>
            </w:r>
          </w:p>
        </w:tc>
        <w:tc>
          <w:tcPr>
            <w:tcW w:w="987" w:type="pct"/>
            <w:tcBorders>
              <w:top w:val="nil"/>
              <w:left w:val="nil"/>
              <w:bottom w:val="single" w:sz="4" w:space="0" w:color="auto"/>
              <w:right w:val="single" w:sz="4" w:space="0" w:color="auto"/>
            </w:tcBorders>
            <w:shd w:val="clear" w:color="auto" w:fill="auto"/>
            <w:noWrap/>
            <w:vAlign w:val="bottom"/>
            <w:hideMark/>
          </w:tcPr>
          <w:p w14:paraId="2EC5ACD5"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11</w:t>
            </w:r>
          </w:p>
        </w:tc>
      </w:tr>
      <w:tr w:rsidR="00252364" w:rsidRPr="00252364" w14:paraId="77DBCD9F"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1AA4AB97"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Violencia Doméstica</w:t>
            </w:r>
          </w:p>
        </w:tc>
        <w:tc>
          <w:tcPr>
            <w:tcW w:w="956" w:type="pct"/>
            <w:tcBorders>
              <w:top w:val="nil"/>
              <w:left w:val="nil"/>
              <w:bottom w:val="single" w:sz="4" w:space="0" w:color="auto"/>
              <w:right w:val="single" w:sz="4" w:space="0" w:color="auto"/>
            </w:tcBorders>
            <w:shd w:val="clear" w:color="auto" w:fill="auto"/>
            <w:noWrap/>
            <w:vAlign w:val="bottom"/>
            <w:hideMark/>
          </w:tcPr>
          <w:p w14:paraId="3A57829E"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w:t>
            </w:r>
          </w:p>
        </w:tc>
        <w:tc>
          <w:tcPr>
            <w:tcW w:w="956" w:type="pct"/>
            <w:tcBorders>
              <w:top w:val="nil"/>
              <w:left w:val="nil"/>
              <w:bottom w:val="single" w:sz="4" w:space="0" w:color="auto"/>
              <w:right w:val="single" w:sz="4" w:space="0" w:color="auto"/>
            </w:tcBorders>
            <w:shd w:val="clear" w:color="auto" w:fill="auto"/>
            <w:noWrap/>
            <w:vAlign w:val="bottom"/>
            <w:hideMark/>
          </w:tcPr>
          <w:p w14:paraId="4A3ABB2B"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w:t>
            </w:r>
          </w:p>
        </w:tc>
        <w:tc>
          <w:tcPr>
            <w:tcW w:w="987" w:type="pct"/>
            <w:tcBorders>
              <w:top w:val="nil"/>
              <w:left w:val="nil"/>
              <w:bottom w:val="single" w:sz="4" w:space="0" w:color="auto"/>
              <w:right w:val="single" w:sz="4" w:space="0" w:color="auto"/>
            </w:tcBorders>
            <w:shd w:val="clear" w:color="auto" w:fill="auto"/>
            <w:noWrap/>
            <w:vAlign w:val="bottom"/>
            <w:hideMark/>
          </w:tcPr>
          <w:p w14:paraId="4A2B3D4F"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w:t>
            </w:r>
          </w:p>
        </w:tc>
      </w:tr>
      <w:tr w:rsidR="00252364" w:rsidRPr="00252364" w14:paraId="393A73D8"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466C495E"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Niñez y Adolescencia</w:t>
            </w:r>
          </w:p>
        </w:tc>
        <w:tc>
          <w:tcPr>
            <w:tcW w:w="956" w:type="pct"/>
            <w:tcBorders>
              <w:top w:val="nil"/>
              <w:left w:val="nil"/>
              <w:bottom w:val="single" w:sz="4" w:space="0" w:color="auto"/>
              <w:right w:val="single" w:sz="4" w:space="0" w:color="auto"/>
            </w:tcBorders>
            <w:shd w:val="clear" w:color="auto" w:fill="auto"/>
            <w:noWrap/>
            <w:vAlign w:val="bottom"/>
            <w:hideMark/>
          </w:tcPr>
          <w:p w14:paraId="434777AF"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6</w:t>
            </w:r>
          </w:p>
        </w:tc>
        <w:tc>
          <w:tcPr>
            <w:tcW w:w="956" w:type="pct"/>
            <w:tcBorders>
              <w:top w:val="nil"/>
              <w:left w:val="nil"/>
              <w:bottom w:val="single" w:sz="4" w:space="0" w:color="auto"/>
              <w:right w:val="single" w:sz="4" w:space="0" w:color="auto"/>
            </w:tcBorders>
            <w:shd w:val="clear" w:color="auto" w:fill="auto"/>
            <w:noWrap/>
            <w:vAlign w:val="bottom"/>
            <w:hideMark/>
          </w:tcPr>
          <w:p w14:paraId="27C75AEE"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3</w:t>
            </w:r>
          </w:p>
        </w:tc>
        <w:tc>
          <w:tcPr>
            <w:tcW w:w="987" w:type="pct"/>
            <w:tcBorders>
              <w:top w:val="nil"/>
              <w:left w:val="nil"/>
              <w:bottom w:val="single" w:sz="4" w:space="0" w:color="auto"/>
              <w:right w:val="single" w:sz="4" w:space="0" w:color="auto"/>
            </w:tcBorders>
            <w:shd w:val="clear" w:color="auto" w:fill="auto"/>
            <w:noWrap/>
            <w:vAlign w:val="bottom"/>
            <w:hideMark/>
          </w:tcPr>
          <w:p w14:paraId="25F81496"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w:t>
            </w:r>
          </w:p>
        </w:tc>
      </w:tr>
      <w:tr w:rsidR="00252364" w:rsidRPr="00252364" w14:paraId="44B62042"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127AE589"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Agrario</w:t>
            </w:r>
          </w:p>
        </w:tc>
        <w:tc>
          <w:tcPr>
            <w:tcW w:w="956" w:type="pct"/>
            <w:tcBorders>
              <w:top w:val="nil"/>
              <w:left w:val="nil"/>
              <w:bottom w:val="single" w:sz="4" w:space="0" w:color="auto"/>
              <w:right w:val="single" w:sz="4" w:space="0" w:color="auto"/>
            </w:tcBorders>
            <w:shd w:val="clear" w:color="auto" w:fill="auto"/>
            <w:noWrap/>
            <w:vAlign w:val="bottom"/>
            <w:hideMark/>
          </w:tcPr>
          <w:p w14:paraId="0FC477DD"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w:t>
            </w:r>
          </w:p>
        </w:tc>
        <w:tc>
          <w:tcPr>
            <w:tcW w:w="956" w:type="pct"/>
            <w:tcBorders>
              <w:top w:val="nil"/>
              <w:left w:val="nil"/>
              <w:bottom w:val="single" w:sz="4" w:space="0" w:color="auto"/>
              <w:right w:val="single" w:sz="4" w:space="0" w:color="auto"/>
            </w:tcBorders>
            <w:shd w:val="clear" w:color="auto" w:fill="auto"/>
            <w:noWrap/>
            <w:vAlign w:val="bottom"/>
            <w:hideMark/>
          </w:tcPr>
          <w:p w14:paraId="7F370A82"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0</w:t>
            </w:r>
          </w:p>
        </w:tc>
        <w:tc>
          <w:tcPr>
            <w:tcW w:w="987" w:type="pct"/>
            <w:tcBorders>
              <w:top w:val="nil"/>
              <w:left w:val="nil"/>
              <w:bottom w:val="single" w:sz="4" w:space="0" w:color="auto"/>
              <w:right w:val="single" w:sz="4" w:space="0" w:color="auto"/>
            </w:tcBorders>
            <w:shd w:val="clear" w:color="auto" w:fill="auto"/>
            <w:noWrap/>
            <w:vAlign w:val="bottom"/>
            <w:hideMark/>
          </w:tcPr>
          <w:p w14:paraId="7D9B2A63"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1</w:t>
            </w:r>
          </w:p>
        </w:tc>
      </w:tr>
      <w:tr w:rsidR="00252364" w:rsidRPr="00252364" w14:paraId="1DAEFA15" w14:textId="77777777" w:rsidTr="00252364">
        <w:trPr>
          <w:trHeight w:val="290"/>
        </w:trPr>
        <w:tc>
          <w:tcPr>
            <w:tcW w:w="2101" w:type="pct"/>
            <w:tcBorders>
              <w:top w:val="nil"/>
              <w:left w:val="single" w:sz="4" w:space="0" w:color="auto"/>
              <w:bottom w:val="single" w:sz="4" w:space="0" w:color="auto"/>
              <w:right w:val="single" w:sz="4" w:space="0" w:color="auto"/>
            </w:tcBorders>
            <w:shd w:val="clear" w:color="auto" w:fill="auto"/>
            <w:noWrap/>
            <w:vAlign w:val="bottom"/>
            <w:hideMark/>
          </w:tcPr>
          <w:p w14:paraId="1A006D67" w14:textId="77777777" w:rsidR="00252364" w:rsidRPr="00252364" w:rsidRDefault="00252364" w:rsidP="00252364">
            <w:pPr>
              <w:spacing w:after="0" w:line="240" w:lineRule="auto"/>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Sala Segunda</w:t>
            </w:r>
          </w:p>
        </w:tc>
        <w:tc>
          <w:tcPr>
            <w:tcW w:w="956" w:type="pct"/>
            <w:tcBorders>
              <w:top w:val="nil"/>
              <w:left w:val="nil"/>
              <w:bottom w:val="single" w:sz="4" w:space="0" w:color="auto"/>
              <w:right w:val="single" w:sz="4" w:space="0" w:color="auto"/>
            </w:tcBorders>
            <w:shd w:val="clear" w:color="auto" w:fill="auto"/>
            <w:noWrap/>
            <w:vAlign w:val="bottom"/>
            <w:hideMark/>
          </w:tcPr>
          <w:p w14:paraId="1D71D1B3"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40</w:t>
            </w:r>
          </w:p>
        </w:tc>
        <w:tc>
          <w:tcPr>
            <w:tcW w:w="956" w:type="pct"/>
            <w:tcBorders>
              <w:top w:val="nil"/>
              <w:left w:val="nil"/>
              <w:bottom w:val="single" w:sz="4" w:space="0" w:color="auto"/>
              <w:right w:val="single" w:sz="4" w:space="0" w:color="auto"/>
            </w:tcBorders>
            <w:shd w:val="clear" w:color="auto" w:fill="auto"/>
            <w:noWrap/>
            <w:vAlign w:val="bottom"/>
            <w:hideMark/>
          </w:tcPr>
          <w:p w14:paraId="32868C3B"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2</w:t>
            </w:r>
          </w:p>
        </w:tc>
        <w:tc>
          <w:tcPr>
            <w:tcW w:w="987" w:type="pct"/>
            <w:tcBorders>
              <w:top w:val="nil"/>
              <w:left w:val="nil"/>
              <w:bottom w:val="single" w:sz="4" w:space="0" w:color="auto"/>
              <w:right w:val="single" w:sz="4" w:space="0" w:color="auto"/>
            </w:tcBorders>
            <w:shd w:val="clear" w:color="auto" w:fill="auto"/>
            <w:noWrap/>
            <w:vAlign w:val="bottom"/>
            <w:hideMark/>
          </w:tcPr>
          <w:p w14:paraId="6EBE82DB" w14:textId="77777777" w:rsidR="00252364" w:rsidRPr="00252364" w:rsidRDefault="00252364" w:rsidP="00252364">
            <w:pPr>
              <w:spacing w:after="0" w:line="240" w:lineRule="auto"/>
              <w:jc w:val="center"/>
              <w:rPr>
                <w:rFonts w:ascii="Book Antiqua" w:eastAsia="Times New Roman" w:hAnsi="Book Antiqua" w:cs="Calibri"/>
                <w:color w:val="000000"/>
                <w:lang w:eastAsia="es-CR"/>
              </w:rPr>
            </w:pPr>
            <w:r w:rsidRPr="00252364">
              <w:rPr>
                <w:rFonts w:ascii="Book Antiqua" w:eastAsia="Times New Roman" w:hAnsi="Book Antiqua" w:cs="Calibri"/>
                <w:color w:val="000000"/>
                <w:lang w:eastAsia="es-CR"/>
              </w:rPr>
              <w:t>6</w:t>
            </w:r>
          </w:p>
        </w:tc>
      </w:tr>
    </w:tbl>
    <w:p w14:paraId="523EE2ED" w14:textId="77777777" w:rsidR="00252364" w:rsidRDefault="00252364" w:rsidP="00252364">
      <w:pPr>
        <w:spacing w:line="276" w:lineRule="auto"/>
        <w:jc w:val="both"/>
        <w:rPr>
          <w:rFonts w:ascii="Book Antiqua" w:eastAsia="Calibri" w:hAnsi="Book Antiqua" w:cs="Arial"/>
          <w:i/>
          <w:iCs/>
          <w:sz w:val="20"/>
          <w:szCs w:val="20"/>
        </w:rPr>
      </w:pPr>
      <w:bookmarkStart w:id="56" w:name="_Hlk97372792"/>
      <w:r w:rsidRPr="007D4541">
        <w:rPr>
          <w:rFonts w:ascii="Book Antiqua" w:hAnsi="Book Antiqua"/>
          <w:i/>
          <w:iCs/>
          <w:sz w:val="20"/>
          <w:szCs w:val="20"/>
        </w:rPr>
        <w:t xml:space="preserve">Fuente: </w:t>
      </w:r>
      <w:r w:rsidRPr="007D4541">
        <w:rPr>
          <w:rFonts w:ascii="Book Antiqua" w:eastAsia="Calibri" w:hAnsi="Book Antiqua" w:cs="Arial"/>
          <w:i/>
          <w:iCs/>
          <w:sz w:val="20"/>
          <w:szCs w:val="20"/>
        </w:rPr>
        <w:t>Subproceso de Modernización Institucional</w:t>
      </w:r>
      <w:r>
        <w:rPr>
          <w:rFonts w:ascii="Book Antiqua" w:eastAsia="Calibri" w:hAnsi="Book Antiqua" w:cs="Arial"/>
          <w:i/>
          <w:iCs/>
          <w:sz w:val="20"/>
          <w:szCs w:val="20"/>
        </w:rPr>
        <w:t>.</w:t>
      </w:r>
    </w:p>
    <w:bookmarkEnd w:id="56"/>
    <w:p w14:paraId="1B81D849" w14:textId="77777777" w:rsidR="00C36848" w:rsidRPr="00C94966" w:rsidRDefault="00C36848" w:rsidP="00797860">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7CC39ED8" w14:textId="1525556B" w:rsidR="00797860" w:rsidRDefault="00F90AF1"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Para el periodo</w:t>
      </w:r>
      <w:r w:rsidR="00CE7E70">
        <w:rPr>
          <w:rFonts w:ascii="Book Antiqua" w:eastAsia="Calibri" w:hAnsi="Book Antiqua" w:cs="Arial"/>
          <w:sz w:val="24"/>
          <w:szCs w:val="24"/>
        </w:rPr>
        <w:t xml:space="preserve"> del 2019 al 2021, en total ingresaron 9 457 asuntos, de los cuales 738 corresponden a la materia de Familia</w:t>
      </w:r>
      <w:r w:rsidR="00AE4054">
        <w:rPr>
          <w:rFonts w:ascii="Book Antiqua" w:eastAsia="Calibri" w:hAnsi="Book Antiqua" w:cs="Arial"/>
          <w:sz w:val="24"/>
          <w:szCs w:val="24"/>
        </w:rPr>
        <w:t xml:space="preserve"> (8%)</w:t>
      </w:r>
      <w:r w:rsidR="00CE7E70">
        <w:rPr>
          <w:rFonts w:ascii="Book Antiqua" w:eastAsia="Calibri" w:hAnsi="Book Antiqua" w:cs="Arial"/>
          <w:sz w:val="24"/>
          <w:szCs w:val="24"/>
        </w:rPr>
        <w:t xml:space="preserve">, </w:t>
      </w:r>
      <w:r w:rsidR="00CD72AC">
        <w:rPr>
          <w:rFonts w:ascii="Book Antiqua" w:eastAsia="Calibri" w:hAnsi="Book Antiqua" w:cs="Arial"/>
          <w:sz w:val="24"/>
          <w:szCs w:val="24"/>
        </w:rPr>
        <w:t xml:space="preserve">8410 asuntos son de Laboral </w:t>
      </w:r>
      <w:r w:rsidR="00AE4054">
        <w:rPr>
          <w:rFonts w:ascii="Book Antiqua" w:eastAsia="Calibri" w:hAnsi="Book Antiqua" w:cs="Arial"/>
          <w:sz w:val="24"/>
          <w:szCs w:val="24"/>
        </w:rPr>
        <w:t xml:space="preserve">(89%) </w:t>
      </w:r>
      <w:r w:rsidR="00CD72AC">
        <w:rPr>
          <w:rFonts w:ascii="Book Antiqua" w:eastAsia="Calibri" w:hAnsi="Book Antiqua" w:cs="Arial"/>
          <w:sz w:val="24"/>
          <w:szCs w:val="24"/>
        </w:rPr>
        <w:t xml:space="preserve">y en menor cantidad las demás materias que sumadas </w:t>
      </w:r>
      <w:r w:rsidR="00100D3A">
        <w:rPr>
          <w:rFonts w:ascii="Book Antiqua" w:eastAsia="Calibri" w:hAnsi="Book Antiqua" w:cs="Arial"/>
          <w:sz w:val="24"/>
          <w:szCs w:val="24"/>
        </w:rPr>
        <w:t xml:space="preserve">en total </w:t>
      </w:r>
      <w:r w:rsidR="00CD72AC">
        <w:rPr>
          <w:rFonts w:ascii="Book Antiqua" w:eastAsia="Calibri" w:hAnsi="Book Antiqua" w:cs="Arial"/>
          <w:sz w:val="24"/>
          <w:szCs w:val="24"/>
        </w:rPr>
        <w:t xml:space="preserve">son </w:t>
      </w:r>
      <w:r w:rsidR="00100D3A">
        <w:rPr>
          <w:rFonts w:ascii="Book Antiqua" w:eastAsia="Calibri" w:hAnsi="Book Antiqua" w:cs="Arial"/>
          <w:sz w:val="24"/>
          <w:szCs w:val="24"/>
        </w:rPr>
        <w:t>309</w:t>
      </w:r>
      <w:r w:rsidR="00AE4054">
        <w:rPr>
          <w:rFonts w:ascii="Book Antiqua" w:eastAsia="Calibri" w:hAnsi="Book Antiqua" w:cs="Arial"/>
          <w:sz w:val="24"/>
          <w:szCs w:val="24"/>
        </w:rPr>
        <w:t xml:space="preserve"> apelaciones (3%), como puede observarse la materia de Familia representa</w:t>
      </w:r>
      <w:r w:rsidR="00561C46">
        <w:rPr>
          <w:rFonts w:ascii="Book Antiqua" w:eastAsia="Calibri" w:hAnsi="Book Antiqua" w:cs="Arial"/>
          <w:sz w:val="24"/>
          <w:szCs w:val="24"/>
        </w:rPr>
        <w:t xml:space="preserve"> solamente el</w:t>
      </w:r>
      <w:r w:rsidR="00AE4054">
        <w:rPr>
          <w:rFonts w:ascii="Book Antiqua" w:eastAsia="Calibri" w:hAnsi="Book Antiqua" w:cs="Arial"/>
          <w:sz w:val="24"/>
          <w:szCs w:val="24"/>
        </w:rPr>
        <w:t xml:space="preserve"> 8% del total de la entrada.</w:t>
      </w:r>
    </w:p>
    <w:p w14:paraId="099A31E6" w14:textId="77777777" w:rsidR="006B0E83" w:rsidRDefault="006B0E83" w:rsidP="006B0E83">
      <w:pPr>
        <w:spacing w:after="0" w:line="276" w:lineRule="auto"/>
        <w:jc w:val="both"/>
        <w:rPr>
          <w:rFonts w:ascii="Book Antiqua" w:eastAsia="Calibri" w:hAnsi="Book Antiqua" w:cs="Arial"/>
          <w:b/>
          <w:bCs/>
          <w:i/>
          <w:iCs/>
          <w:sz w:val="24"/>
          <w:szCs w:val="24"/>
          <w:u w:val="single"/>
        </w:rPr>
      </w:pPr>
    </w:p>
    <w:p w14:paraId="796109E2" w14:textId="4D178E79" w:rsidR="00035487" w:rsidRPr="009F59E8" w:rsidRDefault="00035487" w:rsidP="009F59E8">
      <w:pPr>
        <w:spacing w:after="0" w:line="276" w:lineRule="auto"/>
        <w:jc w:val="both"/>
        <w:rPr>
          <w:rFonts w:ascii="Book Antiqua" w:eastAsia="Calibri" w:hAnsi="Book Antiqua" w:cs="Arial"/>
          <w:b/>
          <w:bCs/>
          <w:sz w:val="24"/>
          <w:szCs w:val="24"/>
        </w:rPr>
      </w:pPr>
      <w:r w:rsidRPr="009F59E8">
        <w:rPr>
          <w:rFonts w:ascii="Book Antiqua" w:eastAsia="Calibri" w:hAnsi="Book Antiqua" w:cs="Arial"/>
          <w:b/>
          <w:bCs/>
          <w:sz w:val="24"/>
          <w:szCs w:val="24"/>
        </w:rPr>
        <w:t xml:space="preserve">Duración de los procesos atendidos por la Sala Segunda en materia de Familia </w:t>
      </w:r>
    </w:p>
    <w:p w14:paraId="6CBBC859" w14:textId="77777777" w:rsidR="009F59E8" w:rsidRDefault="009F59E8" w:rsidP="006B0E83">
      <w:pPr>
        <w:spacing w:line="276" w:lineRule="auto"/>
        <w:jc w:val="both"/>
        <w:rPr>
          <w:rFonts w:ascii="Book Antiqua" w:hAnsi="Book Antiqua"/>
          <w:sz w:val="24"/>
          <w:szCs w:val="24"/>
        </w:rPr>
      </w:pPr>
    </w:p>
    <w:p w14:paraId="360E994E" w14:textId="2902D540" w:rsidR="006B0E83" w:rsidRDefault="006B0E83" w:rsidP="006B0E83">
      <w:pPr>
        <w:spacing w:line="276" w:lineRule="auto"/>
        <w:jc w:val="both"/>
        <w:rPr>
          <w:rFonts w:ascii="Book Antiqua" w:hAnsi="Book Antiqua"/>
          <w:sz w:val="24"/>
          <w:szCs w:val="24"/>
        </w:rPr>
      </w:pPr>
      <w:r>
        <w:rPr>
          <w:rFonts w:ascii="Book Antiqua" w:hAnsi="Book Antiqua"/>
          <w:sz w:val="24"/>
          <w:szCs w:val="24"/>
        </w:rPr>
        <w:t xml:space="preserve">Al analizar la duración actual en que se están resolviendo los procesos en la Sala Segunda, específicamente de la materia de Familia se tiene una duración promedio para el periodo 2020 y 2021 de 16 meses y 1 semana. </w:t>
      </w:r>
    </w:p>
    <w:p w14:paraId="33AD8E29" w14:textId="56F59E53" w:rsidR="006B0E83" w:rsidRDefault="00562E95" w:rsidP="006B0E83">
      <w:pPr>
        <w:spacing w:line="276" w:lineRule="auto"/>
        <w:jc w:val="both"/>
        <w:rPr>
          <w:rFonts w:ascii="Book Antiqua" w:hAnsi="Book Antiqua"/>
          <w:sz w:val="24"/>
          <w:szCs w:val="24"/>
        </w:rPr>
      </w:pPr>
      <w:r>
        <w:rPr>
          <w:rFonts w:ascii="Book Antiqua" w:hAnsi="Book Antiqua"/>
          <w:sz w:val="24"/>
          <w:szCs w:val="24"/>
        </w:rPr>
        <w:t>Tal y como se muestra en los siguientes 2 cuadros, donde se presenta un promedio de duración por clase de asuntos desde que ingresa a la Sala el recurso hasta que se finaliza. Por ejemplo, l</w:t>
      </w:r>
      <w:r w:rsidR="006B0E83">
        <w:rPr>
          <w:rFonts w:ascii="Book Antiqua" w:hAnsi="Book Antiqua"/>
          <w:sz w:val="24"/>
          <w:szCs w:val="24"/>
        </w:rPr>
        <w:t>os recursos de casación en materia de Familia en 202</w:t>
      </w:r>
      <w:r>
        <w:rPr>
          <w:rFonts w:ascii="Book Antiqua" w:hAnsi="Book Antiqua"/>
          <w:sz w:val="24"/>
          <w:szCs w:val="24"/>
        </w:rPr>
        <w:t>0</w:t>
      </w:r>
      <w:r w:rsidR="006B0E83">
        <w:rPr>
          <w:rFonts w:ascii="Book Antiqua" w:hAnsi="Book Antiqua"/>
          <w:sz w:val="24"/>
          <w:szCs w:val="24"/>
        </w:rPr>
        <w:t xml:space="preserve"> se resolvieron en promedio en</w:t>
      </w:r>
      <w:r>
        <w:rPr>
          <w:rFonts w:ascii="Book Antiqua" w:hAnsi="Book Antiqua"/>
          <w:sz w:val="24"/>
          <w:szCs w:val="24"/>
        </w:rPr>
        <w:t xml:space="preserve"> 11 meses y 1 semana, y para el 2021 ese promedio subió a 18 meses (un incremento de 7 meses para resolver un recurso de casación solo con 1 año de diferencia).</w:t>
      </w:r>
      <w:r w:rsidR="006B0E83">
        <w:rPr>
          <w:rFonts w:ascii="Book Antiqua" w:hAnsi="Book Antiqua"/>
          <w:sz w:val="24"/>
          <w:szCs w:val="24"/>
        </w:rPr>
        <w:t xml:space="preserve"> </w:t>
      </w:r>
    </w:p>
    <w:p w14:paraId="27C7AA60" w14:textId="77777777" w:rsidR="00292F21" w:rsidRDefault="00292F21" w:rsidP="006B0E83">
      <w:pPr>
        <w:spacing w:line="276" w:lineRule="auto"/>
        <w:jc w:val="both"/>
        <w:rPr>
          <w:rFonts w:ascii="Book Antiqua" w:hAnsi="Book Antiqua"/>
          <w:sz w:val="24"/>
          <w:szCs w:val="24"/>
        </w:rPr>
      </w:pPr>
    </w:p>
    <w:p w14:paraId="4290100E" w14:textId="6E1D369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lastRenderedPageBreak/>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59</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2BC4CED7" w14:textId="7777777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383FDB35" w14:textId="7777777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de la Sala Segunda</w:t>
      </w:r>
      <w:r w:rsidRPr="001212F0">
        <w:rPr>
          <w:rFonts w:ascii="Book Antiqua" w:eastAsia="Calibri" w:hAnsi="Book Antiqua" w:cs="Arial"/>
          <w:b/>
          <w:bCs/>
          <w:color w:val="1F497D"/>
          <w:szCs w:val="24"/>
          <w:lang w:val="es-ES" w:eastAsia="es-ES"/>
        </w:rPr>
        <w:t xml:space="preserve"> en materia Familia 20</w:t>
      </w:r>
      <w:r>
        <w:rPr>
          <w:rFonts w:ascii="Book Antiqua" w:eastAsia="Calibri" w:hAnsi="Book Antiqua" w:cs="Arial"/>
          <w:b/>
          <w:bCs/>
          <w:color w:val="1F497D"/>
          <w:szCs w:val="24"/>
          <w:lang w:val="es-ES" w:eastAsia="es-ES"/>
        </w:rPr>
        <w:t>20</w:t>
      </w:r>
    </w:p>
    <w:tbl>
      <w:tblPr>
        <w:tblW w:w="5000" w:type="pct"/>
        <w:tblCellMar>
          <w:left w:w="70" w:type="dxa"/>
          <w:right w:w="70" w:type="dxa"/>
        </w:tblCellMar>
        <w:tblLook w:val="04A0" w:firstRow="1" w:lastRow="0" w:firstColumn="1" w:lastColumn="0" w:noHBand="0" w:noVBand="1"/>
      </w:tblPr>
      <w:tblGrid>
        <w:gridCol w:w="3955"/>
        <w:gridCol w:w="1860"/>
        <w:gridCol w:w="3023"/>
      </w:tblGrid>
      <w:tr w:rsidR="006B0E83" w:rsidRPr="00815FF6" w14:paraId="0344048B" w14:textId="77777777" w:rsidTr="00035934">
        <w:trPr>
          <w:trHeight w:val="300"/>
        </w:trPr>
        <w:tc>
          <w:tcPr>
            <w:tcW w:w="2237" w:type="pct"/>
            <w:tcBorders>
              <w:top w:val="nil"/>
              <w:left w:val="nil"/>
              <w:bottom w:val="nil"/>
              <w:right w:val="nil"/>
            </w:tcBorders>
            <w:shd w:val="clear" w:color="000000" w:fill="002060"/>
            <w:noWrap/>
            <w:vAlign w:val="bottom"/>
            <w:hideMark/>
          </w:tcPr>
          <w:p w14:paraId="04C95693" w14:textId="77777777" w:rsidR="006B0E83" w:rsidRPr="00815FF6" w:rsidRDefault="006B0E83" w:rsidP="00035934">
            <w:pPr>
              <w:spacing w:after="0" w:line="240" w:lineRule="auto"/>
              <w:jc w:val="center"/>
              <w:rPr>
                <w:rFonts w:ascii="Book Antiqua" w:eastAsia="Times New Roman" w:hAnsi="Book Antiqua" w:cs="Calibri"/>
                <w:b/>
                <w:bCs/>
                <w:color w:val="FFFFFF"/>
                <w:lang w:eastAsia="es-CR"/>
              </w:rPr>
            </w:pPr>
            <w:r w:rsidRPr="00815FF6">
              <w:rPr>
                <w:rFonts w:ascii="Book Antiqua" w:eastAsia="Times New Roman" w:hAnsi="Book Antiqua" w:cs="Calibri"/>
                <w:b/>
                <w:bCs/>
                <w:color w:val="FFFFFF"/>
                <w:lang w:eastAsia="es-CR"/>
              </w:rPr>
              <w:t>Clase y Procedimiento</w:t>
            </w:r>
          </w:p>
        </w:tc>
        <w:tc>
          <w:tcPr>
            <w:tcW w:w="1052" w:type="pct"/>
            <w:tcBorders>
              <w:top w:val="nil"/>
              <w:left w:val="nil"/>
              <w:bottom w:val="nil"/>
              <w:right w:val="nil"/>
            </w:tcBorders>
            <w:shd w:val="clear" w:color="000000" w:fill="002060"/>
            <w:noWrap/>
            <w:vAlign w:val="bottom"/>
            <w:hideMark/>
          </w:tcPr>
          <w:p w14:paraId="3B0B0278" w14:textId="77777777" w:rsidR="006B0E83" w:rsidRPr="00815FF6" w:rsidRDefault="006B0E83" w:rsidP="00035934">
            <w:pPr>
              <w:spacing w:after="0" w:line="240" w:lineRule="auto"/>
              <w:jc w:val="center"/>
              <w:rPr>
                <w:rFonts w:ascii="Book Antiqua" w:eastAsia="Times New Roman" w:hAnsi="Book Antiqua" w:cs="Calibri"/>
                <w:b/>
                <w:bCs/>
                <w:color w:val="FFFFFF"/>
                <w:lang w:eastAsia="es-CR"/>
              </w:rPr>
            </w:pPr>
            <w:r w:rsidRPr="00815FF6">
              <w:rPr>
                <w:rFonts w:ascii="Book Antiqua" w:eastAsia="Times New Roman" w:hAnsi="Book Antiqua" w:cs="Calibri"/>
                <w:b/>
                <w:bCs/>
                <w:color w:val="FFFFFF"/>
                <w:lang w:eastAsia="es-CR"/>
              </w:rPr>
              <w:t>Cantidad</w:t>
            </w:r>
          </w:p>
        </w:tc>
        <w:tc>
          <w:tcPr>
            <w:tcW w:w="1710" w:type="pct"/>
            <w:tcBorders>
              <w:top w:val="nil"/>
              <w:left w:val="nil"/>
              <w:bottom w:val="nil"/>
              <w:right w:val="nil"/>
            </w:tcBorders>
            <w:shd w:val="clear" w:color="000000" w:fill="002060"/>
            <w:noWrap/>
            <w:vAlign w:val="bottom"/>
            <w:hideMark/>
          </w:tcPr>
          <w:p w14:paraId="306A90DC" w14:textId="77777777" w:rsidR="006B0E83" w:rsidRPr="00815FF6" w:rsidRDefault="006B0E83" w:rsidP="00035934">
            <w:pPr>
              <w:spacing w:after="0" w:line="240" w:lineRule="auto"/>
              <w:jc w:val="center"/>
              <w:rPr>
                <w:rFonts w:ascii="Book Antiqua" w:eastAsia="Times New Roman" w:hAnsi="Book Antiqua" w:cs="Calibri"/>
                <w:b/>
                <w:bCs/>
                <w:color w:val="FFFFFF"/>
                <w:lang w:eastAsia="es-CR"/>
              </w:rPr>
            </w:pPr>
            <w:r w:rsidRPr="00815FF6">
              <w:rPr>
                <w:rFonts w:ascii="Book Antiqua" w:eastAsia="Times New Roman" w:hAnsi="Book Antiqua" w:cs="Calibri"/>
                <w:b/>
                <w:bCs/>
                <w:color w:val="FFFFFF"/>
                <w:lang w:eastAsia="es-CR"/>
              </w:rPr>
              <w:t>Duración Promedio</w:t>
            </w:r>
          </w:p>
        </w:tc>
      </w:tr>
      <w:tr w:rsidR="006B0E83" w:rsidRPr="00815FF6" w14:paraId="00D3B24A" w14:textId="77777777" w:rsidTr="00035934">
        <w:trPr>
          <w:trHeight w:val="300"/>
        </w:trPr>
        <w:tc>
          <w:tcPr>
            <w:tcW w:w="223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36EF9F2"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Carta Rogatoria</w:t>
            </w:r>
          </w:p>
        </w:tc>
        <w:tc>
          <w:tcPr>
            <w:tcW w:w="1052" w:type="pct"/>
            <w:tcBorders>
              <w:top w:val="single" w:sz="8" w:space="0" w:color="auto"/>
              <w:left w:val="nil"/>
              <w:bottom w:val="single" w:sz="8" w:space="0" w:color="auto"/>
              <w:right w:val="single" w:sz="8" w:space="0" w:color="auto"/>
            </w:tcBorders>
            <w:shd w:val="clear" w:color="auto" w:fill="auto"/>
            <w:vAlign w:val="center"/>
            <w:hideMark/>
          </w:tcPr>
          <w:p w14:paraId="3377B4A0"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single" w:sz="8" w:space="0" w:color="auto"/>
              <w:left w:val="nil"/>
              <w:bottom w:val="single" w:sz="8" w:space="0" w:color="auto"/>
              <w:right w:val="single" w:sz="8" w:space="0" w:color="auto"/>
            </w:tcBorders>
            <w:shd w:val="clear" w:color="auto" w:fill="auto"/>
            <w:noWrap/>
            <w:vAlign w:val="center"/>
            <w:hideMark/>
          </w:tcPr>
          <w:p w14:paraId="12592456"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 Mes 0 Semanas</w:t>
            </w:r>
          </w:p>
        </w:tc>
      </w:tr>
      <w:tr w:rsidR="006B0E83" w:rsidRPr="00815FF6" w14:paraId="08FF7B6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546B7974"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Carta Rogatoria</w:t>
            </w:r>
          </w:p>
        </w:tc>
        <w:tc>
          <w:tcPr>
            <w:tcW w:w="1052" w:type="pct"/>
            <w:tcBorders>
              <w:top w:val="nil"/>
              <w:left w:val="nil"/>
              <w:bottom w:val="single" w:sz="8" w:space="0" w:color="auto"/>
              <w:right w:val="single" w:sz="8" w:space="0" w:color="auto"/>
            </w:tcBorders>
            <w:shd w:val="clear" w:color="auto" w:fill="auto"/>
            <w:vAlign w:val="center"/>
            <w:hideMark/>
          </w:tcPr>
          <w:p w14:paraId="3A1F364D"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5A73012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 Mes 0 Semanas</w:t>
            </w:r>
          </w:p>
        </w:tc>
      </w:tr>
      <w:tr w:rsidR="006B0E83" w:rsidRPr="00815FF6" w14:paraId="0EF1086A"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C2DD02C"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Casación</w:t>
            </w:r>
          </w:p>
        </w:tc>
        <w:tc>
          <w:tcPr>
            <w:tcW w:w="1052" w:type="pct"/>
            <w:tcBorders>
              <w:top w:val="nil"/>
              <w:left w:val="nil"/>
              <w:bottom w:val="single" w:sz="8" w:space="0" w:color="auto"/>
              <w:right w:val="single" w:sz="8" w:space="0" w:color="auto"/>
            </w:tcBorders>
            <w:shd w:val="clear" w:color="auto" w:fill="auto"/>
            <w:vAlign w:val="center"/>
            <w:hideMark/>
          </w:tcPr>
          <w:p w14:paraId="1497F2D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120</w:t>
            </w:r>
          </w:p>
        </w:tc>
        <w:tc>
          <w:tcPr>
            <w:tcW w:w="1710" w:type="pct"/>
            <w:tcBorders>
              <w:top w:val="nil"/>
              <w:left w:val="nil"/>
              <w:bottom w:val="single" w:sz="8" w:space="0" w:color="auto"/>
              <w:right w:val="single" w:sz="8" w:space="0" w:color="auto"/>
            </w:tcBorders>
            <w:shd w:val="clear" w:color="auto" w:fill="auto"/>
            <w:noWrap/>
            <w:vAlign w:val="center"/>
            <w:hideMark/>
          </w:tcPr>
          <w:p w14:paraId="244BE731"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11 Meses 1 Semana</w:t>
            </w:r>
          </w:p>
        </w:tc>
      </w:tr>
      <w:tr w:rsidR="006B0E83" w:rsidRPr="00815FF6" w14:paraId="1E8F86F6"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FDC742B"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Adopción</w:t>
            </w:r>
          </w:p>
        </w:tc>
        <w:tc>
          <w:tcPr>
            <w:tcW w:w="1052" w:type="pct"/>
            <w:tcBorders>
              <w:top w:val="nil"/>
              <w:left w:val="nil"/>
              <w:bottom w:val="single" w:sz="8" w:space="0" w:color="auto"/>
              <w:right w:val="single" w:sz="8" w:space="0" w:color="auto"/>
            </w:tcBorders>
            <w:shd w:val="clear" w:color="auto" w:fill="auto"/>
            <w:vAlign w:val="center"/>
            <w:hideMark/>
          </w:tcPr>
          <w:p w14:paraId="57616F29"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4FF2540E"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 Meses 3 Semanas</w:t>
            </w:r>
          </w:p>
        </w:tc>
      </w:tr>
      <w:tr w:rsidR="006B0E83" w:rsidRPr="00815FF6" w14:paraId="62E1E12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03395819"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Auxilio Judicial Internacional</w:t>
            </w:r>
          </w:p>
        </w:tc>
        <w:tc>
          <w:tcPr>
            <w:tcW w:w="1052" w:type="pct"/>
            <w:tcBorders>
              <w:top w:val="nil"/>
              <w:left w:val="nil"/>
              <w:bottom w:val="single" w:sz="8" w:space="0" w:color="auto"/>
              <w:right w:val="single" w:sz="8" w:space="0" w:color="auto"/>
            </w:tcBorders>
            <w:shd w:val="clear" w:color="auto" w:fill="auto"/>
            <w:vAlign w:val="center"/>
            <w:hideMark/>
          </w:tcPr>
          <w:p w14:paraId="49F56A8F"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w:t>
            </w:r>
          </w:p>
        </w:tc>
        <w:tc>
          <w:tcPr>
            <w:tcW w:w="1710" w:type="pct"/>
            <w:tcBorders>
              <w:top w:val="nil"/>
              <w:left w:val="nil"/>
              <w:bottom w:val="single" w:sz="8" w:space="0" w:color="auto"/>
              <w:right w:val="single" w:sz="8" w:space="0" w:color="auto"/>
            </w:tcBorders>
            <w:shd w:val="clear" w:color="auto" w:fill="auto"/>
            <w:noWrap/>
            <w:vAlign w:val="center"/>
            <w:hideMark/>
          </w:tcPr>
          <w:p w14:paraId="6705C19F"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 Meses 0 Semanas</w:t>
            </w:r>
          </w:p>
        </w:tc>
      </w:tr>
      <w:tr w:rsidR="006B0E83" w:rsidRPr="00815FF6" w14:paraId="0E8BE692"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0E8780B2"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Cooperación Judicial Internacional</w:t>
            </w:r>
          </w:p>
        </w:tc>
        <w:tc>
          <w:tcPr>
            <w:tcW w:w="1052" w:type="pct"/>
            <w:tcBorders>
              <w:top w:val="nil"/>
              <w:left w:val="nil"/>
              <w:bottom w:val="single" w:sz="8" w:space="0" w:color="auto"/>
              <w:right w:val="single" w:sz="8" w:space="0" w:color="auto"/>
            </w:tcBorders>
            <w:shd w:val="clear" w:color="auto" w:fill="auto"/>
            <w:vAlign w:val="center"/>
            <w:hideMark/>
          </w:tcPr>
          <w:p w14:paraId="7F60D2E0"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66</w:t>
            </w:r>
          </w:p>
        </w:tc>
        <w:tc>
          <w:tcPr>
            <w:tcW w:w="1710" w:type="pct"/>
            <w:tcBorders>
              <w:top w:val="nil"/>
              <w:left w:val="nil"/>
              <w:bottom w:val="single" w:sz="8" w:space="0" w:color="auto"/>
              <w:right w:val="single" w:sz="8" w:space="0" w:color="auto"/>
            </w:tcBorders>
            <w:shd w:val="clear" w:color="auto" w:fill="auto"/>
            <w:noWrap/>
            <w:vAlign w:val="center"/>
            <w:hideMark/>
          </w:tcPr>
          <w:p w14:paraId="4086CDA4"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 Meses 1 Semana</w:t>
            </w:r>
          </w:p>
        </w:tc>
      </w:tr>
      <w:tr w:rsidR="006B0E83" w:rsidRPr="00815FF6" w14:paraId="626227CA"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28192849"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Divorcio</w:t>
            </w:r>
          </w:p>
        </w:tc>
        <w:tc>
          <w:tcPr>
            <w:tcW w:w="1052" w:type="pct"/>
            <w:tcBorders>
              <w:top w:val="nil"/>
              <w:left w:val="nil"/>
              <w:bottom w:val="single" w:sz="8" w:space="0" w:color="auto"/>
              <w:right w:val="single" w:sz="8" w:space="0" w:color="auto"/>
            </w:tcBorders>
            <w:shd w:val="clear" w:color="auto" w:fill="auto"/>
            <w:vAlign w:val="center"/>
            <w:hideMark/>
          </w:tcPr>
          <w:p w14:paraId="682B49AA"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w:t>
            </w:r>
          </w:p>
        </w:tc>
        <w:tc>
          <w:tcPr>
            <w:tcW w:w="1710" w:type="pct"/>
            <w:tcBorders>
              <w:top w:val="nil"/>
              <w:left w:val="nil"/>
              <w:bottom w:val="single" w:sz="8" w:space="0" w:color="auto"/>
              <w:right w:val="single" w:sz="8" w:space="0" w:color="auto"/>
            </w:tcBorders>
            <w:shd w:val="clear" w:color="auto" w:fill="auto"/>
            <w:noWrap/>
            <w:vAlign w:val="center"/>
            <w:hideMark/>
          </w:tcPr>
          <w:p w14:paraId="5FB5F41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11 Meses 3 Semanas</w:t>
            </w:r>
          </w:p>
        </w:tc>
      </w:tr>
      <w:tr w:rsidR="006B0E83" w:rsidRPr="00815FF6" w14:paraId="5F5DC150"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A9D5FE0"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Ejecución de sentencia</w:t>
            </w:r>
          </w:p>
        </w:tc>
        <w:tc>
          <w:tcPr>
            <w:tcW w:w="1052" w:type="pct"/>
            <w:tcBorders>
              <w:top w:val="nil"/>
              <w:left w:val="nil"/>
              <w:bottom w:val="single" w:sz="8" w:space="0" w:color="auto"/>
              <w:right w:val="single" w:sz="8" w:space="0" w:color="auto"/>
            </w:tcBorders>
            <w:shd w:val="clear" w:color="auto" w:fill="auto"/>
            <w:vAlign w:val="center"/>
            <w:hideMark/>
          </w:tcPr>
          <w:p w14:paraId="3273F901"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w:t>
            </w:r>
          </w:p>
        </w:tc>
        <w:tc>
          <w:tcPr>
            <w:tcW w:w="1710" w:type="pct"/>
            <w:tcBorders>
              <w:top w:val="nil"/>
              <w:left w:val="nil"/>
              <w:bottom w:val="single" w:sz="8" w:space="0" w:color="auto"/>
              <w:right w:val="single" w:sz="8" w:space="0" w:color="auto"/>
            </w:tcBorders>
            <w:shd w:val="clear" w:color="auto" w:fill="auto"/>
            <w:noWrap/>
            <w:vAlign w:val="center"/>
            <w:hideMark/>
          </w:tcPr>
          <w:p w14:paraId="2624730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22 Meses 0 Semanas</w:t>
            </w:r>
          </w:p>
        </w:tc>
      </w:tr>
      <w:tr w:rsidR="006B0E83" w:rsidRPr="00815FF6" w14:paraId="1CF111DC"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2ACDF7E0"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Guarda crianza y educación</w:t>
            </w:r>
          </w:p>
        </w:tc>
        <w:tc>
          <w:tcPr>
            <w:tcW w:w="1052" w:type="pct"/>
            <w:tcBorders>
              <w:top w:val="nil"/>
              <w:left w:val="nil"/>
              <w:bottom w:val="single" w:sz="8" w:space="0" w:color="auto"/>
              <w:right w:val="single" w:sz="8" w:space="0" w:color="auto"/>
            </w:tcBorders>
            <w:shd w:val="clear" w:color="auto" w:fill="auto"/>
            <w:vAlign w:val="center"/>
            <w:hideMark/>
          </w:tcPr>
          <w:p w14:paraId="3AAB0FB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w:t>
            </w:r>
          </w:p>
        </w:tc>
        <w:tc>
          <w:tcPr>
            <w:tcW w:w="1710" w:type="pct"/>
            <w:tcBorders>
              <w:top w:val="nil"/>
              <w:left w:val="nil"/>
              <w:bottom w:val="single" w:sz="8" w:space="0" w:color="auto"/>
              <w:right w:val="single" w:sz="8" w:space="0" w:color="auto"/>
            </w:tcBorders>
            <w:shd w:val="clear" w:color="auto" w:fill="auto"/>
            <w:noWrap/>
            <w:vAlign w:val="center"/>
            <w:hideMark/>
          </w:tcPr>
          <w:p w14:paraId="4F87847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 Mes 1 Semana</w:t>
            </w:r>
          </w:p>
        </w:tc>
      </w:tr>
      <w:tr w:rsidR="006B0E83" w:rsidRPr="00815FF6" w14:paraId="67D8454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746F5D8"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Impugnación de paternidad</w:t>
            </w:r>
          </w:p>
        </w:tc>
        <w:tc>
          <w:tcPr>
            <w:tcW w:w="1052" w:type="pct"/>
            <w:tcBorders>
              <w:top w:val="nil"/>
              <w:left w:val="nil"/>
              <w:bottom w:val="single" w:sz="8" w:space="0" w:color="auto"/>
              <w:right w:val="single" w:sz="8" w:space="0" w:color="auto"/>
            </w:tcBorders>
            <w:shd w:val="clear" w:color="auto" w:fill="auto"/>
            <w:vAlign w:val="center"/>
            <w:hideMark/>
          </w:tcPr>
          <w:p w14:paraId="28523FE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w:t>
            </w:r>
          </w:p>
        </w:tc>
        <w:tc>
          <w:tcPr>
            <w:tcW w:w="1710" w:type="pct"/>
            <w:tcBorders>
              <w:top w:val="nil"/>
              <w:left w:val="nil"/>
              <w:bottom w:val="single" w:sz="8" w:space="0" w:color="auto"/>
              <w:right w:val="single" w:sz="8" w:space="0" w:color="auto"/>
            </w:tcBorders>
            <w:shd w:val="clear" w:color="auto" w:fill="auto"/>
            <w:noWrap/>
            <w:vAlign w:val="center"/>
            <w:hideMark/>
          </w:tcPr>
          <w:p w14:paraId="766A51FD"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14 Meses 3 Semanas</w:t>
            </w:r>
          </w:p>
        </w:tc>
      </w:tr>
      <w:tr w:rsidR="006B0E83" w:rsidRPr="00815FF6" w14:paraId="76E42EC1"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EE6A40F"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Impugnación de reconocimiento</w:t>
            </w:r>
          </w:p>
        </w:tc>
        <w:tc>
          <w:tcPr>
            <w:tcW w:w="1052" w:type="pct"/>
            <w:tcBorders>
              <w:top w:val="nil"/>
              <w:left w:val="nil"/>
              <w:bottom w:val="single" w:sz="8" w:space="0" w:color="auto"/>
              <w:right w:val="single" w:sz="8" w:space="0" w:color="auto"/>
            </w:tcBorders>
            <w:shd w:val="clear" w:color="auto" w:fill="auto"/>
            <w:vAlign w:val="center"/>
            <w:hideMark/>
          </w:tcPr>
          <w:p w14:paraId="2130C98A"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w:t>
            </w:r>
          </w:p>
        </w:tc>
        <w:tc>
          <w:tcPr>
            <w:tcW w:w="1710" w:type="pct"/>
            <w:tcBorders>
              <w:top w:val="nil"/>
              <w:left w:val="nil"/>
              <w:bottom w:val="single" w:sz="8" w:space="0" w:color="auto"/>
              <w:right w:val="single" w:sz="8" w:space="0" w:color="auto"/>
            </w:tcBorders>
            <w:shd w:val="clear" w:color="auto" w:fill="auto"/>
            <w:noWrap/>
            <w:vAlign w:val="center"/>
            <w:hideMark/>
          </w:tcPr>
          <w:p w14:paraId="67B070C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13 Mes 2 Semanas</w:t>
            </w:r>
          </w:p>
        </w:tc>
      </w:tr>
      <w:tr w:rsidR="006B0E83" w:rsidRPr="00815FF6" w14:paraId="25A77898"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2AE28A7D"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Inc. cobro honorarios abogado</w:t>
            </w:r>
          </w:p>
        </w:tc>
        <w:tc>
          <w:tcPr>
            <w:tcW w:w="1052" w:type="pct"/>
            <w:tcBorders>
              <w:top w:val="nil"/>
              <w:left w:val="nil"/>
              <w:bottom w:val="single" w:sz="8" w:space="0" w:color="auto"/>
              <w:right w:val="single" w:sz="8" w:space="0" w:color="auto"/>
            </w:tcBorders>
            <w:shd w:val="clear" w:color="auto" w:fill="auto"/>
            <w:vAlign w:val="center"/>
            <w:hideMark/>
          </w:tcPr>
          <w:p w14:paraId="4FE7B84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0796221D"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13 Meses 0 Semanas</w:t>
            </w:r>
          </w:p>
        </w:tc>
      </w:tr>
      <w:tr w:rsidR="006B0E83" w:rsidRPr="00815FF6" w14:paraId="2DBA6FA9"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24CA32B1"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Investigación de paternidad</w:t>
            </w:r>
          </w:p>
        </w:tc>
        <w:tc>
          <w:tcPr>
            <w:tcW w:w="1052" w:type="pct"/>
            <w:tcBorders>
              <w:top w:val="nil"/>
              <w:left w:val="nil"/>
              <w:bottom w:val="single" w:sz="8" w:space="0" w:color="auto"/>
              <w:right w:val="single" w:sz="8" w:space="0" w:color="auto"/>
            </w:tcBorders>
            <w:shd w:val="clear" w:color="auto" w:fill="auto"/>
            <w:vAlign w:val="center"/>
            <w:hideMark/>
          </w:tcPr>
          <w:p w14:paraId="7C07711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448B43F2"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 Meses 2 Semanas</w:t>
            </w:r>
          </w:p>
        </w:tc>
      </w:tr>
      <w:tr w:rsidR="006B0E83" w:rsidRPr="00815FF6" w14:paraId="486E122C"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45A6A94"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Nulidad de matrimonio</w:t>
            </w:r>
          </w:p>
        </w:tc>
        <w:tc>
          <w:tcPr>
            <w:tcW w:w="1052" w:type="pct"/>
            <w:tcBorders>
              <w:top w:val="nil"/>
              <w:left w:val="nil"/>
              <w:bottom w:val="single" w:sz="8" w:space="0" w:color="auto"/>
              <w:right w:val="single" w:sz="8" w:space="0" w:color="auto"/>
            </w:tcBorders>
            <w:shd w:val="clear" w:color="auto" w:fill="auto"/>
            <w:vAlign w:val="center"/>
            <w:hideMark/>
          </w:tcPr>
          <w:p w14:paraId="7BB794D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w:t>
            </w:r>
          </w:p>
        </w:tc>
        <w:tc>
          <w:tcPr>
            <w:tcW w:w="1710" w:type="pct"/>
            <w:tcBorders>
              <w:top w:val="nil"/>
              <w:left w:val="nil"/>
              <w:bottom w:val="single" w:sz="8" w:space="0" w:color="auto"/>
              <w:right w:val="single" w:sz="8" w:space="0" w:color="auto"/>
            </w:tcBorders>
            <w:shd w:val="clear" w:color="auto" w:fill="auto"/>
            <w:noWrap/>
            <w:vAlign w:val="center"/>
            <w:hideMark/>
          </w:tcPr>
          <w:p w14:paraId="4CD5FD95"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 Meses 2 Semanas</w:t>
            </w:r>
          </w:p>
        </w:tc>
      </w:tr>
      <w:tr w:rsidR="006B0E83" w:rsidRPr="00815FF6" w14:paraId="003CFF8E"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1BC020B"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Ordinario</w:t>
            </w:r>
          </w:p>
        </w:tc>
        <w:tc>
          <w:tcPr>
            <w:tcW w:w="1052" w:type="pct"/>
            <w:tcBorders>
              <w:top w:val="nil"/>
              <w:left w:val="nil"/>
              <w:bottom w:val="single" w:sz="8" w:space="0" w:color="auto"/>
              <w:right w:val="single" w:sz="8" w:space="0" w:color="auto"/>
            </w:tcBorders>
            <w:shd w:val="clear" w:color="auto" w:fill="auto"/>
            <w:vAlign w:val="center"/>
            <w:hideMark/>
          </w:tcPr>
          <w:p w14:paraId="64A7349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w:t>
            </w:r>
          </w:p>
        </w:tc>
        <w:tc>
          <w:tcPr>
            <w:tcW w:w="1710" w:type="pct"/>
            <w:tcBorders>
              <w:top w:val="nil"/>
              <w:left w:val="nil"/>
              <w:bottom w:val="single" w:sz="8" w:space="0" w:color="auto"/>
              <w:right w:val="single" w:sz="8" w:space="0" w:color="auto"/>
            </w:tcBorders>
            <w:shd w:val="clear" w:color="auto" w:fill="auto"/>
            <w:noWrap/>
            <w:vAlign w:val="center"/>
            <w:hideMark/>
          </w:tcPr>
          <w:p w14:paraId="7D99617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12 Meses 0 Semanas</w:t>
            </w:r>
          </w:p>
        </w:tc>
      </w:tr>
      <w:tr w:rsidR="006B0E83" w:rsidRPr="00815FF6" w14:paraId="511B3AC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3F249EA9"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Reconocimiento de unión de hecho</w:t>
            </w:r>
          </w:p>
        </w:tc>
        <w:tc>
          <w:tcPr>
            <w:tcW w:w="1052" w:type="pct"/>
            <w:tcBorders>
              <w:top w:val="nil"/>
              <w:left w:val="nil"/>
              <w:bottom w:val="single" w:sz="8" w:space="0" w:color="auto"/>
              <w:right w:val="single" w:sz="8" w:space="0" w:color="auto"/>
            </w:tcBorders>
            <w:shd w:val="clear" w:color="auto" w:fill="auto"/>
            <w:vAlign w:val="center"/>
            <w:hideMark/>
          </w:tcPr>
          <w:p w14:paraId="7AE79C7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w:t>
            </w:r>
          </w:p>
        </w:tc>
        <w:tc>
          <w:tcPr>
            <w:tcW w:w="1710" w:type="pct"/>
            <w:tcBorders>
              <w:top w:val="nil"/>
              <w:left w:val="nil"/>
              <w:bottom w:val="single" w:sz="8" w:space="0" w:color="auto"/>
              <w:right w:val="single" w:sz="8" w:space="0" w:color="auto"/>
            </w:tcBorders>
            <w:shd w:val="clear" w:color="auto" w:fill="auto"/>
            <w:noWrap/>
            <w:vAlign w:val="center"/>
            <w:hideMark/>
          </w:tcPr>
          <w:p w14:paraId="2269D4F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21 Meses 3 Semanas</w:t>
            </w:r>
          </w:p>
        </w:tc>
      </w:tr>
      <w:tr w:rsidR="006B0E83" w:rsidRPr="00815FF6" w14:paraId="18888183"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1CAACF98"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Separación judicial</w:t>
            </w:r>
          </w:p>
        </w:tc>
        <w:tc>
          <w:tcPr>
            <w:tcW w:w="1052" w:type="pct"/>
            <w:tcBorders>
              <w:top w:val="nil"/>
              <w:left w:val="nil"/>
              <w:bottom w:val="single" w:sz="8" w:space="0" w:color="auto"/>
              <w:right w:val="single" w:sz="8" w:space="0" w:color="auto"/>
            </w:tcBorders>
            <w:shd w:val="clear" w:color="auto" w:fill="auto"/>
            <w:vAlign w:val="center"/>
            <w:hideMark/>
          </w:tcPr>
          <w:p w14:paraId="5FEAB1E4"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49B7501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16 Meses 2 Semanas</w:t>
            </w:r>
          </w:p>
        </w:tc>
      </w:tr>
      <w:tr w:rsidR="006B0E83" w:rsidRPr="00815FF6" w14:paraId="38E2A74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7DD3B6E"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Competencia</w:t>
            </w:r>
          </w:p>
        </w:tc>
        <w:tc>
          <w:tcPr>
            <w:tcW w:w="1052" w:type="pct"/>
            <w:tcBorders>
              <w:top w:val="nil"/>
              <w:left w:val="nil"/>
              <w:bottom w:val="single" w:sz="8" w:space="0" w:color="auto"/>
              <w:right w:val="single" w:sz="8" w:space="0" w:color="auto"/>
            </w:tcBorders>
            <w:shd w:val="clear" w:color="auto" w:fill="auto"/>
            <w:vAlign w:val="center"/>
            <w:hideMark/>
          </w:tcPr>
          <w:p w14:paraId="0D3DD7AF"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w:t>
            </w:r>
          </w:p>
        </w:tc>
        <w:tc>
          <w:tcPr>
            <w:tcW w:w="1710" w:type="pct"/>
            <w:tcBorders>
              <w:top w:val="nil"/>
              <w:left w:val="nil"/>
              <w:bottom w:val="single" w:sz="8" w:space="0" w:color="auto"/>
              <w:right w:val="single" w:sz="8" w:space="0" w:color="auto"/>
            </w:tcBorders>
            <w:shd w:val="clear" w:color="auto" w:fill="auto"/>
            <w:noWrap/>
            <w:vAlign w:val="center"/>
            <w:hideMark/>
          </w:tcPr>
          <w:p w14:paraId="18881D8F"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4 Meses 2 Semanas</w:t>
            </w:r>
          </w:p>
        </w:tc>
      </w:tr>
      <w:tr w:rsidR="006B0E83" w:rsidRPr="00815FF6" w14:paraId="69AFF730"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6A382EB3"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Ordinario</w:t>
            </w:r>
          </w:p>
        </w:tc>
        <w:tc>
          <w:tcPr>
            <w:tcW w:w="1052" w:type="pct"/>
            <w:tcBorders>
              <w:top w:val="nil"/>
              <w:left w:val="nil"/>
              <w:bottom w:val="single" w:sz="8" w:space="0" w:color="auto"/>
              <w:right w:val="single" w:sz="8" w:space="0" w:color="auto"/>
            </w:tcBorders>
            <w:shd w:val="clear" w:color="auto" w:fill="auto"/>
            <w:vAlign w:val="center"/>
            <w:hideMark/>
          </w:tcPr>
          <w:p w14:paraId="0864760D"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11118F37"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 Meses 3 Semanas</w:t>
            </w:r>
          </w:p>
        </w:tc>
      </w:tr>
      <w:tr w:rsidR="006B0E83" w:rsidRPr="00815FF6" w14:paraId="680B377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1EAACDD9"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Reconocimiento de unión de hecho</w:t>
            </w:r>
          </w:p>
        </w:tc>
        <w:tc>
          <w:tcPr>
            <w:tcW w:w="1052" w:type="pct"/>
            <w:tcBorders>
              <w:top w:val="nil"/>
              <w:left w:val="nil"/>
              <w:bottom w:val="single" w:sz="8" w:space="0" w:color="auto"/>
              <w:right w:val="single" w:sz="8" w:space="0" w:color="auto"/>
            </w:tcBorders>
            <w:shd w:val="clear" w:color="auto" w:fill="auto"/>
            <w:vAlign w:val="center"/>
            <w:hideMark/>
          </w:tcPr>
          <w:p w14:paraId="19A7B66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520D6C93"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 Meses 3 Semanas</w:t>
            </w:r>
          </w:p>
        </w:tc>
      </w:tr>
      <w:tr w:rsidR="006B0E83" w:rsidRPr="00815FF6" w14:paraId="30D1937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115BB7EF"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Sucesión</w:t>
            </w:r>
          </w:p>
        </w:tc>
        <w:tc>
          <w:tcPr>
            <w:tcW w:w="1052" w:type="pct"/>
            <w:tcBorders>
              <w:top w:val="nil"/>
              <w:left w:val="nil"/>
              <w:bottom w:val="single" w:sz="8" w:space="0" w:color="auto"/>
              <w:right w:val="single" w:sz="8" w:space="0" w:color="auto"/>
            </w:tcBorders>
            <w:shd w:val="clear" w:color="auto" w:fill="auto"/>
            <w:vAlign w:val="center"/>
            <w:hideMark/>
          </w:tcPr>
          <w:p w14:paraId="06AC0E4A"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11ACE4C8"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3 Meses 3 Semanas</w:t>
            </w:r>
          </w:p>
        </w:tc>
      </w:tr>
      <w:tr w:rsidR="006B0E83" w:rsidRPr="00815FF6" w14:paraId="39478587" w14:textId="77777777" w:rsidTr="00035934">
        <w:trPr>
          <w:trHeight w:val="53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731308A8"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Cooperación Judicial Internacional (exequátur)</w:t>
            </w:r>
          </w:p>
        </w:tc>
        <w:tc>
          <w:tcPr>
            <w:tcW w:w="1052" w:type="pct"/>
            <w:tcBorders>
              <w:top w:val="nil"/>
              <w:left w:val="nil"/>
              <w:bottom w:val="single" w:sz="8" w:space="0" w:color="auto"/>
              <w:right w:val="single" w:sz="8" w:space="0" w:color="auto"/>
            </w:tcBorders>
            <w:shd w:val="clear" w:color="auto" w:fill="auto"/>
            <w:vAlign w:val="center"/>
            <w:hideMark/>
          </w:tcPr>
          <w:p w14:paraId="3C3FF95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7D4E20A6"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14 Meses 0 Semanas</w:t>
            </w:r>
          </w:p>
        </w:tc>
      </w:tr>
      <w:tr w:rsidR="006B0E83" w:rsidRPr="00815FF6" w14:paraId="6C5984F5"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07DA6463"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Cooperación Judicial Internacional</w:t>
            </w:r>
          </w:p>
        </w:tc>
        <w:tc>
          <w:tcPr>
            <w:tcW w:w="1052" w:type="pct"/>
            <w:tcBorders>
              <w:top w:val="nil"/>
              <w:left w:val="nil"/>
              <w:bottom w:val="single" w:sz="8" w:space="0" w:color="auto"/>
              <w:right w:val="single" w:sz="8" w:space="0" w:color="auto"/>
            </w:tcBorders>
            <w:shd w:val="clear" w:color="auto" w:fill="auto"/>
            <w:vAlign w:val="center"/>
            <w:hideMark/>
          </w:tcPr>
          <w:p w14:paraId="6049E35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w:t>
            </w:r>
          </w:p>
        </w:tc>
        <w:tc>
          <w:tcPr>
            <w:tcW w:w="1710" w:type="pct"/>
            <w:tcBorders>
              <w:top w:val="nil"/>
              <w:left w:val="nil"/>
              <w:bottom w:val="single" w:sz="8" w:space="0" w:color="auto"/>
              <w:right w:val="single" w:sz="8" w:space="0" w:color="auto"/>
            </w:tcBorders>
            <w:shd w:val="clear" w:color="auto" w:fill="auto"/>
            <w:noWrap/>
            <w:vAlign w:val="center"/>
            <w:hideMark/>
          </w:tcPr>
          <w:p w14:paraId="0DA41F82"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14 Meses 0 Semanas</w:t>
            </w:r>
          </w:p>
        </w:tc>
      </w:tr>
      <w:tr w:rsidR="006B0E83" w:rsidRPr="00815FF6" w14:paraId="18582E87"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14E96D3"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Revisión</w:t>
            </w:r>
          </w:p>
        </w:tc>
        <w:tc>
          <w:tcPr>
            <w:tcW w:w="1052" w:type="pct"/>
            <w:tcBorders>
              <w:top w:val="nil"/>
              <w:left w:val="nil"/>
              <w:bottom w:val="single" w:sz="8" w:space="0" w:color="auto"/>
              <w:right w:val="single" w:sz="8" w:space="0" w:color="auto"/>
            </w:tcBorders>
            <w:shd w:val="clear" w:color="auto" w:fill="auto"/>
            <w:vAlign w:val="center"/>
            <w:hideMark/>
          </w:tcPr>
          <w:p w14:paraId="7EFD052C"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w:t>
            </w:r>
          </w:p>
        </w:tc>
        <w:tc>
          <w:tcPr>
            <w:tcW w:w="1710" w:type="pct"/>
            <w:tcBorders>
              <w:top w:val="nil"/>
              <w:left w:val="nil"/>
              <w:bottom w:val="single" w:sz="8" w:space="0" w:color="auto"/>
              <w:right w:val="single" w:sz="8" w:space="0" w:color="auto"/>
            </w:tcBorders>
            <w:shd w:val="clear" w:color="auto" w:fill="auto"/>
            <w:noWrap/>
            <w:vAlign w:val="center"/>
            <w:hideMark/>
          </w:tcPr>
          <w:p w14:paraId="4BBC7819"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 Meses 2 Semanas</w:t>
            </w:r>
          </w:p>
        </w:tc>
      </w:tr>
      <w:tr w:rsidR="006B0E83" w:rsidRPr="00815FF6" w14:paraId="5B68478F"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09FDA38C" w14:textId="77777777" w:rsidR="006B0E83" w:rsidRPr="00815FF6" w:rsidRDefault="006B0E83" w:rsidP="00035934">
            <w:pPr>
              <w:spacing w:after="0" w:line="240" w:lineRule="auto"/>
              <w:jc w:val="right"/>
              <w:rPr>
                <w:rFonts w:ascii="Book Antiqua" w:eastAsia="Times New Roman" w:hAnsi="Book Antiqua" w:cs="Calibri"/>
                <w:i/>
                <w:iCs/>
                <w:color w:val="000000"/>
                <w:sz w:val="20"/>
                <w:szCs w:val="20"/>
                <w:lang w:eastAsia="es-CR"/>
              </w:rPr>
            </w:pPr>
            <w:r w:rsidRPr="00815FF6">
              <w:rPr>
                <w:rFonts w:ascii="Book Antiqua" w:eastAsia="Times New Roman" w:hAnsi="Book Antiqua" w:cs="Calibri"/>
                <w:i/>
                <w:iCs/>
                <w:color w:val="000000"/>
                <w:sz w:val="20"/>
                <w:szCs w:val="20"/>
                <w:lang w:eastAsia="es-CR"/>
              </w:rPr>
              <w:t>Revisión</w:t>
            </w:r>
          </w:p>
        </w:tc>
        <w:tc>
          <w:tcPr>
            <w:tcW w:w="1052" w:type="pct"/>
            <w:tcBorders>
              <w:top w:val="nil"/>
              <w:left w:val="nil"/>
              <w:bottom w:val="single" w:sz="8" w:space="0" w:color="auto"/>
              <w:right w:val="single" w:sz="8" w:space="0" w:color="auto"/>
            </w:tcBorders>
            <w:shd w:val="clear" w:color="auto" w:fill="auto"/>
            <w:vAlign w:val="center"/>
            <w:hideMark/>
          </w:tcPr>
          <w:p w14:paraId="6277F5AB"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w:t>
            </w:r>
          </w:p>
        </w:tc>
        <w:tc>
          <w:tcPr>
            <w:tcW w:w="1710" w:type="pct"/>
            <w:tcBorders>
              <w:top w:val="nil"/>
              <w:left w:val="nil"/>
              <w:bottom w:val="single" w:sz="8" w:space="0" w:color="auto"/>
              <w:right w:val="single" w:sz="8" w:space="0" w:color="auto"/>
            </w:tcBorders>
            <w:shd w:val="clear" w:color="auto" w:fill="auto"/>
            <w:noWrap/>
            <w:vAlign w:val="center"/>
            <w:hideMark/>
          </w:tcPr>
          <w:p w14:paraId="2F1889B9" w14:textId="77777777" w:rsidR="006B0E83" w:rsidRPr="00815FF6" w:rsidRDefault="006B0E83" w:rsidP="00035934">
            <w:pPr>
              <w:spacing w:after="0" w:line="240" w:lineRule="auto"/>
              <w:jc w:val="center"/>
              <w:rPr>
                <w:rFonts w:ascii="Book Antiqua" w:eastAsia="Times New Roman" w:hAnsi="Book Antiqua" w:cs="Calibri"/>
                <w:color w:val="000000"/>
                <w:sz w:val="20"/>
                <w:szCs w:val="20"/>
                <w:lang w:eastAsia="es-CR"/>
              </w:rPr>
            </w:pPr>
            <w:r w:rsidRPr="00815FF6">
              <w:rPr>
                <w:rFonts w:ascii="Book Antiqua" w:eastAsia="Times New Roman" w:hAnsi="Book Antiqua" w:cs="Calibri"/>
                <w:color w:val="000000"/>
                <w:sz w:val="20"/>
                <w:szCs w:val="20"/>
                <w:lang w:eastAsia="es-CR"/>
              </w:rPr>
              <w:t>5 Meses 2 Semanas</w:t>
            </w:r>
          </w:p>
        </w:tc>
      </w:tr>
      <w:tr w:rsidR="006B0E83" w:rsidRPr="00815FF6" w14:paraId="3137EF51" w14:textId="77777777" w:rsidTr="00035934">
        <w:trPr>
          <w:trHeight w:val="300"/>
        </w:trPr>
        <w:tc>
          <w:tcPr>
            <w:tcW w:w="2237" w:type="pct"/>
            <w:tcBorders>
              <w:top w:val="nil"/>
              <w:left w:val="single" w:sz="8" w:space="0" w:color="auto"/>
              <w:bottom w:val="single" w:sz="8" w:space="0" w:color="auto"/>
              <w:right w:val="single" w:sz="8" w:space="0" w:color="auto"/>
            </w:tcBorders>
            <w:shd w:val="clear" w:color="auto" w:fill="auto"/>
            <w:vAlign w:val="center"/>
            <w:hideMark/>
          </w:tcPr>
          <w:p w14:paraId="4A8E327C" w14:textId="77777777" w:rsidR="006B0E83" w:rsidRPr="00815FF6" w:rsidRDefault="006B0E83" w:rsidP="00035934">
            <w:pPr>
              <w:spacing w:after="0" w:line="240" w:lineRule="auto"/>
              <w:jc w:val="both"/>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Total</w:t>
            </w:r>
          </w:p>
        </w:tc>
        <w:tc>
          <w:tcPr>
            <w:tcW w:w="1052" w:type="pct"/>
            <w:tcBorders>
              <w:top w:val="nil"/>
              <w:left w:val="nil"/>
              <w:bottom w:val="single" w:sz="8" w:space="0" w:color="auto"/>
              <w:right w:val="single" w:sz="8" w:space="0" w:color="auto"/>
            </w:tcBorders>
            <w:shd w:val="clear" w:color="auto" w:fill="auto"/>
            <w:vAlign w:val="center"/>
            <w:hideMark/>
          </w:tcPr>
          <w:p w14:paraId="4C338A59" w14:textId="77777777" w:rsidR="006B0E83" w:rsidRPr="00815FF6" w:rsidRDefault="006B0E83" w:rsidP="00035934">
            <w:pPr>
              <w:spacing w:after="0" w:line="240" w:lineRule="auto"/>
              <w:jc w:val="center"/>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129</w:t>
            </w:r>
          </w:p>
        </w:tc>
        <w:tc>
          <w:tcPr>
            <w:tcW w:w="1710" w:type="pct"/>
            <w:tcBorders>
              <w:top w:val="nil"/>
              <w:left w:val="nil"/>
              <w:bottom w:val="single" w:sz="8" w:space="0" w:color="auto"/>
              <w:right w:val="single" w:sz="8" w:space="0" w:color="auto"/>
            </w:tcBorders>
            <w:shd w:val="clear" w:color="auto" w:fill="auto"/>
            <w:noWrap/>
            <w:vAlign w:val="center"/>
            <w:hideMark/>
          </w:tcPr>
          <w:p w14:paraId="704F6739" w14:textId="77777777" w:rsidR="006B0E83" w:rsidRPr="00815FF6" w:rsidRDefault="006B0E83" w:rsidP="00035934">
            <w:pPr>
              <w:spacing w:after="0" w:line="240" w:lineRule="auto"/>
              <w:jc w:val="center"/>
              <w:rPr>
                <w:rFonts w:ascii="Book Antiqua" w:eastAsia="Times New Roman" w:hAnsi="Book Antiqua" w:cs="Calibri"/>
                <w:b/>
                <w:bCs/>
                <w:color w:val="000000"/>
                <w:sz w:val="20"/>
                <w:szCs w:val="20"/>
                <w:lang w:eastAsia="es-CR"/>
              </w:rPr>
            </w:pPr>
            <w:r w:rsidRPr="00815FF6">
              <w:rPr>
                <w:rFonts w:ascii="Book Antiqua" w:eastAsia="Times New Roman" w:hAnsi="Book Antiqua" w:cs="Calibri"/>
                <w:b/>
                <w:bCs/>
                <w:color w:val="000000"/>
                <w:sz w:val="20"/>
                <w:szCs w:val="20"/>
                <w:lang w:eastAsia="es-CR"/>
              </w:rPr>
              <w:t xml:space="preserve">16 </w:t>
            </w:r>
            <w:r>
              <w:rPr>
                <w:rFonts w:ascii="Book Antiqua" w:eastAsia="Times New Roman" w:hAnsi="Book Antiqua" w:cs="Calibri"/>
                <w:b/>
                <w:bCs/>
                <w:color w:val="000000"/>
                <w:sz w:val="20"/>
                <w:szCs w:val="20"/>
                <w:lang w:eastAsia="es-CR"/>
              </w:rPr>
              <w:t>M</w:t>
            </w:r>
            <w:r w:rsidRPr="00815FF6">
              <w:rPr>
                <w:rFonts w:ascii="Book Antiqua" w:eastAsia="Times New Roman" w:hAnsi="Book Antiqua" w:cs="Calibri"/>
                <w:b/>
                <w:bCs/>
                <w:color w:val="000000"/>
                <w:sz w:val="20"/>
                <w:szCs w:val="20"/>
                <w:lang w:eastAsia="es-CR"/>
              </w:rPr>
              <w:t xml:space="preserve">eses 1 </w:t>
            </w:r>
            <w:r>
              <w:rPr>
                <w:rFonts w:ascii="Book Antiqua" w:eastAsia="Times New Roman" w:hAnsi="Book Antiqua" w:cs="Calibri"/>
                <w:b/>
                <w:bCs/>
                <w:color w:val="000000"/>
                <w:sz w:val="20"/>
                <w:szCs w:val="20"/>
                <w:lang w:eastAsia="es-CR"/>
              </w:rPr>
              <w:t>S</w:t>
            </w:r>
            <w:r w:rsidRPr="00815FF6">
              <w:rPr>
                <w:rFonts w:ascii="Book Antiqua" w:eastAsia="Times New Roman" w:hAnsi="Book Antiqua" w:cs="Calibri"/>
                <w:b/>
                <w:bCs/>
                <w:color w:val="000000"/>
                <w:sz w:val="20"/>
                <w:szCs w:val="20"/>
                <w:lang w:eastAsia="es-CR"/>
              </w:rPr>
              <w:t>emana</w:t>
            </w:r>
          </w:p>
        </w:tc>
      </w:tr>
    </w:tbl>
    <w:p w14:paraId="49E4C8C6" w14:textId="77777777" w:rsidR="006B0E83" w:rsidRDefault="006B0E83" w:rsidP="006B0E83">
      <w:pPr>
        <w:spacing w:line="276" w:lineRule="auto"/>
        <w:jc w:val="both"/>
        <w:rPr>
          <w:rFonts w:ascii="Book Antiqua" w:hAnsi="Book Antiqua"/>
          <w:i/>
          <w:iCs/>
          <w:sz w:val="20"/>
          <w:szCs w:val="20"/>
        </w:rPr>
      </w:pPr>
      <w:bookmarkStart w:id="57" w:name="_Hlk98227496"/>
      <w:r w:rsidRPr="001D0C10">
        <w:rPr>
          <w:rFonts w:ascii="Book Antiqua" w:hAnsi="Book Antiqua"/>
          <w:i/>
          <w:iCs/>
          <w:sz w:val="20"/>
          <w:szCs w:val="20"/>
        </w:rPr>
        <w:t>Fuente: Modernización Institucional con datos del Subproceso de Estadística.</w:t>
      </w:r>
    </w:p>
    <w:bookmarkEnd w:id="57"/>
    <w:p w14:paraId="68F71F4E" w14:textId="31DFDEA5" w:rsidR="006B0E83" w:rsidRDefault="006B0E83" w:rsidP="006B0E83">
      <w:pPr>
        <w:spacing w:line="276" w:lineRule="auto"/>
        <w:jc w:val="both"/>
        <w:rPr>
          <w:rFonts w:ascii="Book Antiqua" w:hAnsi="Book Antiqua"/>
          <w:i/>
          <w:iCs/>
          <w:sz w:val="20"/>
          <w:szCs w:val="20"/>
        </w:rPr>
      </w:pPr>
    </w:p>
    <w:p w14:paraId="746D3B80" w14:textId="77777777" w:rsidR="00292F21" w:rsidRDefault="00292F21" w:rsidP="006B0E83">
      <w:pPr>
        <w:spacing w:line="276" w:lineRule="auto"/>
        <w:jc w:val="both"/>
        <w:rPr>
          <w:rFonts w:ascii="Book Antiqua" w:hAnsi="Book Antiqua"/>
          <w:i/>
          <w:iCs/>
          <w:sz w:val="20"/>
          <w:szCs w:val="20"/>
        </w:rPr>
      </w:pPr>
    </w:p>
    <w:p w14:paraId="189718A8" w14:textId="19264B3D"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lastRenderedPageBreak/>
        <w:t xml:space="preserve">Cuadro </w:t>
      </w:r>
      <w:r w:rsidRPr="001212F0">
        <w:rPr>
          <w:rFonts w:ascii="Book Antiqua" w:eastAsia="Calibri" w:hAnsi="Book Antiqua" w:cs="Arial"/>
          <w:b/>
          <w:bCs/>
          <w:color w:val="1F497D"/>
          <w:szCs w:val="24"/>
          <w:lang w:val="es-ES" w:eastAsia="es-ES"/>
        </w:rPr>
        <w:fldChar w:fldCharType="begin"/>
      </w:r>
      <w:r w:rsidRPr="001212F0">
        <w:rPr>
          <w:rFonts w:ascii="Book Antiqua" w:eastAsia="Calibri" w:hAnsi="Book Antiqua" w:cs="Arial"/>
          <w:b/>
          <w:bCs/>
          <w:color w:val="1F497D"/>
          <w:szCs w:val="24"/>
          <w:lang w:val="es-ES" w:eastAsia="es-ES"/>
        </w:rPr>
        <w:instrText xml:space="preserve"> SEQ Cuadro \* ARABIC </w:instrText>
      </w:r>
      <w:r w:rsidRPr="001212F0">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60</w:t>
      </w:r>
      <w:r w:rsidRPr="001212F0">
        <w:rPr>
          <w:rFonts w:ascii="Book Antiqua" w:eastAsia="Calibri" w:hAnsi="Book Antiqua" w:cs="Arial"/>
          <w:b/>
          <w:bCs/>
          <w:color w:val="1F497D"/>
          <w:szCs w:val="24"/>
          <w:lang w:val="es-ES" w:eastAsia="es-ES"/>
        </w:rPr>
        <w:fldChar w:fldCharType="end"/>
      </w:r>
      <w:r w:rsidRPr="001212F0">
        <w:rPr>
          <w:rFonts w:ascii="Book Antiqua" w:eastAsia="Calibri" w:hAnsi="Book Antiqua" w:cs="Arial"/>
          <w:b/>
          <w:bCs/>
          <w:color w:val="1F497D"/>
          <w:szCs w:val="24"/>
          <w:lang w:val="es-ES" w:eastAsia="es-ES"/>
        </w:rPr>
        <w:t xml:space="preserve"> </w:t>
      </w:r>
    </w:p>
    <w:p w14:paraId="77999150" w14:textId="7777777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Duración promedio y cantidad de casos terminados por tipo </w:t>
      </w:r>
    </w:p>
    <w:p w14:paraId="59689150" w14:textId="77777777" w:rsidR="006B0E83" w:rsidRPr="001212F0" w:rsidRDefault="006B0E83" w:rsidP="006B0E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1212F0">
        <w:rPr>
          <w:rFonts w:ascii="Book Antiqua" w:eastAsia="Calibri" w:hAnsi="Book Antiqua" w:cs="Arial"/>
          <w:b/>
          <w:bCs/>
          <w:color w:val="1F497D"/>
          <w:szCs w:val="24"/>
          <w:lang w:val="es-ES" w:eastAsia="es-ES"/>
        </w:rPr>
        <w:t xml:space="preserve">de proceso </w:t>
      </w:r>
      <w:r>
        <w:rPr>
          <w:rFonts w:ascii="Book Antiqua" w:eastAsia="Calibri" w:hAnsi="Book Antiqua" w:cs="Arial"/>
          <w:b/>
          <w:bCs/>
          <w:color w:val="1F497D"/>
          <w:szCs w:val="24"/>
          <w:lang w:val="es-ES" w:eastAsia="es-ES"/>
        </w:rPr>
        <w:t>de la Sala Segunda</w:t>
      </w:r>
      <w:r w:rsidRPr="001212F0">
        <w:rPr>
          <w:rFonts w:ascii="Book Antiqua" w:eastAsia="Calibri" w:hAnsi="Book Antiqua" w:cs="Arial"/>
          <w:b/>
          <w:bCs/>
          <w:color w:val="1F497D"/>
          <w:szCs w:val="24"/>
          <w:lang w:val="es-ES" w:eastAsia="es-ES"/>
        </w:rPr>
        <w:t xml:space="preserve"> en materia Familia 20</w:t>
      </w:r>
      <w:r>
        <w:rPr>
          <w:rFonts w:ascii="Book Antiqua" w:eastAsia="Calibri" w:hAnsi="Book Antiqua" w:cs="Arial"/>
          <w:b/>
          <w:bCs/>
          <w:color w:val="1F497D"/>
          <w:szCs w:val="24"/>
          <w:lang w:val="es-ES" w:eastAsia="es-ES"/>
        </w:rPr>
        <w:t>21</w:t>
      </w:r>
    </w:p>
    <w:tbl>
      <w:tblPr>
        <w:tblW w:w="5000" w:type="pct"/>
        <w:tblCellMar>
          <w:left w:w="70" w:type="dxa"/>
          <w:right w:w="70" w:type="dxa"/>
        </w:tblCellMar>
        <w:tblLook w:val="04A0" w:firstRow="1" w:lastRow="0" w:firstColumn="1" w:lastColumn="0" w:noHBand="0" w:noVBand="1"/>
      </w:tblPr>
      <w:tblGrid>
        <w:gridCol w:w="3830"/>
        <w:gridCol w:w="1992"/>
        <w:gridCol w:w="3016"/>
      </w:tblGrid>
      <w:tr w:rsidR="006B0E83" w:rsidRPr="00EE6EF0" w14:paraId="6D2926BE" w14:textId="77777777" w:rsidTr="00035934">
        <w:trPr>
          <w:trHeight w:val="300"/>
        </w:trPr>
        <w:tc>
          <w:tcPr>
            <w:tcW w:w="2167" w:type="pct"/>
            <w:tcBorders>
              <w:top w:val="nil"/>
              <w:left w:val="nil"/>
              <w:bottom w:val="nil"/>
              <w:right w:val="nil"/>
            </w:tcBorders>
            <w:shd w:val="clear" w:color="000000" w:fill="002060"/>
            <w:noWrap/>
            <w:vAlign w:val="bottom"/>
            <w:hideMark/>
          </w:tcPr>
          <w:p w14:paraId="1B9B8F98" w14:textId="77777777" w:rsidR="006B0E83" w:rsidRPr="00EE6EF0" w:rsidRDefault="006B0E83" w:rsidP="00035934">
            <w:pPr>
              <w:spacing w:after="0" w:line="240" w:lineRule="auto"/>
              <w:jc w:val="center"/>
              <w:rPr>
                <w:rFonts w:ascii="Book Antiqua" w:eastAsia="Times New Roman" w:hAnsi="Book Antiqua" w:cs="Calibri"/>
                <w:b/>
                <w:bCs/>
                <w:color w:val="FFFFFF"/>
                <w:lang w:eastAsia="es-CR"/>
              </w:rPr>
            </w:pPr>
            <w:r w:rsidRPr="00EE6EF0">
              <w:rPr>
                <w:rFonts w:ascii="Book Antiqua" w:eastAsia="Times New Roman" w:hAnsi="Book Antiqua" w:cs="Calibri"/>
                <w:b/>
                <w:bCs/>
                <w:color w:val="FFFFFF"/>
                <w:lang w:eastAsia="es-CR"/>
              </w:rPr>
              <w:t>Clase y Procedimiento</w:t>
            </w:r>
          </w:p>
        </w:tc>
        <w:tc>
          <w:tcPr>
            <w:tcW w:w="1127" w:type="pct"/>
            <w:tcBorders>
              <w:top w:val="nil"/>
              <w:left w:val="nil"/>
              <w:bottom w:val="nil"/>
              <w:right w:val="nil"/>
            </w:tcBorders>
            <w:shd w:val="clear" w:color="000000" w:fill="002060"/>
            <w:noWrap/>
            <w:vAlign w:val="bottom"/>
            <w:hideMark/>
          </w:tcPr>
          <w:p w14:paraId="39E0726A" w14:textId="77777777" w:rsidR="006B0E83" w:rsidRPr="00EE6EF0" w:rsidRDefault="006B0E83" w:rsidP="00035934">
            <w:pPr>
              <w:spacing w:after="0" w:line="240" w:lineRule="auto"/>
              <w:jc w:val="center"/>
              <w:rPr>
                <w:rFonts w:ascii="Book Antiqua" w:eastAsia="Times New Roman" w:hAnsi="Book Antiqua" w:cs="Calibri"/>
                <w:b/>
                <w:bCs/>
                <w:color w:val="FFFFFF"/>
                <w:lang w:eastAsia="es-CR"/>
              </w:rPr>
            </w:pPr>
            <w:r w:rsidRPr="00EE6EF0">
              <w:rPr>
                <w:rFonts w:ascii="Book Antiqua" w:eastAsia="Times New Roman" w:hAnsi="Book Antiqua" w:cs="Calibri"/>
                <w:b/>
                <w:bCs/>
                <w:color w:val="FFFFFF"/>
                <w:lang w:eastAsia="es-CR"/>
              </w:rPr>
              <w:t>Cantidad</w:t>
            </w:r>
          </w:p>
        </w:tc>
        <w:tc>
          <w:tcPr>
            <w:tcW w:w="1706" w:type="pct"/>
            <w:tcBorders>
              <w:top w:val="nil"/>
              <w:left w:val="nil"/>
              <w:bottom w:val="nil"/>
              <w:right w:val="nil"/>
            </w:tcBorders>
            <w:shd w:val="clear" w:color="000000" w:fill="002060"/>
            <w:noWrap/>
            <w:vAlign w:val="bottom"/>
            <w:hideMark/>
          </w:tcPr>
          <w:p w14:paraId="72922F30" w14:textId="77777777" w:rsidR="006B0E83" w:rsidRPr="00EE6EF0" w:rsidRDefault="006B0E83" w:rsidP="00035934">
            <w:pPr>
              <w:spacing w:after="0" w:line="240" w:lineRule="auto"/>
              <w:jc w:val="center"/>
              <w:rPr>
                <w:rFonts w:ascii="Book Antiqua" w:eastAsia="Times New Roman" w:hAnsi="Book Antiqua" w:cs="Calibri"/>
                <w:b/>
                <w:bCs/>
                <w:color w:val="FFFFFF"/>
                <w:lang w:eastAsia="es-CR"/>
              </w:rPr>
            </w:pPr>
            <w:r w:rsidRPr="00EE6EF0">
              <w:rPr>
                <w:rFonts w:ascii="Book Antiqua" w:eastAsia="Times New Roman" w:hAnsi="Book Antiqua" w:cs="Calibri"/>
                <w:b/>
                <w:bCs/>
                <w:color w:val="FFFFFF"/>
                <w:lang w:eastAsia="es-CR"/>
              </w:rPr>
              <w:t>Duración Promedio</w:t>
            </w:r>
          </w:p>
        </w:tc>
      </w:tr>
      <w:tr w:rsidR="006B0E83" w:rsidRPr="00EE6EF0" w14:paraId="39BA1240" w14:textId="77777777" w:rsidTr="00035934">
        <w:trPr>
          <w:trHeight w:val="300"/>
        </w:trPr>
        <w:tc>
          <w:tcPr>
            <w:tcW w:w="2167"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EC02CD9"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Carta Rogatoria</w:t>
            </w:r>
          </w:p>
        </w:tc>
        <w:tc>
          <w:tcPr>
            <w:tcW w:w="1127" w:type="pct"/>
            <w:tcBorders>
              <w:top w:val="single" w:sz="8" w:space="0" w:color="auto"/>
              <w:left w:val="nil"/>
              <w:bottom w:val="single" w:sz="8" w:space="0" w:color="auto"/>
              <w:right w:val="single" w:sz="8" w:space="0" w:color="auto"/>
            </w:tcBorders>
            <w:shd w:val="clear" w:color="auto" w:fill="auto"/>
            <w:vAlign w:val="center"/>
            <w:hideMark/>
          </w:tcPr>
          <w:p w14:paraId="0D857B5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single" w:sz="8" w:space="0" w:color="auto"/>
              <w:left w:val="nil"/>
              <w:bottom w:val="single" w:sz="8" w:space="0" w:color="auto"/>
              <w:right w:val="single" w:sz="8" w:space="0" w:color="auto"/>
            </w:tcBorders>
            <w:shd w:val="clear" w:color="auto" w:fill="auto"/>
            <w:noWrap/>
            <w:vAlign w:val="center"/>
            <w:hideMark/>
          </w:tcPr>
          <w:p w14:paraId="54D991C5"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0 Semanas</w:t>
            </w:r>
          </w:p>
        </w:tc>
      </w:tr>
      <w:tr w:rsidR="006B0E83" w:rsidRPr="00EE6EF0" w14:paraId="2237E663"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25AF95E"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Carta Rogatoria</w:t>
            </w:r>
          </w:p>
        </w:tc>
        <w:tc>
          <w:tcPr>
            <w:tcW w:w="1127" w:type="pct"/>
            <w:tcBorders>
              <w:top w:val="nil"/>
              <w:left w:val="nil"/>
              <w:bottom w:val="single" w:sz="8" w:space="0" w:color="auto"/>
              <w:right w:val="single" w:sz="8" w:space="0" w:color="auto"/>
            </w:tcBorders>
            <w:shd w:val="clear" w:color="auto" w:fill="auto"/>
            <w:vAlign w:val="center"/>
            <w:hideMark/>
          </w:tcPr>
          <w:p w14:paraId="671D5600"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6B79297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0 Semanas</w:t>
            </w:r>
          </w:p>
        </w:tc>
      </w:tr>
      <w:tr w:rsidR="006B0E83" w:rsidRPr="00EE6EF0" w14:paraId="0E46A644"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558E3410"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Casación</w:t>
            </w:r>
          </w:p>
        </w:tc>
        <w:tc>
          <w:tcPr>
            <w:tcW w:w="1127" w:type="pct"/>
            <w:tcBorders>
              <w:top w:val="nil"/>
              <w:left w:val="nil"/>
              <w:bottom w:val="single" w:sz="8" w:space="0" w:color="auto"/>
              <w:right w:val="single" w:sz="8" w:space="0" w:color="auto"/>
            </w:tcBorders>
            <w:shd w:val="clear" w:color="auto" w:fill="auto"/>
            <w:vAlign w:val="center"/>
            <w:hideMark/>
          </w:tcPr>
          <w:p w14:paraId="4B702A5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154</w:t>
            </w:r>
          </w:p>
        </w:tc>
        <w:tc>
          <w:tcPr>
            <w:tcW w:w="1706" w:type="pct"/>
            <w:tcBorders>
              <w:top w:val="nil"/>
              <w:left w:val="nil"/>
              <w:bottom w:val="single" w:sz="8" w:space="0" w:color="auto"/>
              <w:right w:val="single" w:sz="8" w:space="0" w:color="auto"/>
            </w:tcBorders>
            <w:shd w:val="clear" w:color="auto" w:fill="auto"/>
            <w:noWrap/>
            <w:vAlign w:val="center"/>
            <w:hideMark/>
          </w:tcPr>
          <w:p w14:paraId="291463D5"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18 Meses 0 Semanas</w:t>
            </w:r>
          </w:p>
        </w:tc>
      </w:tr>
      <w:tr w:rsidR="006B0E83" w:rsidRPr="00EE6EF0" w14:paraId="0AB8014E"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476547E8"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Auxilio Judicial Internacional</w:t>
            </w:r>
          </w:p>
        </w:tc>
        <w:tc>
          <w:tcPr>
            <w:tcW w:w="1127" w:type="pct"/>
            <w:tcBorders>
              <w:top w:val="nil"/>
              <w:left w:val="nil"/>
              <w:bottom w:val="single" w:sz="8" w:space="0" w:color="auto"/>
              <w:right w:val="single" w:sz="8" w:space="0" w:color="auto"/>
            </w:tcBorders>
            <w:shd w:val="clear" w:color="auto" w:fill="auto"/>
            <w:vAlign w:val="center"/>
            <w:hideMark/>
          </w:tcPr>
          <w:p w14:paraId="13847AE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16</w:t>
            </w:r>
          </w:p>
        </w:tc>
        <w:tc>
          <w:tcPr>
            <w:tcW w:w="1706" w:type="pct"/>
            <w:tcBorders>
              <w:top w:val="nil"/>
              <w:left w:val="nil"/>
              <w:bottom w:val="single" w:sz="8" w:space="0" w:color="auto"/>
              <w:right w:val="single" w:sz="8" w:space="0" w:color="auto"/>
            </w:tcBorders>
            <w:shd w:val="clear" w:color="auto" w:fill="auto"/>
            <w:noWrap/>
            <w:vAlign w:val="center"/>
            <w:hideMark/>
          </w:tcPr>
          <w:p w14:paraId="5C6ADD4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1 Semana</w:t>
            </w:r>
          </w:p>
        </w:tc>
      </w:tr>
      <w:tr w:rsidR="006B0E83" w:rsidRPr="00EE6EF0" w14:paraId="6C7B60E0" w14:textId="77777777" w:rsidTr="00035934">
        <w:trPr>
          <w:trHeight w:val="55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5016C143"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Cooperación Judicial Internacional</w:t>
            </w:r>
          </w:p>
        </w:tc>
        <w:tc>
          <w:tcPr>
            <w:tcW w:w="1127" w:type="pct"/>
            <w:tcBorders>
              <w:top w:val="nil"/>
              <w:left w:val="nil"/>
              <w:bottom w:val="single" w:sz="8" w:space="0" w:color="auto"/>
              <w:right w:val="single" w:sz="8" w:space="0" w:color="auto"/>
            </w:tcBorders>
            <w:shd w:val="clear" w:color="auto" w:fill="auto"/>
            <w:vAlign w:val="center"/>
            <w:hideMark/>
          </w:tcPr>
          <w:p w14:paraId="1400FC76"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97</w:t>
            </w:r>
          </w:p>
        </w:tc>
        <w:tc>
          <w:tcPr>
            <w:tcW w:w="1706" w:type="pct"/>
            <w:tcBorders>
              <w:top w:val="nil"/>
              <w:left w:val="nil"/>
              <w:bottom w:val="single" w:sz="8" w:space="0" w:color="auto"/>
              <w:right w:val="single" w:sz="8" w:space="0" w:color="auto"/>
            </w:tcBorders>
            <w:shd w:val="clear" w:color="auto" w:fill="auto"/>
            <w:noWrap/>
            <w:vAlign w:val="center"/>
            <w:hideMark/>
          </w:tcPr>
          <w:p w14:paraId="04E1FB89"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20 Meses 3 Semanas</w:t>
            </w:r>
          </w:p>
        </w:tc>
      </w:tr>
      <w:tr w:rsidR="006B0E83" w:rsidRPr="00EE6EF0" w14:paraId="59F2A5E5"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544074B9"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Declaratoria judicial abandono</w:t>
            </w:r>
          </w:p>
        </w:tc>
        <w:tc>
          <w:tcPr>
            <w:tcW w:w="1127" w:type="pct"/>
            <w:tcBorders>
              <w:top w:val="nil"/>
              <w:left w:val="nil"/>
              <w:bottom w:val="single" w:sz="8" w:space="0" w:color="auto"/>
              <w:right w:val="single" w:sz="8" w:space="0" w:color="auto"/>
            </w:tcBorders>
            <w:shd w:val="clear" w:color="auto" w:fill="auto"/>
            <w:vAlign w:val="center"/>
            <w:hideMark/>
          </w:tcPr>
          <w:p w14:paraId="47CAC715"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49443D5B"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3 Semanas</w:t>
            </w:r>
          </w:p>
        </w:tc>
      </w:tr>
      <w:tr w:rsidR="006B0E83" w:rsidRPr="00EE6EF0" w14:paraId="6FED4978"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4CD33A3A"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Divorcio</w:t>
            </w:r>
          </w:p>
        </w:tc>
        <w:tc>
          <w:tcPr>
            <w:tcW w:w="1127" w:type="pct"/>
            <w:tcBorders>
              <w:top w:val="nil"/>
              <w:left w:val="nil"/>
              <w:bottom w:val="single" w:sz="8" w:space="0" w:color="auto"/>
              <w:right w:val="single" w:sz="8" w:space="0" w:color="auto"/>
            </w:tcBorders>
            <w:shd w:val="clear" w:color="auto" w:fill="auto"/>
            <w:vAlign w:val="center"/>
            <w:hideMark/>
          </w:tcPr>
          <w:p w14:paraId="5E6D9C75"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10</w:t>
            </w:r>
          </w:p>
        </w:tc>
        <w:tc>
          <w:tcPr>
            <w:tcW w:w="1706" w:type="pct"/>
            <w:tcBorders>
              <w:top w:val="nil"/>
              <w:left w:val="nil"/>
              <w:bottom w:val="single" w:sz="8" w:space="0" w:color="auto"/>
              <w:right w:val="single" w:sz="8" w:space="0" w:color="auto"/>
            </w:tcBorders>
            <w:shd w:val="clear" w:color="auto" w:fill="auto"/>
            <w:noWrap/>
            <w:vAlign w:val="center"/>
            <w:hideMark/>
          </w:tcPr>
          <w:p w14:paraId="2E18291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16 Meses 3 Semanas</w:t>
            </w:r>
          </w:p>
        </w:tc>
      </w:tr>
      <w:tr w:rsidR="006B0E83" w:rsidRPr="00EE6EF0" w14:paraId="1F24DDBA"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7D2872EE"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Ejecución de sentencia</w:t>
            </w:r>
          </w:p>
        </w:tc>
        <w:tc>
          <w:tcPr>
            <w:tcW w:w="1127" w:type="pct"/>
            <w:tcBorders>
              <w:top w:val="nil"/>
              <w:left w:val="nil"/>
              <w:bottom w:val="single" w:sz="8" w:space="0" w:color="auto"/>
              <w:right w:val="single" w:sz="8" w:space="0" w:color="auto"/>
            </w:tcBorders>
            <w:shd w:val="clear" w:color="auto" w:fill="auto"/>
            <w:vAlign w:val="center"/>
            <w:hideMark/>
          </w:tcPr>
          <w:p w14:paraId="13CE1BDC"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w:t>
            </w:r>
          </w:p>
        </w:tc>
        <w:tc>
          <w:tcPr>
            <w:tcW w:w="1706" w:type="pct"/>
            <w:tcBorders>
              <w:top w:val="nil"/>
              <w:left w:val="nil"/>
              <w:bottom w:val="single" w:sz="8" w:space="0" w:color="auto"/>
              <w:right w:val="single" w:sz="8" w:space="0" w:color="auto"/>
            </w:tcBorders>
            <w:shd w:val="clear" w:color="auto" w:fill="auto"/>
            <w:noWrap/>
            <w:vAlign w:val="center"/>
            <w:hideMark/>
          </w:tcPr>
          <w:p w14:paraId="650F8316"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8 Meses 3 Semanas</w:t>
            </w:r>
          </w:p>
        </w:tc>
      </w:tr>
      <w:tr w:rsidR="006B0E83" w:rsidRPr="00EE6EF0" w14:paraId="303D7E95"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645AF046"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Guarda crianza y educación</w:t>
            </w:r>
          </w:p>
        </w:tc>
        <w:tc>
          <w:tcPr>
            <w:tcW w:w="1127" w:type="pct"/>
            <w:tcBorders>
              <w:top w:val="nil"/>
              <w:left w:val="nil"/>
              <w:bottom w:val="single" w:sz="8" w:space="0" w:color="auto"/>
              <w:right w:val="single" w:sz="8" w:space="0" w:color="auto"/>
            </w:tcBorders>
            <w:shd w:val="clear" w:color="auto" w:fill="auto"/>
            <w:vAlign w:val="center"/>
            <w:hideMark/>
          </w:tcPr>
          <w:p w14:paraId="0FC0A71E"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3</w:t>
            </w:r>
          </w:p>
        </w:tc>
        <w:tc>
          <w:tcPr>
            <w:tcW w:w="1706" w:type="pct"/>
            <w:tcBorders>
              <w:top w:val="nil"/>
              <w:left w:val="nil"/>
              <w:bottom w:val="single" w:sz="8" w:space="0" w:color="auto"/>
              <w:right w:val="single" w:sz="8" w:space="0" w:color="auto"/>
            </w:tcBorders>
            <w:shd w:val="clear" w:color="auto" w:fill="auto"/>
            <w:noWrap/>
            <w:vAlign w:val="center"/>
            <w:hideMark/>
          </w:tcPr>
          <w:p w14:paraId="6CD7DCC6"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3 Semanas</w:t>
            </w:r>
          </w:p>
        </w:tc>
      </w:tr>
      <w:tr w:rsidR="006B0E83" w:rsidRPr="00EE6EF0" w14:paraId="426CF01C"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422DEE46"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Impugnación de paternidad</w:t>
            </w:r>
          </w:p>
        </w:tc>
        <w:tc>
          <w:tcPr>
            <w:tcW w:w="1127" w:type="pct"/>
            <w:tcBorders>
              <w:top w:val="nil"/>
              <w:left w:val="nil"/>
              <w:bottom w:val="single" w:sz="8" w:space="0" w:color="auto"/>
              <w:right w:val="single" w:sz="8" w:space="0" w:color="auto"/>
            </w:tcBorders>
            <w:shd w:val="clear" w:color="auto" w:fill="auto"/>
            <w:vAlign w:val="center"/>
            <w:hideMark/>
          </w:tcPr>
          <w:p w14:paraId="771ACC97"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3</w:t>
            </w:r>
          </w:p>
        </w:tc>
        <w:tc>
          <w:tcPr>
            <w:tcW w:w="1706" w:type="pct"/>
            <w:tcBorders>
              <w:top w:val="nil"/>
              <w:left w:val="nil"/>
              <w:bottom w:val="single" w:sz="8" w:space="0" w:color="auto"/>
              <w:right w:val="single" w:sz="8" w:space="0" w:color="auto"/>
            </w:tcBorders>
            <w:shd w:val="clear" w:color="auto" w:fill="auto"/>
            <w:noWrap/>
            <w:vAlign w:val="center"/>
            <w:hideMark/>
          </w:tcPr>
          <w:p w14:paraId="5A27C2E7"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31 Meses 0 Semanas</w:t>
            </w:r>
          </w:p>
        </w:tc>
      </w:tr>
      <w:tr w:rsidR="006B0E83" w:rsidRPr="00EE6EF0" w14:paraId="67F839F6"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684433FE"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Impugnación de reconocimiento</w:t>
            </w:r>
          </w:p>
        </w:tc>
        <w:tc>
          <w:tcPr>
            <w:tcW w:w="1127" w:type="pct"/>
            <w:tcBorders>
              <w:top w:val="nil"/>
              <w:left w:val="nil"/>
              <w:bottom w:val="single" w:sz="8" w:space="0" w:color="auto"/>
              <w:right w:val="single" w:sz="8" w:space="0" w:color="auto"/>
            </w:tcBorders>
            <w:shd w:val="clear" w:color="auto" w:fill="auto"/>
            <w:vAlign w:val="center"/>
            <w:hideMark/>
          </w:tcPr>
          <w:p w14:paraId="1B8B7E9A"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51849FED"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 Mes 2 Semanas</w:t>
            </w:r>
          </w:p>
        </w:tc>
      </w:tr>
      <w:tr w:rsidR="006B0E83" w:rsidRPr="00EE6EF0" w14:paraId="1300BFE2"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8D47DAA"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Nulidad de matrimonio</w:t>
            </w:r>
          </w:p>
        </w:tc>
        <w:tc>
          <w:tcPr>
            <w:tcW w:w="1127" w:type="pct"/>
            <w:tcBorders>
              <w:top w:val="nil"/>
              <w:left w:val="nil"/>
              <w:bottom w:val="single" w:sz="8" w:space="0" w:color="auto"/>
              <w:right w:val="single" w:sz="8" w:space="0" w:color="auto"/>
            </w:tcBorders>
            <w:shd w:val="clear" w:color="auto" w:fill="auto"/>
            <w:vAlign w:val="center"/>
            <w:hideMark/>
          </w:tcPr>
          <w:p w14:paraId="4AE5C0CB"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6B22040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35 Meses 0 Semanas</w:t>
            </w:r>
          </w:p>
        </w:tc>
      </w:tr>
      <w:tr w:rsidR="006B0E83" w:rsidRPr="00EE6EF0" w14:paraId="7CD21C09"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1ECDFE05"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Ordinario</w:t>
            </w:r>
          </w:p>
        </w:tc>
        <w:tc>
          <w:tcPr>
            <w:tcW w:w="1127" w:type="pct"/>
            <w:tcBorders>
              <w:top w:val="nil"/>
              <w:left w:val="nil"/>
              <w:bottom w:val="single" w:sz="8" w:space="0" w:color="auto"/>
              <w:right w:val="single" w:sz="8" w:space="0" w:color="auto"/>
            </w:tcBorders>
            <w:shd w:val="clear" w:color="auto" w:fill="auto"/>
            <w:vAlign w:val="center"/>
            <w:hideMark/>
          </w:tcPr>
          <w:p w14:paraId="5F96D324"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8</w:t>
            </w:r>
          </w:p>
        </w:tc>
        <w:tc>
          <w:tcPr>
            <w:tcW w:w="1706" w:type="pct"/>
            <w:tcBorders>
              <w:top w:val="nil"/>
              <w:left w:val="nil"/>
              <w:bottom w:val="single" w:sz="8" w:space="0" w:color="auto"/>
              <w:right w:val="single" w:sz="8" w:space="0" w:color="auto"/>
            </w:tcBorders>
            <w:shd w:val="clear" w:color="auto" w:fill="auto"/>
            <w:noWrap/>
            <w:vAlign w:val="center"/>
            <w:hideMark/>
          </w:tcPr>
          <w:p w14:paraId="382EF74D"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28 Meses 1 Semana</w:t>
            </w:r>
          </w:p>
        </w:tc>
      </w:tr>
      <w:tr w:rsidR="006B0E83" w:rsidRPr="00EE6EF0" w14:paraId="4D4C6FBF" w14:textId="77777777" w:rsidTr="00035934">
        <w:trPr>
          <w:trHeight w:val="55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238A8805"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Reconocimiento de unión de hecho</w:t>
            </w:r>
          </w:p>
        </w:tc>
        <w:tc>
          <w:tcPr>
            <w:tcW w:w="1127" w:type="pct"/>
            <w:tcBorders>
              <w:top w:val="nil"/>
              <w:left w:val="nil"/>
              <w:bottom w:val="single" w:sz="8" w:space="0" w:color="auto"/>
              <w:right w:val="single" w:sz="8" w:space="0" w:color="auto"/>
            </w:tcBorders>
            <w:shd w:val="clear" w:color="auto" w:fill="auto"/>
            <w:vAlign w:val="center"/>
            <w:hideMark/>
          </w:tcPr>
          <w:p w14:paraId="1491004F"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6</w:t>
            </w:r>
          </w:p>
        </w:tc>
        <w:tc>
          <w:tcPr>
            <w:tcW w:w="1706" w:type="pct"/>
            <w:tcBorders>
              <w:top w:val="nil"/>
              <w:left w:val="nil"/>
              <w:bottom w:val="single" w:sz="8" w:space="0" w:color="auto"/>
              <w:right w:val="single" w:sz="8" w:space="0" w:color="auto"/>
            </w:tcBorders>
            <w:shd w:val="clear" w:color="auto" w:fill="auto"/>
            <w:noWrap/>
            <w:vAlign w:val="center"/>
            <w:hideMark/>
          </w:tcPr>
          <w:p w14:paraId="19C59E09"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20 Meses 2 Semanas</w:t>
            </w:r>
          </w:p>
        </w:tc>
      </w:tr>
      <w:tr w:rsidR="006B0E83" w:rsidRPr="00EE6EF0" w14:paraId="14272EE0"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0867E03C"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Régimen de visitas</w:t>
            </w:r>
          </w:p>
        </w:tc>
        <w:tc>
          <w:tcPr>
            <w:tcW w:w="1127" w:type="pct"/>
            <w:tcBorders>
              <w:top w:val="nil"/>
              <w:left w:val="nil"/>
              <w:bottom w:val="single" w:sz="8" w:space="0" w:color="auto"/>
              <w:right w:val="single" w:sz="8" w:space="0" w:color="auto"/>
            </w:tcBorders>
            <w:shd w:val="clear" w:color="auto" w:fill="auto"/>
            <w:vAlign w:val="center"/>
            <w:hideMark/>
          </w:tcPr>
          <w:p w14:paraId="14121C37"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w:t>
            </w:r>
          </w:p>
        </w:tc>
        <w:tc>
          <w:tcPr>
            <w:tcW w:w="1706" w:type="pct"/>
            <w:tcBorders>
              <w:top w:val="nil"/>
              <w:left w:val="nil"/>
              <w:bottom w:val="single" w:sz="8" w:space="0" w:color="auto"/>
              <w:right w:val="single" w:sz="8" w:space="0" w:color="auto"/>
            </w:tcBorders>
            <w:shd w:val="clear" w:color="auto" w:fill="auto"/>
            <w:noWrap/>
            <w:vAlign w:val="center"/>
            <w:hideMark/>
          </w:tcPr>
          <w:p w14:paraId="15D12939"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 Meses 0 Semanas</w:t>
            </w:r>
          </w:p>
        </w:tc>
      </w:tr>
      <w:tr w:rsidR="006B0E83" w:rsidRPr="00EE6EF0" w14:paraId="42D32EA2"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E3DFF92"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Responsabilidad civil</w:t>
            </w:r>
          </w:p>
        </w:tc>
        <w:tc>
          <w:tcPr>
            <w:tcW w:w="1127" w:type="pct"/>
            <w:tcBorders>
              <w:top w:val="nil"/>
              <w:left w:val="nil"/>
              <w:bottom w:val="single" w:sz="8" w:space="0" w:color="auto"/>
              <w:right w:val="single" w:sz="8" w:space="0" w:color="auto"/>
            </w:tcBorders>
            <w:shd w:val="clear" w:color="auto" w:fill="auto"/>
            <w:vAlign w:val="center"/>
            <w:hideMark/>
          </w:tcPr>
          <w:p w14:paraId="6B8266B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04AB8327"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7 Meses 0 Semanas</w:t>
            </w:r>
          </w:p>
        </w:tc>
      </w:tr>
      <w:tr w:rsidR="006B0E83" w:rsidRPr="00EE6EF0" w14:paraId="654A9571"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AB0D0EC"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Competencia</w:t>
            </w:r>
          </w:p>
        </w:tc>
        <w:tc>
          <w:tcPr>
            <w:tcW w:w="1127" w:type="pct"/>
            <w:tcBorders>
              <w:top w:val="nil"/>
              <w:left w:val="nil"/>
              <w:bottom w:val="single" w:sz="8" w:space="0" w:color="auto"/>
              <w:right w:val="single" w:sz="8" w:space="0" w:color="auto"/>
            </w:tcBorders>
            <w:shd w:val="clear" w:color="auto" w:fill="auto"/>
            <w:vAlign w:val="center"/>
            <w:hideMark/>
          </w:tcPr>
          <w:p w14:paraId="2C4BBFEF"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9</w:t>
            </w:r>
          </w:p>
        </w:tc>
        <w:tc>
          <w:tcPr>
            <w:tcW w:w="1706" w:type="pct"/>
            <w:tcBorders>
              <w:top w:val="nil"/>
              <w:left w:val="nil"/>
              <w:bottom w:val="single" w:sz="8" w:space="0" w:color="auto"/>
              <w:right w:val="single" w:sz="8" w:space="0" w:color="auto"/>
            </w:tcBorders>
            <w:shd w:val="clear" w:color="auto" w:fill="auto"/>
            <w:noWrap/>
            <w:vAlign w:val="center"/>
            <w:hideMark/>
          </w:tcPr>
          <w:p w14:paraId="710EF143"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4 Meses 3 Semanas</w:t>
            </w:r>
          </w:p>
        </w:tc>
      </w:tr>
      <w:tr w:rsidR="006B0E83" w:rsidRPr="00EE6EF0" w14:paraId="5DCD75CA"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795404DC"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Abreviado</w:t>
            </w:r>
          </w:p>
        </w:tc>
        <w:tc>
          <w:tcPr>
            <w:tcW w:w="1127" w:type="pct"/>
            <w:tcBorders>
              <w:top w:val="nil"/>
              <w:left w:val="nil"/>
              <w:bottom w:val="single" w:sz="8" w:space="0" w:color="auto"/>
              <w:right w:val="single" w:sz="8" w:space="0" w:color="auto"/>
            </w:tcBorders>
            <w:shd w:val="clear" w:color="auto" w:fill="auto"/>
            <w:vAlign w:val="center"/>
            <w:hideMark/>
          </w:tcPr>
          <w:p w14:paraId="274B72F2"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w:t>
            </w:r>
          </w:p>
        </w:tc>
        <w:tc>
          <w:tcPr>
            <w:tcW w:w="1706" w:type="pct"/>
            <w:tcBorders>
              <w:top w:val="nil"/>
              <w:left w:val="nil"/>
              <w:bottom w:val="single" w:sz="8" w:space="0" w:color="auto"/>
              <w:right w:val="single" w:sz="8" w:space="0" w:color="auto"/>
            </w:tcBorders>
            <w:shd w:val="clear" w:color="auto" w:fill="auto"/>
            <w:noWrap/>
            <w:vAlign w:val="center"/>
            <w:hideMark/>
          </w:tcPr>
          <w:p w14:paraId="14856DAE"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 Meses 2 Semanas</w:t>
            </w:r>
          </w:p>
        </w:tc>
      </w:tr>
      <w:tr w:rsidR="006B0E83" w:rsidRPr="00EE6EF0" w14:paraId="47D76B3E"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2E2CAE76"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Divorcio</w:t>
            </w:r>
          </w:p>
        </w:tc>
        <w:tc>
          <w:tcPr>
            <w:tcW w:w="1127" w:type="pct"/>
            <w:tcBorders>
              <w:top w:val="nil"/>
              <w:left w:val="nil"/>
              <w:bottom w:val="single" w:sz="8" w:space="0" w:color="auto"/>
              <w:right w:val="single" w:sz="8" w:space="0" w:color="auto"/>
            </w:tcBorders>
            <w:shd w:val="clear" w:color="auto" w:fill="auto"/>
            <w:vAlign w:val="center"/>
            <w:hideMark/>
          </w:tcPr>
          <w:p w14:paraId="032DA3D0"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08F205DB"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8 Meses 3 Semanas</w:t>
            </w:r>
          </w:p>
        </w:tc>
      </w:tr>
      <w:tr w:rsidR="006B0E83" w:rsidRPr="00EE6EF0" w14:paraId="56ED7CFC"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2E39FB56"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Ordinario</w:t>
            </w:r>
          </w:p>
        </w:tc>
        <w:tc>
          <w:tcPr>
            <w:tcW w:w="1127" w:type="pct"/>
            <w:tcBorders>
              <w:top w:val="nil"/>
              <w:left w:val="nil"/>
              <w:bottom w:val="single" w:sz="8" w:space="0" w:color="auto"/>
              <w:right w:val="single" w:sz="8" w:space="0" w:color="auto"/>
            </w:tcBorders>
            <w:shd w:val="clear" w:color="auto" w:fill="auto"/>
            <w:vAlign w:val="center"/>
            <w:hideMark/>
          </w:tcPr>
          <w:p w14:paraId="016BEA49"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w:t>
            </w:r>
          </w:p>
        </w:tc>
        <w:tc>
          <w:tcPr>
            <w:tcW w:w="1706" w:type="pct"/>
            <w:tcBorders>
              <w:top w:val="nil"/>
              <w:left w:val="nil"/>
              <w:bottom w:val="single" w:sz="8" w:space="0" w:color="auto"/>
              <w:right w:val="single" w:sz="8" w:space="0" w:color="auto"/>
            </w:tcBorders>
            <w:shd w:val="clear" w:color="auto" w:fill="auto"/>
            <w:noWrap/>
            <w:vAlign w:val="center"/>
            <w:hideMark/>
          </w:tcPr>
          <w:p w14:paraId="2407B66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9 Meses 0 Semanas</w:t>
            </w:r>
          </w:p>
        </w:tc>
      </w:tr>
      <w:tr w:rsidR="006B0E83" w:rsidRPr="00EE6EF0" w14:paraId="5B49C482" w14:textId="77777777" w:rsidTr="00035934">
        <w:trPr>
          <w:trHeight w:val="55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6FE0C6A5"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Reconocimiento de unión de hecho</w:t>
            </w:r>
          </w:p>
        </w:tc>
        <w:tc>
          <w:tcPr>
            <w:tcW w:w="1127" w:type="pct"/>
            <w:tcBorders>
              <w:top w:val="nil"/>
              <w:left w:val="nil"/>
              <w:bottom w:val="single" w:sz="8" w:space="0" w:color="auto"/>
              <w:right w:val="single" w:sz="8" w:space="0" w:color="auto"/>
            </w:tcBorders>
            <w:shd w:val="clear" w:color="auto" w:fill="auto"/>
            <w:vAlign w:val="center"/>
            <w:hideMark/>
          </w:tcPr>
          <w:p w14:paraId="1D318A1A"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w:t>
            </w:r>
          </w:p>
        </w:tc>
        <w:tc>
          <w:tcPr>
            <w:tcW w:w="1706" w:type="pct"/>
            <w:tcBorders>
              <w:top w:val="nil"/>
              <w:left w:val="nil"/>
              <w:bottom w:val="single" w:sz="8" w:space="0" w:color="auto"/>
              <w:right w:val="single" w:sz="8" w:space="0" w:color="auto"/>
            </w:tcBorders>
            <w:shd w:val="clear" w:color="auto" w:fill="auto"/>
            <w:noWrap/>
            <w:vAlign w:val="center"/>
            <w:hideMark/>
          </w:tcPr>
          <w:p w14:paraId="108BB920"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2 Meses 3 Semanas</w:t>
            </w:r>
          </w:p>
        </w:tc>
      </w:tr>
      <w:tr w:rsidR="006B0E83" w:rsidRPr="00EE6EF0" w14:paraId="7ACF0BBB" w14:textId="77777777" w:rsidTr="00035934">
        <w:trPr>
          <w:trHeight w:val="33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8049ECC"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Revisión</w:t>
            </w:r>
          </w:p>
        </w:tc>
        <w:tc>
          <w:tcPr>
            <w:tcW w:w="1127" w:type="pct"/>
            <w:tcBorders>
              <w:top w:val="nil"/>
              <w:left w:val="nil"/>
              <w:bottom w:val="single" w:sz="8" w:space="0" w:color="auto"/>
              <w:right w:val="single" w:sz="8" w:space="0" w:color="auto"/>
            </w:tcBorders>
            <w:shd w:val="clear" w:color="auto" w:fill="auto"/>
            <w:vAlign w:val="center"/>
            <w:hideMark/>
          </w:tcPr>
          <w:p w14:paraId="244CBD58"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12</w:t>
            </w:r>
          </w:p>
        </w:tc>
        <w:tc>
          <w:tcPr>
            <w:tcW w:w="1706" w:type="pct"/>
            <w:tcBorders>
              <w:top w:val="nil"/>
              <w:left w:val="nil"/>
              <w:bottom w:val="single" w:sz="8" w:space="0" w:color="auto"/>
              <w:right w:val="single" w:sz="8" w:space="0" w:color="auto"/>
            </w:tcBorders>
            <w:shd w:val="clear" w:color="auto" w:fill="auto"/>
            <w:noWrap/>
            <w:vAlign w:val="center"/>
            <w:hideMark/>
          </w:tcPr>
          <w:p w14:paraId="2F08AC84"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 Meses 2 Semanas</w:t>
            </w:r>
          </w:p>
        </w:tc>
      </w:tr>
      <w:tr w:rsidR="006B0E83" w:rsidRPr="00EE6EF0" w14:paraId="1026D844"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74020595" w14:textId="77777777" w:rsidR="006B0E83" w:rsidRPr="00EE6EF0" w:rsidRDefault="006B0E83" w:rsidP="00035934">
            <w:pPr>
              <w:spacing w:after="0" w:line="240" w:lineRule="auto"/>
              <w:jc w:val="right"/>
              <w:rPr>
                <w:rFonts w:ascii="Book Antiqua" w:eastAsia="Times New Roman" w:hAnsi="Book Antiqua" w:cs="Calibri"/>
                <w:i/>
                <w:iCs/>
                <w:color w:val="000000"/>
                <w:sz w:val="20"/>
                <w:szCs w:val="20"/>
                <w:lang w:eastAsia="es-CR"/>
              </w:rPr>
            </w:pPr>
            <w:r w:rsidRPr="00EE6EF0">
              <w:rPr>
                <w:rFonts w:ascii="Book Antiqua" w:eastAsia="Times New Roman" w:hAnsi="Book Antiqua" w:cs="Calibri"/>
                <w:i/>
                <w:iCs/>
                <w:color w:val="000000"/>
                <w:sz w:val="20"/>
                <w:szCs w:val="20"/>
                <w:lang w:eastAsia="es-CR"/>
              </w:rPr>
              <w:t>Revisión</w:t>
            </w:r>
          </w:p>
        </w:tc>
        <w:tc>
          <w:tcPr>
            <w:tcW w:w="1127" w:type="pct"/>
            <w:tcBorders>
              <w:top w:val="nil"/>
              <w:left w:val="nil"/>
              <w:bottom w:val="single" w:sz="8" w:space="0" w:color="auto"/>
              <w:right w:val="single" w:sz="8" w:space="0" w:color="auto"/>
            </w:tcBorders>
            <w:shd w:val="clear" w:color="auto" w:fill="auto"/>
            <w:vAlign w:val="center"/>
            <w:hideMark/>
          </w:tcPr>
          <w:p w14:paraId="0C9D20B0"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12</w:t>
            </w:r>
          </w:p>
        </w:tc>
        <w:tc>
          <w:tcPr>
            <w:tcW w:w="1706" w:type="pct"/>
            <w:tcBorders>
              <w:top w:val="nil"/>
              <w:left w:val="nil"/>
              <w:bottom w:val="single" w:sz="8" w:space="0" w:color="auto"/>
              <w:right w:val="single" w:sz="8" w:space="0" w:color="auto"/>
            </w:tcBorders>
            <w:shd w:val="clear" w:color="auto" w:fill="auto"/>
            <w:noWrap/>
            <w:vAlign w:val="center"/>
            <w:hideMark/>
          </w:tcPr>
          <w:p w14:paraId="02FBC7A6" w14:textId="77777777" w:rsidR="006B0E83" w:rsidRPr="00EE6EF0" w:rsidRDefault="006B0E83" w:rsidP="00035934">
            <w:pPr>
              <w:spacing w:after="0" w:line="240" w:lineRule="auto"/>
              <w:jc w:val="center"/>
              <w:rPr>
                <w:rFonts w:ascii="Book Antiqua" w:eastAsia="Times New Roman" w:hAnsi="Book Antiqua" w:cs="Calibri"/>
                <w:color w:val="000000"/>
                <w:sz w:val="20"/>
                <w:szCs w:val="20"/>
                <w:lang w:eastAsia="es-CR"/>
              </w:rPr>
            </w:pPr>
            <w:r w:rsidRPr="00EE6EF0">
              <w:rPr>
                <w:rFonts w:ascii="Book Antiqua" w:eastAsia="Times New Roman" w:hAnsi="Book Antiqua" w:cs="Calibri"/>
                <w:color w:val="000000"/>
                <w:sz w:val="20"/>
                <w:szCs w:val="20"/>
                <w:lang w:eastAsia="es-CR"/>
              </w:rPr>
              <w:t>5 Meses 2 Semanas</w:t>
            </w:r>
          </w:p>
        </w:tc>
      </w:tr>
      <w:tr w:rsidR="006B0E83" w:rsidRPr="00EE6EF0" w14:paraId="6E7A734F" w14:textId="77777777" w:rsidTr="00035934">
        <w:trPr>
          <w:trHeight w:val="300"/>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D435B95" w14:textId="77777777" w:rsidR="006B0E83" w:rsidRPr="00EE6EF0" w:rsidRDefault="006B0E83" w:rsidP="00035934">
            <w:pPr>
              <w:spacing w:after="0" w:line="240" w:lineRule="auto"/>
              <w:jc w:val="both"/>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Total</w:t>
            </w:r>
          </w:p>
        </w:tc>
        <w:tc>
          <w:tcPr>
            <w:tcW w:w="1127" w:type="pct"/>
            <w:tcBorders>
              <w:top w:val="nil"/>
              <w:left w:val="nil"/>
              <w:bottom w:val="single" w:sz="8" w:space="0" w:color="auto"/>
              <w:right w:val="single" w:sz="8" w:space="0" w:color="auto"/>
            </w:tcBorders>
            <w:shd w:val="clear" w:color="auto" w:fill="auto"/>
            <w:vAlign w:val="center"/>
            <w:hideMark/>
          </w:tcPr>
          <w:p w14:paraId="5C1D3A6B" w14:textId="77777777" w:rsidR="006B0E83" w:rsidRPr="00EE6EF0" w:rsidRDefault="006B0E83" w:rsidP="00035934">
            <w:pPr>
              <w:spacing w:after="0" w:line="240" w:lineRule="auto"/>
              <w:jc w:val="center"/>
              <w:rPr>
                <w:rFonts w:ascii="Book Antiqua" w:eastAsia="Times New Roman" w:hAnsi="Book Antiqua" w:cs="Calibri"/>
                <w:b/>
                <w:bCs/>
                <w:color w:val="000000"/>
                <w:sz w:val="20"/>
                <w:szCs w:val="20"/>
                <w:lang w:eastAsia="es-CR"/>
              </w:rPr>
            </w:pPr>
            <w:r w:rsidRPr="00EE6EF0">
              <w:rPr>
                <w:rFonts w:ascii="Book Antiqua" w:eastAsia="Times New Roman" w:hAnsi="Book Antiqua" w:cs="Calibri"/>
                <w:b/>
                <w:bCs/>
                <w:color w:val="000000"/>
                <w:sz w:val="20"/>
                <w:szCs w:val="20"/>
                <w:lang w:eastAsia="es-CR"/>
              </w:rPr>
              <w:t>176</w:t>
            </w:r>
          </w:p>
        </w:tc>
        <w:tc>
          <w:tcPr>
            <w:tcW w:w="1706" w:type="pct"/>
            <w:tcBorders>
              <w:top w:val="nil"/>
              <w:left w:val="nil"/>
              <w:bottom w:val="single" w:sz="8" w:space="0" w:color="auto"/>
              <w:right w:val="single" w:sz="8" w:space="0" w:color="auto"/>
            </w:tcBorders>
            <w:shd w:val="clear" w:color="auto" w:fill="auto"/>
            <w:vAlign w:val="center"/>
            <w:hideMark/>
          </w:tcPr>
          <w:p w14:paraId="68570C29" w14:textId="77777777" w:rsidR="006B0E83" w:rsidRPr="00EE6EF0" w:rsidRDefault="006B0E83" w:rsidP="00035934">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16 Meses 1 Semana</w:t>
            </w:r>
          </w:p>
        </w:tc>
      </w:tr>
    </w:tbl>
    <w:p w14:paraId="6AA6858C" w14:textId="77777777" w:rsidR="006B0E83" w:rsidRDefault="006B0E83" w:rsidP="006B0E83">
      <w:pPr>
        <w:spacing w:line="276" w:lineRule="auto"/>
        <w:jc w:val="both"/>
        <w:rPr>
          <w:rFonts w:ascii="Book Antiqua" w:hAnsi="Book Antiqua"/>
          <w:i/>
          <w:iCs/>
          <w:sz w:val="20"/>
          <w:szCs w:val="20"/>
        </w:rPr>
      </w:pPr>
      <w:r w:rsidRPr="00632CF0">
        <w:rPr>
          <w:rFonts w:ascii="Book Antiqua" w:hAnsi="Book Antiqua"/>
          <w:i/>
          <w:iCs/>
          <w:sz w:val="20"/>
          <w:szCs w:val="20"/>
        </w:rPr>
        <w:t>Fuente: Modernización Institucional con datos del Subproceso de Estadística.</w:t>
      </w:r>
    </w:p>
    <w:p w14:paraId="26065203" w14:textId="1D909C5B" w:rsidR="006B0E83" w:rsidRDefault="006B0E83" w:rsidP="006B0E83">
      <w:pPr>
        <w:spacing w:after="0" w:line="276" w:lineRule="auto"/>
        <w:jc w:val="both"/>
        <w:rPr>
          <w:rFonts w:ascii="Book Antiqua" w:eastAsia="Calibri" w:hAnsi="Book Antiqua" w:cs="Arial"/>
          <w:b/>
          <w:bCs/>
          <w:i/>
          <w:iCs/>
          <w:sz w:val="24"/>
          <w:szCs w:val="24"/>
          <w:u w:val="single"/>
        </w:rPr>
      </w:pPr>
    </w:p>
    <w:p w14:paraId="4FCB1677" w14:textId="3D29B10B" w:rsidR="00292F21" w:rsidRDefault="00292F21" w:rsidP="006B0E83">
      <w:pPr>
        <w:spacing w:after="0" w:line="276" w:lineRule="auto"/>
        <w:jc w:val="both"/>
        <w:rPr>
          <w:rFonts w:ascii="Book Antiqua" w:eastAsia="Calibri" w:hAnsi="Book Antiqua" w:cs="Arial"/>
          <w:b/>
          <w:bCs/>
          <w:i/>
          <w:iCs/>
          <w:sz w:val="24"/>
          <w:szCs w:val="24"/>
          <w:u w:val="single"/>
        </w:rPr>
      </w:pPr>
    </w:p>
    <w:p w14:paraId="0379B65C" w14:textId="6F55A636" w:rsidR="00292F21" w:rsidRDefault="00292F21" w:rsidP="006B0E83">
      <w:pPr>
        <w:spacing w:after="0" w:line="276" w:lineRule="auto"/>
        <w:jc w:val="both"/>
        <w:rPr>
          <w:rFonts w:ascii="Book Antiqua" w:eastAsia="Calibri" w:hAnsi="Book Antiqua" w:cs="Arial"/>
          <w:b/>
          <w:bCs/>
          <w:i/>
          <w:iCs/>
          <w:sz w:val="24"/>
          <w:szCs w:val="24"/>
          <w:u w:val="single"/>
        </w:rPr>
      </w:pPr>
    </w:p>
    <w:p w14:paraId="43D647B3" w14:textId="77777777" w:rsidR="00292F21" w:rsidRDefault="00292F21" w:rsidP="006B0E83">
      <w:pPr>
        <w:spacing w:after="0" w:line="276" w:lineRule="auto"/>
        <w:jc w:val="both"/>
        <w:rPr>
          <w:rFonts w:ascii="Book Antiqua" w:eastAsia="Calibri" w:hAnsi="Book Antiqua" w:cs="Arial"/>
          <w:b/>
          <w:bCs/>
          <w:i/>
          <w:iCs/>
          <w:sz w:val="24"/>
          <w:szCs w:val="24"/>
          <w:u w:val="single"/>
        </w:rPr>
      </w:pPr>
    </w:p>
    <w:p w14:paraId="47BF4236" w14:textId="0DB880DC" w:rsidR="00035487" w:rsidRPr="009F59E8" w:rsidRDefault="00035487" w:rsidP="009F59E8">
      <w:pPr>
        <w:spacing w:after="0" w:line="276" w:lineRule="auto"/>
        <w:jc w:val="both"/>
        <w:rPr>
          <w:rFonts w:ascii="Book Antiqua" w:eastAsia="Calibri" w:hAnsi="Book Antiqua" w:cs="Arial"/>
          <w:b/>
          <w:bCs/>
          <w:sz w:val="24"/>
          <w:szCs w:val="24"/>
        </w:rPr>
      </w:pPr>
      <w:r w:rsidRPr="009F59E8">
        <w:rPr>
          <w:rFonts w:ascii="Book Antiqua" w:eastAsia="Calibri" w:hAnsi="Book Antiqua" w:cs="Arial"/>
          <w:b/>
          <w:bCs/>
          <w:sz w:val="24"/>
          <w:szCs w:val="24"/>
        </w:rPr>
        <w:lastRenderedPageBreak/>
        <w:t xml:space="preserve">Impacto en la Sala Segunda por los cambios de competencia, reforma al artículo 55 bis LOPJ </w:t>
      </w:r>
    </w:p>
    <w:p w14:paraId="1809B707" w14:textId="77777777" w:rsidR="00035487" w:rsidRDefault="00035487" w:rsidP="00C94966">
      <w:pPr>
        <w:spacing w:after="0" w:line="276" w:lineRule="auto"/>
        <w:jc w:val="both"/>
        <w:rPr>
          <w:rFonts w:ascii="Book Antiqua" w:eastAsia="Calibri" w:hAnsi="Book Antiqua" w:cs="Arial"/>
          <w:sz w:val="24"/>
          <w:szCs w:val="24"/>
        </w:rPr>
      </w:pPr>
    </w:p>
    <w:p w14:paraId="75DF985E" w14:textId="2CD852EC" w:rsidR="00562E95" w:rsidRDefault="00562E95"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La situación de la Sala Segunda es preocupante en este momento, y a partir de octubre 202</w:t>
      </w:r>
      <w:r w:rsidR="009A4A4B">
        <w:rPr>
          <w:rFonts w:ascii="Book Antiqua" w:eastAsia="Calibri" w:hAnsi="Book Antiqua" w:cs="Arial"/>
          <w:sz w:val="24"/>
          <w:szCs w:val="24"/>
        </w:rPr>
        <w:t>2</w:t>
      </w:r>
      <w:r>
        <w:rPr>
          <w:rFonts w:ascii="Book Antiqua" w:eastAsia="Calibri" w:hAnsi="Book Antiqua" w:cs="Arial"/>
          <w:sz w:val="24"/>
          <w:szCs w:val="24"/>
        </w:rPr>
        <w:t>, e</w:t>
      </w:r>
      <w:r w:rsidR="00F071D2" w:rsidRPr="00561C46">
        <w:rPr>
          <w:rFonts w:ascii="Book Antiqua" w:eastAsia="Calibri" w:hAnsi="Book Antiqua" w:cs="Arial"/>
          <w:sz w:val="24"/>
          <w:szCs w:val="24"/>
        </w:rPr>
        <w:t>l CPF le confiere nuevas competencias a la Sala Segunda</w:t>
      </w:r>
      <w:r w:rsidR="00441B1F">
        <w:rPr>
          <w:rFonts w:ascii="Book Antiqua" w:eastAsia="Calibri" w:hAnsi="Book Antiqua" w:cs="Arial"/>
          <w:sz w:val="24"/>
          <w:szCs w:val="24"/>
        </w:rPr>
        <w:t xml:space="preserve"> según el artículo 55 bis reformado de la LOPJ, el detalle se incluyó en el apartado 4</w:t>
      </w:r>
      <w:r w:rsidR="00441B1F" w:rsidRPr="001D0C10">
        <w:rPr>
          <w:rFonts w:ascii="Book Antiqua" w:eastAsia="Calibri" w:hAnsi="Book Antiqua" w:cs="Arial"/>
          <w:i/>
          <w:iCs/>
          <w:sz w:val="24"/>
          <w:szCs w:val="24"/>
        </w:rPr>
        <w:t xml:space="preserve"> “principales implicaciones del CPF</w:t>
      </w:r>
      <w:r w:rsidR="00441B1F">
        <w:rPr>
          <w:rFonts w:ascii="Book Antiqua" w:eastAsia="Calibri" w:hAnsi="Book Antiqua" w:cs="Arial"/>
          <w:sz w:val="24"/>
          <w:szCs w:val="24"/>
        </w:rPr>
        <w:t xml:space="preserve">” de este informe. </w:t>
      </w:r>
    </w:p>
    <w:p w14:paraId="20F17852" w14:textId="7A342ED7" w:rsidR="008F6C72" w:rsidRDefault="00441B1F" w:rsidP="00C9496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Pero los que eventualmente pueden impactar la entrada en la </w:t>
      </w:r>
      <w:r w:rsidR="00FE4B7D">
        <w:rPr>
          <w:rFonts w:ascii="Book Antiqua" w:eastAsia="Calibri" w:hAnsi="Book Antiqua" w:cs="Arial"/>
          <w:sz w:val="24"/>
          <w:szCs w:val="24"/>
        </w:rPr>
        <w:t>S</w:t>
      </w:r>
      <w:r>
        <w:rPr>
          <w:rFonts w:ascii="Book Antiqua" w:eastAsia="Calibri" w:hAnsi="Book Antiqua" w:cs="Arial"/>
          <w:sz w:val="24"/>
          <w:szCs w:val="24"/>
        </w:rPr>
        <w:t xml:space="preserve">ala se encuentran: </w:t>
      </w:r>
    </w:p>
    <w:p w14:paraId="3EF5F3C7" w14:textId="77777777" w:rsidR="00035487" w:rsidRDefault="00035487" w:rsidP="00C94966">
      <w:pPr>
        <w:spacing w:after="0" w:line="276" w:lineRule="auto"/>
        <w:jc w:val="both"/>
        <w:rPr>
          <w:rFonts w:ascii="Book Antiqua" w:eastAsia="Calibri" w:hAnsi="Book Antiqua" w:cs="Arial"/>
          <w:sz w:val="24"/>
          <w:szCs w:val="24"/>
        </w:rPr>
      </w:pPr>
    </w:p>
    <w:p w14:paraId="3C78022F" w14:textId="7C95F4ED" w:rsidR="008F6C72" w:rsidRDefault="008F6C72" w:rsidP="0090609F">
      <w:pPr>
        <w:pStyle w:val="Prrafodelista"/>
        <w:numPr>
          <w:ilvl w:val="0"/>
          <w:numId w:val="36"/>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C</w:t>
      </w:r>
      <w:r w:rsidR="00F071D2" w:rsidRPr="001D0C10">
        <w:rPr>
          <w:rFonts w:ascii="Book Antiqua" w:eastAsia="Calibri" w:hAnsi="Book Antiqua" w:cs="Arial"/>
          <w:sz w:val="24"/>
          <w:szCs w:val="24"/>
        </w:rPr>
        <w:t>onocer</w:t>
      </w:r>
      <w:r w:rsidR="00035487">
        <w:rPr>
          <w:rFonts w:ascii="Book Antiqua" w:eastAsia="Calibri" w:hAnsi="Book Antiqua" w:cs="Arial"/>
          <w:sz w:val="24"/>
          <w:szCs w:val="24"/>
        </w:rPr>
        <w:t>á</w:t>
      </w:r>
      <w:r w:rsidR="00F071D2" w:rsidRPr="001D0C10">
        <w:rPr>
          <w:rFonts w:ascii="Book Antiqua" w:eastAsia="Calibri" w:hAnsi="Book Antiqua" w:cs="Arial"/>
          <w:sz w:val="24"/>
          <w:szCs w:val="24"/>
        </w:rPr>
        <w:t xml:space="preserve"> </w:t>
      </w:r>
      <w:r w:rsidR="00562E95">
        <w:rPr>
          <w:rFonts w:ascii="Book Antiqua" w:eastAsia="Calibri" w:hAnsi="Book Antiqua" w:cs="Arial"/>
          <w:sz w:val="24"/>
          <w:szCs w:val="24"/>
        </w:rPr>
        <w:t xml:space="preserve">los recursos de los </w:t>
      </w:r>
      <w:r w:rsidR="00100D3A" w:rsidRPr="001D0C10">
        <w:rPr>
          <w:rFonts w:ascii="Book Antiqua" w:eastAsia="Calibri" w:hAnsi="Book Antiqua" w:cs="Arial"/>
          <w:sz w:val="24"/>
          <w:szCs w:val="24"/>
        </w:rPr>
        <w:t xml:space="preserve">procesos de restitución internacional de personas menores de edad </w:t>
      </w:r>
      <w:r w:rsidR="00F071D2" w:rsidRPr="001D0C10">
        <w:rPr>
          <w:rFonts w:ascii="Book Antiqua" w:eastAsia="Calibri" w:hAnsi="Book Antiqua" w:cs="Arial"/>
          <w:sz w:val="24"/>
          <w:szCs w:val="24"/>
        </w:rPr>
        <w:t xml:space="preserve">que en la actualidad </w:t>
      </w:r>
      <w:r w:rsidR="00100D3A" w:rsidRPr="001D0C10">
        <w:rPr>
          <w:rFonts w:ascii="Book Antiqua" w:eastAsia="Calibri" w:hAnsi="Book Antiqua" w:cs="Arial"/>
          <w:sz w:val="24"/>
          <w:szCs w:val="24"/>
        </w:rPr>
        <w:t>son conocidos por el Tribunal de Familia</w:t>
      </w:r>
      <w:r w:rsidR="00F071D2" w:rsidRPr="001D0C10">
        <w:rPr>
          <w:rFonts w:ascii="Book Antiqua" w:eastAsia="Calibri" w:hAnsi="Book Antiqua" w:cs="Arial"/>
          <w:sz w:val="24"/>
          <w:szCs w:val="24"/>
        </w:rPr>
        <w:t xml:space="preserve"> y para el periodo </w:t>
      </w:r>
      <w:r>
        <w:rPr>
          <w:rFonts w:ascii="Book Antiqua" w:eastAsia="Calibri" w:hAnsi="Book Antiqua" w:cs="Arial"/>
          <w:sz w:val="24"/>
          <w:szCs w:val="24"/>
        </w:rPr>
        <w:t>del 2017-2021</w:t>
      </w:r>
      <w:r w:rsidR="00F071D2" w:rsidRPr="001D0C10">
        <w:rPr>
          <w:rFonts w:ascii="Book Antiqua" w:eastAsia="Calibri" w:hAnsi="Book Antiqua" w:cs="Arial"/>
          <w:sz w:val="24"/>
          <w:szCs w:val="24"/>
        </w:rPr>
        <w:t xml:space="preserve"> </w:t>
      </w:r>
      <w:r w:rsidR="00561C46" w:rsidRPr="001D0C10">
        <w:rPr>
          <w:rFonts w:ascii="Book Antiqua" w:eastAsia="Calibri" w:hAnsi="Book Antiqua" w:cs="Arial"/>
          <w:sz w:val="24"/>
          <w:szCs w:val="24"/>
        </w:rPr>
        <w:t xml:space="preserve">fue </w:t>
      </w:r>
      <w:r>
        <w:rPr>
          <w:rFonts w:ascii="Book Antiqua" w:eastAsia="Calibri" w:hAnsi="Book Antiqua" w:cs="Arial"/>
          <w:sz w:val="24"/>
          <w:szCs w:val="24"/>
        </w:rPr>
        <w:t>en total de</w:t>
      </w:r>
      <w:r w:rsidR="00561C46" w:rsidRPr="001D0C10">
        <w:rPr>
          <w:rFonts w:ascii="Book Antiqua" w:eastAsia="Calibri" w:hAnsi="Book Antiqua" w:cs="Arial"/>
          <w:sz w:val="24"/>
          <w:szCs w:val="24"/>
        </w:rPr>
        <w:t xml:space="preserve"> </w:t>
      </w:r>
      <w:r w:rsidR="00F071D2" w:rsidRPr="001D0C10">
        <w:rPr>
          <w:rFonts w:ascii="Book Antiqua" w:eastAsia="Calibri" w:hAnsi="Book Antiqua" w:cs="Arial"/>
          <w:sz w:val="24"/>
          <w:szCs w:val="24"/>
        </w:rPr>
        <w:t>28 asuntos</w:t>
      </w:r>
      <w:r>
        <w:rPr>
          <w:rFonts w:ascii="Book Antiqua" w:eastAsia="Calibri" w:hAnsi="Book Antiqua" w:cs="Arial"/>
          <w:sz w:val="24"/>
          <w:szCs w:val="24"/>
        </w:rPr>
        <w:t xml:space="preserve">, lo que representa en promedio 6 casos al año. Sin embargo, estos asuntos al tratarse de procesos de menores de edad, en donde está de por medio la seguridad del menor debe ser resuelto con urgencia. </w:t>
      </w:r>
    </w:p>
    <w:p w14:paraId="1ABED317" w14:textId="4DF2372A" w:rsidR="008F6C72" w:rsidRDefault="00E26D9E" w:rsidP="0090609F">
      <w:pPr>
        <w:pStyle w:val="Prrafodelista"/>
        <w:numPr>
          <w:ilvl w:val="0"/>
          <w:numId w:val="36"/>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Aumento probable en los recursos de revisión, por la nueva causa de “</w:t>
      </w:r>
      <w:r w:rsidRPr="001D0C10">
        <w:rPr>
          <w:rFonts w:ascii="Book Antiqua" w:eastAsia="Calibri" w:hAnsi="Book Antiqua" w:cs="Arial"/>
          <w:i/>
          <w:iCs/>
          <w:sz w:val="24"/>
          <w:szCs w:val="24"/>
        </w:rPr>
        <w:t>violación al debido proceso</w:t>
      </w:r>
      <w:r>
        <w:rPr>
          <w:rFonts w:ascii="Book Antiqua" w:eastAsia="Calibri" w:hAnsi="Book Antiqua" w:cs="Arial"/>
          <w:sz w:val="24"/>
          <w:szCs w:val="24"/>
        </w:rPr>
        <w:t xml:space="preserve">”, este incremento si fuera similar al que se </w:t>
      </w:r>
      <w:r w:rsidR="00441B1F">
        <w:rPr>
          <w:rFonts w:ascii="Book Antiqua" w:eastAsia="Calibri" w:hAnsi="Book Antiqua" w:cs="Arial"/>
          <w:sz w:val="24"/>
          <w:szCs w:val="24"/>
        </w:rPr>
        <w:t>dio</w:t>
      </w:r>
      <w:r>
        <w:rPr>
          <w:rFonts w:ascii="Book Antiqua" w:eastAsia="Calibri" w:hAnsi="Book Antiqua" w:cs="Arial"/>
          <w:sz w:val="24"/>
          <w:szCs w:val="24"/>
        </w:rPr>
        <w:t xml:space="preserve"> en la Sala por la inclusión de esa misma causal en el Código Procesal Civil, donde representó un incremento anual de 3</w:t>
      </w:r>
      <w:r w:rsidR="00441B1F">
        <w:rPr>
          <w:rFonts w:ascii="Book Antiqua" w:eastAsia="Calibri" w:hAnsi="Book Antiqua" w:cs="Arial"/>
          <w:sz w:val="24"/>
          <w:szCs w:val="24"/>
        </w:rPr>
        <w:t>3</w:t>
      </w:r>
      <w:r>
        <w:rPr>
          <w:rFonts w:ascii="Book Antiqua" w:eastAsia="Calibri" w:hAnsi="Book Antiqua" w:cs="Arial"/>
          <w:sz w:val="24"/>
          <w:szCs w:val="24"/>
        </w:rPr>
        <w:t xml:space="preserve"> recursos de revisión adicionales al año.</w:t>
      </w:r>
    </w:p>
    <w:p w14:paraId="67B1495E" w14:textId="7A72C4C8" w:rsidR="00E26D9E" w:rsidRDefault="00035487" w:rsidP="0090609F">
      <w:pPr>
        <w:pStyle w:val="Prrafodelista"/>
        <w:numPr>
          <w:ilvl w:val="0"/>
          <w:numId w:val="36"/>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Conocerá los c</w:t>
      </w:r>
      <w:r w:rsidR="00E26D9E">
        <w:rPr>
          <w:rFonts w:ascii="Book Antiqua" w:eastAsia="Calibri" w:hAnsi="Book Antiqua" w:cs="Arial"/>
          <w:sz w:val="24"/>
          <w:szCs w:val="24"/>
        </w:rPr>
        <w:t>onflictos de competencia territorial entre</w:t>
      </w:r>
      <w:r w:rsidR="00562E95">
        <w:rPr>
          <w:rFonts w:ascii="Book Antiqua" w:eastAsia="Calibri" w:hAnsi="Book Antiqua" w:cs="Arial"/>
          <w:sz w:val="24"/>
          <w:szCs w:val="24"/>
        </w:rPr>
        <w:t xml:space="preserve"> dos</w:t>
      </w:r>
      <w:r w:rsidR="00E26D9E">
        <w:rPr>
          <w:rFonts w:ascii="Book Antiqua" w:eastAsia="Calibri" w:hAnsi="Book Antiqua" w:cs="Arial"/>
          <w:sz w:val="24"/>
          <w:szCs w:val="24"/>
        </w:rPr>
        <w:t xml:space="preserve"> juzgados de Familia, </w:t>
      </w:r>
      <w:r w:rsidR="00441B1F">
        <w:rPr>
          <w:rFonts w:ascii="Book Antiqua" w:eastAsia="Calibri" w:hAnsi="Book Antiqua" w:cs="Arial"/>
          <w:sz w:val="24"/>
          <w:szCs w:val="24"/>
        </w:rPr>
        <w:t xml:space="preserve">a partir de la reforma a los artículos 51 y 99 de la LOPJ, que según datos actuales del Tribunal (sin poner distinguir el tipo de conflicto de competencia alegada) es de en promedio 60 casos al año. </w:t>
      </w:r>
    </w:p>
    <w:p w14:paraId="5864D263" w14:textId="5413BAF5" w:rsidR="00E71E12" w:rsidRDefault="00E71E12" w:rsidP="00355630">
      <w:pPr>
        <w:spacing w:after="0" w:line="276" w:lineRule="auto"/>
        <w:jc w:val="both"/>
        <w:rPr>
          <w:rFonts w:ascii="Book Antiqua" w:eastAsia="Calibri" w:hAnsi="Book Antiqua" w:cs="Arial"/>
          <w:i/>
          <w:iCs/>
          <w:sz w:val="20"/>
          <w:szCs w:val="20"/>
        </w:rPr>
      </w:pPr>
    </w:p>
    <w:p w14:paraId="50F31CCC" w14:textId="782A90C3" w:rsidR="00E52923" w:rsidRDefault="00441B1F" w:rsidP="00355630">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A partir de la información anterior, se puede proyectar el incremento anual en la Sala Segunda de </w:t>
      </w:r>
      <w:r w:rsidR="002C3D8E" w:rsidRPr="001D0C10">
        <w:rPr>
          <w:rFonts w:ascii="Book Antiqua" w:eastAsia="Calibri" w:hAnsi="Book Antiqua" w:cs="Arial"/>
          <w:sz w:val="24"/>
          <w:szCs w:val="24"/>
        </w:rPr>
        <w:t>aproximadamente 99 asuntos</w:t>
      </w:r>
      <w:r w:rsidRPr="001D0C10">
        <w:rPr>
          <w:rFonts w:ascii="Book Antiqua" w:eastAsia="Calibri" w:hAnsi="Book Antiqua" w:cs="Arial"/>
          <w:sz w:val="24"/>
          <w:szCs w:val="24"/>
        </w:rPr>
        <w:t xml:space="preserve">  (6 asuntos de restitución internacional de menores +33 recurso de revisión por la nueva causal de “</w:t>
      </w:r>
      <w:r w:rsidR="002C3D8E" w:rsidRPr="001D0C10">
        <w:rPr>
          <w:rFonts w:ascii="Book Antiqua" w:eastAsia="Calibri" w:hAnsi="Book Antiqua" w:cs="Arial"/>
          <w:i/>
          <w:iCs/>
          <w:sz w:val="24"/>
          <w:szCs w:val="24"/>
        </w:rPr>
        <w:t>violación</w:t>
      </w:r>
      <w:r w:rsidRPr="001D0C10">
        <w:rPr>
          <w:rFonts w:ascii="Book Antiqua" w:eastAsia="Calibri" w:hAnsi="Book Antiqua" w:cs="Arial"/>
          <w:i/>
          <w:iCs/>
          <w:sz w:val="24"/>
          <w:szCs w:val="24"/>
        </w:rPr>
        <w:t xml:space="preserve"> al debido proceso</w:t>
      </w:r>
      <w:r w:rsidRPr="001D0C10">
        <w:rPr>
          <w:rFonts w:ascii="Book Antiqua" w:eastAsia="Calibri" w:hAnsi="Book Antiqua" w:cs="Arial"/>
          <w:sz w:val="24"/>
          <w:szCs w:val="24"/>
        </w:rPr>
        <w:t xml:space="preserve">” +60 </w:t>
      </w:r>
      <w:r w:rsidR="002C3D8E" w:rsidRPr="001D0C10">
        <w:rPr>
          <w:rFonts w:ascii="Book Antiqua" w:eastAsia="Calibri" w:hAnsi="Book Antiqua" w:cs="Arial"/>
          <w:sz w:val="24"/>
          <w:szCs w:val="24"/>
        </w:rPr>
        <w:t>conflictos</w:t>
      </w:r>
      <w:r w:rsidRPr="001D0C10">
        <w:rPr>
          <w:rFonts w:ascii="Book Antiqua" w:eastAsia="Calibri" w:hAnsi="Book Antiqua" w:cs="Arial"/>
          <w:sz w:val="24"/>
          <w:szCs w:val="24"/>
        </w:rPr>
        <w:t xml:space="preserve"> de competencia).</w:t>
      </w:r>
      <w:r w:rsidR="008528CC">
        <w:rPr>
          <w:rFonts w:ascii="Book Antiqua" w:eastAsia="Calibri" w:hAnsi="Book Antiqua" w:cs="Arial"/>
          <w:sz w:val="24"/>
          <w:szCs w:val="24"/>
        </w:rPr>
        <w:t xml:space="preserve"> </w:t>
      </w:r>
    </w:p>
    <w:p w14:paraId="140076FD" w14:textId="062816DF" w:rsidR="008528CC" w:rsidRDefault="008528CC" w:rsidP="00355630">
      <w:pPr>
        <w:spacing w:after="0" w:line="276" w:lineRule="auto"/>
        <w:jc w:val="both"/>
        <w:rPr>
          <w:rFonts w:ascii="Book Antiqua" w:eastAsia="Calibri" w:hAnsi="Book Antiqua" w:cs="Arial"/>
          <w:sz w:val="24"/>
          <w:szCs w:val="24"/>
        </w:rPr>
      </w:pPr>
    </w:p>
    <w:p w14:paraId="48B382AA" w14:textId="46F11E37" w:rsidR="008868D8" w:rsidRDefault="00FE4B7D" w:rsidP="008868D8">
      <w:pPr>
        <w:spacing w:line="276" w:lineRule="auto"/>
        <w:jc w:val="both"/>
        <w:rPr>
          <w:rFonts w:ascii="Book Antiqua" w:hAnsi="Book Antiqua"/>
          <w:sz w:val="24"/>
          <w:szCs w:val="24"/>
        </w:rPr>
      </w:pPr>
      <w:r>
        <w:rPr>
          <w:rFonts w:ascii="Book Antiqua" w:eastAsia="Calibri" w:hAnsi="Book Antiqua" w:cs="Arial"/>
          <w:sz w:val="24"/>
          <w:szCs w:val="24"/>
        </w:rPr>
        <w:t xml:space="preserve">En este punto, es necesario reiterar </w:t>
      </w:r>
      <w:r w:rsidR="008868D8">
        <w:rPr>
          <w:rFonts w:ascii="Book Antiqua" w:eastAsia="Calibri" w:hAnsi="Book Antiqua" w:cs="Arial"/>
          <w:sz w:val="24"/>
          <w:szCs w:val="24"/>
        </w:rPr>
        <w:t>la preocupación de</w:t>
      </w:r>
      <w:r w:rsidR="008868D8">
        <w:rPr>
          <w:rFonts w:ascii="Book Antiqua" w:hAnsi="Book Antiqua"/>
          <w:sz w:val="24"/>
          <w:szCs w:val="24"/>
        </w:rPr>
        <w:t xml:space="preserve"> esta Dirección, ya que no se considera adecuado que nuevamente a partir de la aprobación del CPF, como ya paso anteriormente con las reformas al Código de Trabajo y al Procesal Civil,  </w:t>
      </w:r>
      <w:r w:rsidR="008868D8" w:rsidRPr="001F5F76">
        <w:rPr>
          <w:rFonts w:ascii="Book Antiqua" w:hAnsi="Book Antiqua"/>
          <w:sz w:val="24"/>
          <w:szCs w:val="24"/>
          <w:u w:val="single"/>
        </w:rPr>
        <w:t>se traslad</w:t>
      </w:r>
      <w:r w:rsidR="00035CF6">
        <w:rPr>
          <w:rFonts w:ascii="Book Antiqua" w:hAnsi="Book Antiqua"/>
          <w:sz w:val="24"/>
          <w:szCs w:val="24"/>
          <w:u w:val="single"/>
        </w:rPr>
        <w:t>e</w:t>
      </w:r>
      <w:r w:rsidR="008868D8" w:rsidRPr="001F5F76">
        <w:rPr>
          <w:rFonts w:ascii="Book Antiqua" w:hAnsi="Book Antiqua"/>
          <w:sz w:val="24"/>
          <w:szCs w:val="24"/>
          <w:u w:val="single"/>
        </w:rPr>
        <w:t>n nuevas competencias a es</w:t>
      </w:r>
      <w:r w:rsidR="008868D8">
        <w:rPr>
          <w:rFonts w:ascii="Book Antiqua" w:hAnsi="Book Antiqua"/>
          <w:sz w:val="24"/>
          <w:szCs w:val="24"/>
          <w:u w:val="single"/>
        </w:rPr>
        <w:t>t</w:t>
      </w:r>
      <w:r w:rsidR="008868D8" w:rsidRPr="001F5F76">
        <w:rPr>
          <w:rFonts w:ascii="Book Antiqua" w:hAnsi="Book Antiqua"/>
          <w:sz w:val="24"/>
          <w:szCs w:val="24"/>
          <w:u w:val="single"/>
        </w:rPr>
        <w:t>a Sala</w:t>
      </w:r>
      <w:r w:rsidR="008868D8">
        <w:rPr>
          <w:rFonts w:ascii="Book Antiqua" w:hAnsi="Book Antiqua"/>
          <w:sz w:val="24"/>
          <w:szCs w:val="24"/>
        </w:rPr>
        <w:t xml:space="preserve">, incluso la Ley 9747 surge a partir de un anteproyecto impulsado por el mismo Poder Judicial, en donde se están trasladando </w:t>
      </w:r>
      <w:r w:rsidR="008868D8">
        <w:rPr>
          <w:rFonts w:ascii="Book Antiqua" w:hAnsi="Book Antiqua"/>
          <w:sz w:val="24"/>
          <w:szCs w:val="24"/>
        </w:rPr>
        <w:lastRenderedPageBreak/>
        <w:t>competencias del Tribunal de Familia, que</w:t>
      </w:r>
      <w:r w:rsidR="00035CF6">
        <w:rPr>
          <w:rFonts w:ascii="Book Antiqua" w:hAnsi="Book Antiqua"/>
          <w:sz w:val="24"/>
          <w:szCs w:val="24"/>
        </w:rPr>
        <w:t xml:space="preserve"> como se vio en el apartado “10.1”</w:t>
      </w:r>
      <w:r w:rsidR="008868D8">
        <w:rPr>
          <w:rFonts w:ascii="Book Antiqua" w:hAnsi="Book Antiqua"/>
          <w:sz w:val="24"/>
          <w:szCs w:val="24"/>
        </w:rPr>
        <w:t xml:space="preserve"> es un despacho que está al día</w:t>
      </w:r>
      <w:r w:rsidR="00407661">
        <w:rPr>
          <w:rFonts w:ascii="Book Antiqua" w:hAnsi="Book Antiqua"/>
          <w:sz w:val="24"/>
          <w:szCs w:val="24"/>
        </w:rPr>
        <w:t xml:space="preserve"> y que brinda respuestas al ciudadano de forma más oportuna</w:t>
      </w:r>
      <w:r w:rsidR="008868D8">
        <w:rPr>
          <w:rFonts w:ascii="Book Antiqua" w:hAnsi="Book Antiqua"/>
          <w:sz w:val="24"/>
          <w:szCs w:val="24"/>
        </w:rPr>
        <w:t xml:space="preserve"> hacia la Sala Segunda que desde 2017 está saturada</w:t>
      </w:r>
      <w:r w:rsidR="00A3285D">
        <w:rPr>
          <w:rFonts w:ascii="Book Antiqua" w:hAnsi="Book Antiqua"/>
          <w:sz w:val="24"/>
          <w:szCs w:val="24"/>
        </w:rPr>
        <w:t xml:space="preserve"> con los cambios procesales impulsados, que aún y cuando se le ha brindado más recurso humano</w:t>
      </w:r>
      <w:r w:rsidR="003E0107">
        <w:rPr>
          <w:rFonts w:ascii="Book Antiqua" w:hAnsi="Book Antiqua"/>
          <w:sz w:val="24"/>
          <w:szCs w:val="24"/>
        </w:rPr>
        <w:t>, los plazos y la entrada de asuntos, sigue en aumento</w:t>
      </w:r>
      <w:r w:rsidR="008868D8">
        <w:rPr>
          <w:rFonts w:ascii="Book Antiqua" w:hAnsi="Book Antiqua"/>
          <w:sz w:val="24"/>
          <w:szCs w:val="24"/>
        </w:rPr>
        <w:t xml:space="preserve">. </w:t>
      </w:r>
      <w:r w:rsidR="003E0107">
        <w:rPr>
          <w:rFonts w:ascii="Book Antiqua" w:hAnsi="Book Antiqua"/>
          <w:sz w:val="24"/>
          <w:szCs w:val="24"/>
        </w:rPr>
        <w:t xml:space="preserve">Esto se analiza desde el punto de vista administrativo y en atención a las respuestas de las personas ciudadanas. </w:t>
      </w:r>
    </w:p>
    <w:p w14:paraId="334F0B03" w14:textId="77777777" w:rsidR="00292F21" w:rsidRDefault="00292F21" w:rsidP="00340FF2">
      <w:pPr>
        <w:spacing w:after="0" w:line="276" w:lineRule="auto"/>
        <w:jc w:val="both"/>
        <w:rPr>
          <w:rFonts w:ascii="Book Antiqua" w:eastAsia="Calibri" w:hAnsi="Book Antiqua" w:cs="Arial"/>
          <w:b/>
          <w:bCs/>
          <w:sz w:val="24"/>
          <w:szCs w:val="24"/>
        </w:rPr>
      </w:pPr>
    </w:p>
    <w:p w14:paraId="792BA109" w14:textId="2D6FC115" w:rsidR="00340FF2" w:rsidRPr="00340FF2" w:rsidRDefault="00340FF2" w:rsidP="00340FF2">
      <w:pPr>
        <w:spacing w:after="0" w:line="276" w:lineRule="auto"/>
        <w:jc w:val="both"/>
        <w:rPr>
          <w:rFonts w:ascii="Book Antiqua" w:eastAsia="Calibri" w:hAnsi="Book Antiqua" w:cs="Arial"/>
          <w:b/>
          <w:bCs/>
          <w:sz w:val="24"/>
          <w:szCs w:val="24"/>
        </w:rPr>
      </w:pPr>
      <w:r w:rsidRPr="00340FF2">
        <w:rPr>
          <w:rFonts w:ascii="Book Antiqua" w:eastAsia="Calibri" w:hAnsi="Book Antiqua" w:cs="Arial"/>
          <w:b/>
          <w:bCs/>
          <w:sz w:val="24"/>
          <w:szCs w:val="24"/>
        </w:rPr>
        <w:t>Análisis de carga de trabajo</w:t>
      </w:r>
    </w:p>
    <w:p w14:paraId="49752095" w14:textId="77777777" w:rsidR="00292F21" w:rsidRDefault="00292F21" w:rsidP="00340FF2">
      <w:pPr>
        <w:spacing w:after="0" w:line="276" w:lineRule="auto"/>
        <w:jc w:val="both"/>
        <w:rPr>
          <w:rFonts w:ascii="Book Antiqua" w:eastAsia="Calibri" w:hAnsi="Book Antiqua" w:cs="Arial"/>
          <w:sz w:val="24"/>
          <w:szCs w:val="24"/>
        </w:rPr>
      </w:pPr>
    </w:p>
    <w:p w14:paraId="071E0AAA" w14:textId="0E896F07"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antecedente, cabe mencionar que previo a la entrada en vigencia de la reforma al Código de Trabajo y Código Procesal Civil, la entrada mensual por </w:t>
      </w:r>
      <w:r w:rsidR="0014496E">
        <w:rPr>
          <w:rFonts w:ascii="Book Antiqua" w:eastAsia="Calibri" w:hAnsi="Book Antiqua" w:cs="Arial"/>
          <w:sz w:val="24"/>
          <w:szCs w:val="24"/>
        </w:rPr>
        <w:t xml:space="preserve">plaza de </w:t>
      </w:r>
      <w:r>
        <w:rPr>
          <w:rFonts w:ascii="Book Antiqua" w:eastAsia="Calibri" w:hAnsi="Book Antiqua" w:cs="Arial"/>
          <w:sz w:val="24"/>
          <w:szCs w:val="24"/>
        </w:rPr>
        <w:t>letrad</w:t>
      </w:r>
      <w:r w:rsidR="0014496E">
        <w:rPr>
          <w:rFonts w:ascii="Book Antiqua" w:eastAsia="Calibri" w:hAnsi="Book Antiqua" w:cs="Arial"/>
          <w:sz w:val="24"/>
          <w:szCs w:val="24"/>
        </w:rPr>
        <w:t>o</w:t>
      </w:r>
      <w:r>
        <w:rPr>
          <w:rFonts w:ascii="Book Antiqua" w:eastAsia="Calibri" w:hAnsi="Book Antiqua" w:cs="Arial"/>
          <w:sz w:val="24"/>
          <w:szCs w:val="24"/>
        </w:rPr>
        <w:t xml:space="preserve"> era de aproximadamente 10 asuntos y un circulante por plaza de 45 casos</w:t>
      </w:r>
      <w:r>
        <w:rPr>
          <w:rStyle w:val="Refdenotaalpie"/>
          <w:rFonts w:ascii="Book Antiqua" w:eastAsia="Calibri" w:hAnsi="Book Antiqua" w:cs="Arial"/>
          <w:sz w:val="24"/>
          <w:szCs w:val="24"/>
        </w:rPr>
        <w:footnoteReference w:id="13"/>
      </w:r>
      <w:r>
        <w:rPr>
          <w:rFonts w:ascii="Book Antiqua" w:eastAsia="Calibri" w:hAnsi="Book Antiqua" w:cs="Arial"/>
          <w:sz w:val="24"/>
          <w:szCs w:val="24"/>
        </w:rPr>
        <w:t xml:space="preserve">.  Además por cada 4 plazas de profesional en derecho 3B, 3 plazas de apoyo (técnicos de sala o judiciales), según informe de la Dirección de Planificación 1198-PLA-2018. </w:t>
      </w:r>
    </w:p>
    <w:p w14:paraId="268BE2CB" w14:textId="77777777"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 </w:t>
      </w:r>
    </w:p>
    <w:p w14:paraId="5F8840B7" w14:textId="77777777" w:rsidR="00340FF2" w:rsidRPr="001D0C10"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Con la reforma al Código de Trabajo, por el impacto de esa reforma a partir del 2018, se reforzó la Sala Segunda con 5 letrados, 1 para cada magistrado y un técnico de Sala y un Técnico Judicial 3 para el área de apoyo (las 7 plazas ordinarias a partir del 2020), principalmente por la entrada de asuntos de Auxilio Internacional </w:t>
      </w:r>
      <w:r w:rsidRPr="001D0C10">
        <w:rPr>
          <w:rFonts w:ascii="Book Antiqua" w:eastAsia="Calibri" w:hAnsi="Book Antiqua" w:cs="Arial"/>
          <w:b/>
          <w:bCs/>
          <w:sz w:val="24"/>
          <w:szCs w:val="24"/>
          <w:u w:val="single"/>
        </w:rPr>
        <w:t>nuevos</w:t>
      </w:r>
      <w:r>
        <w:rPr>
          <w:rFonts w:ascii="Book Antiqua" w:eastAsia="Calibri" w:hAnsi="Book Antiqua" w:cs="Arial"/>
          <w:sz w:val="24"/>
          <w:szCs w:val="24"/>
        </w:rPr>
        <w:t xml:space="preserve"> en materia de Familia y Trabajo, que a partir del 8 </w:t>
      </w:r>
      <w:r w:rsidRPr="00584BE8">
        <w:rPr>
          <w:rFonts w:ascii="Book Antiqua" w:eastAsia="Calibri" w:hAnsi="Book Antiqua" w:cs="Arial"/>
          <w:sz w:val="24"/>
          <w:szCs w:val="24"/>
        </w:rPr>
        <w:t xml:space="preserve">de octubre de 2018 son competencia de esta Sala. Adicionalmente a partir del 2020 se les otorgó un recurso adicional de Profesional en Derecho 3B (plaza ordinaria a partir de 2022). </w:t>
      </w:r>
    </w:p>
    <w:p w14:paraId="09278473" w14:textId="77777777" w:rsidR="00340FF2" w:rsidRPr="001D0C10" w:rsidRDefault="00340FF2" w:rsidP="00340FF2">
      <w:pPr>
        <w:spacing w:after="0" w:line="276" w:lineRule="auto"/>
        <w:jc w:val="both"/>
        <w:rPr>
          <w:rFonts w:ascii="Book Antiqua" w:eastAsia="Calibri" w:hAnsi="Book Antiqua" w:cs="Arial"/>
          <w:sz w:val="24"/>
          <w:szCs w:val="24"/>
        </w:rPr>
      </w:pPr>
    </w:p>
    <w:p w14:paraId="4C10ECB2" w14:textId="313E77F9" w:rsidR="00340FF2" w:rsidRDefault="00340FF2" w:rsidP="00340FF2">
      <w:pPr>
        <w:spacing w:after="0" w:line="276" w:lineRule="auto"/>
        <w:jc w:val="both"/>
        <w:rPr>
          <w:rFonts w:ascii="Book Antiqua" w:eastAsia="Calibri" w:hAnsi="Book Antiqua" w:cs="Arial"/>
          <w:sz w:val="24"/>
          <w:szCs w:val="24"/>
        </w:rPr>
      </w:pPr>
      <w:r w:rsidRPr="00584BE8">
        <w:rPr>
          <w:rFonts w:ascii="Book Antiqua" w:eastAsia="Calibri" w:hAnsi="Book Antiqua" w:cs="Arial"/>
          <w:sz w:val="24"/>
          <w:szCs w:val="24"/>
        </w:rPr>
        <w:t>En total en este momento la Sala Segunda cuenta con un total de 19 profesionales en Derecho más</w:t>
      </w:r>
      <w:r>
        <w:rPr>
          <w:rFonts w:ascii="Book Antiqua" w:eastAsia="Calibri" w:hAnsi="Book Antiqua" w:cs="Arial"/>
          <w:sz w:val="24"/>
          <w:szCs w:val="24"/>
        </w:rPr>
        <w:t xml:space="preserve"> 11 plazas de apoyo (3 Técnicos de Sala, 6 Técnicos Judiciales 3 y 1 Técnico en Comunicaciones y el Secretario de Sala), las secretarias ejecutivas de cada magistrado y 2 conserjes. </w:t>
      </w:r>
    </w:p>
    <w:p w14:paraId="448D5470" w14:textId="77777777" w:rsidR="0014496E" w:rsidRDefault="0014496E" w:rsidP="00340FF2">
      <w:pPr>
        <w:spacing w:after="0" w:line="276" w:lineRule="auto"/>
        <w:jc w:val="both"/>
        <w:rPr>
          <w:rFonts w:ascii="Book Antiqua" w:eastAsia="Calibri" w:hAnsi="Book Antiqua" w:cs="Arial"/>
          <w:sz w:val="24"/>
          <w:szCs w:val="24"/>
        </w:rPr>
      </w:pPr>
    </w:p>
    <w:p w14:paraId="405535FE" w14:textId="77777777"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b/>
          <w:bCs/>
          <w:sz w:val="24"/>
          <w:szCs w:val="24"/>
          <w:u w:val="single"/>
        </w:rPr>
        <w:t>Temporalmente</w:t>
      </w:r>
      <w:r>
        <w:rPr>
          <w:rFonts w:ascii="Book Antiqua" w:eastAsia="Calibri" w:hAnsi="Book Antiqua" w:cs="Arial"/>
          <w:sz w:val="24"/>
          <w:szCs w:val="24"/>
        </w:rPr>
        <w:t xml:space="preserve"> </w:t>
      </w:r>
      <w:r w:rsidRPr="001D0C10">
        <w:rPr>
          <w:rFonts w:ascii="Book Antiqua" w:eastAsia="Calibri" w:hAnsi="Book Antiqua" w:cs="Arial"/>
          <w:b/>
          <w:bCs/>
          <w:sz w:val="24"/>
          <w:szCs w:val="24"/>
          <w:u w:val="single"/>
        </w:rPr>
        <w:t>y hasta el 30 de junio de 2022</w:t>
      </w:r>
      <w:r>
        <w:rPr>
          <w:rFonts w:ascii="Book Antiqua" w:eastAsia="Calibri" w:hAnsi="Book Antiqua" w:cs="Arial"/>
          <w:sz w:val="24"/>
          <w:szCs w:val="24"/>
        </w:rPr>
        <w:t xml:space="preserve"> cuentan con 2 plazas de profesional en Derecho 3B, en préstamo del CACMFJ por acuerdo de Corte Plena en sesión 28</w:t>
      </w:r>
      <w:r w:rsidRPr="006175F7">
        <w:rPr>
          <w:rFonts w:ascii="Book Antiqua" w:eastAsia="Calibri" w:hAnsi="Book Antiqua" w:cs="Arial"/>
          <w:sz w:val="24"/>
          <w:szCs w:val="24"/>
        </w:rPr>
        <w:t xml:space="preserve">-2021 celebrada el 05 de julio de 2021, </w:t>
      </w:r>
      <w:r>
        <w:rPr>
          <w:rFonts w:ascii="Book Antiqua" w:eastAsia="Calibri" w:hAnsi="Book Antiqua" w:cs="Arial"/>
          <w:sz w:val="24"/>
          <w:szCs w:val="24"/>
        </w:rPr>
        <w:t>artículo</w:t>
      </w:r>
      <w:r w:rsidRPr="006175F7">
        <w:rPr>
          <w:rFonts w:ascii="Book Antiqua" w:eastAsia="Calibri" w:hAnsi="Book Antiqua" w:cs="Arial"/>
          <w:sz w:val="24"/>
          <w:szCs w:val="24"/>
        </w:rPr>
        <w:t xml:space="preserve"> IV</w:t>
      </w:r>
      <w:r>
        <w:rPr>
          <w:rFonts w:ascii="Book Antiqua" w:eastAsia="Calibri" w:hAnsi="Book Antiqua" w:cs="Arial"/>
          <w:sz w:val="24"/>
          <w:szCs w:val="24"/>
        </w:rPr>
        <w:t xml:space="preserve">, al aprobar el plan de trabajo </w:t>
      </w:r>
      <w:r>
        <w:rPr>
          <w:rFonts w:ascii="Book Antiqua" w:eastAsia="Calibri" w:hAnsi="Book Antiqua" w:cs="Arial"/>
          <w:sz w:val="24"/>
          <w:szCs w:val="24"/>
        </w:rPr>
        <w:lastRenderedPageBreak/>
        <w:t xml:space="preserve">propuesto en el oficio de la Dirección de Planificación 673-PLA-MI-2021 y que se mantienen en esa sala desde setiembre 2020. </w:t>
      </w:r>
    </w:p>
    <w:p w14:paraId="20051623" w14:textId="77777777" w:rsidR="00340FF2" w:rsidRDefault="00340FF2" w:rsidP="00340FF2">
      <w:pPr>
        <w:spacing w:after="0" w:line="276" w:lineRule="auto"/>
        <w:jc w:val="both"/>
        <w:rPr>
          <w:rFonts w:ascii="Book Antiqua" w:eastAsia="Calibri" w:hAnsi="Book Antiqua" w:cs="Arial"/>
          <w:sz w:val="24"/>
          <w:szCs w:val="24"/>
        </w:rPr>
      </w:pPr>
    </w:p>
    <w:p w14:paraId="7E2EED6A" w14:textId="77777777"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Los 19 letrados están distribuidos así:</w:t>
      </w:r>
    </w:p>
    <w:p w14:paraId="6956FE41" w14:textId="77777777" w:rsidR="00340FF2" w:rsidRPr="001D0C10" w:rsidRDefault="00340FF2" w:rsidP="0090609F">
      <w:pPr>
        <w:pStyle w:val="Prrafodelista"/>
        <w:numPr>
          <w:ilvl w:val="0"/>
          <w:numId w:val="37"/>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4 letrados de apoyo a 3 puestos de Magistrado</w:t>
      </w:r>
      <w:r w:rsidRPr="001D0C10">
        <w:rPr>
          <w:rFonts w:ascii="Book Antiqua" w:eastAsia="Calibri" w:hAnsi="Book Antiqua" w:cs="Arial"/>
          <w:sz w:val="24"/>
          <w:szCs w:val="24"/>
        </w:rPr>
        <w:t>.</w:t>
      </w:r>
    </w:p>
    <w:p w14:paraId="49650277" w14:textId="77777777" w:rsidR="00340FF2" w:rsidRPr="001D0C10" w:rsidRDefault="00340FF2" w:rsidP="0090609F">
      <w:pPr>
        <w:pStyle w:val="Prrafodelista"/>
        <w:numPr>
          <w:ilvl w:val="0"/>
          <w:numId w:val="37"/>
        </w:numPr>
        <w:spacing w:after="0" w:line="276" w:lineRule="auto"/>
        <w:jc w:val="both"/>
        <w:rPr>
          <w:rFonts w:ascii="Book Antiqua" w:eastAsia="Calibri" w:hAnsi="Book Antiqua" w:cs="Arial"/>
          <w:sz w:val="20"/>
          <w:szCs w:val="20"/>
        </w:rPr>
      </w:pPr>
      <w:r w:rsidRPr="006175F7">
        <w:rPr>
          <w:rFonts w:ascii="Book Antiqua" w:eastAsia="Calibri" w:hAnsi="Book Antiqua" w:cs="Arial"/>
          <w:sz w:val="24"/>
          <w:szCs w:val="24"/>
        </w:rPr>
        <w:t xml:space="preserve">3 letrados de apoyo a 2 puestos de Magistrado.  </w:t>
      </w:r>
      <w:r w:rsidRPr="001D0C10">
        <w:rPr>
          <w:rFonts w:ascii="Book Antiqua" w:eastAsia="Calibri" w:hAnsi="Book Antiqua" w:cs="Arial"/>
          <w:sz w:val="24"/>
          <w:szCs w:val="24"/>
        </w:rPr>
        <w:t xml:space="preserve"> </w:t>
      </w:r>
    </w:p>
    <w:p w14:paraId="431C7CED" w14:textId="77777777" w:rsidR="00340FF2" w:rsidRPr="001D0C10" w:rsidRDefault="00340FF2" w:rsidP="0090609F">
      <w:pPr>
        <w:pStyle w:val="Prrafodelista"/>
        <w:numPr>
          <w:ilvl w:val="0"/>
          <w:numId w:val="37"/>
        </w:numPr>
        <w:spacing w:after="0" w:line="276" w:lineRule="auto"/>
        <w:jc w:val="both"/>
        <w:rPr>
          <w:rFonts w:ascii="Book Antiqua" w:eastAsia="Calibri" w:hAnsi="Book Antiqua" w:cs="Arial"/>
          <w:sz w:val="20"/>
          <w:szCs w:val="20"/>
        </w:rPr>
      </w:pPr>
      <w:r>
        <w:rPr>
          <w:rFonts w:ascii="Book Antiqua" w:eastAsia="Calibri" w:hAnsi="Book Antiqua" w:cs="Arial"/>
          <w:sz w:val="24"/>
          <w:szCs w:val="24"/>
        </w:rPr>
        <w:t xml:space="preserve">1 letrado Centro de Jurisprudencia. </w:t>
      </w:r>
    </w:p>
    <w:p w14:paraId="36F166F1" w14:textId="77777777" w:rsidR="00340FF2" w:rsidRDefault="00340FF2" w:rsidP="00340FF2">
      <w:pPr>
        <w:spacing w:after="0" w:line="276" w:lineRule="auto"/>
        <w:jc w:val="both"/>
        <w:rPr>
          <w:rFonts w:ascii="Book Antiqua" w:eastAsia="Calibri" w:hAnsi="Book Antiqua" w:cs="Arial"/>
          <w:i/>
          <w:iCs/>
          <w:sz w:val="20"/>
          <w:szCs w:val="20"/>
        </w:rPr>
      </w:pPr>
    </w:p>
    <w:p w14:paraId="6606F308" w14:textId="7D5669F5"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Cabe mencionar que desde el 2018, a partir de la distribución de competencia en los asuntos de exequatur y cartas rogatorias</w:t>
      </w:r>
      <w:r w:rsidR="0014496E">
        <w:rPr>
          <w:rFonts w:ascii="Book Antiqua" w:eastAsia="Calibri" w:hAnsi="Book Antiqua" w:cs="Arial"/>
          <w:sz w:val="24"/>
          <w:szCs w:val="24"/>
        </w:rPr>
        <w:t xml:space="preserve"> (auxilio internacional)</w:t>
      </w:r>
      <w:r w:rsidRPr="001D0C10">
        <w:rPr>
          <w:rFonts w:ascii="Book Antiqua" w:eastAsia="Calibri" w:hAnsi="Book Antiqua" w:cs="Arial"/>
          <w:sz w:val="24"/>
          <w:szCs w:val="24"/>
        </w:rPr>
        <w:t>, a la Sala Primera se le otorg</w:t>
      </w:r>
      <w:r>
        <w:rPr>
          <w:rFonts w:ascii="Book Antiqua" w:eastAsia="Calibri" w:hAnsi="Book Antiqua" w:cs="Arial"/>
          <w:sz w:val="24"/>
          <w:szCs w:val="24"/>
        </w:rPr>
        <w:t>ó</w:t>
      </w:r>
      <w:r w:rsidRPr="001D0C10">
        <w:rPr>
          <w:rFonts w:ascii="Book Antiqua" w:eastAsia="Calibri" w:hAnsi="Book Antiqua" w:cs="Arial"/>
          <w:sz w:val="24"/>
          <w:szCs w:val="24"/>
        </w:rPr>
        <w:t xml:space="preserve"> un recurso de Profesional en Derecho 3 B para finalizar el circulante que mantenía en esos asuntos en todas las materias (96% asuntos de Familia). </w:t>
      </w:r>
    </w:p>
    <w:p w14:paraId="772BE160" w14:textId="77777777" w:rsidR="0014496E" w:rsidRDefault="0014496E" w:rsidP="00340FF2">
      <w:pPr>
        <w:spacing w:after="0" w:line="276" w:lineRule="auto"/>
        <w:jc w:val="both"/>
        <w:rPr>
          <w:rFonts w:ascii="Book Antiqua" w:eastAsia="Calibri" w:hAnsi="Book Antiqua" w:cs="Arial"/>
          <w:sz w:val="24"/>
          <w:szCs w:val="24"/>
        </w:rPr>
      </w:pPr>
    </w:p>
    <w:p w14:paraId="33A65EB0" w14:textId="77777777" w:rsidR="00340FF2" w:rsidRPr="001D0C10" w:rsidRDefault="00340FF2" w:rsidP="00340FF2">
      <w:pPr>
        <w:spacing w:after="0" w:line="276" w:lineRule="auto"/>
        <w:jc w:val="both"/>
        <w:rPr>
          <w:rFonts w:ascii="Book Antiqua" w:eastAsia="Calibri" w:hAnsi="Book Antiqua" w:cs="Arial"/>
          <w:sz w:val="24"/>
          <w:szCs w:val="24"/>
        </w:rPr>
      </w:pPr>
      <w:r w:rsidRPr="00C875AD">
        <w:rPr>
          <w:rFonts w:ascii="Book Antiqua" w:eastAsia="Calibri" w:hAnsi="Book Antiqua" w:cs="Arial"/>
          <w:sz w:val="24"/>
          <w:szCs w:val="24"/>
        </w:rPr>
        <w:t>Los asuntos nuevos a partir del 8 de octubre de 2018 correspondían</w:t>
      </w:r>
      <w:r w:rsidRPr="001D0C10">
        <w:rPr>
          <w:rFonts w:ascii="Book Antiqua" w:eastAsia="Calibri" w:hAnsi="Book Antiqua" w:cs="Arial"/>
          <w:sz w:val="24"/>
          <w:szCs w:val="24"/>
        </w:rPr>
        <w:t xml:space="preserve"> que ingresaran a cada Sala. Sin embargo, en </w:t>
      </w:r>
      <w:r>
        <w:rPr>
          <w:rFonts w:ascii="Book Antiqua" w:eastAsia="Calibri" w:hAnsi="Book Antiqua" w:cs="Arial"/>
          <w:sz w:val="24"/>
          <w:szCs w:val="24"/>
        </w:rPr>
        <w:t xml:space="preserve">agosto 2021, un total de </w:t>
      </w:r>
      <w:r w:rsidRPr="001D0C10">
        <w:rPr>
          <w:rFonts w:ascii="Book Antiqua" w:eastAsia="Calibri" w:hAnsi="Book Antiqua" w:cs="Arial"/>
          <w:sz w:val="24"/>
          <w:szCs w:val="24"/>
        </w:rPr>
        <w:t>1</w:t>
      </w:r>
      <w:r>
        <w:rPr>
          <w:rFonts w:ascii="Book Antiqua" w:eastAsia="Calibri" w:hAnsi="Book Antiqua" w:cs="Arial"/>
          <w:sz w:val="24"/>
          <w:szCs w:val="24"/>
        </w:rPr>
        <w:t>36</w:t>
      </w:r>
      <w:r>
        <w:rPr>
          <w:rStyle w:val="Refdenotaalpie"/>
          <w:rFonts w:ascii="Book Antiqua" w:eastAsia="Calibri" w:hAnsi="Book Antiqua" w:cs="Arial"/>
          <w:sz w:val="24"/>
          <w:szCs w:val="24"/>
        </w:rPr>
        <w:footnoteReference w:id="14"/>
      </w:r>
      <w:r w:rsidRPr="001D0C10">
        <w:rPr>
          <w:rFonts w:ascii="Book Antiqua" w:eastAsia="Calibri" w:hAnsi="Book Antiqua" w:cs="Arial"/>
          <w:sz w:val="24"/>
          <w:szCs w:val="24"/>
        </w:rPr>
        <w:t xml:space="preserve"> asuntos de auxilio internacional en circulante en la Sala Primera fueron </w:t>
      </w:r>
      <w:r w:rsidRPr="00C875AD">
        <w:rPr>
          <w:rFonts w:ascii="Book Antiqua" w:eastAsia="Calibri" w:hAnsi="Book Antiqua" w:cs="Arial"/>
          <w:sz w:val="24"/>
          <w:szCs w:val="24"/>
        </w:rPr>
        <w:t>remitido</w:t>
      </w:r>
      <w:r>
        <w:rPr>
          <w:rFonts w:ascii="Book Antiqua" w:eastAsia="Calibri" w:hAnsi="Book Antiqua" w:cs="Arial"/>
          <w:sz w:val="24"/>
          <w:szCs w:val="24"/>
        </w:rPr>
        <w:t>s</w:t>
      </w:r>
      <w:r w:rsidRPr="00C875AD">
        <w:rPr>
          <w:rFonts w:ascii="Book Antiqua" w:eastAsia="Calibri" w:hAnsi="Book Antiqua" w:cs="Arial"/>
          <w:sz w:val="24"/>
          <w:szCs w:val="24"/>
        </w:rPr>
        <w:t xml:space="preserve"> a</w:t>
      </w:r>
      <w:r w:rsidRPr="001D0C10">
        <w:rPr>
          <w:rFonts w:ascii="Book Antiqua" w:eastAsia="Calibri" w:hAnsi="Book Antiqua" w:cs="Arial"/>
          <w:sz w:val="24"/>
          <w:szCs w:val="24"/>
        </w:rPr>
        <w:t xml:space="preserve"> la Sala Segund</w:t>
      </w:r>
      <w:r>
        <w:rPr>
          <w:rFonts w:ascii="Book Antiqua" w:eastAsia="Calibri" w:hAnsi="Book Antiqua" w:cs="Arial"/>
          <w:sz w:val="24"/>
          <w:szCs w:val="24"/>
        </w:rPr>
        <w:t>a</w:t>
      </w:r>
      <w:r w:rsidRPr="001D0C10">
        <w:rPr>
          <w:rFonts w:ascii="Book Antiqua" w:eastAsia="Calibri" w:hAnsi="Book Antiqua" w:cs="Arial"/>
          <w:sz w:val="24"/>
          <w:szCs w:val="24"/>
        </w:rPr>
        <w:t xml:space="preserve">, al declarar </w:t>
      </w:r>
      <w:r w:rsidRPr="00C875AD">
        <w:rPr>
          <w:rFonts w:ascii="Book Antiqua" w:eastAsia="Calibri" w:hAnsi="Book Antiqua" w:cs="Arial"/>
          <w:sz w:val="24"/>
          <w:szCs w:val="24"/>
        </w:rPr>
        <w:t>inconstitucional</w:t>
      </w:r>
      <w:r w:rsidRPr="001D0C10">
        <w:rPr>
          <w:rFonts w:ascii="Book Antiqua" w:eastAsia="Calibri" w:hAnsi="Book Antiqua" w:cs="Arial"/>
          <w:sz w:val="24"/>
          <w:szCs w:val="24"/>
        </w:rPr>
        <w:t xml:space="preserve"> la medida a nivel administrativo de 2018 de mantener en esa Sala los asuntos que ya existían en circulante</w:t>
      </w:r>
      <w:r>
        <w:rPr>
          <w:rFonts w:ascii="Book Antiqua" w:eastAsia="Calibri" w:hAnsi="Book Antiqua" w:cs="Arial"/>
          <w:sz w:val="24"/>
          <w:szCs w:val="24"/>
        </w:rPr>
        <w:t xml:space="preserve"> (cabe mencionar que la Sala Segunda se denominan de cooperación internacional, y al no tener estadísticamente un procedimiento exequatur los incluyeron como “</w:t>
      </w:r>
      <w:r w:rsidRPr="000034BF">
        <w:rPr>
          <w:rFonts w:ascii="Book Antiqua" w:eastAsia="Calibri" w:hAnsi="Book Antiqua" w:cs="Arial"/>
          <w:i/>
          <w:iCs/>
          <w:sz w:val="24"/>
          <w:szCs w:val="24"/>
        </w:rPr>
        <w:t>casaciones</w:t>
      </w:r>
      <w:r>
        <w:rPr>
          <w:rFonts w:ascii="Book Antiqua" w:eastAsia="Calibri" w:hAnsi="Book Antiqua" w:cs="Arial"/>
          <w:sz w:val="24"/>
          <w:szCs w:val="24"/>
        </w:rPr>
        <w:t>”)</w:t>
      </w:r>
      <w:r w:rsidRPr="001D0C10">
        <w:rPr>
          <w:rFonts w:ascii="Book Antiqua" w:eastAsia="Calibri" w:hAnsi="Book Antiqua" w:cs="Arial"/>
          <w:sz w:val="24"/>
          <w:szCs w:val="24"/>
        </w:rPr>
        <w:t xml:space="preserve">. Voto 90089-2021 de la Sala Constitucional del 5 de mayo de 2021. </w:t>
      </w:r>
    </w:p>
    <w:p w14:paraId="108B452E" w14:textId="77777777"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 </w:t>
      </w:r>
    </w:p>
    <w:p w14:paraId="49E9B4E0" w14:textId="77777777" w:rsidR="00340FF2" w:rsidRPr="001D0C10" w:rsidRDefault="00340FF2" w:rsidP="00340FF2">
      <w:pPr>
        <w:spacing w:after="0" w:line="276" w:lineRule="auto"/>
        <w:jc w:val="both"/>
        <w:rPr>
          <w:rFonts w:ascii="Book Antiqua" w:eastAsia="Calibri" w:hAnsi="Book Antiqua" w:cs="Arial"/>
          <w:sz w:val="24"/>
          <w:szCs w:val="24"/>
        </w:rPr>
      </w:pPr>
    </w:p>
    <w:p w14:paraId="25CCD3F0" w14:textId="77777777"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b/>
          <w:bCs/>
          <w:sz w:val="24"/>
          <w:szCs w:val="24"/>
        </w:rPr>
        <w:t>Carga de trabajo proyectada 2022:</w:t>
      </w:r>
      <w:r>
        <w:rPr>
          <w:rFonts w:ascii="Book Antiqua" w:eastAsia="Calibri" w:hAnsi="Book Antiqua" w:cs="Arial"/>
          <w:sz w:val="24"/>
          <w:szCs w:val="24"/>
        </w:rPr>
        <w:t xml:space="preserve"> </w:t>
      </w:r>
    </w:p>
    <w:p w14:paraId="3E681E92" w14:textId="77777777" w:rsidR="00292F21" w:rsidRDefault="00292F21" w:rsidP="00340FF2">
      <w:pPr>
        <w:spacing w:after="0" w:line="276" w:lineRule="auto"/>
        <w:jc w:val="both"/>
        <w:rPr>
          <w:rFonts w:ascii="Book Antiqua" w:eastAsia="Calibri" w:hAnsi="Book Antiqua" w:cs="Arial"/>
          <w:sz w:val="24"/>
          <w:szCs w:val="24"/>
        </w:rPr>
      </w:pPr>
    </w:p>
    <w:p w14:paraId="3DEB5A81" w14:textId="7A663765"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Asumiendo que la entrada se incremente en 99 casos conforme a la proyección en párrafos anteriores, y que el circulante presente el mismo aumento este año del que hubo de 2020 a 2021, la entrada sería de aproximadamente 3 006 asuntos y el circulante de 5 386. </w:t>
      </w:r>
    </w:p>
    <w:p w14:paraId="08FBE92C" w14:textId="565D1E04"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Como se observa en la siguiente tabla, en caso de equiparar los equipos en las oficinas de magistratura (para que mantengan 4 letrados por Magistrado) representaría la necesidad de crear 2 plazas de letrado que también asumirían parte </w:t>
      </w:r>
      <w:r>
        <w:rPr>
          <w:rFonts w:ascii="Book Antiqua" w:eastAsia="Calibri" w:hAnsi="Book Antiqua" w:cs="Arial"/>
          <w:sz w:val="24"/>
          <w:szCs w:val="24"/>
        </w:rPr>
        <w:lastRenderedPageBreak/>
        <w:t>de la entrada adicional proyectada en Familia con la entrada en vigencia del CPF (99 asuntos de Familia adicionales/2</w:t>
      </w:r>
      <w:r w:rsidR="0014496E">
        <w:rPr>
          <w:rFonts w:ascii="Book Antiqua" w:eastAsia="Calibri" w:hAnsi="Book Antiqua" w:cs="Arial"/>
          <w:sz w:val="24"/>
          <w:szCs w:val="24"/>
        </w:rPr>
        <w:t>0</w:t>
      </w:r>
      <w:r>
        <w:rPr>
          <w:rFonts w:ascii="Book Antiqua" w:eastAsia="Calibri" w:hAnsi="Book Antiqua" w:cs="Arial"/>
          <w:sz w:val="24"/>
          <w:szCs w:val="24"/>
        </w:rPr>
        <w:t xml:space="preserve"> letrados =5 asuntos al año adicionales por plaza).  </w:t>
      </w:r>
    </w:p>
    <w:p w14:paraId="432CFC73" w14:textId="37C728B6" w:rsidR="00340FF2"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Sin embargo, considerando además que para ese circulante de exequatur, se disponía en Sala Primera de 1 recurso de </w:t>
      </w:r>
      <w:r w:rsidR="0014496E">
        <w:rPr>
          <w:rFonts w:ascii="Book Antiqua" w:eastAsia="Calibri" w:hAnsi="Book Antiqua" w:cs="Arial"/>
          <w:sz w:val="24"/>
          <w:szCs w:val="24"/>
        </w:rPr>
        <w:t xml:space="preserve">plaza de </w:t>
      </w:r>
      <w:r>
        <w:rPr>
          <w:rFonts w:ascii="Book Antiqua" w:eastAsia="Calibri" w:hAnsi="Book Antiqua" w:cs="Arial"/>
          <w:sz w:val="24"/>
          <w:szCs w:val="24"/>
        </w:rPr>
        <w:t>Letrado</w:t>
      </w:r>
      <w:r w:rsidR="0014496E">
        <w:rPr>
          <w:rFonts w:ascii="Book Antiqua" w:eastAsia="Calibri" w:hAnsi="Book Antiqua" w:cs="Arial"/>
          <w:sz w:val="24"/>
          <w:szCs w:val="24"/>
        </w:rPr>
        <w:t xml:space="preserve"> y una plaza de Técnico Judicial</w:t>
      </w:r>
      <w:r>
        <w:rPr>
          <w:rFonts w:ascii="Book Antiqua" w:eastAsia="Calibri" w:hAnsi="Book Antiqua" w:cs="Arial"/>
          <w:sz w:val="24"/>
          <w:szCs w:val="24"/>
        </w:rPr>
        <w:t xml:space="preserve">, entonces debería contar la Sala Segunda también con este recurso. Siendo necesaria la incorporación de </w:t>
      </w:r>
      <w:r w:rsidR="0014496E">
        <w:rPr>
          <w:rFonts w:ascii="Book Antiqua" w:eastAsia="Calibri" w:hAnsi="Book Antiqua" w:cs="Arial"/>
          <w:sz w:val="24"/>
          <w:szCs w:val="24"/>
        </w:rPr>
        <w:t xml:space="preserve">esos dos </w:t>
      </w:r>
      <w:r>
        <w:rPr>
          <w:rFonts w:ascii="Book Antiqua" w:eastAsia="Calibri" w:hAnsi="Book Antiqua" w:cs="Arial"/>
          <w:sz w:val="24"/>
          <w:szCs w:val="24"/>
        </w:rPr>
        <w:t>recurso</w:t>
      </w:r>
      <w:r w:rsidR="0014496E">
        <w:rPr>
          <w:rFonts w:ascii="Book Antiqua" w:eastAsia="Calibri" w:hAnsi="Book Antiqua" w:cs="Arial"/>
          <w:sz w:val="24"/>
          <w:szCs w:val="24"/>
        </w:rPr>
        <w:t>s</w:t>
      </w:r>
      <w:r>
        <w:rPr>
          <w:rFonts w:ascii="Book Antiqua" w:eastAsia="Calibri" w:hAnsi="Book Antiqua" w:cs="Arial"/>
          <w:sz w:val="24"/>
          <w:szCs w:val="24"/>
        </w:rPr>
        <w:t xml:space="preserve"> adicional</w:t>
      </w:r>
      <w:r w:rsidR="0014496E">
        <w:rPr>
          <w:rFonts w:ascii="Book Antiqua" w:eastAsia="Calibri" w:hAnsi="Book Antiqua" w:cs="Arial"/>
          <w:sz w:val="24"/>
          <w:szCs w:val="24"/>
        </w:rPr>
        <w:t>es</w:t>
      </w:r>
      <w:r>
        <w:rPr>
          <w:rFonts w:ascii="Book Antiqua" w:eastAsia="Calibri" w:hAnsi="Book Antiqua" w:cs="Arial"/>
          <w:sz w:val="24"/>
          <w:szCs w:val="24"/>
        </w:rPr>
        <w:t xml:space="preserve">. </w:t>
      </w:r>
    </w:p>
    <w:p w14:paraId="2FDD9BD9" w14:textId="77777777" w:rsidR="00340FF2" w:rsidRDefault="00340FF2" w:rsidP="00340FF2">
      <w:pPr>
        <w:spacing w:after="0" w:line="276" w:lineRule="auto"/>
        <w:jc w:val="both"/>
        <w:rPr>
          <w:rFonts w:ascii="Book Antiqua" w:eastAsia="Calibri" w:hAnsi="Book Antiqua" w:cs="Arial"/>
          <w:sz w:val="24"/>
          <w:szCs w:val="24"/>
        </w:rPr>
      </w:pPr>
    </w:p>
    <w:p w14:paraId="63B0A607" w14:textId="3D081363" w:rsidR="00340FF2" w:rsidRPr="001D0C10" w:rsidRDefault="00340FF2" w:rsidP="00340FF2">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 nivel de apoyo, para mantener la relación entre cantidad de recurso de apoyo y letrados, se requeriría adicionalmente la incorporación de dos personas Técnicas de Sala (que colaboran en admisibilidad) y dos personas Técnicas Judicial 3. Ya que de contar con 2</w:t>
      </w:r>
      <w:r w:rsidR="0014496E">
        <w:rPr>
          <w:rFonts w:ascii="Book Antiqua" w:eastAsia="Calibri" w:hAnsi="Book Antiqua" w:cs="Arial"/>
          <w:sz w:val="24"/>
          <w:szCs w:val="24"/>
        </w:rPr>
        <w:t>2</w:t>
      </w:r>
      <w:r>
        <w:rPr>
          <w:rFonts w:ascii="Book Antiqua" w:eastAsia="Calibri" w:hAnsi="Book Antiqua" w:cs="Arial"/>
          <w:sz w:val="24"/>
          <w:szCs w:val="24"/>
        </w:rPr>
        <w:t xml:space="preserve"> letrados, siguiendo la proporción de 3 plazas de apoyo por cada 4 de letrado, en total se debería crecer en 4 plazas de apoyo, mantener la relación 22 letrados, 15 plazas de apoyo.  </w:t>
      </w:r>
    </w:p>
    <w:p w14:paraId="0ADE3E5A" w14:textId="77777777" w:rsidR="00340FF2" w:rsidRDefault="00340FF2" w:rsidP="00340FF2">
      <w:pPr>
        <w:spacing w:after="0" w:line="276" w:lineRule="auto"/>
        <w:jc w:val="both"/>
        <w:rPr>
          <w:rFonts w:ascii="Book Antiqua" w:eastAsia="Calibri" w:hAnsi="Book Antiqua" w:cs="Arial"/>
          <w:i/>
          <w:iCs/>
          <w:sz w:val="20"/>
          <w:szCs w:val="20"/>
        </w:rPr>
      </w:pPr>
    </w:p>
    <w:p w14:paraId="0B0AB414" w14:textId="42C2AEEC" w:rsidR="00340FF2" w:rsidRPr="00076886" w:rsidRDefault="00340FF2" w:rsidP="00340FF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76886">
        <w:rPr>
          <w:rFonts w:ascii="Book Antiqua" w:eastAsia="Calibri" w:hAnsi="Book Antiqua" w:cs="Arial"/>
          <w:b/>
          <w:bCs/>
          <w:color w:val="1F497D"/>
          <w:szCs w:val="24"/>
          <w:lang w:val="es-ES" w:eastAsia="es-ES"/>
        </w:rPr>
        <w:t xml:space="preserve">Cuadro </w:t>
      </w:r>
      <w:r w:rsidRPr="00076886">
        <w:rPr>
          <w:rFonts w:ascii="Book Antiqua" w:eastAsia="Calibri" w:hAnsi="Book Antiqua" w:cs="Arial"/>
          <w:b/>
          <w:bCs/>
          <w:color w:val="1F497D"/>
          <w:szCs w:val="24"/>
          <w:lang w:val="es-ES" w:eastAsia="es-ES"/>
        </w:rPr>
        <w:fldChar w:fldCharType="begin"/>
      </w:r>
      <w:r w:rsidRPr="00076886">
        <w:rPr>
          <w:rFonts w:ascii="Book Antiqua" w:eastAsia="Calibri" w:hAnsi="Book Antiqua" w:cs="Arial"/>
          <w:b/>
          <w:bCs/>
          <w:color w:val="1F497D"/>
          <w:szCs w:val="24"/>
          <w:lang w:val="es-ES" w:eastAsia="es-ES"/>
        </w:rPr>
        <w:instrText xml:space="preserve"> SEQ Cuadro \* ARABIC </w:instrText>
      </w:r>
      <w:r w:rsidRPr="0007688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61</w:t>
      </w:r>
      <w:r w:rsidRPr="00076886">
        <w:rPr>
          <w:rFonts w:ascii="Book Antiqua" w:eastAsia="Calibri" w:hAnsi="Book Antiqua" w:cs="Arial"/>
          <w:b/>
          <w:bCs/>
          <w:color w:val="1F497D"/>
          <w:szCs w:val="24"/>
          <w:lang w:val="es-ES" w:eastAsia="es-ES"/>
        </w:rPr>
        <w:fldChar w:fldCharType="end"/>
      </w:r>
      <w:r w:rsidRPr="00076886">
        <w:rPr>
          <w:rFonts w:ascii="Book Antiqua" w:eastAsia="Calibri" w:hAnsi="Book Antiqua" w:cs="Arial"/>
          <w:b/>
          <w:bCs/>
          <w:color w:val="1F497D"/>
          <w:szCs w:val="24"/>
          <w:lang w:val="es-ES" w:eastAsia="es-ES"/>
        </w:rPr>
        <w:t xml:space="preserve"> </w:t>
      </w:r>
    </w:p>
    <w:p w14:paraId="34AB0B47" w14:textId="77777777" w:rsidR="00340FF2" w:rsidRPr="00076886" w:rsidRDefault="00340FF2" w:rsidP="00340FF2">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76886">
        <w:rPr>
          <w:rFonts w:ascii="Book Antiqua" w:eastAsia="Calibri" w:hAnsi="Book Antiqua" w:cs="Arial"/>
          <w:b/>
          <w:bCs/>
          <w:color w:val="1F497D"/>
          <w:szCs w:val="24"/>
          <w:lang w:val="es-ES" w:eastAsia="es-ES"/>
        </w:rPr>
        <w:t>C</w:t>
      </w:r>
      <w:r>
        <w:rPr>
          <w:rFonts w:ascii="Book Antiqua" w:eastAsia="Calibri" w:hAnsi="Book Antiqua" w:cs="Arial"/>
          <w:b/>
          <w:bCs/>
          <w:color w:val="1F497D"/>
          <w:szCs w:val="24"/>
          <w:lang w:val="es-ES" w:eastAsia="es-ES"/>
        </w:rPr>
        <w:t>arga de trabajo según escenario CPF de</w:t>
      </w:r>
      <w:r w:rsidRPr="00076886">
        <w:rPr>
          <w:rFonts w:ascii="Book Antiqua" w:eastAsia="Calibri" w:hAnsi="Book Antiqua" w:cs="Arial"/>
          <w:b/>
          <w:bCs/>
          <w:color w:val="1F497D"/>
          <w:szCs w:val="24"/>
          <w:lang w:val="es-ES" w:eastAsia="es-ES"/>
        </w:rPr>
        <w:t xml:space="preserve"> </w:t>
      </w:r>
      <w:r>
        <w:rPr>
          <w:rFonts w:ascii="Book Antiqua" w:eastAsia="Calibri" w:hAnsi="Book Antiqua" w:cs="Arial"/>
          <w:b/>
          <w:bCs/>
          <w:color w:val="1F497D"/>
          <w:szCs w:val="24"/>
          <w:lang w:val="es-ES" w:eastAsia="es-ES"/>
        </w:rPr>
        <w:t>la Sala Segunda</w:t>
      </w:r>
    </w:p>
    <w:tbl>
      <w:tblPr>
        <w:tblW w:w="8886" w:type="dxa"/>
        <w:tblCellMar>
          <w:left w:w="70" w:type="dxa"/>
          <w:right w:w="70" w:type="dxa"/>
        </w:tblCellMar>
        <w:tblLook w:val="04A0" w:firstRow="1" w:lastRow="0" w:firstColumn="1" w:lastColumn="0" w:noHBand="0" w:noVBand="1"/>
      </w:tblPr>
      <w:tblGrid>
        <w:gridCol w:w="2405"/>
        <w:gridCol w:w="851"/>
        <w:gridCol w:w="850"/>
        <w:gridCol w:w="926"/>
        <w:gridCol w:w="917"/>
        <w:gridCol w:w="1417"/>
        <w:gridCol w:w="1520"/>
      </w:tblGrid>
      <w:tr w:rsidR="00340FF2" w:rsidRPr="00C875AD" w14:paraId="435D0AEC" w14:textId="77777777" w:rsidTr="00035934">
        <w:trPr>
          <w:trHeight w:val="290"/>
        </w:trPr>
        <w:tc>
          <w:tcPr>
            <w:tcW w:w="2405" w:type="dxa"/>
            <w:tcBorders>
              <w:top w:val="single" w:sz="4" w:space="0" w:color="auto"/>
              <w:left w:val="single" w:sz="4" w:space="0" w:color="auto"/>
              <w:bottom w:val="single" w:sz="4" w:space="0" w:color="auto"/>
              <w:right w:val="single" w:sz="4" w:space="0" w:color="auto"/>
            </w:tcBorders>
            <w:shd w:val="clear" w:color="000000" w:fill="003366"/>
            <w:noWrap/>
            <w:vAlign w:val="center"/>
            <w:hideMark/>
          </w:tcPr>
          <w:p w14:paraId="20DC7C7C"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Año</w:t>
            </w:r>
          </w:p>
        </w:tc>
        <w:tc>
          <w:tcPr>
            <w:tcW w:w="851" w:type="dxa"/>
            <w:tcBorders>
              <w:top w:val="single" w:sz="4" w:space="0" w:color="auto"/>
              <w:left w:val="nil"/>
              <w:bottom w:val="single" w:sz="4" w:space="0" w:color="auto"/>
              <w:right w:val="single" w:sz="4" w:space="0" w:color="auto"/>
            </w:tcBorders>
            <w:shd w:val="clear" w:color="000000" w:fill="003366"/>
            <w:noWrap/>
            <w:vAlign w:val="center"/>
            <w:hideMark/>
          </w:tcPr>
          <w:p w14:paraId="45A064C8"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2018</w:t>
            </w:r>
          </w:p>
        </w:tc>
        <w:tc>
          <w:tcPr>
            <w:tcW w:w="850" w:type="dxa"/>
            <w:tcBorders>
              <w:top w:val="single" w:sz="4" w:space="0" w:color="auto"/>
              <w:left w:val="nil"/>
              <w:bottom w:val="single" w:sz="4" w:space="0" w:color="auto"/>
              <w:right w:val="single" w:sz="4" w:space="0" w:color="auto"/>
            </w:tcBorders>
            <w:shd w:val="clear" w:color="000000" w:fill="002060"/>
            <w:noWrap/>
            <w:vAlign w:val="center"/>
            <w:hideMark/>
          </w:tcPr>
          <w:p w14:paraId="35472E4A"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2019</w:t>
            </w:r>
          </w:p>
        </w:tc>
        <w:tc>
          <w:tcPr>
            <w:tcW w:w="926" w:type="dxa"/>
            <w:tcBorders>
              <w:top w:val="single" w:sz="4" w:space="0" w:color="auto"/>
              <w:left w:val="nil"/>
              <w:bottom w:val="single" w:sz="4" w:space="0" w:color="auto"/>
              <w:right w:val="single" w:sz="4" w:space="0" w:color="auto"/>
            </w:tcBorders>
            <w:shd w:val="clear" w:color="000000" w:fill="002060"/>
            <w:noWrap/>
            <w:vAlign w:val="center"/>
            <w:hideMark/>
          </w:tcPr>
          <w:p w14:paraId="06C79A5D"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2020</w:t>
            </w:r>
          </w:p>
        </w:tc>
        <w:tc>
          <w:tcPr>
            <w:tcW w:w="917" w:type="dxa"/>
            <w:tcBorders>
              <w:top w:val="single" w:sz="4" w:space="0" w:color="auto"/>
              <w:left w:val="nil"/>
              <w:bottom w:val="single" w:sz="4" w:space="0" w:color="auto"/>
              <w:right w:val="single" w:sz="4" w:space="0" w:color="auto"/>
            </w:tcBorders>
            <w:shd w:val="clear" w:color="000000" w:fill="002060"/>
            <w:noWrap/>
            <w:vAlign w:val="center"/>
            <w:hideMark/>
          </w:tcPr>
          <w:p w14:paraId="32798E38"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2021</w:t>
            </w:r>
          </w:p>
        </w:tc>
        <w:tc>
          <w:tcPr>
            <w:tcW w:w="1417" w:type="dxa"/>
            <w:tcBorders>
              <w:top w:val="single" w:sz="4" w:space="0" w:color="auto"/>
              <w:left w:val="nil"/>
              <w:bottom w:val="single" w:sz="4" w:space="0" w:color="auto"/>
              <w:right w:val="single" w:sz="4" w:space="0" w:color="auto"/>
            </w:tcBorders>
            <w:shd w:val="clear" w:color="000000" w:fill="002060"/>
            <w:noWrap/>
            <w:vAlign w:val="center"/>
            <w:hideMark/>
          </w:tcPr>
          <w:p w14:paraId="7C51C92A" w14:textId="77777777" w:rsidR="00340FF2" w:rsidRPr="00C875AD" w:rsidRDefault="00340FF2" w:rsidP="00035934">
            <w:pPr>
              <w:spacing w:after="0" w:line="240" w:lineRule="auto"/>
              <w:jc w:val="center"/>
              <w:rPr>
                <w:rFonts w:ascii="Book Antiqua" w:eastAsia="Times New Roman" w:hAnsi="Book Antiqua" w:cs="Calibri"/>
                <w:b/>
                <w:bCs/>
                <w:color w:val="FFFFFF"/>
                <w:lang w:eastAsia="es-CR"/>
              </w:rPr>
            </w:pPr>
            <w:r w:rsidRPr="00C875AD">
              <w:rPr>
                <w:rFonts w:ascii="Book Antiqua" w:eastAsia="Times New Roman" w:hAnsi="Book Antiqua" w:cs="Calibri"/>
                <w:b/>
                <w:bCs/>
                <w:color w:val="FFFFFF"/>
                <w:lang w:eastAsia="es-CR"/>
              </w:rPr>
              <w:t>Proyección 2022</w:t>
            </w:r>
          </w:p>
        </w:tc>
        <w:tc>
          <w:tcPr>
            <w:tcW w:w="1520" w:type="dxa"/>
            <w:tcBorders>
              <w:top w:val="single" w:sz="4" w:space="0" w:color="auto"/>
              <w:left w:val="nil"/>
              <w:bottom w:val="single" w:sz="4" w:space="0" w:color="auto"/>
              <w:right w:val="single" w:sz="4" w:space="0" w:color="auto"/>
            </w:tcBorders>
            <w:shd w:val="clear" w:color="000000" w:fill="BDD7EE"/>
            <w:noWrap/>
            <w:vAlign w:val="center"/>
            <w:hideMark/>
          </w:tcPr>
          <w:p w14:paraId="689F53C1" w14:textId="77777777" w:rsidR="00340FF2" w:rsidRPr="00C875AD" w:rsidRDefault="00340FF2" w:rsidP="00035934">
            <w:pPr>
              <w:spacing w:after="0" w:line="240" w:lineRule="auto"/>
              <w:jc w:val="center"/>
              <w:rPr>
                <w:rFonts w:ascii="Book Antiqua" w:eastAsia="Times New Roman" w:hAnsi="Book Antiqua" w:cs="Calibri"/>
                <w:b/>
                <w:bCs/>
                <w:lang w:eastAsia="es-CR"/>
              </w:rPr>
            </w:pPr>
            <w:r w:rsidRPr="00C875AD">
              <w:rPr>
                <w:rFonts w:ascii="Book Antiqua" w:eastAsia="Times New Roman" w:hAnsi="Book Antiqua" w:cs="Calibri"/>
                <w:b/>
                <w:bCs/>
                <w:lang w:eastAsia="es-CR"/>
              </w:rPr>
              <w:t>Escenario CPF</w:t>
            </w:r>
          </w:p>
        </w:tc>
      </w:tr>
      <w:tr w:rsidR="00340FF2" w:rsidRPr="00C875AD" w14:paraId="3164B903" w14:textId="77777777" w:rsidTr="00035934">
        <w:trPr>
          <w:trHeight w:val="290"/>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6378EA95"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Entrada</w:t>
            </w:r>
          </w:p>
        </w:tc>
        <w:tc>
          <w:tcPr>
            <w:tcW w:w="851" w:type="dxa"/>
            <w:tcBorders>
              <w:top w:val="nil"/>
              <w:left w:val="nil"/>
              <w:bottom w:val="single" w:sz="4" w:space="0" w:color="auto"/>
              <w:right w:val="single" w:sz="4" w:space="0" w:color="auto"/>
            </w:tcBorders>
            <w:shd w:val="clear" w:color="auto" w:fill="auto"/>
            <w:noWrap/>
            <w:vAlign w:val="bottom"/>
            <w:hideMark/>
          </w:tcPr>
          <w:p w14:paraId="30CC30B8"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3357</w:t>
            </w:r>
          </w:p>
        </w:tc>
        <w:tc>
          <w:tcPr>
            <w:tcW w:w="850" w:type="dxa"/>
            <w:tcBorders>
              <w:top w:val="nil"/>
              <w:left w:val="nil"/>
              <w:bottom w:val="single" w:sz="4" w:space="0" w:color="auto"/>
              <w:right w:val="single" w:sz="4" w:space="0" w:color="auto"/>
            </w:tcBorders>
            <w:shd w:val="clear" w:color="auto" w:fill="auto"/>
            <w:noWrap/>
            <w:vAlign w:val="bottom"/>
            <w:hideMark/>
          </w:tcPr>
          <w:p w14:paraId="2475CD79"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3577</w:t>
            </w:r>
          </w:p>
        </w:tc>
        <w:tc>
          <w:tcPr>
            <w:tcW w:w="926" w:type="dxa"/>
            <w:tcBorders>
              <w:top w:val="nil"/>
              <w:left w:val="nil"/>
              <w:bottom w:val="single" w:sz="4" w:space="0" w:color="auto"/>
              <w:right w:val="single" w:sz="4" w:space="0" w:color="auto"/>
            </w:tcBorders>
            <w:shd w:val="clear" w:color="auto" w:fill="auto"/>
            <w:noWrap/>
            <w:vAlign w:val="bottom"/>
            <w:hideMark/>
          </w:tcPr>
          <w:p w14:paraId="5658718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2973</w:t>
            </w:r>
          </w:p>
        </w:tc>
        <w:tc>
          <w:tcPr>
            <w:tcW w:w="917" w:type="dxa"/>
            <w:tcBorders>
              <w:top w:val="nil"/>
              <w:left w:val="nil"/>
              <w:bottom w:val="single" w:sz="4" w:space="0" w:color="auto"/>
              <w:right w:val="single" w:sz="4" w:space="0" w:color="auto"/>
            </w:tcBorders>
            <w:shd w:val="clear" w:color="auto" w:fill="auto"/>
            <w:noWrap/>
            <w:vAlign w:val="bottom"/>
            <w:hideMark/>
          </w:tcPr>
          <w:p w14:paraId="1A070D79"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2907</w:t>
            </w:r>
          </w:p>
        </w:tc>
        <w:tc>
          <w:tcPr>
            <w:tcW w:w="1417" w:type="dxa"/>
            <w:tcBorders>
              <w:top w:val="nil"/>
              <w:left w:val="nil"/>
              <w:bottom w:val="single" w:sz="4" w:space="0" w:color="auto"/>
              <w:right w:val="single" w:sz="4" w:space="0" w:color="auto"/>
            </w:tcBorders>
            <w:shd w:val="clear" w:color="auto" w:fill="auto"/>
            <w:noWrap/>
            <w:vAlign w:val="bottom"/>
            <w:hideMark/>
          </w:tcPr>
          <w:p w14:paraId="1B9CA9DC"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3006</w:t>
            </w:r>
          </w:p>
        </w:tc>
        <w:tc>
          <w:tcPr>
            <w:tcW w:w="1520" w:type="dxa"/>
            <w:tcBorders>
              <w:top w:val="nil"/>
              <w:left w:val="nil"/>
              <w:bottom w:val="single" w:sz="4" w:space="0" w:color="auto"/>
              <w:right w:val="single" w:sz="4" w:space="0" w:color="auto"/>
            </w:tcBorders>
            <w:shd w:val="clear" w:color="000000" w:fill="BDD7EE"/>
            <w:noWrap/>
            <w:vAlign w:val="bottom"/>
            <w:hideMark/>
          </w:tcPr>
          <w:p w14:paraId="642D1AA9" w14:textId="77777777" w:rsidR="00340FF2" w:rsidRPr="00C875AD" w:rsidRDefault="00340FF2" w:rsidP="00035934">
            <w:pPr>
              <w:spacing w:after="0" w:line="240" w:lineRule="auto"/>
              <w:jc w:val="center"/>
              <w:rPr>
                <w:rFonts w:ascii="Book Antiqua" w:eastAsia="Times New Roman" w:hAnsi="Book Antiqua" w:cs="Calibri"/>
                <w:lang w:eastAsia="es-CR"/>
              </w:rPr>
            </w:pPr>
            <w:r w:rsidRPr="00C875AD">
              <w:rPr>
                <w:rFonts w:ascii="Book Antiqua" w:eastAsia="Times New Roman" w:hAnsi="Book Antiqua" w:cs="Calibri"/>
                <w:lang w:eastAsia="es-CR"/>
              </w:rPr>
              <w:t>3006</w:t>
            </w:r>
          </w:p>
        </w:tc>
      </w:tr>
      <w:tr w:rsidR="00340FF2" w:rsidRPr="00C875AD" w14:paraId="07712290" w14:textId="77777777" w:rsidTr="00035934">
        <w:trPr>
          <w:trHeight w:val="290"/>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001A65FC"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Circulante</w:t>
            </w:r>
          </w:p>
        </w:tc>
        <w:tc>
          <w:tcPr>
            <w:tcW w:w="851" w:type="dxa"/>
            <w:tcBorders>
              <w:top w:val="nil"/>
              <w:left w:val="nil"/>
              <w:bottom w:val="single" w:sz="4" w:space="0" w:color="auto"/>
              <w:right w:val="single" w:sz="4" w:space="0" w:color="auto"/>
            </w:tcBorders>
            <w:shd w:val="clear" w:color="auto" w:fill="auto"/>
            <w:noWrap/>
            <w:vAlign w:val="bottom"/>
            <w:hideMark/>
          </w:tcPr>
          <w:p w14:paraId="0FC7296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2872</w:t>
            </w:r>
          </w:p>
        </w:tc>
        <w:tc>
          <w:tcPr>
            <w:tcW w:w="850" w:type="dxa"/>
            <w:tcBorders>
              <w:top w:val="nil"/>
              <w:left w:val="nil"/>
              <w:bottom w:val="single" w:sz="4" w:space="0" w:color="auto"/>
              <w:right w:val="single" w:sz="4" w:space="0" w:color="auto"/>
            </w:tcBorders>
            <w:shd w:val="clear" w:color="auto" w:fill="auto"/>
            <w:noWrap/>
            <w:vAlign w:val="bottom"/>
            <w:hideMark/>
          </w:tcPr>
          <w:p w14:paraId="668AFD86"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4189</w:t>
            </w:r>
          </w:p>
        </w:tc>
        <w:tc>
          <w:tcPr>
            <w:tcW w:w="926" w:type="dxa"/>
            <w:tcBorders>
              <w:top w:val="nil"/>
              <w:left w:val="nil"/>
              <w:bottom w:val="single" w:sz="4" w:space="0" w:color="auto"/>
              <w:right w:val="single" w:sz="4" w:space="0" w:color="auto"/>
            </w:tcBorders>
            <w:shd w:val="clear" w:color="auto" w:fill="auto"/>
            <w:noWrap/>
            <w:vAlign w:val="bottom"/>
            <w:hideMark/>
          </w:tcPr>
          <w:p w14:paraId="7D2CE7FB"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4970</w:t>
            </w:r>
          </w:p>
        </w:tc>
        <w:tc>
          <w:tcPr>
            <w:tcW w:w="917" w:type="dxa"/>
            <w:tcBorders>
              <w:top w:val="nil"/>
              <w:left w:val="nil"/>
              <w:bottom w:val="single" w:sz="4" w:space="0" w:color="auto"/>
              <w:right w:val="single" w:sz="4" w:space="0" w:color="auto"/>
            </w:tcBorders>
            <w:shd w:val="clear" w:color="auto" w:fill="auto"/>
            <w:noWrap/>
            <w:vAlign w:val="bottom"/>
            <w:hideMark/>
          </w:tcPr>
          <w:p w14:paraId="3ECC8697"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5178</w:t>
            </w:r>
          </w:p>
        </w:tc>
        <w:tc>
          <w:tcPr>
            <w:tcW w:w="1417" w:type="dxa"/>
            <w:tcBorders>
              <w:top w:val="nil"/>
              <w:left w:val="nil"/>
              <w:bottom w:val="single" w:sz="4" w:space="0" w:color="auto"/>
              <w:right w:val="single" w:sz="4" w:space="0" w:color="auto"/>
            </w:tcBorders>
            <w:shd w:val="clear" w:color="auto" w:fill="auto"/>
            <w:noWrap/>
            <w:vAlign w:val="bottom"/>
            <w:hideMark/>
          </w:tcPr>
          <w:p w14:paraId="475412D1"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5386</w:t>
            </w:r>
          </w:p>
        </w:tc>
        <w:tc>
          <w:tcPr>
            <w:tcW w:w="1520" w:type="dxa"/>
            <w:tcBorders>
              <w:top w:val="nil"/>
              <w:left w:val="nil"/>
              <w:bottom w:val="single" w:sz="4" w:space="0" w:color="auto"/>
              <w:right w:val="single" w:sz="4" w:space="0" w:color="auto"/>
            </w:tcBorders>
            <w:shd w:val="clear" w:color="000000" w:fill="BDD7EE"/>
            <w:noWrap/>
            <w:vAlign w:val="bottom"/>
            <w:hideMark/>
          </w:tcPr>
          <w:p w14:paraId="7F62AC18" w14:textId="77777777" w:rsidR="00340FF2" w:rsidRPr="00C875AD" w:rsidRDefault="00340FF2" w:rsidP="00035934">
            <w:pPr>
              <w:spacing w:after="0" w:line="240" w:lineRule="auto"/>
              <w:jc w:val="center"/>
              <w:rPr>
                <w:rFonts w:ascii="Calibri" w:eastAsia="Times New Roman" w:hAnsi="Calibri" w:cs="Calibri"/>
                <w:lang w:eastAsia="es-CR"/>
              </w:rPr>
            </w:pPr>
            <w:r w:rsidRPr="001D0C10">
              <w:rPr>
                <w:rFonts w:ascii="Book Antiqua" w:eastAsia="Times New Roman" w:hAnsi="Book Antiqua" w:cs="Calibri"/>
                <w:color w:val="000000"/>
                <w:lang w:eastAsia="es-CR"/>
              </w:rPr>
              <w:t>5386</w:t>
            </w:r>
          </w:p>
        </w:tc>
      </w:tr>
      <w:tr w:rsidR="00340FF2" w:rsidRPr="00C875AD" w14:paraId="7CF7190C" w14:textId="77777777" w:rsidTr="00035934">
        <w:trPr>
          <w:trHeight w:val="290"/>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1A479BF2"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 xml:space="preserve">Cantidad de letrados </w:t>
            </w:r>
          </w:p>
        </w:tc>
        <w:tc>
          <w:tcPr>
            <w:tcW w:w="851" w:type="dxa"/>
            <w:tcBorders>
              <w:top w:val="nil"/>
              <w:left w:val="nil"/>
              <w:bottom w:val="single" w:sz="4" w:space="0" w:color="auto"/>
              <w:right w:val="single" w:sz="4" w:space="0" w:color="auto"/>
            </w:tcBorders>
            <w:shd w:val="clear" w:color="auto" w:fill="auto"/>
            <w:noWrap/>
            <w:vAlign w:val="center"/>
            <w:hideMark/>
          </w:tcPr>
          <w:p w14:paraId="48365E24"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18</w:t>
            </w:r>
          </w:p>
        </w:tc>
        <w:tc>
          <w:tcPr>
            <w:tcW w:w="850" w:type="dxa"/>
            <w:tcBorders>
              <w:top w:val="nil"/>
              <w:left w:val="nil"/>
              <w:bottom w:val="single" w:sz="4" w:space="0" w:color="auto"/>
              <w:right w:val="single" w:sz="4" w:space="0" w:color="auto"/>
            </w:tcBorders>
            <w:shd w:val="clear" w:color="auto" w:fill="auto"/>
            <w:noWrap/>
            <w:vAlign w:val="center"/>
            <w:hideMark/>
          </w:tcPr>
          <w:p w14:paraId="68C6730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18</w:t>
            </w:r>
          </w:p>
        </w:tc>
        <w:tc>
          <w:tcPr>
            <w:tcW w:w="926" w:type="dxa"/>
            <w:tcBorders>
              <w:top w:val="nil"/>
              <w:left w:val="nil"/>
              <w:bottom w:val="single" w:sz="4" w:space="0" w:color="auto"/>
              <w:right w:val="single" w:sz="4" w:space="0" w:color="auto"/>
            </w:tcBorders>
            <w:shd w:val="clear" w:color="auto" w:fill="auto"/>
            <w:noWrap/>
            <w:vAlign w:val="center"/>
            <w:hideMark/>
          </w:tcPr>
          <w:p w14:paraId="2036C4BB"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19</w:t>
            </w:r>
          </w:p>
        </w:tc>
        <w:tc>
          <w:tcPr>
            <w:tcW w:w="917" w:type="dxa"/>
            <w:tcBorders>
              <w:top w:val="nil"/>
              <w:left w:val="nil"/>
              <w:bottom w:val="single" w:sz="4" w:space="0" w:color="auto"/>
              <w:right w:val="single" w:sz="4" w:space="0" w:color="auto"/>
            </w:tcBorders>
            <w:shd w:val="clear" w:color="auto" w:fill="auto"/>
            <w:noWrap/>
            <w:vAlign w:val="center"/>
            <w:hideMark/>
          </w:tcPr>
          <w:p w14:paraId="70260BD4"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19</w:t>
            </w:r>
          </w:p>
        </w:tc>
        <w:tc>
          <w:tcPr>
            <w:tcW w:w="1417" w:type="dxa"/>
            <w:tcBorders>
              <w:top w:val="nil"/>
              <w:left w:val="nil"/>
              <w:bottom w:val="single" w:sz="4" w:space="0" w:color="auto"/>
              <w:right w:val="single" w:sz="4" w:space="0" w:color="auto"/>
            </w:tcBorders>
            <w:shd w:val="clear" w:color="auto" w:fill="auto"/>
            <w:noWrap/>
            <w:vAlign w:val="center"/>
            <w:hideMark/>
          </w:tcPr>
          <w:p w14:paraId="7EA0B24E"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19</w:t>
            </w:r>
          </w:p>
        </w:tc>
        <w:tc>
          <w:tcPr>
            <w:tcW w:w="1520" w:type="dxa"/>
            <w:tcBorders>
              <w:top w:val="nil"/>
              <w:left w:val="nil"/>
              <w:bottom w:val="single" w:sz="4" w:space="0" w:color="auto"/>
              <w:right w:val="single" w:sz="4" w:space="0" w:color="auto"/>
            </w:tcBorders>
            <w:shd w:val="clear" w:color="000000" w:fill="BDD7EE"/>
            <w:noWrap/>
            <w:vAlign w:val="center"/>
            <w:hideMark/>
          </w:tcPr>
          <w:p w14:paraId="75E568EC" w14:textId="77777777" w:rsidR="00340FF2" w:rsidRPr="00C875AD" w:rsidRDefault="00340FF2" w:rsidP="00035934">
            <w:pPr>
              <w:spacing w:after="0" w:line="240" w:lineRule="auto"/>
              <w:jc w:val="center"/>
              <w:rPr>
                <w:rFonts w:ascii="Book Antiqua" w:eastAsia="Times New Roman" w:hAnsi="Book Antiqua" w:cs="Calibri"/>
                <w:lang w:eastAsia="es-CR"/>
              </w:rPr>
            </w:pPr>
            <w:r w:rsidRPr="00C875AD">
              <w:rPr>
                <w:rFonts w:ascii="Book Antiqua" w:eastAsia="Times New Roman" w:hAnsi="Book Antiqua" w:cs="Calibri"/>
                <w:lang w:eastAsia="es-CR"/>
              </w:rPr>
              <w:t>22</w:t>
            </w:r>
          </w:p>
        </w:tc>
      </w:tr>
      <w:tr w:rsidR="00340FF2" w:rsidRPr="00C875AD" w14:paraId="35A62837" w14:textId="77777777" w:rsidTr="00035934">
        <w:trPr>
          <w:trHeight w:val="290"/>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2E88D02E"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Carga de trabajo por letrado al año</w:t>
            </w:r>
          </w:p>
        </w:tc>
        <w:tc>
          <w:tcPr>
            <w:tcW w:w="851" w:type="dxa"/>
            <w:tcBorders>
              <w:top w:val="nil"/>
              <w:left w:val="nil"/>
              <w:bottom w:val="single" w:sz="4" w:space="0" w:color="auto"/>
              <w:right w:val="single" w:sz="4" w:space="0" w:color="auto"/>
            </w:tcBorders>
            <w:shd w:val="clear" w:color="auto" w:fill="auto"/>
            <w:noWrap/>
            <w:vAlign w:val="center"/>
            <w:hideMark/>
          </w:tcPr>
          <w:p w14:paraId="51A7411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187</w:t>
            </w:r>
          </w:p>
        </w:tc>
        <w:tc>
          <w:tcPr>
            <w:tcW w:w="850" w:type="dxa"/>
            <w:tcBorders>
              <w:top w:val="nil"/>
              <w:left w:val="nil"/>
              <w:bottom w:val="single" w:sz="4" w:space="0" w:color="auto"/>
              <w:right w:val="single" w:sz="4" w:space="0" w:color="auto"/>
            </w:tcBorders>
            <w:shd w:val="clear" w:color="auto" w:fill="auto"/>
            <w:noWrap/>
            <w:vAlign w:val="center"/>
            <w:hideMark/>
          </w:tcPr>
          <w:p w14:paraId="1877E02D"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199</w:t>
            </w:r>
          </w:p>
        </w:tc>
        <w:tc>
          <w:tcPr>
            <w:tcW w:w="926" w:type="dxa"/>
            <w:tcBorders>
              <w:top w:val="nil"/>
              <w:left w:val="nil"/>
              <w:bottom w:val="single" w:sz="4" w:space="0" w:color="auto"/>
              <w:right w:val="single" w:sz="4" w:space="0" w:color="auto"/>
            </w:tcBorders>
            <w:shd w:val="clear" w:color="auto" w:fill="auto"/>
            <w:noWrap/>
            <w:vAlign w:val="center"/>
            <w:hideMark/>
          </w:tcPr>
          <w:p w14:paraId="49DFDE43"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156</w:t>
            </w:r>
          </w:p>
        </w:tc>
        <w:tc>
          <w:tcPr>
            <w:tcW w:w="917" w:type="dxa"/>
            <w:tcBorders>
              <w:top w:val="nil"/>
              <w:left w:val="nil"/>
              <w:bottom w:val="single" w:sz="4" w:space="0" w:color="auto"/>
              <w:right w:val="single" w:sz="4" w:space="0" w:color="auto"/>
            </w:tcBorders>
            <w:shd w:val="clear" w:color="auto" w:fill="auto"/>
            <w:noWrap/>
            <w:vAlign w:val="center"/>
            <w:hideMark/>
          </w:tcPr>
          <w:p w14:paraId="2C5E87DC"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153</w:t>
            </w:r>
          </w:p>
        </w:tc>
        <w:tc>
          <w:tcPr>
            <w:tcW w:w="1417" w:type="dxa"/>
            <w:tcBorders>
              <w:top w:val="nil"/>
              <w:left w:val="nil"/>
              <w:bottom w:val="single" w:sz="4" w:space="0" w:color="auto"/>
              <w:right w:val="single" w:sz="4" w:space="0" w:color="auto"/>
            </w:tcBorders>
            <w:shd w:val="clear" w:color="auto" w:fill="auto"/>
            <w:noWrap/>
            <w:vAlign w:val="center"/>
            <w:hideMark/>
          </w:tcPr>
          <w:p w14:paraId="418EBC64"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158</w:t>
            </w:r>
          </w:p>
        </w:tc>
        <w:tc>
          <w:tcPr>
            <w:tcW w:w="1520" w:type="dxa"/>
            <w:tcBorders>
              <w:top w:val="nil"/>
              <w:left w:val="nil"/>
              <w:bottom w:val="single" w:sz="4" w:space="0" w:color="auto"/>
              <w:right w:val="single" w:sz="4" w:space="0" w:color="auto"/>
            </w:tcBorders>
            <w:shd w:val="clear" w:color="000000" w:fill="BDD7EE"/>
            <w:noWrap/>
            <w:vAlign w:val="center"/>
            <w:hideMark/>
          </w:tcPr>
          <w:p w14:paraId="1BDE2E62" w14:textId="77777777" w:rsidR="00340FF2" w:rsidRPr="00C875AD" w:rsidRDefault="00340FF2" w:rsidP="00035934">
            <w:pPr>
              <w:spacing w:after="0" w:line="240" w:lineRule="auto"/>
              <w:jc w:val="center"/>
              <w:rPr>
                <w:rFonts w:ascii="Book Antiqua" w:eastAsia="Times New Roman" w:hAnsi="Book Antiqua" w:cs="Calibri"/>
                <w:lang w:eastAsia="es-CR"/>
              </w:rPr>
            </w:pPr>
            <w:r w:rsidRPr="00C875AD">
              <w:rPr>
                <w:rFonts w:ascii="Book Antiqua" w:eastAsia="Times New Roman" w:hAnsi="Book Antiqua" w:cs="Calibri"/>
                <w:lang w:eastAsia="es-CR"/>
              </w:rPr>
              <w:t>137</w:t>
            </w:r>
          </w:p>
        </w:tc>
      </w:tr>
      <w:tr w:rsidR="00340FF2" w:rsidRPr="00C875AD" w14:paraId="2DEABD51" w14:textId="77777777" w:rsidTr="00035934">
        <w:trPr>
          <w:trHeight w:val="290"/>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42618BD0"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Carga de trabajo por letrado por mes</w:t>
            </w:r>
          </w:p>
        </w:tc>
        <w:tc>
          <w:tcPr>
            <w:tcW w:w="851" w:type="dxa"/>
            <w:tcBorders>
              <w:top w:val="nil"/>
              <w:left w:val="nil"/>
              <w:bottom w:val="single" w:sz="4" w:space="0" w:color="auto"/>
              <w:right w:val="single" w:sz="4" w:space="0" w:color="auto"/>
            </w:tcBorders>
            <w:shd w:val="clear" w:color="auto" w:fill="auto"/>
            <w:noWrap/>
            <w:vAlign w:val="bottom"/>
            <w:hideMark/>
          </w:tcPr>
          <w:p w14:paraId="333D8F7E"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17</w:t>
            </w:r>
          </w:p>
        </w:tc>
        <w:tc>
          <w:tcPr>
            <w:tcW w:w="850" w:type="dxa"/>
            <w:tcBorders>
              <w:top w:val="nil"/>
              <w:left w:val="nil"/>
              <w:bottom w:val="single" w:sz="4" w:space="0" w:color="auto"/>
              <w:right w:val="single" w:sz="4" w:space="0" w:color="auto"/>
            </w:tcBorders>
            <w:shd w:val="clear" w:color="auto" w:fill="auto"/>
            <w:noWrap/>
            <w:vAlign w:val="bottom"/>
            <w:hideMark/>
          </w:tcPr>
          <w:p w14:paraId="5BB6A1F3"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18</w:t>
            </w:r>
          </w:p>
        </w:tc>
        <w:tc>
          <w:tcPr>
            <w:tcW w:w="926" w:type="dxa"/>
            <w:tcBorders>
              <w:top w:val="nil"/>
              <w:left w:val="nil"/>
              <w:bottom w:val="single" w:sz="4" w:space="0" w:color="auto"/>
              <w:right w:val="single" w:sz="4" w:space="0" w:color="auto"/>
            </w:tcBorders>
            <w:shd w:val="clear" w:color="auto" w:fill="auto"/>
            <w:noWrap/>
            <w:vAlign w:val="bottom"/>
            <w:hideMark/>
          </w:tcPr>
          <w:p w14:paraId="086FC491"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14</w:t>
            </w:r>
          </w:p>
        </w:tc>
        <w:tc>
          <w:tcPr>
            <w:tcW w:w="917" w:type="dxa"/>
            <w:tcBorders>
              <w:top w:val="nil"/>
              <w:left w:val="nil"/>
              <w:bottom w:val="single" w:sz="4" w:space="0" w:color="auto"/>
              <w:right w:val="single" w:sz="4" w:space="0" w:color="auto"/>
            </w:tcBorders>
            <w:shd w:val="clear" w:color="auto" w:fill="auto"/>
            <w:noWrap/>
            <w:vAlign w:val="bottom"/>
            <w:hideMark/>
          </w:tcPr>
          <w:p w14:paraId="42D4A79F"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14</w:t>
            </w:r>
          </w:p>
        </w:tc>
        <w:tc>
          <w:tcPr>
            <w:tcW w:w="1417" w:type="dxa"/>
            <w:tcBorders>
              <w:top w:val="nil"/>
              <w:left w:val="nil"/>
              <w:bottom w:val="single" w:sz="4" w:space="0" w:color="auto"/>
              <w:right w:val="single" w:sz="4" w:space="0" w:color="auto"/>
            </w:tcBorders>
            <w:shd w:val="clear" w:color="auto" w:fill="auto"/>
            <w:noWrap/>
            <w:vAlign w:val="bottom"/>
            <w:hideMark/>
          </w:tcPr>
          <w:p w14:paraId="732F5A65"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14</w:t>
            </w:r>
          </w:p>
        </w:tc>
        <w:tc>
          <w:tcPr>
            <w:tcW w:w="1520" w:type="dxa"/>
            <w:tcBorders>
              <w:top w:val="nil"/>
              <w:left w:val="nil"/>
              <w:bottom w:val="single" w:sz="4" w:space="0" w:color="auto"/>
              <w:right w:val="single" w:sz="4" w:space="0" w:color="auto"/>
            </w:tcBorders>
            <w:shd w:val="clear" w:color="000000" w:fill="BDD7EE"/>
            <w:noWrap/>
            <w:vAlign w:val="bottom"/>
            <w:hideMark/>
          </w:tcPr>
          <w:p w14:paraId="7AABDA83" w14:textId="77777777" w:rsidR="00340FF2" w:rsidRPr="00C875AD" w:rsidRDefault="00340FF2" w:rsidP="00035934">
            <w:pPr>
              <w:spacing w:after="0" w:line="240" w:lineRule="auto"/>
              <w:jc w:val="center"/>
              <w:rPr>
                <w:rFonts w:ascii="Book Antiqua" w:eastAsia="Times New Roman" w:hAnsi="Book Antiqua" w:cs="Calibri"/>
                <w:lang w:eastAsia="es-CR"/>
              </w:rPr>
            </w:pPr>
            <w:r w:rsidRPr="00C875AD">
              <w:rPr>
                <w:rFonts w:ascii="Book Antiqua" w:eastAsia="Times New Roman" w:hAnsi="Book Antiqua" w:cs="Calibri"/>
                <w:lang w:eastAsia="es-CR"/>
              </w:rPr>
              <w:t>12</w:t>
            </w:r>
          </w:p>
        </w:tc>
      </w:tr>
      <w:tr w:rsidR="00340FF2" w:rsidRPr="00C875AD" w14:paraId="5AB6DA61" w14:textId="77777777" w:rsidTr="00035934">
        <w:trPr>
          <w:trHeight w:val="345"/>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216D8B4B" w14:textId="77777777" w:rsidR="00340FF2" w:rsidRPr="00C875AD" w:rsidRDefault="00340FF2" w:rsidP="00035934">
            <w:pPr>
              <w:spacing w:after="0" w:line="240" w:lineRule="auto"/>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Circulante por letrado</w:t>
            </w:r>
          </w:p>
        </w:tc>
        <w:tc>
          <w:tcPr>
            <w:tcW w:w="851" w:type="dxa"/>
            <w:tcBorders>
              <w:top w:val="nil"/>
              <w:left w:val="nil"/>
              <w:bottom w:val="single" w:sz="4" w:space="0" w:color="auto"/>
              <w:right w:val="single" w:sz="4" w:space="0" w:color="auto"/>
            </w:tcBorders>
            <w:shd w:val="clear" w:color="auto" w:fill="auto"/>
            <w:noWrap/>
            <w:vAlign w:val="bottom"/>
            <w:hideMark/>
          </w:tcPr>
          <w:p w14:paraId="02857EF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160</w:t>
            </w:r>
          </w:p>
        </w:tc>
        <w:tc>
          <w:tcPr>
            <w:tcW w:w="850" w:type="dxa"/>
            <w:tcBorders>
              <w:top w:val="nil"/>
              <w:left w:val="nil"/>
              <w:bottom w:val="single" w:sz="4" w:space="0" w:color="auto"/>
              <w:right w:val="single" w:sz="4" w:space="0" w:color="auto"/>
            </w:tcBorders>
            <w:shd w:val="clear" w:color="auto" w:fill="auto"/>
            <w:noWrap/>
            <w:vAlign w:val="bottom"/>
            <w:hideMark/>
          </w:tcPr>
          <w:p w14:paraId="566363A0"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233</w:t>
            </w:r>
          </w:p>
        </w:tc>
        <w:tc>
          <w:tcPr>
            <w:tcW w:w="926" w:type="dxa"/>
            <w:tcBorders>
              <w:top w:val="nil"/>
              <w:left w:val="nil"/>
              <w:bottom w:val="single" w:sz="4" w:space="0" w:color="auto"/>
              <w:right w:val="single" w:sz="4" w:space="0" w:color="auto"/>
            </w:tcBorders>
            <w:shd w:val="clear" w:color="auto" w:fill="auto"/>
            <w:noWrap/>
            <w:vAlign w:val="bottom"/>
            <w:hideMark/>
          </w:tcPr>
          <w:p w14:paraId="3DF1D1EF"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262</w:t>
            </w:r>
          </w:p>
        </w:tc>
        <w:tc>
          <w:tcPr>
            <w:tcW w:w="917" w:type="dxa"/>
            <w:tcBorders>
              <w:top w:val="nil"/>
              <w:left w:val="nil"/>
              <w:bottom w:val="single" w:sz="4" w:space="0" w:color="auto"/>
              <w:right w:val="single" w:sz="4" w:space="0" w:color="auto"/>
            </w:tcBorders>
            <w:shd w:val="clear" w:color="auto" w:fill="auto"/>
            <w:noWrap/>
            <w:vAlign w:val="bottom"/>
            <w:hideMark/>
          </w:tcPr>
          <w:p w14:paraId="010FA262"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273</w:t>
            </w:r>
          </w:p>
        </w:tc>
        <w:tc>
          <w:tcPr>
            <w:tcW w:w="1417" w:type="dxa"/>
            <w:tcBorders>
              <w:top w:val="nil"/>
              <w:left w:val="nil"/>
              <w:bottom w:val="single" w:sz="4" w:space="0" w:color="auto"/>
              <w:right w:val="single" w:sz="4" w:space="0" w:color="auto"/>
            </w:tcBorders>
            <w:shd w:val="clear" w:color="auto" w:fill="auto"/>
            <w:noWrap/>
            <w:vAlign w:val="bottom"/>
            <w:hideMark/>
          </w:tcPr>
          <w:p w14:paraId="4FD533EF" w14:textId="77777777" w:rsidR="00340FF2" w:rsidRPr="00C875AD" w:rsidRDefault="00340FF2" w:rsidP="00035934">
            <w:pPr>
              <w:spacing w:after="0" w:line="240" w:lineRule="auto"/>
              <w:jc w:val="center"/>
              <w:rPr>
                <w:rFonts w:ascii="Book Antiqua" w:eastAsia="Times New Roman" w:hAnsi="Book Antiqua" w:cs="Calibri"/>
                <w:color w:val="000000"/>
                <w:lang w:eastAsia="es-CR"/>
              </w:rPr>
            </w:pPr>
            <w:r w:rsidRPr="00C875AD">
              <w:rPr>
                <w:rFonts w:ascii="Book Antiqua" w:eastAsia="Times New Roman" w:hAnsi="Book Antiqua" w:cs="Calibri"/>
                <w:color w:val="000000"/>
                <w:lang w:eastAsia="es-CR"/>
              </w:rPr>
              <w:t>283</w:t>
            </w:r>
          </w:p>
        </w:tc>
        <w:tc>
          <w:tcPr>
            <w:tcW w:w="1520" w:type="dxa"/>
            <w:tcBorders>
              <w:top w:val="nil"/>
              <w:left w:val="nil"/>
              <w:bottom w:val="single" w:sz="4" w:space="0" w:color="auto"/>
              <w:right w:val="single" w:sz="4" w:space="0" w:color="auto"/>
            </w:tcBorders>
            <w:shd w:val="clear" w:color="000000" w:fill="BDD7EE"/>
            <w:noWrap/>
            <w:vAlign w:val="bottom"/>
            <w:hideMark/>
          </w:tcPr>
          <w:p w14:paraId="413649B7" w14:textId="77777777" w:rsidR="00340FF2" w:rsidRPr="00C875AD" w:rsidRDefault="00340FF2" w:rsidP="00035934">
            <w:pPr>
              <w:spacing w:after="0" w:line="240" w:lineRule="auto"/>
              <w:jc w:val="center"/>
              <w:rPr>
                <w:rFonts w:ascii="Book Antiqua" w:eastAsia="Times New Roman" w:hAnsi="Book Antiqua" w:cs="Calibri"/>
                <w:lang w:eastAsia="es-CR"/>
              </w:rPr>
            </w:pPr>
            <w:r w:rsidRPr="00C875AD">
              <w:rPr>
                <w:rFonts w:ascii="Book Antiqua" w:eastAsia="Times New Roman" w:hAnsi="Book Antiqua" w:cs="Calibri"/>
                <w:lang w:eastAsia="es-CR"/>
              </w:rPr>
              <w:t>245</w:t>
            </w:r>
          </w:p>
        </w:tc>
      </w:tr>
    </w:tbl>
    <w:p w14:paraId="33E4A078" w14:textId="77777777" w:rsidR="00340FF2" w:rsidRDefault="00340FF2" w:rsidP="00340FF2">
      <w:pPr>
        <w:spacing w:after="0" w:line="276" w:lineRule="auto"/>
        <w:jc w:val="both"/>
        <w:rPr>
          <w:rFonts w:ascii="Book Antiqua" w:eastAsia="Calibri" w:hAnsi="Book Antiqua" w:cs="Arial"/>
          <w:i/>
          <w:iCs/>
          <w:sz w:val="20"/>
          <w:szCs w:val="20"/>
        </w:rPr>
      </w:pPr>
      <w:r>
        <w:rPr>
          <w:rFonts w:ascii="Book Antiqua" w:eastAsia="Calibri" w:hAnsi="Book Antiqua" w:cs="Arial"/>
          <w:i/>
          <w:iCs/>
          <w:sz w:val="20"/>
          <w:szCs w:val="20"/>
        </w:rPr>
        <w:t>Fuente: Modernización Institucional.</w:t>
      </w:r>
    </w:p>
    <w:p w14:paraId="64ECDE47" w14:textId="77777777" w:rsidR="00340FF2" w:rsidRDefault="00340FF2" w:rsidP="00340FF2">
      <w:pPr>
        <w:spacing w:after="0" w:line="276" w:lineRule="auto"/>
        <w:jc w:val="both"/>
        <w:rPr>
          <w:rFonts w:ascii="Book Antiqua" w:eastAsia="Calibri" w:hAnsi="Book Antiqua" w:cs="Arial"/>
          <w:i/>
          <w:iCs/>
          <w:sz w:val="20"/>
          <w:szCs w:val="20"/>
        </w:rPr>
      </w:pPr>
    </w:p>
    <w:p w14:paraId="6E183CF5" w14:textId="534ABBBE" w:rsidR="00340FF2" w:rsidRDefault="00340FF2" w:rsidP="00340FF2">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De aprobarse la creación de las plazas citadas, según “</w:t>
      </w:r>
      <w:r w:rsidRPr="001D0C10">
        <w:rPr>
          <w:rFonts w:ascii="Book Antiqua" w:eastAsia="Calibri" w:hAnsi="Book Antiqua" w:cs="Arial"/>
          <w:i/>
          <w:iCs/>
          <w:sz w:val="24"/>
          <w:szCs w:val="24"/>
        </w:rPr>
        <w:t>escenario CPF</w:t>
      </w:r>
      <w:r w:rsidRPr="001D0C10">
        <w:rPr>
          <w:rFonts w:ascii="Book Antiqua" w:eastAsia="Calibri" w:hAnsi="Book Antiqua" w:cs="Arial"/>
          <w:sz w:val="24"/>
          <w:szCs w:val="24"/>
        </w:rPr>
        <w:t xml:space="preserve">”, la entrada por plaza sería de 12 asuntos, y el circulante </w:t>
      </w:r>
      <w:r>
        <w:rPr>
          <w:rFonts w:ascii="Book Antiqua" w:eastAsia="Calibri" w:hAnsi="Book Antiqua" w:cs="Arial"/>
          <w:sz w:val="24"/>
          <w:szCs w:val="24"/>
        </w:rPr>
        <w:t>d</w:t>
      </w:r>
      <w:r w:rsidRPr="001D0C10">
        <w:rPr>
          <w:rFonts w:ascii="Book Antiqua" w:eastAsia="Calibri" w:hAnsi="Book Antiqua" w:cs="Arial"/>
          <w:sz w:val="24"/>
          <w:szCs w:val="24"/>
        </w:rPr>
        <w:t xml:space="preserve">e 245 casos en promedio. Aún por encima de </w:t>
      </w:r>
      <w:r w:rsidRPr="00584BE8">
        <w:rPr>
          <w:rFonts w:ascii="Book Antiqua" w:eastAsia="Calibri" w:hAnsi="Book Antiqua" w:cs="Arial"/>
          <w:sz w:val="24"/>
          <w:szCs w:val="24"/>
        </w:rPr>
        <w:t>la situación inicial</w:t>
      </w:r>
      <w:r w:rsidRPr="001D0C10">
        <w:rPr>
          <w:rFonts w:ascii="Book Antiqua" w:eastAsia="Calibri" w:hAnsi="Book Antiqua" w:cs="Arial"/>
          <w:sz w:val="24"/>
          <w:szCs w:val="24"/>
        </w:rPr>
        <w:t xml:space="preserve"> de la Sala </w:t>
      </w:r>
      <w:r>
        <w:rPr>
          <w:rFonts w:ascii="Book Antiqua" w:eastAsia="Calibri" w:hAnsi="Book Antiqua" w:cs="Arial"/>
          <w:sz w:val="24"/>
          <w:szCs w:val="24"/>
        </w:rPr>
        <w:t xml:space="preserve">Segunda </w:t>
      </w:r>
      <w:r w:rsidRPr="001D0C10">
        <w:rPr>
          <w:rFonts w:ascii="Book Antiqua" w:eastAsia="Calibri" w:hAnsi="Book Antiqua" w:cs="Arial"/>
          <w:sz w:val="24"/>
          <w:szCs w:val="24"/>
        </w:rPr>
        <w:t xml:space="preserve">en 2016 y años anteriores. </w:t>
      </w:r>
    </w:p>
    <w:p w14:paraId="609BBD32" w14:textId="77777777" w:rsidR="006B501C" w:rsidRDefault="006B501C" w:rsidP="006B501C">
      <w:pPr>
        <w:spacing w:after="0" w:line="276" w:lineRule="auto"/>
        <w:jc w:val="both"/>
        <w:rPr>
          <w:rFonts w:ascii="Book Antiqua" w:eastAsia="Calibri" w:hAnsi="Book Antiqua" w:cs="Arial"/>
          <w:sz w:val="24"/>
          <w:szCs w:val="24"/>
        </w:rPr>
      </w:pPr>
    </w:p>
    <w:p w14:paraId="08C2D122" w14:textId="67F883B2" w:rsidR="006B501C" w:rsidRPr="00076886" w:rsidRDefault="006B501C" w:rsidP="006B501C">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resumen: se plantea </w:t>
      </w:r>
      <w:r w:rsidRPr="00076886">
        <w:rPr>
          <w:rFonts w:ascii="Book Antiqua" w:eastAsia="Calibri" w:hAnsi="Book Antiqua" w:cs="Arial"/>
          <w:sz w:val="24"/>
          <w:szCs w:val="24"/>
        </w:rPr>
        <w:t xml:space="preserve">la creación de </w:t>
      </w:r>
      <w:r>
        <w:rPr>
          <w:rFonts w:ascii="Book Antiqua" w:eastAsia="Calibri" w:hAnsi="Book Antiqua" w:cs="Arial"/>
          <w:sz w:val="24"/>
          <w:szCs w:val="24"/>
        </w:rPr>
        <w:t>tres</w:t>
      </w:r>
      <w:r w:rsidRPr="00076886">
        <w:rPr>
          <w:rFonts w:ascii="Book Antiqua" w:eastAsia="Calibri" w:hAnsi="Book Antiqua" w:cs="Arial"/>
          <w:sz w:val="24"/>
          <w:szCs w:val="24"/>
        </w:rPr>
        <w:t xml:space="preserve"> plazas nuevas extraordinarias de </w:t>
      </w:r>
      <w:r>
        <w:rPr>
          <w:rFonts w:ascii="Book Antiqua" w:eastAsia="Calibri" w:hAnsi="Book Antiqua" w:cs="Arial"/>
          <w:sz w:val="24"/>
          <w:szCs w:val="24"/>
        </w:rPr>
        <w:t xml:space="preserve">Profesional en Derecho 3B, dos Técnicos de Sala </w:t>
      </w:r>
      <w:r w:rsidRPr="00076886">
        <w:rPr>
          <w:rFonts w:ascii="Book Antiqua" w:eastAsia="Calibri" w:hAnsi="Book Antiqua" w:cs="Arial"/>
          <w:sz w:val="24"/>
          <w:szCs w:val="24"/>
        </w:rPr>
        <w:t xml:space="preserve">y dos </w:t>
      </w:r>
      <w:r>
        <w:rPr>
          <w:rFonts w:ascii="Book Antiqua" w:eastAsia="Calibri" w:hAnsi="Book Antiqua" w:cs="Arial"/>
          <w:sz w:val="24"/>
          <w:szCs w:val="24"/>
        </w:rPr>
        <w:t xml:space="preserve">Técnicos Judiciales 3, </w:t>
      </w:r>
      <w:r w:rsidRPr="00076886">
        <w:rPr>
          <w:rFonts w:ascii="Book Antiqua" w:eastAsia="Calibri" w:hAnsi="Book Antiqua" w:cs="Arial"/>
          <w:sz w:val="24"/>
          <w:szCs w:val="24"/>
        </w:rPr>
        <w:t>para completar la estructura de trabajo calculada de</w:t>
      </w:r>
      <w:r>
        <w:rPr>
          <w:rFonts w:ascii="Book Antiqua" w:eastAsia="Calibri" w:hAnsi="Book Antiqua" w:cs="Arial"/>
          <w:sz w:val="24"/>
          <w:szCs w:val="24"/>
        </w:rPr>
        <w:t xml:space="preserve"> </w:t>
      </w:r>
      <w:r w:rsidRPr="00076886">
        <w:rPr>
          <w:rFonts w:ascii="Book Antiqua" w:eastAsia="Calibri" w:hAnsi="Book Antiqua" w:cs="Arial"/>
          <w:sz w:val="24"/>
          <w:szCs w:val="24"/>
        </w:rPr>
        <w:t>l</w:t>
      </w:r>
      <w:r>
        <w:rPr>
          <w:rFonts w:ascii="Book Antiqua" w:eastAsia="Calibri" w:hAnsi="Book Antiqua" w:cs="Arial"/>
          <w:sz w:val="24"/>
          <w:szCs w:val="24"/>
        </w:rPr>
        <w:t>a</w:t>
      </w:r>
      <w:r w:rsidRPr="00076886">
        <w:rPr>
          <w:rFonts w:ascii="Book Antiqua" w:eastAsia="Calibri" w:hAnsi="Book Antiqua" w:cs="Arial"/>
          <w:sz w:val="24"/>
          <w:szCs w:val="24"/>
        </w:rPr>
        <w:t xml:space="preserve"> </w:t>
      </w:r>
      <w:r>
        <w:rPr>
          <w:rFonts w:ascii="Book Antiqua" w:eastAsia="Calibri" w:hAnsi="Book Antiqua" w:cs="Arial"/>
          <w:sz w:val="24"/>
          <w:szCs w:val="24"/>
        </w:rPr>
        <w:t>Sala Segunda, d</w:t>
      </w:r>
      <w:r w:rsidRPr="00076886">
        <w:rPr>
          <w:rFonts w:ascii="Book Antiqua" w:eastAsia="Calibri" w:hAnsi="Book Antiqua" w:cs="Arial"/>
          <w:sz w:val="24"/>
          <w:szCs w:val="24"/>
        </w:rPr>
        <w:t>onde se identificó necesidad de personal. El cambio en la estructura se plantea en el siguiente cuadro.</w:t>
      </w:r>
    </w:p>
    <w:p w14:paraId="34DDC8A3" w14:textId="77777777" w:rsidR="006B501C" w:rsidRDefault="006B501C" w:rsidP="006B501C">
      <w:pPr>
        <w:spacing w:after="0" w:line="276" w:lineRule="auto"/>
        <w:jc w:val="both"/>
        <w:rPr>
          <w:rFonts w:ascii="Book Antiqua" w:eastAsia="Calibri" w:hAnsi="Book Antiqua" w:cs="Arial"/>
          <w:sz w:val="24"/>
          <w:szCs w:val="24"/>
        </w:rPr>
      </w:pPr>
    </w:p>
    <w:p w14:paraId="3B66F366" w14:textId="19331BEF" w:rsidR="006B501C" w:rsidRPr="00076886" w:rsidRDefault="006B501C" w:rsidP="006B501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76886">
        <w:rPr>
          <w:rFonts w:ascii="Book Antiqua" w:eastAsia="Calibri" w:hAnsi="Book Antiqua" w:cs="Arial"/>
          <w:b/>
          <w:bCs/>
          <w:color w:val="1F497D"/>
          <w:szCs w:val="24"/>
          <w:lang w:val="es-ES" w:eastAsia="es-ES"/>
        </w:rPr>
        <w:lastRenderedPageBreak/>
        <w:t xml:space="preserve">Cuadro </w:t>
      </w:r>
      <w:r w:rsidRPr="00076886">
        <w:rPr>
          <w:rFonts w:ascii="Book Antiqua" w:eastAsia="Calibri" w:hAnsi="Book Antiqua" w:cs="Arial"/>
          <w:b/>
          <w:bCs/>
          <w:color w:val="1F497D"/>
          <w:szCs w:val="24"/>
          <w:lang w:val="es-ES" w:eastAsia="es-ES"/>
        </w:rPr>
        <w:fldChar w:fldCharType="begin"/>
      </w:r>
      <w:r w:rsidRPr="00076886">
        <w:rPr>
          <w:rFonts w:ascii="Book Antiqua" w:eastAsia="Calibri" w:hAnsi="Book Antiqua" w:cs="Arial"/>
          <w:b/>
          <w:bCs/>
          <w:color w:val="1F497D"/>
          <w:szCs w:val="24"/>
          <w:lang w:val="es-ES" w:eastAsia="es-ES"/>
        </w:rPr>
        <w:instrText xml:space="preserve"> SEQ Cuadro \* ARABIC </w:instrText>
      </w:r>
      <w:r w:rsidRPr="00076886">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62</w:t>
      </w:r>
      <w:r w:rsidRPr="00076886">
        <w:rPr>
          <w:rFonts w:ascii="Book Antiqua" w:eastAsia="Calibri" w:hAnsi="Book Antiqua" w:cs="Arial"/>
          <w:b/>
          <w:bCs/>
          <w:color w:val="1F497D"/>
          <w:szCs w:val="24"/>
          <w:lang w:val="es-ES" w:eastAsia="es-ES"/>
        </w:rPr>
        <w:fldChar w:fldCharType="end"/>
      </w:r>
      <w:r w:rsidRPr="00076886">
        <w:rPr>
          <w:rFonts w:ascii="Book Antiqua" w:eastAsia="Calibri" w:hAnsi="Book Antiqua" w:cs="Arial"/>
          <w:b/>
          <w:bCs/>
          <w:color w:val="1F497D"/>
          <w:szCs w:val="24"/>
          <w:lang w:val="es-ES" w:eastAsia="es-ES"/>
        </w:rPr>
        <w:t xml:space="preserve"> </w:t>
      </w:r>
    </w:p>
    <w:p w14:paraId="77947641" w14:textId="77777777" w:rsidR="006B501C" w:rsidRPr="00076886" w:rsidRDefault="006B501C" w:rsidP="006B501C">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Estructura</w:t>
      </w:r>
      <w:r w:rsidRPr="00076886">
        <w:rPr>
          <w:rFonts w:ascii="Book Antiqua" w:eastAsia="Calibri" w:hAnsi="Book Antiqua" w:cs="Arial"/>
          <w:b/>
          <w:bCs/>
          <w:color w:val="1F497D"/>
          <w:szCs w:val="24"/>
          <w:lang w:val="es-ES" w:eastAsia="es-ES"/>
        </w:rPr>
        <w:t xml:space="preserve"> propuesta de </w:t>
      </w:r>
      <w:r>
        <w:rPr>
          <w:rFonts w:ascii="Book Antiqua" w:eastAsia="Calibri" w:hAnsi="Book Antiqua" w:cs="Arial"/>
          <w:b/>
          <w:bCs/>
          <w:color w:val="1F497D"/>
          <w:szCs w:val="24"/>
          <w:lang w:val="es-ES" w:eastAsia="es-ES"/>
        </w:rPr>
        <w:t>la Sala Segunda</w:t>
      </w:r>
    </w:p>
    <w:tbl>
      <w:tblPr>
        <w:tblW w:w="9040" w:type="dxa"/>
        <w:tblCellMar>
          <w:left w:w="70" w:type="dxa"/>
          <w:right w:w="70" w:type="dxa"/>
        </w:tblCellMar>
        <w:tblLook w:val="04A0" w:firstRow="1" w:lastRow="0" w:firstColumn="1" w:lastColumn="0" w:noHBand="0" w:noVBand="1"/>
      </w:tblPr>
      <w:tblGrid>
        <w:gridCol w:w="2460"/>
        <w:gridCol w:w="3260"/>
        <w:gridCol w:w="3320"/>
      </w:tblGrid>
      <w:tr w:rsidR="006B501C" w:rsidRPr="00386C33" w14:paraId="522B1F6E" w14:textId="77777777" w:rsidTr="00035934">
        <w:trPr>
          <w:trHeight w:val="590"/>
        </w:trPr>
        <w:tc>
          <w:tcPr>
            <w:tcW w:w="2460" w:type="dxa"/>
            <w:tcBorders>
              <w:top w:val="single" w:sz="8" w:space="0" w:color="auto"/>
              <w:left w:val="single" w:sz="8" w:space="0" w:color="auto"/>
              <w:bottom w:val="single" w:sz="8" w:space="0" w:color="auto"/>
              <w:right w:val="single" w:sz="8" w:space="0" w:color="auto"/>
            </w:tcBorders>
            <w:shd w:val="clear" w:color="000000" w:fill="002060"/>
            <w:vAlign w:val="center"/>
            <w:hideMark/>
          </w:tcPr>
          <w:p w14:paraId="15899287" w14:textId="77777777" w:rsidR="006B501C" w:rsidRPr="00386C33" w:rsidRDefault="006B501C" w:rsidP="00035934">
            <w:pPr>
              <w:spacing w:after="0" w:line="240" w:lineRule="auto"/>
              <w:jc w:val="center"/>
              <w:rPr>
                <w:rFonts w:ascii="Book Antiqua" w:eastAsia="Times New Roman" w:hAnsi="Book Antiqua" w:cs="Calibri"/>
                <w:b/>
                <w:bCs/>
                <w:color w:val="FFFFFF"/>
                <w:lang w:eastAsia="es-CR"/>
              </w:rPr>
            </w:pPr>
            <w:bookmarkStart w:id="58" w:name="_Hlk97897908"/>
            <w:r w:rsidRPr="00386C33">
              <w:rPr>
                <w:rFonts w:ascii="Book Antiqua" w:eastAsia="Times New Roman" w:hAnsi="Book Antiqua" w:cs="Calibri"/>
                <w:b/>
                <w:bCs/>
                <w:color w:val="FFFFFF"/>
                <w:lang w:eastAsia="es-CR"/>
              </w:rPr>
              <w:t>Sala Segunda</w:t>
            </w:r>
          </w:p>
        </w:tc>
        <w:tc>
          <w:tcPr>
            <w:tcW w:w="3260" w:type="dxa"/>
            <w:tcBorders>
              <w:top w:val="single" w:sz="8" w:space="0" w:color="auto"/>
              <w:left w:val="nil"/>
              <w:bottom w:val="single" w:sz="8" w:space="0" w:color="auto"/>
              <w:right w:val="single" w:sz="8" w:space="0" w:color="auto"/>
            </w:tcBorders>
            <w:shd w:val="clear" w:color="000000" w:fill="002060"/>
            <w:vAlign w:val="center"/>
            <w:hideMark/>
          </w:tcPr>
          <w:p w14:paraId="59C702B5" w14:textId="77777777" w:rsidR="006B501C" w:rsidRPr="00386C33" w:rsidRDefault="006B501C" w:rsidP="00035934">
            <w:pPr>
              <w:spacing w:after="0" w:line="240" w:lineRule="auto"/>
              <w:jc w:val="center"/>
              <w:rPr>
                <w:rFonts w:ascii="Book Antiqua" w:eastAsia="Times New Roman" w:hAnsi="Book Antiqua" w:cs="Calibri"/>
                <w:b/>
                <w:bCs/>
                <w:color w:val="FFFFFF"/>
                <w:lang w:eastAsia="es-CR"/>
              </w:rPr>
            </w:pPr>
            <w:r w:rsidRPr="00386C33">
              <w:rPr>
                <w:rFonts w:ascii="Book Antiqua" w:eastAsia="Times New Roman" w:hAnsi="Book Antiqua" w:cs="Calibri"/>
                <w:b/>
                <w:bCs/>
                <w:color w:val="FFFFFF"/>
                <w:lang w:eastAsia="es-CR"/>
              </w:rPr>
              <w:t>Estructura orgánica funcional actual de la Sala Segunda</w:t>
            </w:r>
          </w:p>
        </w:tc>
        <w:tc>
          <w:tcPr>
            <w:tcW w:w="3320" w:type="dxa"/>
            <w:tcBorders>
              <w:top w:val="single" w:sz="8" w:space="0" w:color="auto"/>
              <w:left w:val="nil"/>
              <w:bottom w:val="single" w:sz="8" w:space="0" w:color="auto"/>
              <w:right w:val="single" w:sz="8" w:space="0" w:color="auto"/>
            </w:tcBorders>
            <w:shd w:val="clear" w:color="000000" w:fill="002060"/>
            <w:vAlign w:val="center"/>
            <w:hideMark/>
          </w:tcPr>
          <w:p w14:paraId="42BFC666" w14:textId="77777777" w:rsidR="006B501C" w:rsidRPr="00386C33" w:rsidRDefault="006B501C" w:rsidP="00035934">
            <w:pPr>
              <w:spacing w:after="0" w:line="240" w:lineRule="auto"/>
              <w:jc w:val="center"/>
              <w:rPr>
                <w:rFonts w:ascii="Book Antiqua" w:eastAsia="Times New Roman" w:hAnsi="Book Antiqua" w:cs="Calibri"/>
                <w:b/>
                <w:bCs/>
                <w:color w:val="FFFFFF"/>
                <w:lang w:eastAsia="es-CR"/>
              </w:rPr>
            </w:pPr>
            <w:r w:rsidRPr="00386C33">
              <w:rPr>
                <w:rFonts w:ascii="Book Antiqua" w:eastAsia="Times New Roman" w:hAnsi="Book Antiqua" w:cs="Calibri"/>
                <w:b/>
                <w:bCs/>
                <w:color w:val="FFFFFF"/>
                <w:lang w:eastAsia="es-CR"/>
              </w:rPr>
              <w:t>Estructura Propuesta</w:t>
            </w:r>
          </w:p>
        </w:tc>
      </w:tr>
      <w:tr w:rsidR="006B501C" w:rsidRPr="00386C33" w14:paraId="164C723E" w14:textId="77777777" w:rsidTr="00035934">
        <w:trPr>
          <w:trHeight w:val="300"/>
        </w:trPr>
        <w:tc>
          <w:tcPr>
            <w:tcW w:w="2460" w:type="dxa"/>
            <w:vMerge w:val="restart"/>
            <w:tcBorders>
              <w:top w:val="nil"/>
              <w:left w:val="single" w:sz="8" w:space="0" w:color="auto"/>
              <w:bottom w:val="single" w:sz="8" w:space="0" w:color="000000"/>
              <w:right w:val="single" w:sz="8" w:space="0" w:color="auto"/>
            </w:tcBorders>
            <w:shd w:val="clear" w:color="auto" w:fill="auto"/>
            <w:vAlign w:val="center"/>
            <w:hideMark/>
          </w:tcPr>
          <w:p w14:paraId="5B6199C6"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Sala Segunda</w:t>
            </w:r>
          </w:p>
        </w:tc>
        <w:tc>
          <w:tcPr>
            <w:tcW w:w="3260" w:type="dxa"/>
            <w:tcBorders>
              <w:top w:val="nil"/>
              <w:left w:val="nil"/>
              <w:bottom w:val="single" w:sz="8" w:space="0" w:color="auto"/>
              <w:right w:val="single" w:sz="8" w:space="0" w:color="auto"/>
            </w:tcBorders>
            <w:shd w:val="clear" w:color="auto" w:fill="auto"/>
            <w:vAlign w:val="center"/>
            <w:hideMark/>
          </w:tcPr>
          <w:p w14:paraId="4A552077"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Magistrado Presidente</w:t>
            </w:r>
          </w:p>
        </w:tc>
        <w:tc>
          <w:tcPr>
            <w:tcW w:w="3320" w:type="dxa"/>
            <w:tcBorders>
              <w:top w:val="nil"/>
              <w:left w:val="nil"/>
              <w:bottom w:val="single" w:sz="8" w:space="0" w:color="auto"/>
              <w:right w:val="single" w:sz="8" w:space="0" w:color="auto"/>
            </w:tcBorders>
            <w:shd w:val="clear" w:color="auto" w:fill="auto"/>
            <w:vAlign w:val="center"/>
            <w:hideMark/>
          </w:tcPr>
          <w:p w14:paraId="3ECB3F69"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Magistrado Presidente</w:t>
            </w:r>
          </w:p>
        </w:tc>
      </w:tr>
      <w:tr w:rsidR="006B501C" w:rsidRPr="00386C33" w14:paraId="0264C13A"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0DC778DD"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38745C93"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4 Magistrados</w:t>
            </w:r>
          </w:p>
        </w:tc>
        <w:tc>
          <w:tcPr>
            <w:tcW w:w="3320" w:type="dxa"/>
            <w:tcBorders>
              <w:top w:val="nil"/>
              <w:left w:val="nil"/>
              <w:bottom w:val="single" w:sz="8" w:space="0" w:color="auto"/>
              <w:right w:val="single" w:sz="8" w:space="0" w:color="auto"/>
            </w:tcBorders>
            <w:shd w:val="clear" w:color="auto" w:fill="auto"/>
            <w:vAlign w:val="center"/>
            <w:hideMark/>
          </w:tcPr>
          <w:p w14:paraId="63104645"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4 Magistrados</w:t>
            </w:r>
          </w:p>
        </w:tc>
      </w:tr>
      <w:tr w:rsidR="006B501C" w:rsidRPr="00386C33" w14:paraId="009D2968"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6E5580B8"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61380AF4"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19 Profesionales en Derecho 3B</w:t>
            </w:r>
          </w:p>
        </w:tc>
        <w:tc>
          <w:tcPr>
            <w:tcW w:w="3320" w:type="dxa"/>
            <w:tcBorders>
              <w:top w:val="nil"/>
              <w:left w:val="nil"/>
              <w:bottom w:val="single" w:sz="8" w:space="0" w:color="auto"/>
              <w:right w:val="single" w:sz="8" w:space="0" w:color="auto"/>
            </w:tcBorders>
            <w:shd w:val="clear" w:color="auto" w:fill="auto"/>
            <w:vAlign w:val="center"/>
            <w:hideMark/>
          </w:tcPr>
          <w:p w14:paraId="3E092A00"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22 Profesionales en Derecho 3B</w:t>
            </w:r>
          </w:p>
        </w:tc>
      </w:tr>
      <w:tr w:rsidR="006B501C" w:rsidRPr="00386C33" w14:paraId="169D0C34"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284A215F"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3EEF01E5"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Secretario Sala</w:t>
            </w:r>
          </w:p>
        </w:tc>
        <w:tc>
          <w:tcPr>
            <w:tcW w:w="3320" w:type="dxa"/>
            <w:tcBorders>
              <w:top w:val="nil"/>
              <w:left w:val="nil"/>
              <w:bottom w:val="single" w:sz="8" w:space="0" w:color="auto"/>
              <w:right w:val="single" w:sz="8" w:space="0" w:color="auto"/>
            </w:tcBorders>
            <w:shd w:val="clear" w:color="auto" w:fill="auto"/>
            <w:vAlign w:val="center"/>
            <w:hideMark/>
          </w:tcPr>
          <w:p w14:paraId="72287F00"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Secretario Sala</w:t>
            </w:r>
          </w:p>
        </w:tc>
      </w:tr>
      <w:tr w:rsidR="006B501C" w:rsidRPr="00386C33" w14:paraId="3D65B1DF"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21E9DB45"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238D9845"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Secretaria Ejecutiva 3</w:t>
            </w:r>
          </w:p>
        </w:tc>
        <w:tc>
          <w:tcPr>
            <w:tcW w:w="3320" w:type="dxa"/>
            <w:tcBorders>
              <w:top w:val="nil"/>
              <w:left w:val="nil"/>
              <w:bottom w:val="single" w:sz="8" w:space="0" w:color="auto"/>
              <w:right w:val="single" w:sz="8" w:space="0" w:color="auto"/>
            </w:tcBorders>
            <w:shd w:val="clear" w:color="auto" w:fill="auto"/>
            <w:vAlign w:val="center"/>
            <w:hideMark/>
          </w:tcPr>
          <w:p w14:paraId="0A175D5F"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Secretaria Ejecutiva 3</w:t>
            </w:r>
          </w:p>
        </w:tc>
      </w:tr>
      <w:tr w:rsidR="006B501C" w:rsidRPr="00386C33" w14:paraId="0E3E3FB3"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01657FDF"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2DE748E8"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5 Secretaria Ejecutiva 2</w:t>
            </w:r>
          </w:p>
        </w:tc>
        <w:tc>
          <w:tcPr>
            <w:tcW w:w="3320" w:type="dxa"/>
            <w:tcBorders>
              <w:top w:val="nil"/>
              <w:left w:val="nil"/>
              <w:bottom w:val="single" w:sz="8" w:space="0" w:color="auto"/>
              <w:right w:val="single" w:sz="8" w:space="0" w:color="auto"/>
            </w:tcBorders>
            <w:shd w:val="clear" w:color="auto" w:fill="auto"/>
            <w:vAlign w:val="center"/>
            <w:hideMark/>
          </w:tcPr>
          <w:p w14:paraId="1CE4BD48"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5 Secretaria Ejecutiva 2</w:t>
            </w:r>
          </w:p>
        </w:tc>
      </w:tr>
      <w:tr w:rsidR="006B501C" w:rsidRPr="00386C33" w14:paraId="41066FFF"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051E6B45"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7B05D87E"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3 Técnico Sala de la Corte</w:t>
            </w:r>
          </w:p>
        </w:tc>
        <w:tc>
          <w:tcPr>
            <w:tcW w:w="3320" w:type="dxa"/>
            <w:tcBorders>
              <w:top w:val="nil"/>
              <w:left w:val="nil"/>
              <w:bottom w:val="single" w:sz="8" w:space="0" w:color="auto"/>
              <w:right w:val="single" w:sz="8" w:space="0" w:color="auto"/>
            </w:tcBorders>
            <w:shd w:val="clear" w:color="auto" w:fill="auto"/>
            <w:vAlign w:val="center"/>
            <w:hideMark/>
          </w:tcPr>
          <w:p w14:paraId="2A4F5897"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5 Técnico Sala de la Corte</w:t>
            </w:r>
          </w:p>
        </w:tc>
      </w:tr>
      <w:tr w:rsidR="006B501C" w:rsidRPr="00386C33" w14:paraId="3F5F46BC"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2F036CFE"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31792092"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 xml:space="preserve">6 Técnicos Judiciales 3 </w:t>
            </w:r>
          </w:p>
        </w:tc>
        <w:tc>
          <w:tcPr>
            <w:tcW w:w="3320" w:type="dxa"/>
            <w:tcBorders>
              <w:top w:val="nil"/>
              <w:left w:val="nil"/>
              <w:bottom w:val="single" w:sz="8" w:space="0" w:color="auto"/>
              <w:right w:val="single" w:sz="8" w:space="0" w:color="auto"/>
            </w:tcBorders>
            <w:shd w:val="clear" w:color="auto" w:fill="auto"/>
            <w:vAlign w:val="center"/>
            <w:hideMark/>
          </w:tcPr>
          <w:p w14:paraId="0EE341C8"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 xml:space="preserve">8 Técnicos Judiciales 3 </w:t>
            </w:r>
          </w:p>
        </w:tc>
      </w:tr>
      <w:tr w:rsidR="006B501C" w:rsidRPr="00386C33" w14:paraId="44B0C5A6" w14:textId="77777777" w:rsidTr="00035934">
        <w:trPr>
          <w:trHeight w:val="590"/>
        </w:trPr>
        <w:tc>
          <w:tcPr>
            <w:tcW w:w="2460" w:type="dxa"/>
            <w:vMerge/>
            <w:tcBorders>
              <w:top w:val="nil"/>
              <w:left w:val="single" w:sz="8" w:space="0" w:color="auto"/>
              <w:bottom w:val="single" w:sz="8" w:space="0" w:color="000000"/>
              <w:right w:val="single" w:sz="8" w:space="0" w:color="auto"/>
            </w:tcBorders>
            <w:vAlign w:val="center"/>
            <w:hideMark/>
          </w:tcPr>
          <w:p w14:paraId="45297329"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6233D611"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Técnico Judicial Comunicaciones Judiciales</w:t>
            </w:r>
          </w:p>
        </w:tc>
        <w:tc>
          <w:tcPr>
            <w:tcW w:w="3320" w:type="dxa"/>
            <w:tcBorders>
              <w:top w:val="nil"/>
              <w:left w:val="nil"/>
              <w:bottom w:val="single" w:sz="8" w:space="0" w:color="auto"/>
              <w:right w:val="single" w:sz="8" w:space="0" w:color="auto"/>
            </w:tcBorders>
            <w:shd w:val="clear" w:color="auto" w:fill="auto"/>
            <w:vAlign w:val="center"/>
            <w:hideMark/>
          </w:tcPr>
          <w:p w14:paraId="79A832C6"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Técnico Judicial Comunicaciones Judiciales</w:t>
            </w:r>
          </w:p>
        </w:tc>
      </w:tr>
      <w:tr w:rsidR="006B501C" w:rsidRPr="00386C33" w14:paraId="312E098E"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4C9B448D"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7BA1A77E"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Aux. Serv. Generales 4</w:t>
            </w:r>
          </w:p>
        </w:tc>
        <w:tc>
          <w:tcPr>
            <w:tcW w:w="3320" w:type="dxa"/>
            <w:tcBorders>
              <w:top w:val="nil"/>
              <w:left w:val="nil"/>
              <w:bottom w:val="single" w:sz="8" w:space="0" w:color="auto"/>
              <w:right w:val="single" w:sz="8" w:space="0" w:color="auto"/>
            </w:tcBorders>
            <w:shd w:val="clear" w:color="auto" w:fill="auto"/>
            <w:vAlign w:val="center"/>
            <w:hideMark/>
          </w:tcPr>
          <w:p w14:paraId="03A3778D"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1 Aux. Serv. Generales 4</w:t>
            </w:r>
          </w:p>
        </w:tc>
      </w:tr>
      <w:tr w:rsidR="006B501C" w:rsidRPr="00386C33" w14:paraId="479B2894" w14:textId="77777777" w:rsidTr="00035934">
        <w:trPr>
          <w:trHeight w:val="300"/>
        </w:trPr>
        <w:tc>
          <w:tcPr>
            <w:tcW w:w="2460" w:type="dxa"/>
            <w:vMerge/>
            <w:tcBorders>
              <w:top w:val="nil"/>
              <w:left w:val="single" w:sz="8" w:space="0" w:color="auto"/>
              <w:bottom w:val="single" w:sz="8" w:space="0" w:color="000000"/>
              <w:right w:val="single" w:sz="8" w:space="0" w:color="auto"/>
            </w:tcBorders>
            <w:vAlign w:val="center"/>
            <w:hideMark/>
          </w:tcPr>
          <w:p w14:paraId="4E31624E" w14:textId="77777777" w:rsidR="006B501C" w:rsidRPr="00386C33" w:rsidRDefault="006B501C" w:rsidP="00035934">
            <w:pPr>
              <w:spacing w:after="0" w:line="240" w:lineRule="auto"/>
              <w:rPr>
                <w:rFonts w:ascii="Book Antiqua" w:eastAsia="Times New Roman" w:hAnsi="Book Antiqua" w:cs="Calibri"/>
                <w:color w:val="000000"/>
                <w:lang w:eastAsia="es-CR"/>
              </w:rPr>
            </w:pPr>
          </w:p>
        </w:tc>
        <w:tc>
          <w:tcPr>
            <w:tcW w:w="3260" w:type="dxa"/>
            <w:tcBorders>
              <w:top w:val="nil"/>
              <w:left w:val="nil"/>
              <w:bottom w:val="single" w:sz="8" w:space="0" w:color="auto"/>
              <w:right w:val="single" w:sz="8" w:space="0" w:color="auto"/>
            </w:tcBorders>
            <w:shd w:val="clear" w:color="auto" w:fill="auto"/>
            <w:vAlign w:val="center"/>
            <w:hideMark/>
          </w:tcPr>
          <w:p w14:paraId="57951C62"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2 Aux. Serv. Generales 2</w:t>
            </w:r>
          </w:p>
        </w:tc>
        <w:tc>
          <w:tcPr>
            <w:tcW w:w="3320" w:type="dxa"/>
            <w:tcBorders>
              <w:top w:val="nil"/>
              <w:left w:val="nil"/>
              <w:bottom w:val="single" w:sz="8" w:space="0" w:color="auto"/>
              <w:right w:val="single" w:sz="8" w:space="0" w:color="auto"/>
            </w:tcBorders>
            <w:shd w:val="clear" w:color="auto" w:fill="auto"/>
            <w:vAlign w:val="center"/>
            <w:hideMark/>
          </w:tcPr>
          <w:p w14:paraId="0E6EB179" w14:textId="77777777" w:rsidR="006B501C" w:rsidRPr="00386C33" w:rsidRDefault="006B501C" w:rsidP="00035934">
            <w:pPr>
              <w:spacing w:after="0" w:line="240" w:lineRule="auto"/>
              <w:jc w:val="both"/>
              <w:rPr>
                <w:rFonts w:ascii="Book Antiqua" w:eastAsia="Times New Roman" w:hAnsi="Book Antiqua" w:cs="Calibri"/>
                <w:color w:val="000000"/>
                <w:lang w:eastAsia="es-CR"/>
              </w:rPr>
            </w:pPr>
            <w:r w:rsidRPr="00386C33">
              <w:rPr>
                <w:rFonts w:ascii="Book Antiqua" w:eastAsia="Times New Roman" w:hAnsi="Book Antiqua" w:cs="Calibri"/>
                <w:color w:val="000000"/>
                <w:lang w:eastAsia="es-CR"/>
              </w:rPr>
              <w:t>2 Aux. Serv. Generales 2</w:t>
            </w:r>
          </w:p>
        </w:tc>
      </w:tr>
    </w:tbl>
    <w:p w14:paraId="26708365" w14:textId="77777777" w:rsidR="006B501C" w:rsidRPr="001D0C10" w:rsidRDefault="006B501C" w:rsidP="006B501C">
      <w:pPr>
        <w:spacing w:after="0" w:line="276" w:lineRule="auto"/>
        <w:jc w:val="both"/>
        <w:rPr>
          <w:rFonts w:ascii="Book Antiqua" w:eastAsia="Calibri" w:hAnsi="Book Antiqua" w:cs="Arial"/>
          <w:i/>
          <w:iCs/>
          <w:sz w:val="20"/>
          <w:szCs w:val="20"/>
        </w:rPr>
      </w:pPr>
      <w:r w:rsidRPr="001D0C10">
        <w:rPr>
          <w:rFonts w:ascii="Book Antiqua" w:eastAsia="Calibri" w:hAnsi="Book Antiqua" w:cs="Arial"/>
          <w:b/>
          <w:bCs/>
          <w:i/>
          <w:iCs/>
          <w:sz w:val="20"/>
          <w:szCs w:val="20"/>
        </w:rPr>
        <w:t>Fuente:</w:t>
      </w:r>
      <w:r w:rsidRPr="001D0C10">
        <w:rPr>
          <w:rFonts w:ascii="Book Antiqua" w:eastAsia="Calibri" w:hAnsi="Book Antiqua" w:cs="Arial"/>
          <w:i/>
          <w:iCs/>
          <w:sz w:val="20"/>
          <w:szCs w:val="20"/>
        </w:rPr>
        <w:t xml:space="preserve"> Modernización Institucional.</w:t>
      </w:r>
    </w:p>
    <w:bookmarkEnd w:id="58"/>
    <w:p w14:paraId="456D740F" w14:textId="77777777" w:rsidR="006B501C" w:rsidRDefault="006B501C" w:rsidP="006B501C">
      <w:pPr>
        <w:spacing w:after="0" w:line="276" w:lineRule="auto"/>
        <w:jc w:val="both"/>
        <w:rPr>
          <w:rFonts w:ascii="Book Antiqua" w:eastAsia="Calibri" w:hAnsi="Book Antiqua" w:cs="Arial"/>
          <w:sz w:val="24"/>
          <w:szCs w:val="24"/>
        </w:rPr>
      </w:pPr>
    </w:p>
    <w:p w14:paraId="130A5066" w14:textId="77777777" w:rsidR="006B501C" w:rsidRDefault="006B501C" w:rsidP="006B501C">
      <w:pPr>
        <w:spacing w:after="0" w:line="276" w:lineRule="auto"/>
        <w:jc w:val="both"/>
        <w:rPr>
          <w:rFonts w:ascii="Book Antiqua" w:eastAsia="Calibri" w:hAnsi="Book Antiqua" w:cs="Arial"/>
          <w:sz w:val="24"/>
          <w:szCs w:val="24"/>
        </w:rPr>
      </w:pPr>
    </w:p>
    <w:p w14:paraId="40F8B627" w14:textId="56E1BE46" w:rsidR="006B501C" w:rsidRDefault="006B501C" w:rsidP="006B501C">
      <w:pPr>
        <w:spacing w:after="0" w:line="276" w:lineRule="auto"/>
        <w:jc w:val="both"/>
        <w:rPr>
          <w:rFonts w:ascii="Book Antiqua" w:eastAsia="Calibri" w:hAnsi="Book Antiqua" w:cs="Arial"/>
          <w:b/>
          <w:bCs/>
          <w:sz w:val="24"/>
          <w:szCs w:val="24"/>
        </w:rPr>
      </w:pPr>
      <w:r>
        <w:rPr>
          <w:rFonts w:ascii="Book Antiqua" w:eastAsia="Calibri" w:hAnsi="Book Antiqua" w:cs="Arial"/>
          <w:sz w:val="24"/>
          <w:szCs w:val="24"/>
        </w:rPr>
        <w:t xml:space="preserve">El </w:t>
      </w:r>
      <w:r w:rsidRPr="008142B1">
        <w:rPr>
          <w:rFonts w:ascii="Book Antiqua" w:eastAsia="Calibri" w:hAnsi="Book Antiqua" w:cs="Arial"/>
          <w:sz w:val="24"/>
          <w:szCs w:val="24"/>
        </w:rPr>
        <w:t xml:space="preserve">costo anual </w:t>
      </w:r>
      <w:r>
        <w:rPr>
          <w:rFonts w:ascii="Book Antiqua" w:eastAsia="Calibri" w:hAnsi="Book Antiqua" w:cs="Arial"/>
          <w:sz w:val="24"/>
          <w:szCs w:val="24"/>
        </w:rPr>
        <w:t>de la propuesta de</w:t>
      </w:r>
      <w:r w:rsidRPr="008142B1">
        <w:rPr>
          <w:rFonts w:ascii="Book Antiqua" w:eastAsia="Calibri" w:hAnsi="Book Antiqua" w:cs="Arial"/>
          <w:sz w:val="24"/>
          <w:szCs w:val="24"/>
        </w:rPr>
        <w:t xml:space="preserve"> creación de </w:t>
      </w:r>
      <w:r>
        <w:rPr>
          <w:rFonts w:ascii="Book Antiqua" w:eastAsia="Calibri" w:hAnsi="Book Antiqua" w:cs="Arial"/>
          <w:sz w:val="24"/>
          <w:szCs w:val="24"/>
        </w:rPr>
        <w:t>tres</w:t>
      </w:r>
      <w:r w:rsidRPr="008142B1">
        <w:rPr>
          <w:rFonts w:ascii="Book Antiqua" w:eastAsia="Calibri" w:hAnsi="Book Antiqua" w:cs="Arial"/>
          <w:sz w:val="24"/>
          <w:szCs w:val="24"/>
        </w:rPr>
        <w:t xml:space="preserve"> plaza</w:t>
      </w:r>
      <w:r>
        <w:rPr>
          <w:rFonts w:ascii="Book Antiqua" w:eastAsia="Calibri" w:hAnsi="Book Antiqua" w:cs="Arial"/>
          <w:sz w:val="24"/>
          <w:szCs w:val="24"/>
        </w:rPr>
        <w:t>s</w:t>
      </w:r>
      <w:r w:rsidRPr="008142B1">
        <w:rPr>
          <w:rFonts w:ascii="Book Antiqua" w:eastAsia="Calibri" w:hAnsi="Book Antiqua" w:cs="Arial"/>
          <w:sz w:val="24"/>
          <w:szCs w:val="24"/>
        </w:rPr>
        <w:t xml:space="preserve"> de</w:t>
      </w:r>
      <w:r>
        <w:rPr>
          <w:rFonts w:ascii="Book Antiqua" w:eastAsia="Calibri" w:hAnsi="Book Antiqua" w:cs="Arial"/>
          <w:sz w:val="24"/>
          <w:szCs w:val="24"/>
        </w:rPr>
        <w:t xml:space="preserve"> Profesional en Derecho 3B, dos Técnicos de Sala de la Corte y d</w:t>
      </w:r>
      <w:r w:rsidRPr="008142B1">
        <w:rPr>
          <w:rFonts w:ascii="Book Antiqua" w:eastAsia="Calibri" w:hAnsi="Book Antiqua" w:cs="Arial"/>
          <w:sz w:val="24"/>
          <w:szCs w:val="24"/>
        </w:rPr>
        <w:t xml:space="preserve">os plazas de Técnico Judicial </w:t>
      </w:r>
      <w:r>
        <w:rPr>
          <w:rFonts w:ascii="Book Antiqua" w:eastAsia="Calibri" w:hAnsi="Book Antiqua" w:cs="Arial"/>
          <w:sz w:val="24"/>
          <w:szCs w:val="24"/>
        </w:rPr>
        <w:t>3</w:t>
      </w:r>
      <w:r w:rsidRPr="008142B1">
        <w:rPr>
          <w:rFonts w:ascii="Book Antiqua" w:eastAsia="Calibri" w:hAnsi="Book Antiqua" w:cs="Arial"/>
          <w:sz w:val="24"/>
          <w:szCs w:val="24"/>
        </w:rPr>
        <w:t xml:space="preserve"> es de </w:t>
      </w:r>
      <w:r w:rsidRPr="001D0C10">
        <w:rPr>
          <w:rFonts w:ascii="Times New Roman" w:eastAsia="Calibri" w:hAnsi="Times New Roman" w:cs="Times New Roman"/>
          <w:b/>
          <w:bCs/>
          <w:sz w:val="24"/>
          <w:szCs w:val="24"/>
        </w:rPr>
        <w:t>₡228.369.000</w:t>
      </w:r>
      <w:r w:rsidRPr="001D0C10">
        <w:rPr>
          <w:rFonts w:ascii="Book Antiqua" w:eastAsia="Calibri" w:hAnsi="Book Antiqua" w:cs="Arial"/>
          <w:b/>
          <w:bCs/>
          <w:sz w:val="24"/>
          <w:szCs w:val="24"/>
        </w:rPr>
        <w:t>.00</w:t>
      </w:r>
      <w:r>
        <w:rPr>
          <w:rFonts w:ascii="Book Antiqua" w:eastAsia="Calibri" w:hAnsi="Book Antiqua" w:cs="Arial"/>
          <w:b/>
          <w:bCs/>
          <w:sz w:val="24"/>
          <w:szCs w:val="24"/>
        </w:rPr>
        <w:t xml:space="preserve">, </w:t>
      </w:r>
      <w:r w:rsidRPr="006B501C">
        <w:rPr>
          <w:rFonts w:ascii="Book Antiqua" w:eastAsia="Calibri" w:hAnsi="Book Antiqua" w:cs="Arial"/>
          <w:sz w:val="24"/>
          <w:szCs w:val="24"/>
        </w:rPr>
        <w:t xml:space="preserve">considerando los costos </w:t>
      </w:r>
      <w:r>
        <w:rPr>
          <w:rFonts w:ascii="Book Antiqua" w:eastAsia="Calibri" w:hAnsi="Book Antiqua" w:cs="Arial"/>
          <w:sz w:val="24"/>
          <w:szCs w:val="24"/>
        </w:rPr>
        <w:t xml:space="preserve">anuales </w:t>
      </w:r>
      <w:r w:rsidRPr="006B501C">
        <w:rPr>
          <w:rFonts w:ascii="Book Antiqua" w:eastAsia="Calibri" w:hAnsi="Book Antiqua" w:cs="Arial"/>
          <w:sz w:val="24"/>
          <w:szCs w:val="24"/>
        </w:rPr>
        <w:t>por tipo de puesto del siguiente cuadro:</w:t>
      </w:r>
      <w:r>
        <w:rPr>
          <w:rFonts w:ascii="Book Antiqua" w:eastAsia="Calibri" w:hAnsi="Book Antiqua" w:cs="Arial"/>
          <w:b/>
          <w:bCs/>
          <w:sz w:val="24"/>
          <w:szCs w:val="24"/>
        </w:rPr>
        <w:t xml:space="preserve"> </w:t>
      </w:r>
    </w:p>
    <w:p w14:paraId="47122F1C" w14:textId="77777777" w:rsidR="006B501C" w:rsidRPr="008142B1" w:rsidRDefault="006B501C" w:rsidP="006B501C">
      <w:pPr>
        <w:spacing w:after="0" w:line="276" w:lineRule="auto"/>
        <w:jc w:val="both"/>
        <w:rPr>
          <w:rFonts w:ascii="Book Antiqua" w:eastAsia="Calibri" w:hAnsi="Book Antiqua" w:cs="Arial"/>
          <w:sz w:val="24"/>
          <w:szCs w:val="24"/>
        </w:rPr>
      </w:pPr>
    </w:p>
    <w:p w14:paraId="7A4421BF" w14:textId="7B2363C5" w:rsidR="006B501C" w:rsidRPr="008142B1" w:rsidRDefault="006B501C" w:rsidP="006B501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142B1">
        <w:rPr>
          <w:rFonts w:ascii="Book Antiqua" w:eastAsia="Calibri" w:hAnsi="Book Antiqua" w:cs="Arial"/>
          <w:b/>
          <w:bCs/>
          <w:color w:val="1F497D"/>
          <w:szCs w:val="24"/>
          <w:lang w:val="es-ES" w:eastAsia="es-ES"/>
        </w:rPr>
        <w:t xml:space="preserve">Cuadro </w:t>
      </w:r>
      <w:r w:rsidRPr="008142B1">
        <w:rPr>
          <w:rFonts w:ascii="Book Antiqua" w:eastAsia="Calibri" w:hAnsi="Book Antiqua" w:cs="Arial"/>
          <w:b/>
          <w:bCs/>
          <w:color w:val="1F497D"/>
          <w:szCs w:val="24"/>
          <w:lang w:val="es-ES" w:eastAsia="es-ES"/>
        </w:rPr>
        <w:fldChar w:fldCharType="begin"/>
      </w:r>
      <w:r w:rsidRPr="008142B1">
        <w:rPr>
          <w:rFonts w:ascii="Book Antiqua" w:eastAsia="Calibri" w:hAnsi="Book Antiqua" w:cs="Arial"/>
          <w:b/>
          <w:bCs/>
          <w:color w:val="1F497D"/>
          <w:szCs w:val="24"/>
          <w:lang w:val="es-ES" w:eastAsia="es-ES"/>
        </w:rPr>
        <w:instrText xml:space="preserve"> SEQ Cuadro \* ARABIC </w:instrText>
      </w:r>
      <w:r w:rsidRPr="008142B1">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color w:val="1F497D"/>
          <w:szCs w:val="24"/>
          <w:lang w:val="es-ES" w:eastAsia="es-ES"/>
        </w:rPr>
        <w:t>63</w:t>
      </w:r>
      <w:r w:rsidRPr="008142B1">
        <w:rPr>
          <w:rFonts w:ascii="Book Antiqua" w:eastAsia="Calibri" w:hAnsi="Book Antiqua" w:cs="Arial"/>
          <w:b/>
          <w:bCs/>
          <w:color w:val="1F497D"/>
          <w:szCs w:val="24"/>
          <w:lang w:val="es-ES" w:eastAsia="es-ES"/>
        </w:rPr>
        <w:fldChar w:fldCharType="end"/>
      </w:r>
      <w:r w:rsidRPr="008142B1">
        <w:rPr>
          <w:rFonts w:ascii="Book Antiqua" w:eastAsia="Calibri" w:hAnsi="Book Antiqua" w:cs="Arial"/>
          <w:b/>
          <w:bCs/>
          <w:color w:val="1F497D"/>
          <w:szCs w:val="24"/>
          <w:lang w:val="es-ES" w:eastAsia="es-ES"/>
        </w:rPr>
        <w:t xml:space="preserve"> </w:t>
      </w:r>
    </w:p>
    <w:p w14:paraId="22CFA535" w14:textId="77777777" w:rsidR="006B501C" w:rsidRPr="008142B1" w:rsidRDefault="006B501C" w:rsidP="006B501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8142B1">
        <w:rPr>
          <w:rFonts w:ascii="Book Antiqua" w:eastAsia="Calibri" w:hAnsi="Book Antiqua" w:cs="Arial"/>
          <w:b/>
          <w:bCs/>
          <w:color w:val="1F497D"/>
          <w:szCs w:val="24"/>
          <w:lang w:val="es-ES" w:eastAsia="es-ES"/>
        </w:rPr>
        <w:t xml:space="preserve">Costo de estructura propuesta para </w:t>
      </w:r>
      <w:r>
        <w:rPr>
          <w:rFonts w:ascii="Book Antiqua" w:eastAsia="Calibri" w:hAnsi="Book Antiqua" w:cs="Arial"/>
          <w:b/>
          <w:bCs/>
          <w:color w:val="1F497D"/>
          <w:szCs w:val="24"/>
          <w:lang w:val="es-ES" w:eastAsia="es-ES"/>
        </w:rPr>
        <w:t>la Sala Segunda</w:t>
      </w:r>
    </w:p>
    <w:tbl>
      <w:tblPr>
        <w:tblW w:w="5000" w:type="pct"/>
        <w:tblCellMar>
          <w:left w:w="70" w:type="dxa"/>
          <w:right w:w="70" w:type="dxa"/>
        </w:tblCellMar>
        <w:tblLook w:val="04A0" w:firstRow="1" w:lastRow="0" w:firstColumn="1" w:lastColumn="0" w:noHBand="0" w:noVBand="1"/>
      </w:tblPr>
      <w:tblGrid>
        <w:gridCol w:w="1558"/>
        <w:gridCol w:w="1429"/>
        <w:gridCol w:w="1292"/>
        <w:gridCol w:w="1887"/>
        <w:gridCol w:w="1153"/>
        <w:gridCol w:w="1514"/>
      </w:tblGrid>
      <w:tr w:rsidR="001A4A80" w:rsidRPr="001A4A80" w14:paraId="4802845A" w14:textId="77777777" w:rsidTr="001A4A80">
        <w:trPr>
          <w:trHeight w:val="620"/>
        </w:trPr>
        <w:tc>
          <w:tcPr>
            <w:tcW w:w="762" w:type="pct"/>
            <w:vMerge w:val="restart"/>
            <w:tcBorders>
              <w:top w:val="nil"/>
              <w:left w:val="nil"/>
              <w:bottom w:val="single" w:sz="4" w:space="0" w:color="000000"/>
              <w:right w:val="single" w:sz="4" w:space="0" w:color="auto"/>
            </w:tcBorders>
            <w:shd w:val="clear" w:color="000000" w:fill="002060"/>
            <w:vAlign w:val="center"/>
            <w:hideMark/>
          </w:tcPr>
          <w:p w14:paraId="5FACD515" w14:textId="77777777" w:rsidR="001A4A80" w:rsidRPr="001A4A80" w:rsidRDefault="001A4A80" w:rsidP="001A4A80">
            <w:pPr>
              <w:spacing w:after="0" w:line="240" w:lineRule="auto"/>
              <w:jc w:val="center"/>
              <w:rPr>
                <w:rFonts w:ascii="Book Antiqua" w:eastAsia="Times New Roman" w:hAnsi="Book Antiqua" w:cs="Calibri"/>
                <w:b/>
                <w:bCs/>
                <w:color w:val="FFFFFF"/>
                <w:lang w:eastAsia="es-CR"/>
              </w:rPr>
            </w:pPr>
            <w:r w:rsidRPr="001A4A80">
              <w:rPr>
                <w:rFonts w:ascii="Book Antiqua" w:eastAsia="Times New Roman" w:hAnsi="Book Antiqua" w:cs="Calibri"/>
                <w:b/>
                <w:bCs/>
                <w:color w:val="FFFFFF"/>
                <w:lang w:eastAsia="es-CR"/>
              </w:rPr>
              <w:t>Plaza nueva extraordinaria</w:t>
            </w:r>
          </w:p>
        </w:tc>
        <w:tc>
          <w:tcPr>
            <w:tcW w:w="927" w:type="pct"/>
            <w:tcBorders>
              <w:top w:val="single" w:sz="4" w:space="0" w:color="auto"/>
              <w:left w:val="nil"/>
              <w:bottom w:val="single" w:sz="4" w:space="0" w:color="auto"/>
              <w:right w:val="single" w:sz="4" w:space="0" w:color="auto"/>
            </w:tcBorders>
            <w:shd w:val="clear" w:color="000000" w:fill="002060"/>
            <w:vAlign w:val="center"/>
            <w:hideMark/>
          </w:tcPr>
          <w:p w14:paraId="04777680"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Clase ancha</w:t>
            </w:r>
          </w:p>
        </w:tc>
        <w:tc>
          <w:tcPr>
            <w:tcW w:w="848" w:type="pct"/>
            <w:tcBorders>
              <w:top w:val="single" w:sz="4" w:space="0" w:color="auto"/>
              <w:left w:val="nil"/>
              <w:bottom w:val="single" w:sz="4" w:space="0" w:color="auto"/>
              <w:right w:val="single" w:sz="4" w:space="0" w:color="auto"/>
            </w:tcBorders>
            <w:shd w:val="clear" w:color="000000" w:fill="002060"/>
            <w:vAlign w:val="center"/>
            <w:hideMark/>
          </w:tcPr>
          <w:p w14:paraId="7609C73E"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Clase angosta</w:t>
            </w:r>
          </w:p>
        </w:tc>
        <w:tc>
          <w:tcPr>
            <w:tcW w:w="1186" w:type="pct"/>
            <w:tcBorders>
              <w:top w:val="single" w:sz="4" w:space="0" w:color="auto"/>
              <w:left w:val="nil"/>
              <w:bottom w:val="single" w:sz="4" w:space="0" w:color="auto"/>
              <w:right w:val="single" w:sz="4" w:space="0" w:color="auto"/>
            </w:tcBorders>
            <w:shd w:val="clear" w:color="000000" w:fill="002060"/>
            <w:vAlign w:val="center"/>
            <w:hideMark/>
          </w:tcPr>
          <w:p w14:paraId="702D7EF2"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Costo del puesto anual</w:t>
            </w:r>
          </w:p>
        </w:tc>
        <w:tc>
          <w:tcPr>
            <w:tcW w:w="564" w:type="pct"/>
            <w:tcBorders>
              <w:top w:val="single" w:sz="4" w:space="0" w:color="auto"/>
              <w:left w:val="nil"/>
              <w:bottom w:val="single" w:sz="4" w:space="0" w:color="auto"/>
              <w:right w:val="single" w:sz="4" w:space="0" w:color="auto"/>
            </w:tcBorders>
            <w:shd w:val="clear" w:color="000000" w:fill="002060"/>
            <w:vAlign w:val="center"/>
            <w:hideMark/>
          </w:tcPr>
          <w:p w14:paraId="1C6BF9A2"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Cantidad</w:t>
            </w:r>
          </w:p>
        </w:tc>
        <w:tc>
          <w:tcPr>
            <w:tcW w:w="712" w:type="pct"/>
            <w:tcBorders>
              <w:top w:val="single" w:sz="4" w:space="0" w:color="auto"/>
              <w:left w:val="nil"/>
              <w:bottom w:val="single" w:sz="4" w:space="0" w:color="auto"/>
              <w:right w:val="single" w:sz="4" w:space="0" w:color="auto"/>
            </w:tcBorders>
            <w:shd w:val="clear" w:color="000000" w:fill="002060"/>
            <w:vAlign w:val="center"/>
            <w:hideMark/>
          </w:tcPr>
          <w:p w14:paraId="75548F18" w14:textId="77777777" w:rsidR="001A4A80" w:rsidRPr="001A4A80" w:rsidRDefault="001A4A80" w:rsidP="001A4A80">
            <w:pPr>
              <w:spacing w:after="0" w:line="240" w:lineRule="auto"/>
              <w:jc w:val="center"/>
              <w:rPr>
                <w:rFonts w:ascii="Book Antiqua" w:eastAsia="Times New Roman" w:hAnsi="Book Antiqua" w:cs="Calibri"/>
                <w:b/>
                <w:bCs/>
                <w:color w:val="FFFFFF"/>
                <w:sz w:val="24"/>
                <w:szCs w:val="24"/>
                <w:lang w:eastAsia="es-CR"/>
              </w:rPr>
            </w:pPr>
            <w:r w:rsidRPr="001A4A80">
              <w:rPr>
                <w:rFonts w:ascii="Book Antiqua" w:eastAsia="Times New Roman" w:hAnsi="Book Antiqua" w:cs="Calibri"/>
                <w:b/>
                <w:bCs/>
                <w:color w:val="FFFFFF"/>
                <w:sz w:val="24"/>
                <w:szCs w:val="24"/>
                <w:lang w:eastAsia="es-CR"/>
              </w:rPr>
              <w:t>Costo total</w:t>
            </w:r>
          </w:p>
        </w:tc>
      </w:tr>
      <w:tr w:rsidR="001A4A80" w:rsidRPr="001A4A80" w14:paraId="2650A2B7" w14:textId="77777777" w:rsidTr="001A4A80">
        <w:trPr>
          <w:trHeight w:val="580"/>
        </w:trPr>
        <w:tc>
          <w:tcPr>
            <w:tcW w:w="762" w:type="pct"/>
            <w:vMerge/>
            <w:tcBorders>
              <w:top w:val="nil"/>
              <w:left w:val="nil"/>
              <w:bottom w:val="single" w:sz="4" w:space="0" w:color="000000"/>
              <w:right w:val="single" w:sz="4" w:space="0" w:color="auto"/>
            </w:tcBorders>
            <w:vAlign w:val="center"/>
            <w:hideMark/>
          </w:tcPr>
          <w:p w14:paraId="239C5B9F" w14:textId="77777777" w:rsidR="001A4A80" w:rsidRPr="001A4A80" w:rsidRDefault="001A4A80" w:rsidP="001A4A80">
            <w:pPr>
              <w:spacing w:after="0" w:line="240" w:lineRule="auto"/>
              <w:jc w:val="center"/>
              <w:rPr>
                <w:rFonts w:ascii="Book Antiqua" w:eastAsia="Times New Roman" w:hAnsi="Book Antiqua" w:cs="Calibri"/>
                <w:b/>
                <w:bCs/>
                <w:color w:val="FFFFFF"/>
                <w:lang w:eastAsia="es-CR"/>
              </w:rPr>
            </w:pPr>
          </w:p>
        </w:tc>
        <w:tc>
          <w:tcPr>
            <w:tcW w:w="927" w:type="pct"/>
            <w:tcBorders>
              <w:top w:val="nil"/>
              <w:left w:val="nil"/>
              <w:bottom w:val="single" w:sz="4" w:space="0" w:color="auto"/>
              <w:right w:val="single" w:sz="4" w:space="0" w:color="auto"/>
            </w:tcBorders>
            <w:shd w:val="clear" w:color="auto" w:fill="auto"/>
            <w:vAlign w:val="center"/>
            <w:hideMark/>
          </w:tcPr>
          <w:p w14:paraId="40739DF5"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Profesional Derecho 3B</w:t>
            </w:r>
          </w:p>
        </w:tc>
        <w:tc>
          <w:tcPr>
            <w:tcW w:w="848" w:type="pct"/>
            <w:tcBorders>
              <w:top w:val="nil"/>
              <w:left w:val="nil"/>
              <w:bottom w:val="single" w:sz="4" w:space="0" w:color="auto"/>
              <w:right w:val="single" w:sz="4" w:space="0" w:color="auto"/>
            </w:tcBorders>
            <w:shd w:val="clear" w:color="auto" w:fill="auto"/>
            <w:vAlign w:val="center"/>
            <w:hideMark/>
          </w:tcPr>
          <w:p w14:paraId="2E7F8683"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Abogado Asistente 3</w:t>
            </w:r>
          </w:p>
        </w:tc>
        <w:tc>
          <w:tcPr>
            <w:tcW w:w="1186" w:type="pct"/>
            <w:tcBorders>
              <w:top w:val="nil"/>
              <w:left w:val="nil"/>
              <w:bottom w:val="single" w:sz="4" w:space="0" w:color="auto"/>
              <w:right w:val="single" w:sz="4" w:space="0" w:color="auto"/>
            </w:tcBorders>
            <w:shd w:val="clear" w:color="auto" w:fill="auto"/>
            <w:vAlign w:val="center"/>
            <w:hideMark/>
          </w:tcPr>
          <w:p w14:paraId="6D582681"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54 073 000</w:t>
            </w:r>
          </w:p>
        </w:tc>
        <w:tc>
          <w:tcPr>
            <w:tcW w:w="564" w:type="pct"/>
            <w:tcBorders>
              <w:top w:val="nil"/>
              <w:left w:val="nil"/>
              <w:bottom w:val="single" w:sz="4" w:space="0" w:color="auto"/>
              <w:right w:val="single" w:sz="4" w:space="0" w:color="auto"/>
            </w:tcBorders>
            <w:shd w:val="clear" w:color="auto" w:fill="auto"/>
            <w:vAlign w:val="center"/>
            <w:hideMark/>
          </w:tcPr>
          <w:p w14:paraId="69CA17AD"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3</w:t>
            </w:r>
          </w:p>
        </w:tc>
        <w:tc>
          <w:tcPr>
            <w:tcW w:w="712" w:type="pct"/>
            <w:tcBorders>
              <w:top w:val="nil"/>
              <w:left w:val="nil"/>
              <w:bottom w:val="single" w:sz="4" w:space="0" w:color="auto"/>
              <w:right w:val="single" w:sz="4" w:space="0" w:color="auto"/>
            </w:tcBorders>
            <w:shd w:val="clear" w:color="auto" w:fill="auto"/>
            <w:vAlign w:val="center"/>
            <w:hideMark/>
          </w:tcPr>
          <w:p w14:paraId="08FB2895"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162 219 000</w:t>
            </w:r>
          </w:p>
        </w:tc>
      </w:tr>
      <w:tr w:rsidR="001A4A80" w:rsidRPr="001A4A80" w14:paraId="1C86DD4C" w14:textId="77777777" w:rsidTr="001A4A80">
        <w:trPr>
          <w:trHeight w:val="580"/>
        </w:trPr>
        <w:tc>
          <w:tcPr>
            <w:tcW w:w="762" w:type="pct"/>
            <w:vMerge/>
            <w:tcBorders>
              <w:top w:val="nil"/>
              <w:left w:val="nil"/>
              <w:bottom w:val="single" w:sz="4" w:space="0" w:color="000000"/>
              <w:right w:val="single" w:sz="4" w:space="0" w:color="auto"/>
            </w:tcBorders>
            <w:vAlign w:val="center"/>
            <w:hideMark/>
          </w:tcPr>
          <w:p w14:paraId="7E7EFE00" w14:textId="77777777" w:rsidR="001A4A80" w:rsidRPr="001A4A80" w:rsidRDefault="001A4A80" w:rsidP="001A4A80">
            <w:pPr>
              <w:spacing w:after="0" w:line="240" w:lineRule="auto"/>
              <w:jc w:val="center"/>
              <w:rPr>
                <w:rFonts w:ascii="Book Antiqua" w:eastAsia="Times New Roman" w:hAnsi="Book Antiqua" w:cs="Calibri"/>
                <w:b/>
                <w:bCs/>
                <w:color w:val="FFFFFF"/>
                <w:lang w:eastAsia="es-CR"/>
              </w:rPr>
            </w:pPr>
          </w:p>
        </w:tc>
        <w:tc>
          <w:tcPr>
            <w:tcW w:w="927" w:type="pct"/>
            <w:tcBorders>
              <w:top w:val="nil"/>
              <w:left w:val="nil"/>
              <w:bottom w:val="single" w:sz="4" w:space="0" w:color="auto"/>
              <w:right w:val="single" w:sz="4" w:space="0" w:color="auto"/>
            </w:tcBorders>
            <w:shd w:val="clear" w:color="auto" w:fill="auto"/>
            <w:vAlign w:val="center"/>
            <w:hideMark/>
          </w:tcPr>
          <w:p w14:paraId="68E336B1"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Técnico Sala de la Corte</w:t>
            </w:r>
          </w:p>
        </w:tc>
        <w:tc>
          <w:tcPr>
            <w:tcW w:w="848" w:type="pct"/>
            <w:tcBorders>
              <w:top w:val="nil"/>
              <w:left w:val="nil"/>
              <w:bottom w:val="single" w:sz="4" w:space="0" w:color="auto"/>
              <w:right w:val="single" w:sz="4" w:space="0" w:color="auto"/>
            </w:tcBorders>
            <w:shd w:val="clear" w:color="auto" w:fill="auto"/>
            <w:vAlign w:val="center"/>
            <w:hideMark/>
          </w:tcPr>
          <w:p w14:paraId="6FB60555"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Técnico Sala de la Corte</w:t>
            </w:r>
          </w:p>
        </w:tc>
        <w:tc>
          <w:tcPr>
            <w:tcW w:w="1186" w:type="pct"/>
            <w:tcBorders>
              <w:top w:val="nil"/>
              <w:left w:val="nil"/>
              <w:bottom w:val="single" w:sz="4" w:space="0" w:color="auto"/>
              <w:right w:val="single" w:sz="4" w:space="0" w:color="auto"/>
            </w:tcBorders>
            <w:shd w:val="clear" w:color="auto" w:fill="auto"/>
            <w:vAlign w:val="center"/>
            <w:hideMark/>
          </w:tcPr>
          <w:p w14:paraId="34F77056"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18 030 000</w:t>
            </w:r>
          </w:p>
        </w:tc>
        <w:tc>
          <w:tcPr>
            <w:tcW w:w="564" w:type="pct"/>
            <w:tcBorders>
              <w:top w:val="nil"/>
              <w:left w:val="nil"/>
              <w:bottom w:val="single" w:sz="4" w:space="0" w:color="auto"/>
              <w:right w:val="single" w:sz="4" w:space="0" w:color="auto"/>
            </w:tcBorders>
            <w:shd w:val="clear" w:color="auto" w:fill="auto"/>
            <w:vAlign w:val="center"/>
            <w:hideMark/>
          </w:tcPr>
          <w:p w14:paraId="139D60CC"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2</w:t>
            </w:r>
          </w:p>
        </w:tc>
        <w:tc>
          <w:tcPr>
            <w:tcW w:w="712" w:type="pct"/>
            <w:tcBorders>
              <w:top w:val="nil"/>
              <w:left w:val="nil"/>
              <w:bottom w:val="single" w:sz="4" w:space="0" w:color="auto"/>
              <w:right w:val="single" w:sz="4" w:space="0" w:color="auto"/>
            </w:tcBorders>
            <w:shd w:val="clear" w:color="auto" w:fill="auto"/>
            <w:vAlign w:val="center"/>
            <w:hideMark/>
          </w:tcPr>
          <w:p w14:paraId="17972583"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36 060 000</w:t>
            </w:r>
          </w:p>
        </w:tc>
      </w:tr>
      <w:tr w:rsidR="001A4A80" w:rsidRPr="001A4A80" w14:paraId="7539E954" w14:textId="77777777" w:rsidTr="001A4A80">
        <w:trPr>
          <w:trHeight w:val="290"/>
        </w:trPr>
        <w:tc>
          <w:tcPr>
            <w:tcW w:w="762" w:type="pct"/>
            <w:vMerge/>
            <w:tcBorders>
              <w:top w:val="nil"/>
              <w:left w:val="nil"/>
              <w:bottom w:val="single" w:sz="4" w:space="0" w:color="000000"/>
              <w:right w:val="single" w:sz="4" w:space="0" w:color="auto"/>
            </w:tcBorders>
            <w:vAlign w:val="center"/>
            <w:hideMark/>
          </w:tcPr>
          <w:p w14:paraId="7CE463C1" w14:textId="77777777" w:rsidR="001A4A80" w:rsidRPr="001A4A80" w:rsidRDefault="001A4A80" w:rsidP="001A4A80">
            <w:pPr>
              <w:spacing w:after="0" w:line="240" w:lineRule="auto"/>
              <w:jc w:val="center"/>
              <w:rPr>
                <w:rFonts w:ascii="Book Antiqua" w:eastAsia="Times New Roman" w:hAnsi="Book Antiqua" w:cs="Calibri"/>
                <w:b/>
                <w:bCs/>
                <w:color w:val="FFFFFF"/>
                <w:lang w:eastAsia="es-CR"/>
              </w:rPr>
            </w:pPr>
          </w:p>
        </w:tc>
        <w:tc>
          <w:tcPr>
            <w:tcW w:w="927" w:type="pct"/>
            <w:tcBorders>
              <w:top w:val="nil"/>
              <w:left w:val="nil"/>
              <w:bottom w:val="single" w:sz="4" w:space="0" w:color="auto"/>
              <w:right w:val="single" w:sz="4" w:space="0" w:color="auto"/>
            </w:tcBorders>
            <w:shd w:val="clear" w:color="auto" w:fill="auto"/>
            <w:vAlign w:val="center"/>
            <w:hideMark/>
          </w:tcPr>
          <w:p w14:paraId="60D3D753"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Técnico Judicial 3</w:t>
            </w:r>
          </w:p>
        </w:tc>
        <w:tc>
          <w:tcPr>
            <w:tcW w:w="848" w:type="pct"/>
            <w:tcBorders>
              <w:top w:val="nil"/>
              <w:left w:val="nil"/>
              <w:bottom w:val="single" w:sz="4" w:space="0" w:color="auto"/>
              <w:right w:val="single" w:sz="4" w:space="0" w:color="auto"/>
            </w:tcBorders>
            <w:shd w:val="clear" w:color="auto" w:fill="auto"/>
            <w:vAlign w:val="center"/>
            <w:hideMark/>
          </w:tcPr>
          <w:p w14:paraId="39F880DE"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Técnico Judicial</w:t>
            </w:r>
          </w:p>
        </w:tc>
        <w:tc>
          <w:tcPr>
            <w:tcW w:w="1186" w:type="pct"/>
            <w:tcBorders>
              <w:top w:val="nil"/>
              <w:left w:val="nil"/>
              <w:bottom w:val="single" w:sz="4" w:space="0" w:color="auto"/>
              <w:right w:val="single" w:sz="4" w:space="0" w:color="auto"/>
            </w:tcBorders>
            <w:shd w:val="clear" w:color="auto" w:fill="auto"/>
            <w:vAlign w:val="center"/>
            <w:hideMark/>
          </w:tcPr>
          <w:p w14:paraId="0D7485D7"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15 045 000</w:t>
            </w:r>
          </w:p>
        </w:tc>
        <w:tc>
          <w:tcPr>
            <w:tcW w:w="564" w:type="pct"/>
            <w:tcBorders>
              <w:top w:val="nil"/>
              <w:left w:val="nil"/>
              <w:bottom w:val="single" w:sz="4" w:space="0" w:color="auto"/>
              <w:right w:val="single" w:sz="4" w:space="0" w:color="auto"/>
            </w:tcBorders>
            <w:shd w:val="clear" w:color="auto" w:fill="auto"/>
            <w:vAlign w:val="center"/>
            <w:hideMark/>
          </w:tcPr>
          <w:p w14:paraId="4A3F3DA1"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Book Antiqua" w:eastAsia="Times New Roman" w:hAnsi="Book Antiqua" w:cs="Calibri"/>
                <w:color w:val="000000"/>
                <w:lang w:eastAsia="es-CR"/>
              </w:rPr>
              <w:t>2</w:t>
            </w:r>
          </w:p>
        </w:tc>
        <w:tc>
          <w:tcPr>
            <w:tcW w:w="712" w:type="pct"/>
            <w:tcBorders>
              <w:top w:val="nil"/>
              <w:left w:val="nil"/>
              <w:bottom w:val="single" w:sz="4" w:space="0" w:color="auto"/>
              <w:right w:val="single" w:sz="4" w:space="0" w:color="auto"/>
            </w:tcBorders>
            <w:shd w:val="clear" w:color="auto" w:fill="auto"/>
            <w:vAlign w:val="center"/>
            <w:hideMark/>
          </w:tcPr>
          <w:p w14:paraId="772C2FFD" w14:textId="77777777" w:rsidR="001A4A80" w:rsidRPr="001A4A80" w:rsidRDefault="001A4A80" w:rsidP="001A4A80">
            <w:pPr>
              <w:spacing w:after="0" w:line="240" w:lineRule="auto"/>
              <w:jc w:val="center"/>
              <w:rPr>
                <w:rFonts w:ascii="Book Antiqua" w:eastAsia="Times New Roman" w:hAnsi="Book Antiqua" w:cs="Calibri"/>
                <w:color w:val="000000"/>
                <w:lang w:eastAsia="es-CR"/>
              </w:rPr>
            </w:pPr>
            <w:r w:rsidRPr="001A4A80">
              <w:rPr>
                <w:rFonts w:ascii="Times New Roman" w:eastAsia="Times New Roman" w:hAnsi="Times New Roman" w:cs="Times New Roman"/>
                <w:color w:val="000000"/>
                <w:lang w:eastAsia="es-CR"/>
              </w:rPr>
              <w:t>₡</w:t>
            </w:r>
            <w:r w:rsidRPr="001A4A80">
              <w:rPr>
                <w:rFonts w:ascii="Book Antiqua" w:eastAsia="Times New Roman" w:hAnsi="Book Antiqua" w:cs="Calibri"/>
                <w:color w:val="000000"/>
                <w:lang w:eastAsia="es-CR"/>
              </w:rPr>
              <w:t>30 090 000</w:t>
            </w:r>
          </w:p>
        </w:tc>
      </w:tr>
      <w:tr w:rsidR="001A4A80" w:rsidRPr="001A4A80" w14:paraId="411ABD33" w14:textId="77777777" w:rsidTr="001A4A80">
        <w:trPr>
          <w:trHeight w:val="310"/>
        </w:trPr>
        <w:tc>
          <w:tcPr>
            <w:tcW w:w="2538"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9356C" w14:textId="77777777" w:rsidR="001A4A80" w:rsidRPr="001A4A80" w:rsidRDefault="001A4A80" w:rsidP="001A4A80">
            <w:pPr>
              <w:spacing w:after="0" w:line="240" w:lineRule="auto"/>
              <w:jc w:val="center"/>
              <w:rPr>
                <w:rFonts w:ascii="Book Antiqua" w:eastAsia="Times New Roman" w:hAnsi="Book Antiqua" w:cs="Calibri"/>
                <w:b/>
                <w:bCs/>
                <w:color w:val="000000"/>
                <w:sz w:val="24"/>
                <w:szCs w:val="24"/>
                <w:lang w:eastAsia="es-CR"/>
              </w:rPr>
            </w:pPr>
            <w:r w:rsidRPr="001A4A80">
              <w:rPr>
                <w:rFonts w:ascii="Book Antiqua" w:eastAsia="Times New Roman" w:hAnsi="Book Antiqua" w:cs="Calibri"/>
                <w:b/>
                <w:bCs/>
                <w:color w:val="000000"/>
                <w:sz w:val="24"/>
                <w:szCs w:val="24"/>
                <w:lang w:eastAsia="es-CR"/>
              </w:rPr>
              <w:t>Total</w:t>
            </w:r>
          </w:p>
        </w:tc>
        <w:tc>
          <w:tcPr>
            <w:tcW w:w="1186" w:type="pct"/>
            <w:tcBorders>
              <w:top w:val="nil"/>
              <w:left w:val="nil"/>
              <w:bottom w:val="single" w:sz="4" w:space="0" w:color="auto"/>
              <w:right w:val="single" w:sz="4" w:space="0" w:color="auto"/>
            </w:tcBorders>
            <w:shd w:val="clear" w:color="auto" w:fill="auto"/>
            <w:noWrap/>
            <w:vAlign w:val="center"/>
            <w:hideMark/>
          </w:tcPr>
          <w:p w14:paraId="61435E74" w14:textId="77777777" w:rsidR="001A4A80" w:rsidRPr="001A4A80" w:rsidRDefault="001A4A80" w:rsidP="001A4A80">
            <w:pPr>
              <w:spacing w:after="0" w:line="240" w:lineRule="auto"/>
              <w:jc w:val="center"/>
              <w:rPr>
                <w:rFonts w:ascii="Book Antiqua" w:eastAsia="Times New Roman" w:hAnsi="Book Antiqua" w:cs="Calibri"/>
                <w:b/>
                <w:bCs/>
                <w:color w:val="000000"/>
                <w:sz w:val="24"/>
                <w:szCs w:val="24"/>
                <w:lang w:eastAsia="es-CR"/>
              </w:rPr>
            </w:pPr>
            <w:r w:rsidRPr="001A4A80">
              <w:rPr>
                <w:rFonts w:ascii="Times New Roman" w:eastAsia="Times New Roman" w:hAnsi="Times New Roman" w:cs="Times New Roman"/>
                <w:b/>
                <w:bCs/>
                <w:color w:val="000000"/>
                <w:sz w:val="24"/>
                <w:szCs w:val="24"/>
                <w:lang w:eastAsia="es-CR"/>
              </w:rPr>
              <w:t>₡</w:t>
            </w:r>
            <w:r w:rsidRPr="001A4A80">
              <w:rPr>
                <w:rFonts w:ascii="Book Antiqua" w:eastAsia="Times New Roman" w:hAnsi="Book Antiqua" w:cs="Calibri"/>
                <w:b/>
                <w:bCs/>
                <w:color w:val="000000"/>
                <w:sz w:val="24"/>
                <w:szCs w:val="24"/>
                <w:lang w:eastAsia="es-CR"/>
              </w:rPr>
              <w:t>87 148 000</w:t>
            </w:r>
          </w:p>
        </w:tc>
        <w:tc>
          <w:tcPr>
            <w:tcW w:w="564" w:type="pct"/>
            <w:tcBorders>
              <w:top w:val="nil"/>
              <w:left w:val="nil"/>
              <w:bottom w:val="single" w:sz="4" w:space="0" w:color="auto"/>
              <w:right w:val="single" w:sz="4" w:space="0" w:color="auto"/>
            </w:tcBorders>
            <w:shd w:val="clear" w:color="auto" w:fill="auto"/>
            <w:noWrap/>
            <w:vAlign w:val="center"/>
            <w:hideMark/>
          </w:tcPr>
          <w:p w14:paraId="708B6965" w14:textId="77777777" w:rsidR="001A4A80" w:rsidRPr="001A4A80" w:rsidRDefault="001A4A80" w:rsidP="001A4A80">
            <w:pPr>
              <w:spacing w:after="0" w:line="240" w:lineRule="auto"/>
              <w:jc w:val="center"/>
              <w:rPr>
                <w:rFonts w:ascii="Book Antiqua" w:eastAsia="Times New Roman" w:hAnsi="Book Antiqua" w:cs="Calibri"/>
                <w:b/>
                <w:bCs/>
                <w:color w:val="000000"/>
                <w:sz w:val="24"/>
                <w:szCs w:val="24"/>
                <w:lang w:eastAsia="es-CR"/>
              </w:rPr>
            </w:pPr>
            <w:r w:rsidRPr="001A4A80">
              <w:rPr>
                <w:rFonts w:ascii="Book Antiqua" w:eastAsia="Times New Roman" w:hAnsi="Book Antiqua" w:cs="Calibri"/>
                <w:b/>
                <w:bCs/>
                <w:color w:val="000000"/>
                <w:sz w:val="24"/>
                <w:szCs w:val="24"/>
                <w:lang w:eastAsia="es-CR"/>
              </w:rPr>
              <w:t>7</w:t>
            </w:r>
          </w:p>
        </w:tc>
        <w:tc>
          <w:tcPr>
            <w:tcW w:w="712" w:type="pct"/>
            <w:tcBorders>
              <w:top w:val="nil"/>
              <w:left w:val="nil"/>
              <w:bottom w:val="single" w:sz="4" w:space="0" w:color="auto"/>
              <w:right w:val="single" w:sz="4" w:space="0" w:color="auto"/>
            </w:tcBorders>
            <w:shd w:val="clear" w:color="auto" w:fill="auto"/>
            <w:noWrap/>
            <w:vAlign w:val="center"/>
            <w:hideMark/>
          </w:tcPr>
          <w:p w14:paraId="2F573F0E" w14:textId="77777777" w:rsidR="001A4A80" w:rsidRPr="001A4A80" w:rsidRDefault="001A4A80" w:rsidP="001A4A80">
            <w:pPr>
              <w:spacing w:after="0" w:line="240" w:lineRule="auto"/>
              <w:jc w:val="center"/>
              <w:rPr>
                <w:rFonts w:ascii="Book Antiqua" w:eastAsia="Times New Roman" w:hAnsi="Book Antiqua" w:cs="Calibri"/>
                <w:b/>
                <w:bCs/>
                <w:color w:val="000000"/>
                <w:sz w:val="24"/>
                <w:szCs w:val="24"/>
                <w:lang w:eastAsia="es-CR"/>
              </w:rPr>
            </w:pPr>
            <w:r w:rsidRPr="001A4A80">
              <w:rPr>
                <w:rFonts w:ascii="Times New Roman" w:eastAsia="Times New Roman" w:hAnsi="Times New Roman" w:cs="Times New Roman"/>
                <w:b/>
                <w:bCs/>
                <w:color w:val="000000"/>
                <w:sz w:val="24"/>
                <w:szCs w:val="24"/>
                <w:lang w:eastAsia="es-CR"/>
              </w:rPr>
              <w:t>₡</w:t>
            </w:r>
            <w:r w:rsidRPr="001A4A80">
              <w:rPr>
                <w:rFonts w:ascii="Book Antiqua" w:eastAsia="Times New Roman" w:hAnsi="Book Antiqua" w:cs="Calibri"/>
                <w:b/>
                <w:bCs/>
                <w:color w:val="000000"/>
                <w:sz w:val="24"/>
                <w:szCs w:val="24"/>
                <w:lang w:eastAsia="es-CR"/>
              </w:rPr>
              <w:t>228 369 000</w:t>
            </w:r>
          </w:p>
        </w:tc>
      </w:tr>
    </w:tbl>
    <w:p w14:paraId="28AF04F1" w14:textId="469E8B95" w:rsidR="006B501C" w:rsidRPr="004D423D" w:rsidRDefault="006B501C" w:rsidP="006B501C">
      <w:pPr>
        <w:spacing w:after="0" w:line="276" w:lineRule="auto"/>
        <w:jc w:val="both"/>
        <w:rPr>
          <w:rFonts w:ascii="Book Antiqua" w:eastAsia="Calibri" w:hAnsi="Book Antiqua" w:cs="Arial"/>
          <w:i/>
          <w:iCs/>
          <w:sz w:val="20"/>
          <w:szCs w:val="20"/>
        </w:rPr>
      </w:pPr>
      <w:r w:rsidRPr="004D423D">
        <w:rPr>
          <w:rFonts w:ascii="Book Antiqua" w:eastAsia="Calibri" w:hAnsi="Book Antiqua" w:cs="Arial"/>
          <w:b/>
          <w:bCs/>
          <w:i/>
          <w:iCs/>
          <w:sz w:val="20"/>
          <w:szCs w:val="20"/>
        </w:rPr>
        <w:t>Fuente:</w:t>
      </w:r>
      <w:r w:rsidRPr="004D423D">
        <w:rPr>
          <w:rFonts w:ascii="Book Antiqua" w:eastAsia="Calibri" w:hAnsi="Book Antiqua" w:cs="Arial"/>
          <w:i/>
          <w:iCs/>
          <w:sz w:val="20"/>
          <w:szCs w:val="20"/>
        </w:rPr>
        <w:t xml:space="preserve"> Modernización Institucional.</w:t>
      </w:r>
    </w:p>
    <w:p w14:paraId="5D5D66E5" w14:textId="3B698AB3" w:rsidR="006B501C" w:rsidRDefault="00090CF2" w:rsidP="006B501C">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 xml:space="preserve">Sin embargo, tal y como se </w:t>
      </w:r>
      <w:r w:rsidR="00655D0C">
        <w:rPr>
          <w:rFonts w:ascii="Book Antiqua" w:eastAsia="Calibri" w:hAnsi="Book Antiqua" w:cs="Arial"/>
          <w:sz w:val="24"/>
          <w:szCs w:val="24"/>
        </w:rPr>
        <w:t>indicó</w:t>
      </w:r>
      <w:r>
        <w:rPr>
          <w:rFonts w:ascii="Book Antiqua" w:eastAsia="Calibri" w:hAnsi="Book Antiqua" w:cs="Arial"/>
          <w:sz w:val="24"/>
          <w:szCs w:val="24"/>
        </w:rPr>
        <w:t xml:space="preserve"> en líneas anteriores, aplicar esta </w:t>
      </w:r>
      <w:r w:rsidR="00655D0C">
        <w:rPr>
          <w:rFonts w:ascii="Book Antiqua" w:eastAsia="Calibri" w:hAnsi="Book Antiqua" w:cs="Arial"/>
          <w:sz w:val="24"/>
          <w:szCs w:val="24"/>
        </w:rPr>
        <w:t>ley de la forma propuesta, implica una desmejora en los tiempos de respuesta</w:t>
      </w:r>
      <w:r w:rsidR="00F6659E">
        <w:rPr>
          <w:rFonts w:ascii="Book Antiqua" w:eastAsia="Calibri" w:hAnsi="Book Antiqua" w:cs="Arial"/>
          <w:sz w:val="24"/>
          <w:szCs w:val="24"/>
        </w:rPr>
        <w:t xml:space="preserve"> a la persona ciudadana.</w:t>
      </w:r>
    </w:p>
    <w:p w14:paraId="5AFACFB0" w14:textId="77777777" w:rsidR="00292F21" w:rsidRDefault="00292F21" w:rsidP="006B501C">
      <w:pPr>
        <w:spacing w:after="0" w:line="276" w:lineRule="auto"/>
        <w:jc w:val="both"/>
        <w:rPr>
          <w:rFonts w:ascii="Book Antiqua" w:eastAsia="Calibri" w:hAnsi="Book Antiqua" w:cs="Arial"/>
          <w:sz w:val="24"/>
          <w:szCs w:val="24"/>
        </w:rPr>
      </w:pPr>
    </w:p>
    <w:p w14:paraId="569BB887" w14:textId="39BD1530" w:rsidR="00035487" w:rsidRPr="00F3324E" w:rsidRDefault="00035487"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t>Impacto en el servicio a la persona usuaria de los cambios de competencia propuestos en el CPF</w:t>
      </w:r>
    </w:p>
    <w:p w14:paraId="0248C4DE" w14:textId="77777777" w:rsidR="00F3324E" w:rsidRDefault="00F3324E" w:rsidP="008868D8">
      <w:pPr>
        <w:spacing w:line="276" w:lineRule="auto"/>
        <w:jc w:val="both"/>
        <w:rPr>
          <w:rFonts w:ascii="Book Antiqua" w:hAnsi="Book Antiqua"/>
          <w:sz w:val="24"/>
          <w:szCs w:val="24"/>
        </w:rPr>
      </w:pPr>
    </w:p>
    <w:p w14:paraId="6D5D86EF" w14:textId="25E2A10A" w:rsidR="008A18A2" w:rsidRDefault="008868D8" w:rsidP="008868D8">
      <w:pPr>
        <w:spacing w:line="276" w:lineRule="auto"/>
        <w:jc w:val="both"/>
        <w:rPr>
          <w:rFonts w:ascii="Book Antiqua" w:hAnsi="Book Antiqua"/>
          <w:sz w:val="24"/>
          <w:szCs w:val="24"/>
        </w:rPr>
      </w:pPr>
      <w:r>
        <w:rPr>
          <w:rFonts w:ascii="Book Antiqua" w:hAnsi="Book Antiqua"/>
          <w:sz w:val="24"/>
          <w:szCs w:val="24"/>
        </w:rPr>
        <w:t xml:space="preserve">En resumen, </w:t>
      </w:r>
      <w:r w:rsidR="00035487">
        <w:rPr>
          <w:rFonts w:ascii="Book Antiqua" w:hAnsi="Book Antiqua"/>
          <w:sz w:val="24"/>
          <w:szCs w:val="24"/>
        </w:rPr>
        <w:t xml:space="preserve">a partir de las reformas a la Ley </w:t>
      </w:r>
      <w:r w:rsidR="00062792">
        <w:rPr>
          <w:rFonts w:ascii="Book Antiqua" w:hAnsi="Book Antiqua"/>
          <w:sz w:val="24"/>
          <w:szCs w:val="24"/>
        </w:rPr>
        <w:t>Orgánica</w:t>
      </w:r>
      <w:r w:rsidR="00035487">
        <w:rPr>
          <w:rFonts w:ascii="Book Antiqua" w:hAnsi="Book Antiqua"/>
          <w:sz w:val="24"/>
          <w:szCs w:val="24"/>
        </w:rPr>
        <w:t xml:space="preserve"> de Poder Judicial, artículo 55 bis y 99</w:t>
      </w:r>
      <w:r w:rsidR="008A18A2">
        <w:rPr>
          <w:rFonts w:ascii="Book Antiqua" w:hAnsi="Book Antiqua"/>
          <w:sz w:val="24"/>
          <w:szCs w:val="24"/>
        </w:rPr>
        <w:t xml:space="preserve">, </w:t>
      </w:r>
      <w:r>
        <w:rPr>
          <w:rFonts w:ascii="Book Antiqua" w:hAnsi="Book Antiqua"/>
          <w:sz w:val="24"/>
          <w:szCs w:val="24"/>
        </w:rPr>
        <w:t>se traslada carga de trabajo de</w:t>
      </w:r>
      <w:r w:rsidR="008A18A2">
        <w:rPr>
          <w:rFonts w:ascii="Book Antiqua" w:hAnsi="Book Antiqua"/>
          <w:sz w:val="24"/>
          <w:szCs w:val="24"/>
        </w:rPr>
        <w:t xml:space="preserve">sde el Tribunal de Familia hacia la Sala Segunda. </w:t>
      </w:r>
    </w:p>
    <w:p w14:paraId="1C840B19" w14:textId="1F13541B" w:rsidR="00035CF6" w:rsidRDefault="008A18A2" w:rsidP="008868D8">
      <w:pPr>
        <w:spacing w:line="276" w:lineRule="auto"/>
        <w:jc w:val="both"/>
        <w:rPr>
          <w:rFonts w:ascii="Book Antiqua" w:hAnsi="Book Antiqua"/>
          <w:sz w:val="24"/>
          <w:szCs w:val="24"/>
        </w:rPr>
      </w:pPr>
      <w:r w:rsidRPr="00062792">
        <w:rPr>
          <w:rFonts w:ascii="Book Antiqua" w:hAnsi="Book Antiqua"/>
          <w:sz w:val="24"/>
          <w:szCs w:val="24"/>
        </w:rPr>
        <w:t>Se traslada el conocimiento como segunda instancia, de u</w:t>
      </w:r>
      <w:r w:rsidR="008868D8" w:rsidRPr="00062792">
        <w:rPr>
          <w:rFonts w:ascii="Book Antiqua" w:hAnsi="Book Antiqua"/>
          <w:sz w:val="24"/>
          <w:szCs w:val="24"/>
        </w:rPr>
        <w:t>n Tribunal con capacidad</w:t>
      </w:r>
      <w:r w:rsidRPr="00062792">
        <w:rPr>
          <w:rFonts w:ascii="Book Antiqua" w:hAnsi="Book Antiqua"/>
          <w:sz w:val="24"/>
          <w:szCs w:val="24"/>
        </w:rPr>
        <w:t xml:space="preserve"> operativa</w:t>
      </w:r>
      <w:r w:rsidR="008868D8" w:rsidRPr="00062792">
        <w:rPr>
          <w:rFonts w:ascii="Book Antiqua" w:hAnsi="Book Antiqua"/>
          <w:sz w:val="24"/>
          <w:szCs w:val="24"/>
        </w:rPr>
        <w:t xml:space="preserve"> de asumir incluso nuevas competencias, </w:t>
      </w:r>
      <w:r w:rsidR="00035CF6" w:rsidRPr="00062792">
        <w:rPr>
          <w:rFonts w:ascii="Book Antiqua" w:hAnsi="Book Antiqua"/>
          <w:sz w:val="24"/>
          <w:szCs w:val="24"/>
        </w:rPr>
        <w:t>en donde los recursos se resuelven en un máximo de 3 meses,</w:t>
      </w:r>
      <w:r w:rsidR="00F6659E">
        <w:rPr>
          <w:rFonts w:ascii="Book Antiqua" w:hAnsi="Book Antiqua"/>
          <w:sz w:val="24"/>
          <w:szCs w:val="24"/>
        </w:rPr>
        <w:t>(incluyendo tiempos de respuesta de Departamento de Trabajo Social y Psicología cuando se requiere)</w:t>
      </w:r>
      <w:r w:rsidR="00531AED">
        <w:rPr>
          <w:rFonts w:ascii="Book Antiqua" w:hAnsi="Book Antiqua"/>
          <w:sz w:val="24"/>
          <w:szCs w:val="24"/>
        </w:rPr>
        <w:t xml:space="preserve"> </w:t>
      </w:r>
      <w:r w:rsidR="00035CF6" w:rsidRPr="00062792">
        <w:rPr>
          <w:rFonts w:ascii="Book Antiqua" w:hAnsi="Book Antiqua"/>
          <w:sz w:val="24"/>
          <w:szCs w:val="24"/>
        </w:rPr>
        <w:t xml:space="preserve"> </w:t>
      </w:r>
      <w:r w:rsidRPr="00062792">
        <w:rPr>
          <w:rFonts w:ascii="Book Antiqua" w:hAnsi="Book Antiqua"/>
          <w:sz w:val="24"/>
          <w:szCs w:val="24"/>
        </w:rPr>
        <w:t xml:space="preserve">un Tribunal que a diciembre 2021 incluso disminuyo el circulante, en donde el dictado de sentencia en promedio es de 43 días, el pendiente de </w:t>
      </w:r>
      <w:r w:rsidR="004C741D" w:rsidRPr="00062792">
        <w:rPr>
          <w:rFonts w:ascii="Book Antiqua" w:hAnsi="Book Antiqua"/>
          <w:sz w:val="24"/>
          <w:szCs w:val="24"/>
        </w:rPr>
        <w:t>fallo</w:t>
      </w:r>
      <w:r w:rsidRPr="00062792">
        <w:rPr>
          <w:rFonts w:ascii="Book Antiqua" w:hAnsi="Book Antiqua"/>
          <w:sz w:val="24"/>
          <w:szCs w:val="24"/>
        </w:rPr>
        <w:t xml:space="preserve"> es de aproximadamente 15</w:t>
      </w:r>
      <w:r w:rsidR="004C741D" w:rsidRPr="00062792">
        <w:rPr>
          <w:rFonts w:ascii="Book Antiqua" w:hAnsi="Book Antiqua"/>
          <w:sz w:val="24"/>
          <w:szCs w:val="24"/>
        </w:rPr>
        <w:t>4</w:t>
      </w:r>
      <w:r w:rsidRPr="00062792">
        <w:rPr>
          <w:rFonts w:ascii="Book Antiqua" w:hAnsi="Book Antiqua"/>
          <w:sz w:val="24"/>
          <w:szCs w:val="24"/>
        </w:rPr>
        <w:t xml:space="preserve"> casos</w:t>
      </w:r>
      <w:r w:rsidR="00062792" w:rsidRPr="00062792">
        <w:rPr>
          <w:rFonts w:ascii="Book Antiqua" w:hAnsi="Book Antiqua"/>
          <w:sz w:val="24"/>
          <w:szCs w:val="24"/>
        </w:rPr>
        <w:t xml:space="preserve"> (</w:t>
      </w:r>
      <w:r w:rsidRPr="00062792">
        <w:rPr>
          <w:rFonts w:ascii="Book Antiqua" w:hAnsi="Book Antiqua"/>
          <w:sz w:val="24"/>
          <w:szCs w:val="24"/>
        </w:rPr>
        <w:t>entre Familia y Violencia</w:t>
      </w:r>
      <w:r w:rsidR="00062792" w:rsidRPr="00062792">
        <w:rPr>
          <w:rFonts w:ascii="Book Antiqua" w:hAnsi="Book Antiqua"/>
          <w:sz w:val="24"/>
          <w:szCs w:val="24"/>
        </w:rPr>
        <w:t>)</w:t>
      </w:r>
      <w:r w:rsidR="004C741D" w:rsidRPr="00062792">
        <w:rPr>
          <w:rFonts w:ascii="Book Antiqua" w:hAnsi="Book Antiqua"/>
          <w:sz w:val="24"/>
          <w:szCs w:val="24"/>
        </w:rPr>
        <w:t xml:space="preserve">;  hacia la Sala Segunda en donde los procesos de Familia se resuelven en poco más de 16 meses. </w:t>
      </w:r>
    </w:p>
    <w:p w14:paraId="34C772E6" w14:textId="2B2103E4" w:rsidR="001601D3" w:rsidRDefault="00062792" w:rsidP="008868D8">
      <w:pPr>
        <w:spacing w:line="276" w:lineRule="auto"/>
        <w:jc w:val="both"/>
        <w:rPr>
          <w:rFonts w:ascii="Book Antiqua" w:hAnsi="Book Antiqua"/>
          <w:sz w:val="24"/>
          <w:szCs w:val="24"/>
        </w:rPr>
      </w:pPr>
      <w:r>
        <w:rPr>
          <w:rFonts w:ascii="Book Antiqua" w:hAnsi="Book Antiqua"/>
          <w:sz w:val="24"/>
          <w:szCs w:val="24"/>
        </w:rPr>
        <w:t xml:space="preserve">En el caso </w:t>
      </w:r>
      <w:r w:rsidR="00531AED">
        <w:rPr>
          <w:rFonts w:ascii="Book Antiqua" w:hAnsi="Book Antiqua"/>
          <w:sz w:val="24"/>
          <w:szCs w:val="24"/>
        </w:rPr>
        <w:t>específico</w:t>
      </w:r>
      <w:r>
        <w:rPr>
          <w:rFonts w:ascii="Book Antiqua" w:hAnsi="Book Antiqua"/>
          <w:sz w:val="24"/>
          <w:szCs w:val="24"/>
        </w:rPr>
        <w:t xml:space="preserve"> de los recursos en procesos de restitución internacional de menores, el Tribunal de Familia lo resuelve en promedio en un mes y </w:t>
      </w:r>
      <w:r w:rsidR="001601D3">
        <w:rPr>
          <w:rFonts w:ascii="Book Antiqua" w:hAnsi="Book Antiqua"/>
          <w:sz w:val="24"/>
          <w:szCs w:val="24"/>
        </w:rPr>
        <w:t>dos semanas</w:t>
      </w:r>
      <w:r>
        <w:rPr>
          <w:rFonts w:ascii="Book Antiqua" w:hAnsi="Book Antiqua"/>
          <w:sz w:val="24"/>
          <w:szCs w:val="24"/>
        </w:rPr>
        <w:t>, ahora pasar</w:t>
      </w:r>
      <w:r w:rsidR="001601D3">
        <w:rPr>
          <w:rFonts w:ascii="Book Antiqua" w:hAnsi="Book Antiqua"/>
          <w:sz w:val="24"/>
          <w:szCs w:val="24"/>
        </w:rPr>
        <w:t>á</w:t>
      </w:r>
      <w:r>
        <w:rPr>
          <w:rFonts w:ascii="Book Antiqua" w:hAnsi="Book Antiqua"/>
          <w:sz w:val="24"/>
          <w:szCs w:val="24"/>
        </w:rPr>
        <w:t xml:space="preserve"> a ser resuelto por la Sala Segunda con la carga de trabajo y retraso antes indicado. </w:t>
      </w:r>
    </w:p>
    <w:p w14:paraId="3509501E" w14:textId="4DD7B74E" w:rsidR="00062792" w:rsidRPr="00062792" w:rsidRDefault="001601D3" w:rsidP="008868D8">
      <w:pPr>
        <w:spacing w:line="276" w:lineRule="auto"/>
        <w:jc w:val="both"/>
        <w:rPr>
          <w:rFonts w:ascii="Book Antiqua" w:hAnsi="Book Antiqua"/>
          <w:sz w:val="24"/>
          <w:szCs w:val="24"/>
        </w:rPr>
      </w:pPr>
      <w:r>
        <w:rPr>
          <w:rFonts w:ascii="Book Antiqua" w:hAnsi="Book Antiqua"/>
          <w:sz w:val="24"/>
          <w:szCs w:val="24"/>
        </w:rPr>
        <w:t>Misma situación con l</w:t>
      </w:r>
      <w:r w:rsidR="00062792">
        <w:rPr>
          <w:rFonts w:ascii="Book Antiqua" w:hAnsi="Book Antiqua"/>
          <w:sz w:val="24"/>
          <w:szCs w:val="24"/>
        </w:rPr>
        <w:t>os conflictos de competencia territorial entre juzgados de Familia</w:t>
      </w:r>
      <w:r>
        <w:rPr>
          <w:rFonts w:ascii="Book Antiqua" w:hAnsi="Book Antiqua"/>
          <w:sz w:val="24"/>
          <w:szCs w:val="24"/>
        </w:rPr>
        <w:t>, donde los conflictos de competencia “</w:t>
      </w:r>
      <w:r w:rsidRPr="001601D3">
        <w:rPr>
          <w:rFonts w:ascii="Book Antiqua" w:hAnsi="Book Antiqua"/>
          <w:i/>
          <w:iCs/>
          <w:sz w:val="24"/>
          <w:szCs w:val="24"/>
        </w:rPr>
        <w:t>material</w:t>
      </w:r>
      <w:r>
        <w:rPr>
          <w:rFonts w:ascii="Book Antiqua" w:hAnsi="Book Antiqua"/>
          <w:sz w:val="24"/>
          <w:szCs w:val="24"/>
        </w:rPr>
        <w:t xml:space="preserve">” que en este momento atiende la Sala en promedio se resuelven en 4 meses y 2 semanas; y ahora además conocerá los conflictos por territorio, en donde se defina quién conoce la causa, que como agravante, hasta que esto no sea definido no se iniciará su tramitación y son procesos familiares, incluso con menores involucrados, situaciones de riesgo o vulnerabilidad. </w:t>
      </w:r>
    </w:p>
    <w:p w14:paraId="2E6C70DE" w14:textId="12386995" w:rsidR="008868D8" w:rsidRDefault="00340FF2" w:rsidP="008868D8">
      <w:pPr>
        <w:spacing w:line="276" w:lineRule="auto"/>
        <w:jc w:val="both"/>
        <w:rPr>
          <w:rFonts w:ascii="Book Antiqua" w:hAnsi="Book Antiqua"/>
          <w:sz w:val="24"/>
          <w:szCs w:val="24"/>
        </w:rPr>
      </w:pPr>
      <w:r>
        <w:rPr>
          <w:rFonts w:ascii="Book Antiqua" w:hAnsi="Book Antiqua"/>
          <w:sz w:val="24"/>
          <w:szCs w:val="24"/>
        </w:rPr>
        <w:t>Se reitera la preocupación de esta Dirección por el traslado de competencias que se están delegando en los últimos año</w:t>
      </w:r>
      <w:r w:rsidR="007E153E">
        <w:rPr>
          <w:rFonts w:ascii="Book Antiqua" w:hAnsi="Book Antiqua"/>
          <w:sz w:val="24"/>
          <w:szCs w:val="24"/>
        </w:rPr>
        <w:t>s</w:t>
      </w:r>
      <w:r>
        <w:rPr>
          <w:rFonts w:ascii="Book Antiqua" w:hAnsi="Book Antiqua"/>
          <w:sz w:val="24"/>
          <w:szCs w:val="24"/>
        </w:rPr>
        <w:t xml:space="preserve"> a la Sala Segunda, </w:t>
      </w:r>
      <w:r w:rsidR="008868D8">
        <w:rPr>
          <w:rFonts w:ascii="Book Antiqua" w:hAnsi="Book Antiqua"/>
          <w:sz w:val="24"/>
          <w:szCs w:val="24"/>
        </w:rPr>
        <w:t xml:space="preserve">a una Sala </w:t>
      </w:r>
      <w:r>
        <w:rPr>
          <w:rFonts w:ascii="Book Antiqua" w:hAnsi="Book Antiqua"/>
          <w:sz w:val="24"/>
          <w:szCs w:val="24"/>
        </w:rPr>
        <w:t xml:space="preserve">de la Corte </w:t>
      </w:r>
      <w:r w:rsidR="008868D8">
        <w:rPr>
          <w:rFonts w:ascii="Book Antiqua" w:hAnsi="Book Antiqua"/>
          <w:sz w:val="24"/>
          <w:szCs w:val="24"/>
        </w:rPr>
        <w:t xml:space="preserve">en donde se requiere incluso de reforma constitucional para incrementar el personal de magistratura, y aunque se incremente el personal de apoyo, igualmente los asuntos </w:t>
      </w:r>
      <w:r w:rsidR="008868D8">
        <w:rPr>
          <w:rFonts w:ascii="Book Antiqua" w:hAnsi="Book Antiqua"/>
          <w:sz w:val="24"/>
          <w:szCs w:val="24"/>
        </w:rPr>
        <w:lastRenderedPageBreak/>
        <w:t>deben ser votados por la misma cantidad de señoras y señores Magistrados que tienen otras labores adicionales a la resolución de recursos conforme a la Ley Orgánica del Poder Judicial</w:t>
      </w:r>
      <w:r>
        <w:rPr>
          <w:rFonts w:ascii="Book Antiqua" w:hAnsi="Book Antiqua"/>
          <w:sz w:val="24"/>
          <w:szCs w:val="24"/>
        </w:rPr>
        <w:t>;</w:t>
      </w:r>
      <w:r w:rsidR="008868D8">
        <w:rPr>
          <w:rFonts w:ascii="Book Antiqua" w:hAnsi="Book Antiqua"/>
          <w:sz w:val="24"/>
          <w:szCs w:val="24"/>
        </w:rPr>
        <w:t xml:space="preserve"> por lo que este tipo de cambios o traslados de competencias, lo que conllevan es a una desmejora del servicio público de la Institución.  </w:t>
      </w:r>
    </w:p>
    <w:p w14:paraId="7FE64044" w14:textId="22220F6F" w:rsidR="008868D8" w:rsidRDefault="008868D8" w:rsidP="008868D8">
      <w:pPr>
        <w:spacing w:line="276" w:lineRule="auto"/>
        <w:jc w:val="both"/>
        <w:rPr>
          <w:rFonts w:ascii="Book Antiqua" w:hAnsi="Book Antiqua"/>
          <w:sz w:val="24"/>
          <w:szCs w:val="24"/>
        </w:rPr>
      </w:pPr>
      <w:r>
        <w:rPr>
          <w:rFonts w:ascii="Book Antiqua" w:hAnsi="Book Antiqua"/>
          <w:sz w:val="24"/>
          <w:szCs w:val="24"/>
        </w:rPr>
        <w:t>En virtud de lo anterior, se plantea también la recomendación, para que este tipo de cambios de competencia, o traslados de competencia de una instancia a otra; sea analizado previamente a la aprobación o propuesta de una Ley, no solo a nivel jurídico por el impacto legal, sino también en las estructuras</w:t>
      </w:r>
      <w:r w:rsidR="00340FF2">
        <w:rPr>
          <w:rFonts w:ascii="Book Antiqua" w:hAnsi="Book Antiqua"/>
          <w:sz w:val="24"/>
          <w:szCs w:val="24"/>
        </w:rPr>
        <w:t xml:space="preserve"> y en el posible impacto (mejora o desmejora) del servicio público</w:t>
      </w:r>
      <w:r>
        <w:rPr>
          <w:rFonts w:ascii="Book Antiqua" w:hAnsi="Book Antiqua"/>
          <w:sz w:val="24"/>
          <w:szCs w:val="24"/>
        </w:rPr>
        <w:t xml:space="preserve">. </w:t>
      </w:r>
    </w:p>
    <w:p w14:paraId="3F3C722E" w14:textId="7C6E8061" w:rsidR="008868D8" w:rsidRDefault="008868D8" w:rsidP="008868D8">
      <w:pPr>
        <w:spacing w:line="276" w:lineRule="auto"/>
        <w:jc w:val="both"/>
        <w:rPr>
          <w:rFonts w:ascii="Book Antiqua" w:hAnsi="Book Antiqua"/>
          <w:sz w:val="24"/>
          <w:szCs w:val="24"/>
        </w:rPr>
      </w:pPr>
      <w:r>
        <w:rPr>
          <w:rFonts w:ascii="Book Antiqua" w:hAnsi="Book Antiqua"/>
          <w:sz w:val="24"/>
          <w:szCs w:val="24"/>
        </w:rPr>
        <w:t>Se requiere de inmediato un estudio de parte de la Dirección Jurídica</w:t>
      </w:r>
      <w:r w:rsidR="007561DF">
        <w:rPr>
          <w:rFonts w:ascii="Book Antiqua" w:hAnsi="Book Antiqua"/>
          <w:sz w:val="24"/>
          <w:szCs w:val="24"/>
        </w:rPr>
        <w:t xml:space="preserve">, la Comisión de Asuntos Laborales y </w:t>
      </w:r>
      <w:r w:rsidR="00686982">
        <w:rPr>
          <w:rFonts w:ascii="Book Antiqua" w:hAnsi="Book Antiqua"/>
          <w:sz w:val="24"/>
          <w:szCs w:val="24"/>
        </w:rPr>
        <w:t>la Sala Segunda</w:t>
      </w:r>
      <w:r>
        <w:rPr>
          <w:rFonts w:ascii="Book Antiqua" w:hAnsi="Book Antiqua"/>
          <w:sz w:val="24"/>
          <w:szCs w:val="24"/>
        </w:rPr>
        <w:t>, para que valoren la posibilidad de plantear una reforma legal al CPF, tanto en este aspecto como al artículo 286 del CPF que a esta fecha no cuenta con reglamento</w:t>
      </w:r>
      <w:r w:rsidR="00340FF2">
        <w:rPr>
          <w:rFonts w:ascii="Book Antiqua" w:hAnsi="Book Antiqua"/>
          <w:sz w:val="24"/>
          <w:szCs w:val="24"/>
        </w:rPr>
        <w:t xml:space="preserve"> aprobado por Corte Plena</w:t>
      </w:r>
      <w:r>
        <w:rPr>
          <w:rFonts w:ascii="Book Antiqua" w:hAnsi="Book Antiqua"/>
          <w:sz w:val="24"/>
          <w:szCs w:val="24"/>
        </w:rPr>
        <w:t xml:space="preserve"> para su ejecución, pese a las reiteradas solicitudes de esta Dirección. </w:t>
      </w:r>
    </w:p>
    <w:p w14:paraId="70555B09" w14:textId="0AE2C755" w:rsidR="00125BC1" w:rsidRDefault="000C2B7F" w:rsidP="00F3324E">
      <w:pPr>
        <w:pStyle w:val="Ttulo1"/>
        <w:numPr>
          <w:ilvl w:val="0"/>
          <w:numId w:val="23"/>
        </w:numPr>
        <w:spacing w:line="276" w:lineRule="auto"/>
      </w:pPr>
      <w:r w:rsidRPr="009E73B0">
        <w:t>Información relevante</w:t>
      </w:r>
      <w:r w:rsidR="00853713">
        <w:t xml:space="preserve"> en materia de Violencia Doméstica</w:t>
      </w:r>
    </w:p>
    <w:p w14:paraId="1102C7CA" w14:textId="0D932236" w:rsidR="00125BC1" w:rsidRPr="00F3324E" w:rsidRDefault="00853713"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t>Situación de los Juzgados de Violencia Doméstica (especializados y mixtos)</w:t>
      </w:r>
    </w:p>
    <w:p w14:paraId="41A037BF" w14:textId="7F4DCDBC" w:rsidR="002B3DB0" w:rsidRDefault="002B3DB0" w:rsidP="002B3DB0">
      <w:pPr>
        <w:spacing w:after="0" w:line="276" w:lineRule="auto"/>
        <w:jc w:val="both"/>
        <w:rPr>
          <w:rFonts w:ascii="Book Antiqua" w:eastAsia="Calibri" w:hAnsi="Book Antiqua" w:cs="Arial"/>
          <w:sz w:val="24"/>
          <w:szCs w:val="24"/>
        </w:rPr>
      </w:pPr>
    </w:p>
    <w:p w14:paraId="4719675A" w14:textId="3CC73745" w:rsidR="002B3DB0" w:rsidRPr="002B3DB0" w:rsidRDefault="002B3DB0" w:rsidP="002B3DB0">
      <w:pPr>
        <w:spacing w:after="0" w:line="276" w:lineRule="auto"/>
        <w:jc w:val="both"/>
        <w:rPr>
          <w:rFonts w:ascii="Book Antiqua" w:eastAsia="Calibri" w:hAnsi="Book Antiqua" w:cs="Arial"/>
          <w:sz w:val="24"/>
          <w:szCs w:val="24"/>
        </w:rPr>
      </w:pPr>
      <w:r w:rsidRPr="002B3DB0">
        <w:rPr>
          <w:rFonts w:ascii="Book Antiqua" w:eastAsia="Calibri" w:hAnsi="Book Antiqua" w:cs="Arial"/>
          <w:sz w:val="24"/>
          <w:szCs w:val="24"/>
        </w:rPr>
        <w:t>El CPF incorpora una adición a la Ley Orgánica del Poder Judicial, Ley 7333, específicamente el artículo 121 bis, referente a la competencia material de los Juzgados de Violencia Doméstica, donde se establece que estos conocerán:</w:t>
      </w:r>
    </w:p>
    <w:p w14:paraId="349EBD1D" w14:textId="77777777" w:rsidR="002B3DB0" w:rsidRPr="002B3DB0" w:rsidRDefault="002B3DB0" w:rsidP="002B3DB0">
      <w:pPr>
        <w:spacing w:after="0" w:line="276" w:lineRule="auto"/>
        <w:jc w:val="both"/>
        <w:rPr>
          <w:rFonts w:ascii="Book Antiqua" w:eastAsia="Calibri" w:hAnsi="Book Antiqua" w:cs="Arial"/>
          <w:sz w:val="24"/>
          <w:szCs w:val="24"/>
        </w:rPr>
      </w:pPr>
    </w:p>
    <w:p w14:paraId="48C9DE12" w14:textId="77777777" w:rsidR="002B3DB0" w:rsidRPr="002B3DB0" w:rsidRDefault="002B3DB0" w:rsidP="002B3DB0">
      <w:pPr>
        <w:spacing w:after="0" w:line="276" w:lineRule="auto"/>
        <w:ind w:left="567" w:right="616"/>
        <w:jc w:val="both"/>
        <w:rPr>
          <w:rFonts w:ascii="Book Antiqua" w:eastAsia="Calibri" w:hAnsi="Book Antiqua" w:cs="Arial"/>
          <w:i/>
          <w:iCs/>
          <w:sz w:val="24"/>
          <w:szCs w:val="24"/>
        </w:rPr>
      </w:pPr>
      <w:r w:rsidRPr="002B3DB0">
        <w:rPr>
          <w:rFonts w:ascii="Book Antiqua" w:eastAsia="Calibri" w:hAnsi="Book Antiqua" w:cs="Arial"/>
          <w:i/>
          <w:iCs/>
          <w:sz w:val="24"/>
          <w:szCs w:val="24"/>
        </w:rPr>
        <w:t>“1) Todo lo relativo a los procesos de protección cautelar de violencia intrafamiliar, personas adultas mayores y personas con discapacidad.</w:t>
      </w:r>
    </w:p>
    <w:p w14:paraId="03593EE5" w14:textId="77777777" w:rsidR="002B3DB0" w:rsidRPr="002B3DB0" w:rsidRDefault="002B3DB0" w:rsidP="002B3DB0">
      <w:pPr>
        <w:spacing w:after="0" w:line="276" w:lineRule="auto"/>
        <w:ind w:left="567" w:right="616"/>
        <w:jc w:val="both"/>
        <w:rPr>
          <w:rFonts w:ascii="Book Antiqua" w:eastAsia="Calibri" w:hAnsi="Book Antiqua" w:cs="Arial"/>
          <w:i/>
          <w:iCs/>
          <w:sz w:val="24"/>
          <w:szCs w:val="24"/>
        </w:rPr>
      </w:pPr>
      <w:r w:rsidRPr="002B3DB0">
        <w:rPr>
          <w:rFonts w:ascii="Book Antiqua" w:eastAsia="Calibri" w:hAnsi="Book Antiqua" w:cs="Arial"/>
          <w:i/>
          <w:iCs/>
          <w:sz w:val="24"/>
          <w:szCs w:val="24"/>
        </w:rPr>
        <w:t>2) Los demás asuntos que estipule la ley.</w:t>
      </w:r>
    </w:p>
    <w:p w14:paraId="11CE8F51" w14:textId="77777777" w:rsidR="002B3DB0" w:rsidRPr="002B3DB0" w:rsidRDefault="002B3DB0" w:rsidP="002B3DB0">
      <w:pPr>
        <w:spacing w:after="0" w:line="276" w:lineRule="auto"/>
        <w:ind w:left="567" w:right="616"/>
        <w:jc w:val="both"/>
        <w:rPr>
          <w:rFonts w:ascii="Book Antiqua" w:eastAsia="Calibri" w:hAnsi="Book Antiqua" w:cs="Arial"/>
          <w:i/>
          <w:iCs/>
          <w:sz w:val="24"/>
          <w:szCs w:val="24"/>
        </w:rPr>
      </w:pPr>
      <w:r w:rsidRPr="002B3DB0">
        <w:rPr>
          <w:rFonts w:ascii="Book Antiqua" w:eastAsia="Calibri" w:hAnsi="Book Antiqua" w:cs="Arial"/>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3C5CCBC6" w14:textId="77777777" w:rsidR="002B3DB0" w:rsidRPr="002B3DB0" w:rsidRDefault="002B3DB0" w:rsidP="002B3DB0">
      <w:pPr>
        <w:spacing w:after="0" w:line="276" w:lineRule="auto"/>
        <w:jc w:val="both"/>
        <w:rPr>
          <w:rFonts w:ascii="Book Antiqua" w:eastAsia="Calibri" w:hAnsi="Book Antiqua" w:cs="Arial"/>
          <w:sz w:val="24"/>
          <w:szCs w:val="24"/>
        </w:rPr>
      </w:pPr>
    </w:p>
    <w:p w14:paraId="4F02515B" w14:textId="77777777" w:rsidR="002B3DB0" w:rsidRPr="002B3DB0" w:rsidRDefault="002B3DB0" w:rsidP="002B3DB0">
      <w:pPr>
        <w:spacing w:after="0" w:line="276" w:lineRule="auto"/>
        <w:jc w:val="both"/>
        <w:rPr>
          <w:rFonts w:ascii="Book Antiqua" w:eastAsia="Calibri" w:hAnsi="Book Antiqua" w:cs="Arial"/>
          <w:sz w:val="24"/>
          <w:szCs w:val="24"/>
        </w:rPr>
      </w:pPr>
      <w:r w:rsidRPr="002B3DB0">
        <w:rPr>
          <w:rFonts w:ascii="Book Antiqua" w:eastAsia="Calibri" w:hAnsi="Book Antiqua" w:cs="Arial"/>
          <w:sz w:val="24"/>
          <w:szCs w:val="24"/>
        </w:rPr>
        <w:t xml:space="preserve">Es importante aclarar que la actual Ley Contra la Violencia Doméstica continuaría vigente cuando entre en vigencia el CPF, siendo novedad la inclusión de los procesos de protección cautelar a favor de personas adultas mayores y personas con </w:t>
      </w:r>
      <w:r w:rsidRPr="002B3DB0">
        <w:rPr>
          <w:rFonts w:ascii="Book Antiqua" w:eastAsia="Calibri" w:hAnsi="Book Antiqua" w:cs="Arial"/>
          <w:sz w:val="24"/>
          <w:szCs w:val="24"/>
        </w:rPr>
        <w:lastRenderedPageBreak/>
        <w:t>discapacidad (en aquellos casos donde el presunto agresor no pertenezca al núcleo intrafamiliar).</w:t>
      </w:r>
    </w:p>
    <w:p w14:paraId="37A1E3B8" w14:textId="36E2E96F" w:rsidR="00A65874" w:rsidRDefault="00A65874" w:rsidP="00A65874">
      <w:pPr>
        <w:rPr>
          <w:lang w:val="es-ES"/>
        </w:rPr>
      </w:pPr>
    </w:p>
    <w:p w14:paraId="50CF37DF" w14:textId="59ECD72B" w:rsidR="002B3DB0" w:rsidRPr="002B3DB0" w:rsidRDefault="002B3DB0" w:rsidP="002B3DB0">
      <w:pPr>
        <w:spacing w:after="0" w:line="276" w:lineRule="auto"/>
        <w:jc w:val="both"/>
        <w:rPr>
          <w:rFonts w:ascii="Book Antiqua" w:eastAsia="Calibri" w:hAnsi="Book Antiqua" w:cs="Arial"/>
          <w:sz w:val="24"/>
          <w:szCs w:val="24"/>
        </w:rPr>
      </w:pPr>
      <w:r w:rsidRPr="002B3DB0">
        <w:rPr>
          <w:rFonts w:ascii="Book Antiqua" w:eastAsia="Calibri" w:hAnsi="Book Antiqua" w:cs="Arial"/>
          <w:sz w:val="24"/>
          <w:szCs w:val="24"/>
        </w:rPr>
        <w:t xml:space="preserve">Lo que conlleva, que algunos asuntos actualmente ingresan en los Juzgados Contravencionales (en donde figura una persona adulta mayor por algún problema de violencia, pero sin lazo familiar) y podrían eventualmente ser de conocimiento de los Juzgados de Violencia Doméstica; se tiene que, </w:t>
      </w:r>
      <w:r w:rsidRPr="006E41C2">
        <w:rPr>
          <w:rFonts w:ascii="Book Antiqua" w:eastAsia="Calibri" w:hAnsi="Book Antiqua" w:cs="Arial"/>
          <w:sz w:val="24"/>
          <w:szCs w:val="24"/>
        </w:rPr>
        <w:t>en 2019, por género y edad un total de 1 859 ofendidos reportan una edad superior a los 63 años (1 071 hombres y 788 mujeres). Asumiendo que, se trata de un ofendido por caso, representaría 165 asuntos nuevos por mes, eso entre los 74 Juzgados competentes en Violencia Doméstica del país, representaría en promedio 2 casos nuevos por</w:t>
      </w:r>
      <w:r w:rsidRPr="002B3DB0">
        <w:rPr>
          <w:rFonts w:ascii="Book Antiqua" w:eastAsia="Calibri" w:hAnsi="Book Antiqua" w:cs="Arial"/>
          <w:sz w:val="24"/>
          <w:szCs w:val="24"/>
        </w:rPr>
        <w:t xml:space="preserve"> mes por oficina. </w:t>
      </w:r>
    </w:p>
    <w:p w14:paraId="518C526B" w14:textId="73D77845" w:rsidR="002B3DB0" w:rsidRPr="002B3DB0" w:rsidRDefault="002B3DB0" w:rsidP="002B3DB0">
      <w:pPr>
        <w:spacing w:after="0" w:line="276" w:lineRule="auto"/>
        <w:jc w:val="both"/>
        <w:rPr>
          <w:rFonts w:ascii="Book Antiqua" w:eastAsia="Calibri" w:hAnsi="Book Antiqua" w:cs="Arial"/>
          <w:sz w:val="24"/>
          <w:szCs w:val="24"/>
        </w:rPr>
      </w:pPr>
      <w:r w:rsidRPr="002B3DB0">
        <w:rPr>
          <w:rFonts w:ascii="Book Antiqua" w:eastAsia="Calibri" w:hAnsi="Book Antiqua" w:cs="Arial"/>
          <w:sz w:val="24"/>
          <w:szCs w:val="24"/>
        </w:rPr>
        <w:t xml:space="preserve">Por tanto, el impacto del CPF en los Juzgados de Violencia Doméstica radicaría principalmente en cambios a nivel de nomenclatura y en la nueva atribución conferida, estos procesos de protección cautelar a favor de personas adultas mayores y personas con discapacidad no está considerado como parte de la competencia material que tiene los juzgados de esta jurisdicción y por lo tanto, tampoco se tiene incluido actualmente en la fórmula estadística, por lo </w:t>
      </w:r>
      <w:r>
        <w:rPr>
          <w:rFonts w:ascii="Book Antiqua" w:eastAsia="Calibri" w:hAnsi="Book Antiqua" w:cs="Arial"/>
          <w:sz w:val="24"/>
          <w:szCs w:val="24"/>
        </w:rPr>
        <w:t xml:space="preserve">que </w:t>
      </w:r>
      <w:r w:rsidRPr="002B3DB0">
        <w:rPr>
          <w:rFonts w:ascii="Book Antiqua" w:eastAsia="Calibri" w:hAnsi="Book Antiqua" w:cs="Arial"/>
          <w:sz w:val="24"/>
          <w:szCs w:val="24"/>
        </w:rPr>
        <w:t>resulta difícil estimar su comportamiento futuro sobre la carga laboral por su carácter novedoso dentro del Poder Judicial. Sin embargo,</w:t>
      </w:r>
      <w:r w:rsidR="00694038">
        <w:rPr>
          <w:rFonts w:ascii="Book Antiqua" w:eastAsia="Calibri" w:hAnsi="Book Antiqua" w:cs="Arial"/>
          <w:sz w:val="24"/>
          <w:szCs w:val="24"/>
        </w:rPr>
        <w:t xml:space="preserve"> conforme el criterio experto, se percibe</w:t>
      </w:r>
      <w:r w:rsidRPr="002B3DB0">
        <w:rPr>
          <w:rFonts w:ascii="Book Antiqua" w:eastAsia="Calibri" w:hAnsi="Book Antiqua" w:cs="Arial"/>
          <w:sz w:val="24"/>
          <w:szCs w:val="24"/>
        </w:rPr>
        <w:t xml:space="preserve"> que por su naturaleza</w:t>
      </w:r>
      <w:r w:rsidR="00694038">
        <w:rPr>
          <w:rFonts w:ascii="Book Antiqua" w:eastAsia="Calibri" w:hAnsi="Book Antiqua" w:cs="Arial"/>
          <w:sz w:val="24"/>
          <w:szCs w:val="24"/>
        </w:rPr>
        <w:t>,</w:t>
      </w:r>
      <w:r w:rsidRPr="002B3DB0">
        <w:rPr>
          <w:rFonts w:ascii="Book Antiqua" w:eastAsia="Calibri" w:hAnsi="Book Antiqua" w:cs="Arial"/>
          <w:sz w:val="24"/>
          <w:szCs w:val="24"/>
        </w:rPr>
        <w:t xml:space="preserve"> los procesos de protección cautelar podrían </w:t>
      </w:r>
      <w:r w:rsidR="00694038">
        <w:rPr>
          <w:rFonts w:ascii="Book Antiqua" w:eastAsia="Calibri" w:hAnsi="Book Antiqua" w:cs="Arial"/>
          <w:sz w:val="24"/>
          <w:szCs w:val="24"/>
        </w:rPr>
        <w:t>impactar la entrada de los Juzgados contra la Violencia, pero consideran que podría ser</w:t>
      </w:r>
      <w:r w:rsidRPr="002B3DB0">
        <w:rPr>
          <w:rFonts w:ascii="Book Antiqua" w:eastAsia="Calibri" w:hAnsi="Book Antiqua" w:cs="Arial"/>
          <w:sz w:val="24"/>
          <w:szCs w:val="24"/>
        </w:rPr>
        <w:t xml:space="preserve"> baja</w:t>
      </w:r>
      <w:r w:rsidR="00694038">
        <w:rPr>
          <w:rFonts w:ascii="Book Antiqua" w:eastAsia="Calibri" w:hAnsi="Book Antiqua" w:cs="Arial"/>
          <w:sz w:val="24"/>
          <w:szCs w:val="24"/>
        </w:rPr>
        <w:t xml:space="preserve"> la</w:t>
      </w:r>
      <w:r w:rsidRPr="002B3DB0">
        <w:rPr>
          <w:rFonts w:ascii="Book Antiqua" w:eastAsia="Calibri" w:hAnsi="Book Antiqua" w:cs="Arial"/>
          <w:sz w:val="24"/>
          <w:szCs w:val="24"/>
        </w:rPr>
        <w:t xml:space="preserve"> incidencia sobre el ingreso de casos en estos despachos</w:t>
      </w:r>
      <w:r w:rsidR="00694038">
        <w:rPr>
          <w:rFonts w:ascii="Book Antiqua" w:eastAsia="Calibri" w:hAnsi="Book Antiqua" w:cs="Arial"/>
          <w:sz w:val="24"/>
          <w:szCs w:val="24"/>
        </w:rPr>
        <w:t xml:space="preserve">; caso contrario lo que consideran las personas juzgadoras en la materia, en donde se les asignan nuevas competencias, con plazos de resolución </w:t>
      </w:r>
      <w:r w:rsidR="00D72349">
        <w:rPr>
          <w:rFonts w:ascii="Book Antiqua" w:eastAsia="Calibri" w:hAnsi="Book Antiqua" w:cs="Arial"/>
          <w:sz w:val="24"/>
          <w:szCs w:val="24"/>
        </w:rPr>
        <w:t xml:space="preserve">legales </w:t>
      </w:r>
      <w:r w:rsidR="00694038">
        <w:rPr>
          <w:rFonts w:ascii="Book Antiqua" w:eastAsia="Calibri" w:hAnsi="Book Antiqua" w:cs="Arial"/>
          <w:sz w:val="24"/>
          <w:szCs w:val="24"/>
        </w:rPr>
        <w:t xml:space="preserve">muy cortos. </w:t>
      </w:r>
    </w:p>
    <w:p w14:paraId="3A2217B9" w14:textId="7BF174BF" w:rsidR="002B3DB0" w:rsidRDefault="002B3DB0" w:rsidP="00A65874">
      <w:pPr>
        <w:rPr>
          <w:lang w:val="es-ES"/>
        </w:rPr>
      </w:pPr>
    </w:p>
    <w:p w14:paraId="43260B6E" w14:textId="46BD4FDF" w:rsidR="002B3DB0" w:rsidRDefault="002B3DB0" w:rsidP="002B3DB0">
      <w:pPr>
        <w:spacing w:after="0" w:line="276" w:lineRule="auto"/>
        <w:jc w:val="both"/>
        <w:rPr>
          <w:rFonts w:ascii="Book Antiqua" w:eastAsia="Calibri" w:hAnsi="Book Antiqua" w:cs="Arial"/>
          <w:iCs/>
          <w:spacing w:val="-3"/>
          <w:sz w:val="24"/>
          <w:szCs w:val="24"/>
        </w:rPr>
      </w:pPr>
      <w:r w:rsidRPr="002B3DB0">
        <w:rPr>
          <w:rFonts w:ascii="Book Antiqua" w:eastAsia="Calibri" w:hAnsi="Book Antiqua" w:cs="Arial"/>
          <w:sz w:val="24"/>
          <w:szCs w:val="24"/>
        </w:rPr>
        <w:t xml:space="preserve">La Dirección de Planificación emitió el oficio </w:t>
      </w:r>
      <w:r w:rsidRPr="002B3DB0">
        <w:rPr>
          <w:rFonts w:ascii="Book Antiqua" w:eastAsia="Calibri" w:hAnsi="Book Antiqua" w:cs="Arial"/>
          <w:b/>
          <w:bCs/>
          <w:i/>
          <w:iCs/>
          <w:sz w:val="24"/>
          <w:szCs w:val="24"/>
        </w:rPr>
        <w:t>124-PLA-PP-MI-2020</w:t>
      </w:r>
      <w:r w:rsidRPr="002B3DB0">
        <w:rPr>
          <w:rFonts w:ascii="Book Antiqua" w:eastAsia="Calibri" w:hAnsi="Book Antiqua" w:cs="Arial"/>
          <w:sz w:val="24"/>
          <w:szCs w:val="24"/>
        </w:rPr>
        <w:t xml:space="preserve"> con la propuesta de variación de nombres de los juzgados competentes en materia de Violencia Doméstica a nivel nacional, atendiendo </w:t>
      </w:r>
      <w:r w:rsidRPr="002B3DB0">
        <w:rPr>
          <w:rFonts w:ascii="Book Antiqua" w:eastAsia="Calibri" w:hAnsi="Book Antiqua" w:cs="Arial"/>
          <w:iCs/>
          <w:spacing w:val="-3"/>
          <w:sz w:val="24"/>
          <w:szCs w:val="24"/>
        </w:rPr>
        <w:t xml:space="preserve">lo establecido en la Ley 7586 Ley Contra la Violencia Doméstica, </w:t>
      </w:r>
      <w:r w:rsidRPr="002B3DB0">
        <w:rPr>
          <w:rFonts w:ascii="Book Antiqua" w:eastAsia="Calibri" w:hAnsi="Book Antiqua" w:cs="Arial"/>
          <w:sz w:val="24"/>
          <w:szCs w:val="24"/>
        </w:rPr>
        <w:t xml:space="preserve">artículo 121 bis de la Ley Orgánica del Poder Judicial (incorporado por Ley 9747) </w:t>
      </w:r>
      <w:r w:rsidRPr="002B3DB0">
        <w:rPr>
          <w:rFonts w:ascii="Book Antiqua" w:eastAsia="Calibri" w:hAnsi="Book Antiqua" w:cs="Arial"/>
          <w:iCs/>
          <w:spacing w:val="-3"/>
          <w:sz w:val="24"/>
          <w:szCs w:val="24"/>
        </w:rPr>
        <w:t>y el acuerdo de la Comisión de Familia del primero de diciembre 2020, artículo III comunicado por oficio 079-JVA-2020 donde indican:</w:t>
      </w:r>
    </w:p>
    <w:p w14:paraId="67AE03FD" w14:textId="77777777" w:rsidR="00CC00E5" w:rsidRPr="002B3DB0" w:rsidRDefault="00CC00E5" w:rsidP="002B3DB0">
      <w:pPr>
        <w:spacing w:after="0" w:line="276" w:lineRule="auto"/>
        <w:jc w:val="both"/>
        <w:rPr>
          <w:rFonts w:ascii="Book Antiqua" w:eastAsia="Calibri" w:hAnsi="Book Antiqua" w:cs="Arial"/>
          <w:iCs/>
          <w:spacing w:val="-3"/>
        </w:rPr>
      </w:pPr>
    </w:p>
    <w:p w14:paraId="50F7EF56" w14:textId="151C6CCB" w:rsidR="002B3DB0" w:rsidRPr="002B3DB0" w:rsidRDefault="002B3DB0" w:rsidP="002B3DB0">
      <w:pPr>
        <w:spacing w:after="0" w:line="276" w:lineRule="auto"/>
        <w:ind w:left="567" w:right="616"/>
        <w:jc w:val="both"/>
        <w:rPr>
          <w:rFonts w:ascii="Book Antiqua" w:eastAsia="Calibri" w:hAnsi="Book Antiqua" w:cs="Arial"/>
          <w:i/>
          <w:color w:val="000000"/>
          <w:spacing w:val="-3"/>
          <w:sz w:val="24"/>
          <w:szCs w:val="24"/>
          <w:lang w:eastAsia="es-CR"/>
        </w:rPr>
      </w:pPr>
      <w:r w:rsidRPr="002B3DB0">
        <w:rPr>
          <w:rFonts w:ascii="Book Antiqua" w:eastAsia="Calibri" w:hAnsi="Book Antiqua" w:cs="Arial"/>
          <w:i/>
          <w:color w:val="000000"/>
          <w:spacing w:val="-3"/>
          <w:sz w:val="24"/>
          <w:szCs w:val="24"/>
          <w:lang w:eastAsia="es-CR"/>
        </w:rPr>
        <w:t>“</w:t>
      </w:r>
      <w:r w:rsidRPr="002B3DB0">
        <w:rPr>
          <w:rFonts w:ascii="Book Antiqua" w:eastAsia="Calibri" w:hAnsi="Book Antiqua" w:cs="Arial"/>
          <w:b/>
          <w:bCs/>
          <w:i/>
          <w:color w:val="000000"/>
          <w:spacing w:val="-3"/>
          <w:sz w:val="24"/>
          <w:szCs w:val="24"/>
          <w:lang w:eastAsia="es-CR"/>
        </w:rPr>
        <w:t>Se acuerda:</w:t>
      </w:r>
      <w:r w:rsidRPr="002B3DB0">
        <w:rPr>
          <w:rFonts w:ascii="Book Antiqua" w:eastAsia="Calibri" w:hAnsi="Book Antiqua" w:cs="Arial"/>
          <w:i/>
          <w:color w:val="000000"/>
          <w:spacing w:val="-3"/>
          <w:sz w:val="24"/>
          <w:szCs w:val="24"/>
          <w:lang w:eastAsia="es-CR"/>
        </w:rPr>
        <w:t xml:space="preserve"> 1) Solicitar a la Dirección de Planificación que se modifique el nombre de los despachos que actualmente se identifican como” Juzgados de </w:t>
      </w:r>
      <w:r w:rsidRPr="002B3DB0">
        <w:rPr>
          <w:rFonts w:ascii="Book Antiqua" w:eastAsia="Calibri" w:hAnsi="Book Antiqua" w:cs="Arial"/>
          <w:i/>
          <w:color w:val="000000"/>
          <w:spacing w:val="-3"/>
          <w:sz w:val="24"/>
          <w:szCs w:val="24"/>
          <w:lang w:eastAsia="es-CR"/>
        </w:rPr>
        <w:lastRenderedPageBreak/>
        <w:t>Violencia Doméstica” para que a futuro se denominen “Juzgados contra la Violencia Doméstica y Protección Cautelar”, tal y como lo establece la Ley que los creó y consta en el Sistema de Información Jurídica. Que ese cambio se haga a partir del momento en que se</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cuente con</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presupuesto</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para esos</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efectos. 2) Solicitar a la Dirección de Planificación que a</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partir del primero de</w:t>
      </w:r>
      <w:r w:rsidR="00E85731" w:rsidRPr="002B3DB0">
        <w:rPr>
          <w:rFonts w:ascii="Book Antiqua" w:eastAsia="Calibri" w:hAnsi="Book Antiqua" w:cs="Arial"/>
          <w:i/>
          <w:color w:val="000000"/>
          <w:spacing w:val="-3"/>
          <w:sz w:val="24"/>
          <w:szCs w:val="24"/>
          <w:lang w:eastAsia="es-CR"/>
        </w:rPr>
        <w:t xml:space="preserve"> </w:t>
      </w:r>
      <w:r w:rsidRPr="002B3DB0">
        <w:rPr>
          <w:rFonts w:ascii="Book Antiqua" w:eastAsia="Calibri" w:hAnsi="Book Antiqua" w:cs="Arial"/>
          <w:i/>
          <w:color w:val="000000"/>
          <w:spacing w:val="-3"/>
          <w:sz w:val="24"/>
          <w:szCs w:val="24"/>
          <w:lang w:eastAsia="es-CR"/>
        </w:rPr>
        <w:t xml:space="preserve">enero del año 2023 conste ese cambio en los formatos jurídicos (machotes). 3) Además, se solicita a la Dirección de Tecnología de la Información que proceda a realizar los cambios en ese sentido en el SISTEMA SIGA, para que se amplíe la cantidad de caracteres que se requieran para ese cambio. </w:t>
      </w:r>
    </w:p>
    <w:p w14:paraId="3586BC70" w14:textId="4ED1BD40" w:rsidR="002B3DB0" w:rsidRPr="002B3DB0" w:rsidRDefault="002B3DB0" w:rsidP="002B3DB0">
      <w:pPr>
        <w:spacing w:after="0" w:line="276" w:lineRule="auto"/>
        <w:ind w:left="567" w:right="616"/>
        <w:jc w:val="both"/>
        <w:rPr>
          <w:rFonts w:ascii="Book Antiqua" w:eastAsia="Calibri" w:hAnsi="Book Antiqua" w:cs="Arial"/>
          <w:i/>
          <w:color w:val="000000"/>
          <w:spacing w:val="-3"/>
          <w:sz w:val="24"/>
          <w:szCs w:val="24"/>
          <w:lang w:eastAsia="es-CR"/>
        </w:rPr>
      </w:pPr>
      <w:r w:rsidRPr="002B3DB0">
        <w:rPr>
          <w:rFonts w:ascii="Book Antiqua" w:eastAsia="Calibri" w:hAnsi="Book Antiqua" w:cs="Arial"/>
          <w:i/>
          <w:color w:val="000000"/>
          <w:spacing w:val="-3"/>
          <w:sz w:val="24"/>
          <w:szCs w:val="24"/>
          <w:lang w:eastAsia="es-CR"/>
        </w:rPr>
        <w:t>Se tiene como acuerdo firme.”.</w:t>
      </w:r>
    </w:p>
    <w:p w14:paraId="0CF7ED2E" w14:textId="77777777" w:rsidR="002B3DB0" w:rsidRPr="002B3DB0" w:rsidRDefault="002B3DB0" w:rsidP="002B3DB0">
      <w:pPr>
        <w:spacing w:after="0" w:line="276" w:lineRule="auto"/>
        <w:ind w:left="567" w:right="616"/>
        <w:jc w:val="both"/>
        <w:rPr>
          <w:rFonts w:ascii="Book Antiqua" w:eastAsia="Calibri" w:hAnsi="Book Antiqua" w:cs="Arial"/>
          <w:i/>
          <w:color w:val="000000"/>
          <w:spacing w:val="-3"/>
          <w:sz w:val="24"/>
          <w:szCs w:val="24"/>
          <w:lang w:eastAsia="es-CR"/>
        </w:rPr>
      </w:pPr>
    </w:p>
    <w:p w14:paraId="5D69CC9F" w14:textId="5D400176" w:rsidR="002B3DB0" w:rsidRDefault="002B3DB0" w:rsidP="002B3DB0">
      <w:pPr>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2B3DB0">
        <w:rPr>
          <w:rFonts w:ascii="Book Antiqua" w:eastAsia="Calibri" w:hAnsi="Book Antiqua" w:cs="Book Antiqua"/>
          <w:iCs/>
          <w:color w:val="000000"/>
          <w:spacing w:val="-3"/>
          <w:sz w:val="24"/>
          <w:szCs w:val="24"/>
        </w:rPr>
        <w:t xml:space="preserve">Cabe mencionar que para poder aplicar el cambio en los nombres de las oficinas en el sistema SIGA-PJ es necesaria una mejora en el sistema de parte de la Dirección de Tecnología de la Información </w:t>
      </w:r>
      <w:r>
        <w:rPr>
          <w:rFonts w:ascii="Book Antiqua" w:eastAsia="Calibri" w:hAnsi="Book Antiqua" w:cs="Book Antiqua"/>
          <w:iCs/>
          <w:color w:val="000000"/>
          <w:spacing w:val="-3"/>
          <w:sz w:val="24"/>
          <w:szCs w:val="24"/>
        </w:rPr>
        <w:t xml:space="preserve">y Comunicaciones </w:t>
      </w:r>
      <w:r w:rsidRPr="002B3DB0">
        <w:rPr>
          <w:rFonts w:ascii="Book Antiqua" w:eastAsia="Calibri" w:hAnsi="Book Antiqua" w:cs="Book Antiqua"/>
          <w:iCs/>
          <w:color w:val="000000"/>
          <w:spacing w:val="-3"/>
          <w:sz w:val="24"/>
          <w:szCs w:val="24"/>
        </w:rPr>
        <w:t xml:space="preserve">que amplié la cantidad de caracteres, requerimiento presentado por la misma Comisión de Familia, Niñez y Adolescencia en la sesión del primero de </w:t>
      </w:r>
      <w:r w:rsidRPr="00AB0ABA">
        <w:rPr>
          <w:rFonts w:ascii="Book Antiqua" w:eastAsia="Calibri" w:hAnsi="Book Antiqua" w:cs="Book Antiqua"/>
          <w:iCs/>
          <w:color w:val="000000"/>
          <w:spacing w:val="-3"/>
          <w:sz w:val="24"/>
          <w:szCs w:val="24"/>
        </w:rPr>
        <w:t>diciembre del año en curso</w:t>
      </w:r>
      <w:r w:rsidRPr="002B3DB0">
        <w:rPr>
          <w:rFonts w:ascii="Book Antiqua" w:eastAsia="Calibri" w:hAnsi="Book Antiqua" w:cs="Book Antiqua"/>
          <w:iCs/>
          <w:color w:val="000000"/>
          <w:spacing w:val="-3"/>
          <w:sz w:val="24"/>
          <w:szCs w:val="24"/>
        </w:rPr>
        <w:t>,</w:t>
      </w:r>
      <w:r w:rsidR="00AB0ABA">
        <w:rPr>
          <w:rFonts w:ascii="Book Antiqua" w:eastAsia="Calibri" w:hAnsi="Book Antiqua" w:cs="Book Antiqua"/>
          <w:iCs/>
          <w:color w:val="000000"/>
          <w:spacing w:val="-3"/>
          <w:sz w:val="24"/>
          <w:szCs w:val="24"/>
        </w:rPr>
        <w:t xml:space="preserve"> </w:t>
      </w:r>
      <w:r w:rsidRPr="002B3DB0">
        <w:rPr>
          <w:rFonts w:ascii="Book Antiqua" w:eastAsia="Calibri" w:hAnsi="Book Antiqua" w:cs="Book Antiqua"/>
          <w:iCs/>
          <w:color w:val="000000"/>
          <w:spacing w:val="-3"/>
          <w:sz w:val="24"/>
          <w:szCs w:val="24"/>
        </w:rPr>
        <w:t>artículo III.   Por tal motivo, se destaca que los cambios no podrán ser aplicados hasta tanto la citada mejora no se haya adicionado al sistema SIGA-PJ.</w:t>
      </w:r>
    </w:p>
    <w:p w14:paraId="1DB8363F" w14:textId="77777777" w:rsidR="00AB0ABA" w:rsidRPr="002B3DB0" w:rsidRDefault="00AB0ABA" w:rsidP="002B3DB0">
      <w:pPr>
        <w:autoSpaceDE w:val="0"/>
        <w:autoSpaceDN w:val="0"/>
        <w:adjustRightInd w:val="0"/>
        <w:spacing w:after="0" w:line="276" w:lineRule="auto"/>
        <w:jc w:val="both"/>
        <w:rPr>
          <w:rFonts w:ascii="Book Antiqua" w:eastAsia="Calibri" w:hAnsi="Book Antiqua" w:cs="Book Antiqua"/>
          <w:iCs/>
          <w:color w:val="000000"/>
          <w:spacing w:val="-3"/>
          <w:sz w:val="24"/>
          <w:szCs w:val="24"/>
        </w:rPr>
      </w:pPr>
    </w:p>
    <w:p w14:paraId="1F684815" w14:textId="6B1668FC" w:rsidR="002B3DB0" w:rsidRPr="00F3324E" w:rsidRDefault="002B3DB0"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t>Modelo de Juzgados de Violencia Doméstica-estructuras</w:t>
      </w:r>
    </w:p>
    <w:p w14:paraId="3A0677DD" w14:textId="77777777" w:rsidR="00F3324E" w:rsidRDefault="00F3324E" w:rsidP="002B3DB0">
      <w:pPr>
        <w:spacing w:after="0" w:line="276" w:lineRule="auto"/>
        <w:jc w:val="both"/>
        <w:rPr>
          <w:rFonts w:ascii="Book Antiqua" w:eastAsia="Calibri" w:hAnsi="Book Antiqua" w:cs="Arial"/>
          <w:sz w:val="24"/>
          <w:szCs w:val="24"/>
        </w:rPr>
      </w:pPr>
    </w:p>
    <w:p w14:paraId="3D5DCAC4" w14:textId="55C6786B" w:rsidR="00D72349" w:rsidRDefault="00CC00E5" w:rsidP="002B3DB0">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A partir de febrero 2022 y hasta la entrada en vigencia de la Ley 9747, la Dirección de Planificación se encuentra trabajando en el abordaje de </w:t>
      </w:r>
      <w:r w:rsidR="002B3DB0" w:rsidRPr="002B3DB0">
        <w:rPr>
          <w:rFonts w:ascii="Book Antiqua" w:eastAsia="Calibri" w:hAnsi="Book Antiqua" w:cs="Arial"/>
          <w:sz w:val="24"/>
          <w:szCs w:val="24"/>
        </w:rPr>
        <w:t>los 1</w:t>
      </w:r>
      <w:r w:rsidR="00D72349">
        <w:rPr>
          <w:rFonts w:ascii="Book Antiqua" w:eastAsia="Calibri" w:hAnsi="Book Antiqua" w:cs="Arial"/>
          <w:sz w:val="24"/>
          <w:szCs w:val="24"/>
        </w:rPr>
        <w:t>2</w:t>
      </w:r>
      <w:r w:rsidR="002B3DB0" w:rsidRPr="002B3DB0">
        <w:rPr>
          <w:rFonts w:ascii="Book Antiqua" w:eastAsia="Calibri" w:hAnsi="Book Antiqua" w:cs="Arial"/>
          <w:sz w:val="24"/>
          <w:szCs w:val="24"/>
        </w:rPr>
        <w:t xml:space="preserve"> Juzgados de Violencia Doméstica Especializados</w:t>
      </w:r>
      <w:r w:rsidR="00D72349">
        <w:rPr>
          <w:rFonts w:ascii="Book Antiqua" w:eastAsia="Calibri" w:hAnsi="Book Antiqua" w:cs="Arial"/>
          <w:sz w:val="24"/>
          <w:szCs w:val="24"/>
        </w:rPr>
        <w:t xml:space="preserve"> + el Juzgado de turno en el Segundo Circuito Judicial de San José</w:t>
      </w:r>
      <w:r w:rsidR="002B3DB0" w:rsidRPr="002B3DB0">
        <w:rPr>
          <w:rFonts w:ascii="Book Antiqua" w:eastAsia="Calibri" w:hAnsi="Book Antiqua" w:cs="Arial"/>
          <w:sz w:val="24"/>
          <w:szCs w:val="24"/>
        </w:rPr>
        <w:t>.</w:t>
      </w:r>
    </w:p>
    <w:p w14:paraId="77DA277B" w14:textId="77777777" w:rsidR="004E4FAF" w:rsidRDefault="004E4FAF" w:rsidP="002B3DB0">
      <w:pPr>
        <w:spacing w:after="0" w:line="276" w:lineRule="auto"/>
        <w:jc w:val="both"/>
        <w:rPr>
          <w:rFonts w:ascii="Book Antiqua" w:eastAsia="Calibri" w:hAnsi="Book Antiqua" w:cs="Arial"/>
          <w:sz w:val="24"/>
          <w:szCs w:val="24"/>
        </w:rPr>
      </w:pPr>
    </w:p>
    <w:p w14:paraId="1E78313F" w14:textId="3415FBE3" w:rsidR="002B3DB0" w:rsidRPr="002B3DB0" w:rsidRDefault="00CC00E5" w:rsidP="00391382">
      <w:pPr>
        <w:spacing w:before="30" w:afterLines="30" w:after="72" w:line="276" w:lineRule="auto"/>
        <w:jc w:val="both"/>
        <w:rPr>
          <w:rFonts w:ascii="Book Antiqua" w:eastAsia="Calibri" w:hAnsi="Book Antiqua" w:cs="Arial"/>
          <w:sz w:val="24"/>
          <w:szCs w:val="24"/>
        </w:rPr>
      </w:pPr>
      <w:r>
        <w:rPr>
          <w:rFonts w:ascii="Book Antiqua" w:eastAsia="Calibri" w:hAnsi="Book Antiqua" w:cs="Arial"/>
          <w:sz w:val="24"/>
          <w:szCs w:val="24"/>
        </w:rPr>
        <w:t>Dentro de la metodología, se realizaron talleres con las personas juzgadoras en febrero-marzo 2022, actualmente se está en la fase de recolección de información, para la construcción conjunta entre personas juzgadoras y esta Dirección del Juzgado “</w:t>
      </w:r>
      <w:r w:rsidRPr="001D0C10">
        <w:rPr>
          <w:rFonts w:ascii="Book Antiqua" w:eastAsia="Calibri" w:hAnsi="Book Antiqua" w:cs="Arial"/>
          <w:i/>
          <w:iCs/>
          <w:sz w:val="24"/>
          <w:szCs w:val="24"/>
        </w:rPr>
        <w:t>Modelo</w:t>
      </w:r>
      <w:r>
        <w:rPr>
          <w:rFonts w:ascii="Book Antiqua" w:eastAsia="Calibri" w:hAnsi="Book Antiqua" w:cs="Arial"/>
          <w:sz w:val="24"/>
          <w:szCs w:val="24"/>
        </w:rPr>
        <w:t xml:space="preserve">” Contra la Violencia Doméstica. </w:t>
      </w:r>
      <w:r w:rsidR="002B3DB0" w:rsidRPr="002B3DB0">
        <w:rPr>
          <w:rFonts w:ascii="Book Antiqua" w:eastAsia="Calibri" w:hAnsi="Book Antiqua" w:cs="Arial"/>
          <w:sz w:val="24"/>
          <w:szCs w:val="24"/>
        </w:rPr>
        <w:t xml:space="preserve">   Los despachos mixtos que atienden Violencia junto con la materia de Familia ya fueron analizados en 2020</w:t>
      </w:r>
      <w:r>
        <w:rPr>
          <w:rFonts w:ascii="Book Antiqua" w:eastAsia="Calibri" w:hAnsi="Book Antiqua" w:cs="Arial"/>
          <w:sz w:val="24"/>
          <w:szCs w:val="24"/>
        </w:rPr>
        <w:t>, y solamente se ajustarían algunas variables a partir de la oficina modelo</w:t>
      </w:r>
      <w:r w:rsidR="002B3DB0" w:rsidRPr="002B3DB0">
        <w:rPr>
          <w:rFonts w:ascii="Book Antiqua" w:eastAsia="Calibri" w:hAnsi="Book Antiqua" w:cs="Arial"/>
          <w:sz w:val="24"/>
          <w:szCs w:val="24"/>
        </w:rPr>
        <w:t xml:space="preserve">. </w:t>
      </w:r>
    </w:p>
    <w:p w14:paraId="37B533DB" w14:textId="57A7FF08" w:rsidR="002B3DB0" w:rsidRDefault="002B3DB0" w:rsidP="00391382">
      <w:pPr>
        <w:spacing w:before="30" w:afterLines="30" w:after="72"/>
        <w:rPr>
          <w:lang w:val="es-ES"/>
        </w:rPr>
      </w:pPr>
    </w:p>
    <w:p w14:paraId="2E8F8AAC" w14:textId="6D2F7FA8" w:rsidR="001E086B" w:rsidRDefault="0089737D" w:rsidP="00391382">
      <w:pPr>
        <w:spacing w:before="30" w:afterLines="30" w:after="72"/>
        <w:jc w:val="both"/>
        <w:rPr>
          <w:rFonts w:ascii="Book Antiqua" w:eastAsia="Calibri" w:hAnsi="Book Antiqua" w:cs="Arial"/>
          <w:sz w:val="24"/>
          <w:szCs w:val="24"/>
        </w:rPr>
      </w:pPr>
      <w:proofErr w:type="gramStart"/>
      <w:r w:rsidRPr="001D0C10">
        <w:rPr>
          <w:rFonts w:ascii="Book Antiqua" w:eastAsia="Calibri" w:hAnsi="Book Antiqua" w:cs="Arial"/>
          <w:sz w:val="24"/>
          <w:szCs w:val="24"/>
        </w:rPr>
        <w:t>La metodología a emplear</w:t>
      </w:r>
      <w:proofErr w:type="gramEnd"/>
      <w:r w:rsidRPr="001D0C10">
        <w:rPr>
          <w:rFonts w:ascii="Book Antiqua" w:eastAsia="Calibri" w:hAnsi="Book Antiqua" w:cs="Arial"/>
          <w:sz w:val="24"/>
          <w:szCs w:val="24"/>
        </w:rPr>
        <w:t xml:space="preserve"> para el diseño del modelo de tramitación consiste en una cocreación </w:t>
      </w:r>
      <w:r w:rsidR="00E7651C" w:rsidRPr="001D0C10">
        <w:rPr>
          <w:rFonts w:ascii="Book Antiqua" w:eastAsia="Calibri" w:hAnsi="Book Antiqua" w:cs="Arial"/>
          <w:sz w:val="24"/>
          <w:szCs w:val="24"/>
        </w:rPr>
        <w:t xml:space="preserve">con personal juzgador, en la cual se utilizan formularios electrónicos, </w:t>
      </w:r>
      <w:r w:rsidR="00E7651C" w:rsidRPr="001D0C10">
        <w:rPr>
          <w:rFonts w:ascii="Book Antiqua" w:eastAsia="Calibri" w:hAnsi="Book Antiqua" w:cs="Arial"/>
          <w:sz w:val="24"/>
          <w:szCs w:val="24"/>
        </w:rPr>
        <w:lastRenderedPageBreak/>
        <w:t xml:space="preserve">talleres de validación, giras presenciales y consulta </w:t>
      </w:r>
      <w:r w:rsidR="0022556D" w:rsidRPr="001D0C10">
        <w:rPr>
          <w:rFonts w:ascii="Book Antiqua" w:eastAsia="Calibri" w:hAnsi="Book Antiqua" w:cs="Arial"/>
          <w:sz w:val="24"/>
          <w:szCs w:val="24"/>
        </w:rPr>
        <w:t>al 100% de los despachos de manera simultánea.</w:t>
      </w:r>
    </w:p>
    <w:p w14:paraId="37DF6D0B" w14:textId="77777777" w:rsidR="009B45D3" w:rsidRDefault="009B45D3" w:rsidP="00E03F00">
      <w:pPr>
        <w:spacing w:before="30" w:afterLines="30" w:after="72"/>
        <w:jc w:val="both"/>
        <w:rPr>
          <w:rFonts w:ascii="Book Antiqua" w:eastAsia="Calibri" w:hAnsi="Book Antiqua" w:cs="Arial"/>
          <w:sz w:val="24"/>
          <w:szCs w:val="24"/>
        </w:rPr>
      </w:pPr>
    </w:p>
    <w:p w14:paraId="209ACD59" w14:textId="138E3D52" w:rsidR="00025A42" w:rsidRPr="00391382" w:rsidRDefault="00025A42" w:rsidP="00391382">
      <w:pPr>
        <w:spacing w:after="0" w:line="240" w:lineRule="auto"/>
        <w:jc w:val="both"/>
        <w:rPr>
          <w:rFonts w:ascii="Book Antiqua" w:eastAsia="Calibri" w:hAnsi="Book Antiqua" w:cs="Arial"/>
          <w:sz w:val="24"/>
          <w:szCs w:val="24"/>
        </w:rPr>
      </w:pPr>
      <w:r>
        <w:rPr>
          <w:rFonts w:ascii="Book Antiqua" w:eastAsia="Calibri" w:hAnsi="Book Antiqua" w:cs="Arial"/>
          <w:sz w:val="24"/>
          <w:szCs w:val="24"/>
        </w:rPr>
        <w:t>A continuación, se presenta un análisis obtenido producto de la</w:t>
      </w:r>
      <w:r w:rsidR="00E54526">
        <w:rPr>
          <w:rFonts w:ascii="Book Antiqua" w:eastAsia="Calibri" w:hAnsi="Book Antiqua" w:cs="Arial"/>
          <w:sz w:val="24"/>
          <w:szCs w:val="24"/>
        </w:rPr>
        <w:t xml:space="preserve"> sintetización de respuestas emitidas por parte de las personas Juzgadoras</w:t>
      </w:r>
      <w:r w:rsidR="00FB0186">
        <w:rPr>
          <w:rFonts w:ascii="Book Antiqua" w:eastAsia="Calibri" w:hAnsi="Book Antiqua" w:cs="Arial"/>
          <w:sz w:val="24"/>
          <w:szCs w:val="24"/>
        </w:rPr>
        <w:t xml:space="preserve">, por lo que </w:t>
      </w:r>
      <w:r w:rsidR="00A37ACC">
        <w:rPr>
          <w:rFonts w:ascii="Book Antiqua" w:eastAsia="Calibri" w:hAnsi="Book Antiqua" w:cs="Arial"/>
          <w:sz w:val="24"/>
          <w:szCs w:val="24"/>
        </w:rPr>
        <w:t>a</w:t>
      </w:r>
      <w:r w:rsidR="00FB0186">
        <w:rPr>
          <w:rFonts w:ascii="Book Antiqua" w:eastAsia="Calibri" w:hAnsi="Book Antiqua" w:cs="Arial"/>
          <w:sz w:val="24"/>
          <w:szCs w:val="24"/>
        </w:rPr>
        <w:t xml:space="preserve"> criterio técnico de esta Dirección</w:t>
      </w:r>
      <w:r w:rsidR="00A37ACC">
        <w:rPr>
          <w:rFonts w:ascii="Book Antiqua" w:eastAsia="Calibri" w:hAnsi="Book Antiqua" w:cs="Arial"/>
          <w:sz w:val="24"/>
          <w:szCs w:val="24"/>
        </w:rPr>
        <w:t xml:space="preserve"> </w:t>
      </w:r>
      <w:r w:rsidR="00726DA7">
        <w:rPr>
          <w:rFonts w:ascii="Book Antiqua" w:eastAsia="Calibri" w:hAnsi="Book Antiqua" w:cs="Arial"/>
          <w:sz w:val="24"/>
          <w:szCs w:val="24"/>
        </w:rPr>
        <w:t>al considerar que l</w:t>
      </w:r>
      <w:r w:rsidR="00726DA7" w:rsidRPr="00726DA7">
        <w:rPr>
          <w:rFonts w:ascii="Book Antiqua" w:eastAsia="Calibri" w:hAnsi="Book Antiqua" w:cs="Arial"/>
          <w:sz w:val="24"/>
          <w:szCs w:val="24"/>
        </w:rPr>
        <w:t xml:space="preserve">os despachos especializados en la materia de Violencia Doméstica cuentan con una estructura funcional similar, </w:t>
      </w:r>
      <w:r w:rsidR="00C75D54">
        <w:rPr>
          <w:rFonts w:ascii="Book Antiqua" w:eastAsia="Calibri" w:hAnsi="Book Antiqua" w:cs="Arial"/>
          <w:sz w:val="24"/>
          <w:szCs w:val="24"/>
        </w:rPr>
        <w:t>es que determina</w:t>
      </w:r>
      <w:r w:rsidR="00726DA7" w:rsidRPr="00726DA7">
        <w:rPr>
          <w:rFonts w:ascii="Book Antiqua" w:eastAsia="Calibri" w:hAnsi="Book Antiqua" w:cs="Arial"/>
          <w:sz w:val="24"/>
          <w:szCs w:val="24"/>
        </w:rPr>
        <w:t xml:space="preserve"> la necesidad de personal con el propósito de homogeneizar dichas estructuras en virtud del impacto que deviene de la implementación del Nuevo Código Procesal de Familia, </w:t>
      </w:r>
      <w:r w:rsidR="009B45D3">
        <w:rPr>
          <w:rFonts w:ascii="Book Antiqua" w:eastAsia="Calibri" w:hAnsi="Book Antiqua" w:cs="Arial"/>
          <w:sz w:val="24"/>
          <w:szCs w:val="24"/>
        </w:rPr>
        <w:t xml:space="preserve">considerando que exista </w:t>
      </w:r>
      <w:r w:rsidR="00726DA7" w:rsidRPr="00726DA7">
        <w:rPr>
          <w:rFonts w:ascii="Book Antiqua" w:eastAsia="Calibri" w:hAnsi="Book Antiqua" w:cs="Arial"/>
          <w:sz w:val="24"/>
          <w:szCs w:val="24"/>
        </w:rPr>
        <w:t>una persona Técnica Judicial especializada en la atención exclusiva de personas us</w:t>
      </w:r>
      <w:r w:rsidR="00C75D54">
        <w:rPr>
          <w:rFonts w:ascii="Book Antiqua" w:eastAsia="Calibri" w:hAnsi="Book Antiqua" w:cs="Arial"/>
          <w:sz w:val="24"/>
          <w:szCs w:val="24"/>
        </w:rPr>
        <w:t>u</w:t>
      </w:r>
      <w:r w:rsidR="00726DA7" w:rsidRPr="00726DA7">
        <w:rPr>
          <w:rFonts w:ascii="Book Antiqua" w:eastAsia="Calibri" w:hAnsi="Book Antiqua" w:cs="Arial"/>
          <w:sz w:val="24"/>
          <w:szCs w:val="24"/>
        </w:rPr>
        <w:t>arias (</w:t>
      </w:r>
      <w:r w:rsidR="00C75D54">
        <w:rPr>
          <w:rFonts w:ascii="Book Antiqua" w:eastAsia="Calibri" w:hAnsi="Book Antiqua" w:cs="Arial"/>
          <w:sz w:val="24"/>
          <w:szCs w:val="24"/>
        </w:rPr>
        <w:t>m</w:t>
      </w:r>
      <w:r w:rsidR="00726DA7" w:rsidRPr="00726DA7">
        <w:rPr>
          <w:rFonts w:ascii="Book Antiqua" w:eastAsia="Calibri" w:hAnsi="Book Antiqua" w:cs="Arial"/>
          <w:sz w:val="24"/>
          <w:szCs w:val="24"/>
        </w:rPr>
        <w:t xml:space="preserve">anifestación). En la siguiente tabla se muestra </w:t>
      </w:r>
      <w:r w:rsidR="009B45D3">
        <w:rPr>
          <w:rFonts w:ascii="Book Antiqua" w:eastAsia="Calibri" w:hAnsi="Book Antiqua" w:cs="Arial"/>
          <w:sz w:val="24"/>
          <w:szCs w:val="24"/>
        </w:rPr>
        <w:t>la j</w:t>
      </w:r>
      <w:r w:rsidR="009B45D3" w:rsidRPr="00391382">
        <w:rPr>
          <w:rFonts w:ascii="Book Antiqua" w:eastAsia="Calibri" w:hAnsi="Book Antiqua" w:cs="Arial"/>
          <w:sz w:val="24"/>
          <w:szCs w:val="24"/>
        </w:rPr>
        <w:t xml:space="preserve">ustificación </w:t>
      </w:r>
      <w:r w:rsidR="009B45D3">
        <w:rPr>
          <w:rFonts w:ascii="Book Antiqua" w:eastAsia="Calibri" w:hAnsi="Book Antiqua" w:cs="Arial"/>
          <w:sz w:val="24"/>
          <w:szCs w:val="24"/>
        </w:rPr>
        <w:t xml:space="preserve">técnica que determina la necesidad de </w:t>
      </w:r>
      <w:r w:rsidR="009B45D3" w:rsidRPr="00E03F00">
        <w:rPr>
          <w:rFonts w:ascii="Book Antiqua" w:eastAsia="Calibri" w:hAnsi="Book Antiqua" w:cs="Arial"/>
          <w:sz w:val="24"/>
          <w:szCs w:val="24"/>
        </w:rPr>
        <w:t>personal</w:t>
      </w:r>
      <w:r w:rsidR="009B45D3" w:rsidRPr="00391382">
        <w:rPr>
          <w:rFonts w:ascii="Book Antiqua" w:eastAsia="Calibri" w:hAnsi="Book Antiqua" w:cs="Arial"/>
          <w:sz w:val="24"/>
          <w:szCs w:val="24"/>
        </w:rPr>
        <w:t xml:space="preserve"> especializado en la manifestación</w:t>
      </w:r>
      <w:r w:rsidR="009B45D3">
        <w:rPr>
          <w:rFonts w:ascii="Book Antiqua" w:eastAsia="Calibri" w:hAnsi="Book Antiqua" w:cs="Arial"/>
          <w:sz w:val="24"/>
          <w:szCs w:val="24"/>
        </w:rPr>
        <w:t xml:space="preserve">, con base en el </w:t>
      </w:r>
      <w:r w:rsidR="009B45D3" w:rsidRPr="00391382">
        <w:rPr>
          <w:rFonts w:ascii="Book Antiqua" w:eastAsia="Calibri" w:hAnsi="Book Antiqua" w:cs="Arial"/>
          <w:sz w:val="24"/>
          <w:szCs w:val="24"/>
        </w:rPr>
        <w:t>Modelo de Tramitación que se implementará en los despachos de Violencia Doméstica.</w:t>
      </w:r>
      <w:r w:rsidR="00A37ACC">
        <w:rPr>
          <w:rFonts w:ascii="Book Antiqua" w:eastAsia="Calibri" w:hAnsi="Book Antiqua" w:cs="Arial"/>
          <w:sz w:val="24"/>
          <w:szCs w:val="24"/>
        </w:rPr>
        <w:t xml:space="preserve"> </w:t>
      </w:r>
    </w:p>
    <w:p w14:paraId="62EFB1FE" w14:textId="77777777" w:rsidR="00A96771" w:rsidRPr="00391382" w:rsidRDefault="00A96771" w:rsidP="00391382">
      <w:pPr>
        <w:jc w:val="both"/>
        <w:rPr>
          <w:rFonts w:ascii="Book Antiqua" w:hAnsi="Book Antiqua"/>
          <w:lang w:val="es-ES"/>
        </w:rPr>
      </w:pPr>
    </w:p>
    <w:p w14:paraId="2484BF5C" w14:textId="0612A316" w:rsidR="009B6D0C" w:rsidRDefault="009B6D0C" w:rsidP="0038213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A551F">
        <w:rPr>
          <w:rFonts w:ascii="Book Antiqua" w:eastAsia="Calibri" w:hAnsi="Book Antiqua" w:cs="Arial"/>
          <w:b/>
          <w:bCs/>
          <w:color w:val="1F497D"/>
          <w:szCs w:val="24"/>
          <w:lang w:val="es-ES" w:eastAsia="es-ES"/>
        </w:rPr>
        <w:t xml:space="preserve">Cuadro </w:t>
      </w:r>
      <w:r w:rsidRPr="006A551F">
        <w:rPr>
          <w:rFonts w:ascii="Book Antiqua" w:eastAsia="Calibri" w:hAnsi="Book Antiqua" w:cs="Arial"/>
          <w:b/>
          <w:bCs/>
          <w:color w:val="1F497D"/>
          <w:szCs w:val="24"/>
          <w:lang w:val="es-ES" w:eastAsia="es-ES"/>
        </w:rPr>
        <w:fldChar w:fldCharType="begin"/>
      </w:r>
      <w:r w:rsidRPr="006A551F">
        <w:rPr>
          <w:rFonts w:ascii="Book Antiqua" w:eastAsia="Calibri" w:hAnsi="Book Antiqua" w:cs="Arial"/>
          <w:b/>
          <w:bCs/>
          <w:color w:val="1F497D"/>
          <w:szCs w:val="24"/>
          <w:lang w:val="es-ES" w:eastAsia="es-ES"/>
        </w:rPr>
        <w:instrText xml:space="preserve"> SEQ Cuadro \* ARABIC </w:instrText>
      </w:r>
      <w:r w:rsidRPr="006A551F">
        <w:rPr>
          <w:rFonts w:ascii="Book Antiqua" w:eastAsia="Calibri" w:hAnsi="Book Antiqua" w:cs="Arial"/>
          <w:b/>
          <w:bCs/>
          <w:color w:val="1F497D"/>
          <w:szCs w:val="24"/>
          <w:lang w:val="es-ES" w:eastAsia="es-ES"/>
        </w:rPr>
        <w:fldChar w:fldCharType="separate"/>
      </w:r>
      <w:r w:rsidR="00C87685">
        <w:rPr>
          <w:rFonts w:ascii="Book Antiqua" w:eastAsia="Calibri" w:hAnsi="Book Antiqua" w:cs="Arial"/>
          <w:b/>
          <w:bCs/>
          <w:color w:val="1F497D"/>
          <w:szCs w:val="24"/>
          <w:lang w:val="es-ES" w:eastAsia="es-ES"/>
        </w:rPr>
        <w:t>64</w:t>
      </w:r>
      <w:r w:rsidRPr="006A551F">
        <w:rPr>
          <w:rFonts w:ascii="Book Antiqua" w:eastAsia="Calibri" w:hAnsi="Book Antiqua" w:cs="Arial"/>
          <w:b/>
          <w:bCs/>
          <w:color w:val="1F497D"/>
          <w:szCs w:val="24"/>
          <w:lang w:val="es-ES" w:eastAsia="es-ES"/>
        </w:rPr>
        <w:fldChar w:fldCharType="end"/>
      </w:r>
    </w:p>
    <w:p w14:paraId="2BD64282" w14:textId="62BA6A16" w:rsidR="004E4FAF" w:rsidRPr="00391382" w:rsidRDefault="000B2A5F" w:rsidP="00391382">
      <w:pPr>
        <w:spacing w:after="0" w:line="240" w:lineRule="auto"/>
        <w:jc w:val="center"/>
        <w:rPr>
          <w:rFonts w:ascii="Book Antiqua" w:hAnsi="Book Antiqua"/>
          <w:b/>
          <w:bCs/>
          <w:lang w:val="es-ES"/>
        </w:rPr>
      </w:pPr>
      <w:r w:rsidRPr="00391382">
        <w:rPr>
          <w:rFonts w:ascii="Book Antiqua" w:eastAsia="Calibri" w:hAnsi="Book Antiqua" w:cs="Arial"/>
          <w:b/>
          <w:bCs/>
          <w:color w:val="1F497D"/>
          <w:szCs w:val="24"/>
          <w:lang w:val="es-ES" w:eastAsia="es-ES"/>
        </w:rPr>
        <w:t xml:space="preserve">Justificación de personal </w:t>
      </w:r>
      <w:r w:rsidR="003012D1" w:rsidRPr="00391382">
        <w:rPr>
          <w:rFonts w:ascii="Book Antiqua" w:eastAsia="Calibri" w:hAnsi="Book Antiqua" w:cs="Arial"/>
          <w:b/>
          <w:bCs/>
          <w:color w:val="1F497D"/>
          <w:szCs w:val="24"/>
          <w:lang w:val="es-ES" w:eastAsia="es-ES"/>
        </w:rPr>
        <w:t xml:space="preserve">especializado en la manifestación </w:t>
      </w:r>
      <w:r w:rsidR="004E4FAF" w:rsidRPr="00391382">
        <w:rPr>
          <w:rFonts w:ascii="Book Antiqua" w:eastAsia="Calibri" w:hAnsi="Book Antiqua" w:cs="Arial"/>
          <w:b/>
          <w:bCs/>
          <w:color w:val="1F497D"/>
          <w:szCs w:val="24"/>
          <w:lang w:val="es-ES" w:eastAsia="es-ES"/>
        </w:rPr>
        <w:t>según Modelo</w:t>
      </w:r>
      <w:r w:rsidR="00216DCE" w:rsidRPr="00391382">
        <w:rPr>
          <w:rFonts w:ascii="Book Antiqua" w:eastAsia="Calibri" w:hAnsi="Book Antiqua" w:cs="Arial"/>
          <w:b/>
          <w:bCs/>
          <w:color w:val="1F497D"/>
          <w:szCs w:val="24"/>
          <w:lang w:val="es-ES" w:eastAsia="es-ES"/>
        </w:rPr>
        <w:t xml:space="preserve"> de Tramitación </w:t>
      </w:r>
      <w:r w:rsidR="004E4FAF" w:rsidRPr="00391382">
        <w:rPr>
          <w:rFonts w:ascii="Book Antiqua" w:eastAsia="Calibri" w:hAnsi="Book Antiqua" w:cs="Arial"/>
          <w:b/>
          <w:bCs/>
          <w:color w:val="1F497D"/>
          <w:szCs w:val="24"/>
          <w:lang w:val="es-ES" w:eastAsia="es-ES"/>
        </w:rPr>
        <w:t xml:space="preserve">que se implementará en </w:t>
      </w:r>
      <w:r w:rsidRPr="00391382">
        <w:rPr>
          <w:rFonts w:ascii="Book Antiqua" w:eastAsia="Calibri" w:hAnsi="Book Antiqua" w:cs="Arial"/>
          <w:b/>
          <w:bCs/>
          <w:color w:val="1F497D"/>
          <w:szCs w:val="24"/>
          <w:lang w:val="es-ES" w:eastAsia="es-ES"/>
        </w:rPr>
        <w:t>los despachos de Violencia Doméstica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94"/>
        <w:gridCol w:w="784"/>
        <w:gridCol w:w="748"/>
        <w:gridCol w:w="777"/>
        <w:gridCol w:w="787"/>
        <w:gridCol w:w="838"/>
      </w:tblGrid>
      <w:tr w:rsidR="00FF2AA5" w:rsidRPr="000843DA" w14:paraId="2C62381A" w14:textId="77777777" w:rsidTr="00FD2D48">
        <w:trPr>
          <w:trHeight w:val="1668"/>
        </w:trPr>
        <w:tc>
          <w:tcPr>
            <w:tcW w:w="0" w:type="auto"/>
            <w:shd w:val="clear" w:color="000000" w:fill="1F4E78"/>
            <w:vAlign w:val="center"/>
            <w:hideMark/>
          </w:tcPr>
          <w:p w14:paraId="43E7D163" w14:textId="77777777"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Despacho</w:t>
            </w:r>
          </w:p>
        </w:tc>
        <w:tc>
          <w:tcPr>
            <w:tcW w:w="0" w:type="auto"/>
            <w:shd w:val="clear" w:color="000000" w:fill="1F4E78"/>
            <w:vAlign w:val="center"/>
            <w:hideMark/>
          </w:tcPr>
          <w:p w14:paraId="2F58AEDD" w14:textId="46C46A1C"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Cantidad</w:t>
            </w:r>
            <w:r w:rsidR="00FF2AA5">
              <w:rPr>
                <w:rFonts w:ascii="Book Antiqua" w:eastAsia="Times New Roman" w:hAnsi="Book Antiqua" w:cs="Calibri"/>
                <w:b/>
                <w:bCs/>
                <w:color w:val="FFFFFF"/>
                <w:sz w:val="14"/>
                <w:szCs w:val="14"/>
                <w:lang w:eastAsia="es-CR"/>
              </w:rPr>
              <w:t xml:space="preserve"> total</w:t>
            </w:r>
            <w:r w:rsidRPr="00391382">
              <w:rPr>
                <w:rFonts w:ascii="Book Antiqua" w:eastAsia="Times New Roman" w:hAnsi="Book Antiqua" w:cs="Calibri"/>
                <w:b/>
                <w:bCs/>
                <w:color w:val="FFFFFF"/>
                <w:sz w:val="14"/>
                <w:szCs w:val="14"/>
                <w:lang w:eastAsia="es-CR"/>
              </w:rPr>
              <w:t xml:space="preserve"> de usuarios atendidos </w:t>
            </w:r>
            <w:r w:rsidR="00FF2AA5">
              <w:rPr>
                <w:rFonts w:ascii="Book Antiqua" w:eastAsia="Times New Roman" w:hAnsi="Book Antiqua" w:cs="Calibri"/>
                <w:b/>
                <w:bCs/>
                <w:color w:val="FFFFFF"/>
                <w:sz w:val="14"/>
                <w:szCs w:val="14"/>
                <w:lang w:eastAsia="es-CR"/>
              </w:rPr>
              <w:t>durante la muestra</w:t>
            </w:r>
          </w:p>
        </w:tc>
        <w:tc>
          <w:tcPr>
            <w:tcW w:w="0" w:type="auto"/>
            <w:shd w:val="clear" w:color="000000" w:fill="1F4E78"/>
            <w:vAlign w:val="center"/>
            <w:hideMark/>
          </w:tcPr>
          <w:p w14:paraId="78391D56" w14:textId="6327944E"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Cantida</w:t>
            </w:r>
            <w:r w:rsidR="00FF2AA5">
              <w:rPr>
                <w:rFonts w:ascii="Book Antiqua" w:eastAsia="Times New Roman" w:hAnsi="Book Antiqua" w:cs="Calibri"/>
                <w:b/>
                <w:bCs/>
                <w:color w:val="FFFFFF"/>
                <w:sz w:val="14"/>
                <w:szCs w:val="14"/>
                <w:lang w:eastAsia="es-CR"/>
              </w:rPr>
              <w:t>d</w:t>
            </w:r>
            <w:r w:rsidRPr="00391382">
              <w:rPr>
                <w:rFonts w:ascii="Book Antiqua" w:eastAsia="Times New Roman" w:hAnsi="Book Antiqua" w:cs="Calibri"/>
                <w:b/>
                <w:bCs/>
                <w:color w:val="FFFFFF"/>
                <w:sz w:val="14"/>
                <w:szCs w:val="14"/>
                <w:lang w:eastAsia="es-CR"/>
              </w:rPr>
              <w:t xml:space="preserve"> de personas usuarias diarias</w:t>
            </w:r>
            <w:r w:rsidR="00FF2AA5">
              <w:rPr>
                <w:rFonts w:ascii="Book Antiqua" w:eastAsia="Times New Roman" w:hAnsi="Book Antiqua" w:cs="Calibri"/>
                <w:b/>
                <w:bCs/>
                <w:color w:val="FFFFFF"/>
                <w:sz w:val="14"/>
                <w:szCs w:val="14"/>
                <w:lang w:eastAsia="es-CR"/>
              </w:rPr>
              <w:t xml:space="preserve"> (muestra 16 días hábiles)</w:t>
            </w:r>
          </w:p>
        </w:tc>
        <w:tc>
          <w:tcPr>
            <w:tcW w:w="0" w:type="auto"/>
            <w:shd w:val="clear" w:color="000000" w:fill="1F4E78"/>
            <w:vAlign w:val="center"/>
            <w:hideMark/>
          </w:tcPr>
          <w:p w14:paraId="42277044" w14:textId="77777777"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Tiempo promedio de atención por cada persona usuaria</w:t>
            </w:r>
          </w:p>
        </w:tc>
        <w:tc>
          <w:tcPr>
            <w:tcW w:w="0" w:type="auto"/>
            <w:shd w:val="clear" w:color="000000" w:fill="1F4E78"/>
            <w:vAlign w:val="center"/>
            <w:hideMark/>
          </w:tcPr>
          <w:p w14:paraId="7E0ABCA3" w14:textId="77777777"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Tiempo promedio de duración total diaria según promedio personas usuarias atendidas</w:t>
            </w:r>
          </w:p>
        </w:tc>
        <w:tc>
          <w:tcPr>
            <w:tcW w:w="0" w:type="auto"/>
            <w:shd w:val="clear" w:color="000000" w:fill="1F4E78"/>
            <w:vAlign w:val="center"/>
            <w:hideMark/>
          </w:tcPr>
          <w:p w14:paraId="7CF3B48B" w14:textId="77777777" w:rsidR="00902AA5" w:rsidRPr="00391382" w:rsidRDefault="00902AA5" w:rsidP="00902AA5">
            <w:pPr>
              <w:spacing w:after="0" w:line="240" w:lineRule="auto"/>
              <w:jc w:val="center"/>
              <w:rPr>
                <w:rFonts w:ascii="Book Antiqua" w:eastAsia="Times New Roman" w:hAnsi="Book Antiqua" w:cs="Calibri"/>
                <w:b/>
                <w:bCs/>
                <w:color w:val="FFFFFF"/>
                <w:sz w:val="14"/>
                <w:szCs w:val="14"/>
                <w:lang w:eastAsia="es-CR"/>
              </w:rPr>
            </w:pPr>
            <w:r w:rsidRPr="00391382">
              <w:rPr>
                <w:rFonts w:ascii="Book Antiqua" w:eastAsia="Times New Roman" w:hAnsi="Book Antiqua" w:cs="Calibri"/>
                <w:b/>
                <w:bCs/>
                <w:color w:val="FFFFFF"/>
                <w:sz w:val="14"/>
                <w:szCs w:val="14"/>
                <w:lang w:eastAsia="es-CR"/>
              </w:rPr>
              <w:t>% Ocupación de la labor diaria</w:t>
            </w:r>
          </w:p>
        </w:tc>
      </w:tr>
      <w:tr w:rsidR="00053578" w:rsidRPr="00053578" w14:paraId="0D47FCBE"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24C9CE7"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Hatillo, San Sebas. y Alajuelita</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02C4ACD"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273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E3E37C5"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3EE5B3A"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00:21:28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A2EC66B"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06:06:16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F7EC493"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76%</w:t>
            </w:r>
          </w:p>
        </w:tc>
      </w:tr>
      <w:tr w:rsidR="00053578" w:rsidRPr="00053578" w14:paraId="5B622BA3"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DB7C77D"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Puntarenas</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E6CBE4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188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CCDA38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8067EA8"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00:26:36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C35B0F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05:12:33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2D408CB"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65%</w:t>
            </w:r>
          </w:p>
        </w:tc>
      </w:tr>
      <w:tr w:rsidR="00053578" w:rsidRPr="00053578" w14:paraId="5677A4B5"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030E886"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II Circ. Jud. San José</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F55547D"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650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7972A43"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41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D3D0091"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00:07:39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84B854E"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05:10:47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445D7E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65%</w:t>
            </w:r>
          </w:p>
        </w:tc>
      </w:tr>
      <w:tr w:rsidR="00053578" w:rsidRPr="00053578" w14:paraId="17E164E7"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6F6A904"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 xml:space="preserve">Juzgado Violencia Doméstica I Circ. Jud. Zona Sur (Pérez Zeledón) </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FBEE28E"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373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9065533"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2FF69DB"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00:13:10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B8CD8B6"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05:06:57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562BC5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64%</w:t>
            </w:r>
          </w:p>
        </w:tc>
      </w:tr>
      <w:tr w:rsidR="00053578" w:rsidRPr="00053578" w14:paraId="6BDBFC2C"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CE8A3F8"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 Circ. Jud. Alajuela</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3E747D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544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ABB1E41"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7846AB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00:06:19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DFEFD25"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03:34:46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A42484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45%</w:t>
            </w:r>
          </w:p>
        </w:tc>
      </w:tr>
      <w:tr w:rsidR="00053578" w:rsidRPr="00053578" w14:paraId="381E5A5C"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1661426"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III Circ. Jud. San José (Desamparados)</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41FF2DB"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227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8B4C1E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97FAEFC"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00:13:00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268BAE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03:04:26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6D658EE"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38%</w:t>
            </w:r>
          </w:p>
        </w:tc>
      </w:tr>
      <w:tr w:rsidR="00053578" w:rsidRPr="00053578" w14:paraId="621BF856"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F7D423A"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II Circ. Jud. de la Zona Atlántica (Pococí)</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3629DDD"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145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94EE53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2BDAA67"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00:19:54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13F2FD3"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03:00:21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01A758A"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38%</w:t>
            </w:r>
          </w:p>
        </w:tc>
      </w:tr>
      <w:tr w:rsidR="00053578" w:rsidRPr="00053578" w14:paraId="59826C4F"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612E6D6"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Heredia</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E2E99A6"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304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CC96373"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4F90D37"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00:09:17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17CDA0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02:56:23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DC56A0E"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37%</w:t>
            </w:r>
          </w:p>
        </w:tc>
      </w:tr>
      <w:tr w:rsidR="00053578" w:rsidRPr="00053578" w14:paraId="36290D96"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B81E8A3"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de Violencia Doméstica del I Circ. Jud. de la Zona Atlántica (Limón)</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1C6C288"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195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121A511"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2C61F7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00:12:50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5B305F6"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02:36:24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FF85D88"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33%</w:t>
            </w:r>
          </w:p>
        </w:tc>
      </w:tr>
      <w:tr w:rsidR="00053578" w:rsidRPr="00053578" w14:paraId="16F52A40"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FFAF26E"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 Circ. Jud. San José</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93355FB"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183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17646DE"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1896D78"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00:09:30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0395EA1"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01:48:39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3EFF0C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23%</w:t>
            </w:r>
          </w:p>
        </w:tc>
      </w:tr>
      <w:tr w:rsidR="00053578" w:rsidRPr="00053578" w14:paraId="089544F8" w14:textId="77777777" w:rsidTr="00053578">
        <w:trPr>
          <w:trHeight w:val="2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6628D96" w14:textId="77777777" w:rsidR="00053578" w:rsidRPr="00053578" w:rsidRDefault="00053578" w:rsidP="00053578">
            <w:pPr>
              <w:spacing w:after="0" w:line="240" w:lineRule="auto"/>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Juzgado Violencia Doméstica II Circ. Jud. Alajuela (San Carlos)</w:t>
            </w:r>
            <w:r w:rsidRPr="00053578">
              <w:rPr>
                <w:rFonts w:ascii="Times New Roman" w:eastAsia="Times New Roman" w:hAnsi="Times New Roman" w:cs="Times New Roman"/>
                <w:color w:val="000000"/>
                <w:sz w:val="14"/>
                <w:szCs w:val="14"/>
                <w:lang w:eastAsia="es-CR"/>
              </w:rPr>
              <w: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DDE9BC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278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00A1E9F"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F4575A2"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00:05:56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6BE8059"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01:43:06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54EBC2A" w14:textId="77777777" w:rsidR="00053578" w:rsidRPr="00053578" w:rsidRDefault="00053578" w:rsidP="00053578">
            <w:pPr>
              <w:spacing w:after="0" w:line="240" w:lineRule="auto"/>
              <w:jc w:val="center"/>
              <w:rPr>
                <w:rFonts w:ascii="Book Antiqua" w:eastAsia="Times New Roman" w:hAnsi="Book Antiqua" w:cs="Calibri"/>
                <w:color w:val="000000"/>
                <w:sz w:val="14"/>
                <w:szCs w:val="14"/>
                <w:lang w:eastAsia="es-CR"/>
              </w:rPr>
            </w:pPr>
            <w:r w:rsidRPr="00053578">
              <w:rPr>
                <w:rFonts w:ascii="Book Antiqua" w:eastAsia="Times New Roman" w:hAnsi="Book Antiqua" w:cs="Calibri"/>
                <w:color w:val="000000"/>
                <w:sz w:val="14"/>
                <w:szCs w:val="14"/>
                <w:lang w:eastAsia="es-CR"/>
              </w:rPr>
              <w:t>21%</w:t>
            </w:r>
          </w:p>
        </w:tc>
      </w:tr>
      <w:tr w:rsidR="00FF2AA5" w:rsidRPr="000843DA" w14:paraId="6C65352B" w14:textId="77777777" w:rsidTr="00FE6645">
        <w:trPr>
          <w:trHeight w:val="290"/>
        </w:trPr>
        <w:tc>
          <w:tcPr>
            <w:tcW w:w="0" w:type="auto"/>
            <w:shd w:val="clear" w:color="000000" w:fill="9BC2E6"/>
            <w:noWrap/>
            <w:vAlign w:val="center"/>
            <w:hideMark/>
          </w:tcPr>
          <w:p w14:paraId="5D7FC26C" w14:textId="2FA09E1E" w:rsidR="00902AA5" w:rsidRPr="00391382" w:rsidRDefault="00506B11" w:rsidP="00902AA5">
            <w:pPr>
              <w:spacing w:after="0" w:line="240" w:lineRule="auto"/>
              <w:rPr>
                <w:rFonts w:ascii="Book Antiqua" w:eastAsia="Times New Roman" w:hAnsi="Book Antiqua" w:cs="Calibri"/>
                <w:b/>
                <w:bCs/>
                <w:color w:val="000000"/>
                <w:sz w:val="14"/>
                <w:szCs w:val="14"/>
                <w:lang w:eastAsia="es-CR"/>
              </w:rPr>
            </w:pPr>
            <w:r>
              <w:rPr>
                <w:rFonts w:ascii="Book Antiqua" w:eastAsia="Times New Roman" w:hAnsi="Book Antiqua" w:cs="Calibri"/>
                <w:b/>
                <w:bCs/>
                <w:color w:val="000000"/>
                <w:sz w:val="14"/>
                <w:szCs w:val="14"/>
                <w:lang w:eastAsia="es-CR"/>
              </w:rPr>
              <w:t>Datos general</w:t>
            </w:r>
            <w:r w:rsidR="00053578">
              <w:rPr>
                <w:rFonts w:ascii="Book Antiqua" w:eastAsia="Times New Roman" w:hAnsi="Book Antiqua" w:cs="Calibri"/>
                <w:b/>
                <w:bCs/>
                <w:color w:val="000000"/>
                <w:sz w:val="14"/>
                <w:szCs w:val="14"/>
                <w:lang w:eastAsia="es-CR"/>
              </w:rPr>
              <w:t>es</w:t>
            </w:r>
            <w:r>
              <w:rPr>
                <w:rFonts w:ascii="Book Antiqua" w:eastAsia="Times New Roman" w:hAnsi="Book Antiqua" w:cs="Calibri"/>
                <w:b/>
                <w:bCs/>
                <w:color w:val="000000"/>
                <w:sz w:val="14"/>
                <w:szCs w:val="14"/>
                <w:lang w:eastAsia="es-CR"/>
              </w:rPr>
              <w:t xml:space="preserve"> (totales y promedios)</w:t>
            </w:r>
          </w:p>
        </w:tc>
        <w:tc>
          <w:tcPr>
            <w:tcW w:w="0" w:type="auto"/>
            <w:shd w:val="clear" w:color="000000" w:fill="9BC2E6"/>
            <w:noWrap/>
            <w:vAlign w:val="center"/>
            <w:hideMark/>
          </w:tcPr>
          <w:p w14:paraId="095295BC" w14:textId="77777777" w:rsidR="00902AA5" w:rsidRPr="00391382" w:rsidRDefault="00902AA5" w:rsidP="00902AA5">
            <w:pPr>
              <w:spacing w:after="0" w:line="240" w:lineRule="auto"/>
              <w:jc w:val="center"/>
              <w:rPr>
                <w:rFonts w:ascii="Book Antiqua" w:eastAsia="Times New Roman" w:hAnsi="Book Antiqua" w:cs="Calibri"/>
                <w:b/>
                <w:bCs/>
                <w:color w:val="000000"/>
                <w:sz w:val="14"/>
                <w:szCs w:val="14"/>
                <w:lang w:eastAsia="es-CR"/>
              </w:rPr>
            </w:pPr>
            <w:r w:rsidRPr="00391382">
              <w:rPr>
                <w:rFonts w:ascii="Book Antiqua" w:eastAsia="Times New Roman" w:hAnsi="Book Antiqua" w:cs="Calibri"/>
                <w:b/>
                <w:bCs/>
                <w:color w:val="000000"/>
                <w:sz w:val="14"/>
                <w:szCs w:val="14"/>
                <w:lang w:eastAsia="es-CR"/>
              </w:rPr>
              <w:t>3360</w:t>
            </w:r>
          </w:p>
        </w:tc>
        <w:tc>
          <w:tcPr>
            <w:tcW w:w="0" w:type="auto"/>
            <w:shd w:val="clear" w:color="000000" w:fill="9BC2E6"/>
            <w:noWrap/>
            <w:vAlign w:val="center"/>
            <w:hideMark/>
          </w:tcPr>
          <w:p w14:paraId="4047015F" w14:textId="77777777" w:rsidR="00902AA5" w:rsidRPr="00391382" w:rsidRDefault="00902AA5" w:rsidP="00902AA5">
            <w:pPr>
              <w:spacing w:after="0" w:line="240" w:lineRule="auto"/>
              <w:jc w:val="center"/>
              <w:rPr>
                <w:rFonts w:ascii="Book Antiqua" w:eastAsia="Times New Roman" w:hAnsi="Book Antiqua" w:cs="Calibri"/>
                <w:b/>
                <w:bCs/>
                <w:color w:val="000000"/>
                <w:sz w:val="14"/>
                <w:szCs w:val="14"/>
                <w:lang w:eastAsia="es-CR"/>
              </w:rPr>
            </w:pPr>
            <w:r w:rsidRPr="00391382">
              <w:rPr>
                <w:rFonts w:ascii="Book Antiqua" w:eastAsia="Times New Roman" w:hAnsi="Book Antiqua" w:cs="Calibri"/>
                <w:b/>
                <w:bCs/>
                <w:color w:val="000000"/>
                <w:sz w:val="14"/>
                <w:szCs w:val="14"/>
                <w:lang w:eastAsia="es-CR"/>
              </w:rPr>
              <w:t>19</w:t>
            </w:r>
          </w:p>
        </w:tc>
        <w:tc>
          <w:tcPr>
            <w:tcW w:w="0" w:type="auto"/>
            <w:shd w:val="clear" w:color="000000" w:fill="9BC2E6"/>
            <w:noWrap/>
            <w:vAlign w:val="center"/>
            <w:hideMark/>
          </w:tcPr>
          <w:p w14:paraId="7F0C7C90" w14:textId="77777777" w:rsidR="00902AA5" w:rsidRPr="00391382" w:rsidRDefault="00902AA5" w:rsidP="00902AA5">
            <w:pPr>
              <w:spacing w:after="0" w:line="240" w:lineRule="auto"/>
              <w:jc w:val="center"/>
              <w:rPr>
                <w:rFonts w:ascii="Book Antiqua" w:eastAsia="Times New Roman" w:hAnsi="Book Antiqua" w:cs="Calibri"/>
                <w:b/>
                <w:bCs/>
                <w:color w:val="000000"/>
                <w:sz w:val="14"/>
                <w:szCs w:val="14"/>
                <w:lang w:eastAsia="es-CR"/>
              </w:rPr>
            </w:pPr>
            <w:r w:rsidRPr="00391382">
              <w:rPr>
                <w:rFonts w:ascii="Book Antiqua" w:eastAsia="Times New Roman" w:hAnsi="Book Antiqua" w:cs="Calibri"/>
                <w:b/>
                <w:bCs/>
                <w:color w:val="000000"/>
                <w:sz w:val="14"/>
                <w:szCs w:val="14"/>
                <w:lang w:eastAsia="es-CR"/>
              </w:rPr>
              <w:t>00:13:14</w:t>
            </w:r>
          </w:p>
        </w:tc>
        <w:tc>
          <w:tcPr>
            <w:tcW w:w="0" w:type="auto"/>
            <w:shd w:val="clear" w:color="000000" w:fill="9BC2E6"/>
            <w:noWrap/>
            <w:vAlign w:val="center"/>
            <w:hideMark/>
          </w:tcPr>
          <w:p w14:paraId="1D13A576" w14:textId="3BAFDC48" w:rsidR="00902AA5" w:rsidRPr="00391382" w:rsidRDefault="00902AA5" w:rsidP="00902AA5">
            <w:pPr>
              <w:spacing w:after="0" w:line="240" w:lineRule="auto"/>
              <w:jc w:val="center"/>
              <w:rPr>
                <w:rFonts w:ascii="Book Antiqua" w:eastAsia="Times New Roman" w:hAnsi="Book Antiqua" w:cs="Calibri"/>
                <w:b/>
                <w:bCs/>
                <w:color w:val="000000"/>
                <w:sz w:val="14"/>
                <w:szCs w:val="14"/>
                <w:lang w:eastAsia="es-CR"/>
              </w:rPr>
            </w:pPr>
            <w:r w:rsidRPr="00391382">
              <w:rPr>
                <w:rFonts w:ascii="Book Antiqua" w:eastAsia="Times New Roman" w:hAnsi="Book Antiqua" w:cs="Calibri"/>
                <w:b/>
                <w:bCs/>
                <w:color w:val="000000"/>
                <w:sz w:val="14"/>
                <w:szCs w:val="14"/>
                <w:lang w:eastAsia="es-CR"/>
              </w:rPr>
              <w:t>0</w:t>
            </w:r>
            <w:r w:rsidR="00F06226">
              <w:rPr>
                <w:rFonts w:ascii="Book Antiqua" w:eastAsia="Times New Roman" w:hAnsi="Book Antiqua" w:cs="Calibri"/>
                <w:b/>
                <w:bCs/>
                <w:color w:val="000000"/>
                <w:sz w:val="14"/>
                <w:szCs w:val="14"/>
                <w:lang w:eastAsia="es-CR"/>
              </w:rPr>
              <w:t>4</w:t>
            </w:r>
            <w:r w:rsidRPr="00391382">
              <w:rPr>
                <w:rFonts w:ascii="Book Antiqua" w:eastAsia="Times New Roman" w:hAnsi="Book Antiqua" w:cs="Calibri"/>
                <w:b/>
                <w:bCs/>
                <w:color w:val="000000"/>
                <w:sz w:val="14"/>
                <w:szCs w:val="14"/>
                <w:lang w:eastAsia="es-CR"/>
              </w:rPr>
              <w:t>:</w:t>
            </w:r>
            <w:r w:rsidR="00F06226">
              <w:rPr>
                <w:rFonts w:ascii="Book Antiqua" w:eastAsia="Times New Roman" w:hAnsi="Book Antiqua" w:cs="Calibri"/>
                <w:b/>
                <w:bCs/>
                <w:color w:val="000000"/>
                <w:sz w:val="14"/>
                <w:szCs w:val="14"/>
                <w:lang w:eastAsia="es-CR"/>
              </w:rPr>
              <w:t>12</w:t>
            </w:r>
            <w:r w:rsidRPr="00391382">
              <w:rPr>
                <w:rFonts w:ascii="Book Antiqua" w:eastAsia="Times New Roman" w:hAnsi="Book Antiqua" w:cs="Calibri"/>
                <w:b/>
                <w:bCs/>
                <w:color w:val="000000"/>
                <w:sz w:val="14"/>
                <w:szCs w:val="14"/>
                <w:lang w:eastAsia="es-CR"/>
              </w:rPr>
              <w:t>:</w:t>
            </w:r>
            <w:r w:rsidR="00F06226">
              <w:rPr>
                <w:rFonts w:ascii="Book Antiqua" w:eastAsia="Times New Roman" w:hAnsi="Book Antiqua" w:cs="Calibri"/>
                <w:b/>
                <w:bCs/>
                <w:color w:val="000000"/>
                <w:sz w:val="14"/>
                <w:szCs w:val="14"/>
                <w:lang w:eastAsia="es-CR"/>
              </w:rPr>
              <w:t>47</w:t>
            </w:r>
          </w:p>
        </w:tc>
        <w:tc>
          <w:tcPr>
            <w:tcW w:w="0" w:type="auto"/>
            <w:shd w:val="clear" w:color="000000" w:fill="9BC2E6"/>
            <w:noWrap/>
            <w:vAlign w:val="center"/>
            <w:hideMark/>
          </w:tcPr>
          <w:p w14:paraId="15BF712B" w14:textId="1A0C454C" w:rsidR="00902AA5" w:rsidRPr="00391382" w:rsidRDefault="00191754" w:rsidP="00902AA5">
            <w:pPr>
              <w:spacing w:after="0" w:line="240" w:lineRule="auto"/>
              <w:jc w:val="center"/>
              <w:rPr>
                <w:rFonts w:ascii="Book Antiqua" w:eastAsia="Times New Roman" w:hAnsi="Book Antiqua" w:cs="Calibri"/>
                <w:b/>
                <w:bCs/>
                <w:color w:val="000000"/>
                <w:sz w:val="14"/>
                <w:szCs w:val="14"/>
                <w:lang w:eastAsia="es-CR"/>
              </w:rPr>
            </w:pPr>
            <w:r>
              <w:rPr>
                <w:rFonts w:ascii="Book Antiqua" w:eastAsia="Times New Roman" w:hAnsi="Book Antiqua" w:cs="Calibri"/>
                <w:b/>
                <w:bCs/>
                <w:color w:val="000000"/>
                <w:sz w:val="14"/>
                <w:szCs w:val="14"/>
                <w:lang w:eastAsia="es-CR"/>
              </w:rPr>
              <w:t>53</w:t>
            </w:r>
            <w:r w:rsidR="00902AA5" w:rsidRPr="00391382">
              <w:rPr>
                <w:rFonts w:ascii="Book Antiqua" w:eastAsia="Times New Roman" w:hAnsi="Book Antiqua" w:cs="Calibri"/>
                <w:b/>
                <w:bCs/>
                <w:color w:val="000000"/>
                <w:sz w:val="14"/>
                <w:szCs w:val="14"/>
                <w:lang w:eastAsia="es-CR"/>
              </w:rPr>
              <w:t>%</w:t>
            </w:r>
          </w:p>
        </w:tc>
      </w:tr>
    </w:tbl>
    <w:p w14:paraId="162FE117" w14:textId="6D438D1D" w:rsidR="004E4FAF" w:rsidRDefault="004E4FAF" w:rsidP="00391382">
      <w:pPr>
        <w:spacing w:after="0" w:line="240" w:lineRule="auto"/>
        <w:jc w:val="both"/>
        <w:rPr>
          <w:rFonts w:ascii="Book Antiqua" w:hAnsi="Book Antiqua"/>
          <w:i/>
          <w:iCs/>
          <w:sz w:val="20"/>
          <w:szCs w:val="20"/>
          <w:lang w:val="es-ES"/>
        </w:rPr>
      </w:pPr>
      <w:r w:rsidRPr="00391382">
        <w:rPr>
          <w:rFonts w:ascii="Book Antiqua" w:hAnsi="Book Antiqua"/>
          <w:i/>
          <w:iCs/>
          <w:sz w:val="20"/>
          <w:szCs w:val="20"/>
          <w:lang w:val="es-ES"/>
        </w:rPr>
        <w:t>Fuente: Subproceso de Modernización Institucional, Dirección de Planificación</w:t>
      </w:r>
      <w:r w:rsidR="00325836">
        <w:rPr>
          <w:rFonts w:ascii="Book Antiqua" w:hAnsi="Book Antiqua"/>
          <w:i/>
          <w:iCs/>
          <w:sz w:val="20"/>
          <w:szCs w:val="20"/>
          <w:lang w:val="es-ES"/>
        </w:rPr>
        <w:t xml:space="preserve">. Se realiza la acotación que el Juzgado de Violencia Doméstica de Cartago no proporcionó la información durante la muestra recolectada, </w:t>
      </w:r>
      <w:r w:rsidR="00A62074">
        <w:rPr>
          <w:rFonts w:ascii="Book Antiqua" w:hAnsi="Book Antiqua"/>
          <w:i/>
          <w:iCs/>
          <w:sz w:val="20"/>
          <w:szCs w:val="20"/>
          <w:lang w:val="es-ES"/>
        </w:rPr>
        <w:lastRenderedPageBreak/>
        <w:t xml:space="preserve">situación que la persona Juzgadora justificó </w:t>
      </w:r>
      <w:r w:rsidR="00053578">
        <w:rPr>
          <w:rFonts w:ascii="Book Antiqua" w:hAnsi="Book Antiqua"/>
          <w:i/>
          <w:iCs/>
          <w:sz w:val="20"/>
          <w:szCs w:val="20"/>
          <w:lang w:val="es-ES"/>
        </w:rPr>
        <w:t>por tema de</w:t>
      </w:r>
      <w:r w:rsidR="00A62074">
        <w:rPr>
          <w:rFonts w:ascii="Book Antiqua" w:hAnsi="Book Antiqua"/>
          <w:i/>
          <w:iCs/>
          <w:sz w:val="20"/>
          <w:szCs w:val="20"/>
          <w:lang w:val="es-ES"/>
        </w:rPr>
        <w:t xml:space="preserve"> carga de trabajo; no obstante</w:t>
      </w:r>
      <w:r w:rsidR="002C3B26">
        <w:rPr>
          <w:rFonts w:ascii="Book Antiqua" w:hAnsi="Book Antiqua"/>
          <w:i/>
          <w:iCs/>
          <w:sz w:val="20"/>
          <w:szCs w:val="20"/>
          <w:lang w:val="es-ES"/>
        </w:rPr>
        <w:t>,</w:t>
      </w:r>
      <w:r w:rsidR="00A62074">
        <w:rPr>
          <w:rFonts w:ascii="Book Antiqua" w:hAnsi="Book Antiqua"/>
          <w:i/>
          <w:iCs/>
          <w:sz w:val="20"/>
          <w:szCs w:val="20"/>
          <w:lang w:val="es-ES"/>
        </w:rPr>
        <w:t xml:space="preserve"> este análisis se complementará</w:t>
      </w:r>
      <w:r w:rsidR="00053578">
        <w:rPr>
          <w:rFonts w:ascii="Book Antiqua" w:hAnsi="Book Antiqua"/>
          <w:i/>
          <w:iCs/>
          <w:sz w:val="20"/>
          <w:szCs w:val="20"/>
          <w:lang w:val="es-ES"/>
        </w:rPr>
        <w:t xml:space="preserve"> con el </w:t>
      </w:r>
      <w:r w:rsidR="002C3B26">
        <w:rPr>
          <w:rFonts w:ascii="Book Antiqua" w:hAnsi="Book Antiqua"/>
          <w:i/>
          <w:iCs/>
          <w:sz w:val="20"/>
          <w:szCs w:val="20"/>
          <w:lang w:val="es-ES"/>
        </w:rPr>
        <w:t>siguiente apartado.</w:t>
      </w:r>
    </w:p>
    <w:p w14:paraId="5BFC73B7" w14:textId="77777777" w:rsidR="00216DCE" w:rsidRDefault="00216DCE" w:rsidP="009B6D0C">
      <w:pPr>
        <w:spacing w:after="0" w:line="240" w:lineRule="auto"/>
        <w:rPr>
          <w:rFonts w:ascii="Book Antiqua" w:hAnsi="Book Antiqua"/>
          <w:i/>
          <w:iCs/>
          <w:sz w:val="20"/>
          <w:szCs w:val="20"/>
          <w:lang w:val="es-ES"/>
        </w:rPr>
      </w:pPr>
    </w:p>
    <w:p w14:paraId="5D5A09AA" w14:textId="62FE8AE5" w:rsidR="00902AA5" w:rsidRDefault="00902AA5" w:rsidP="00FD2D48">
      <w:pPr>
        <w:spacing w:before="30" w:afterLines="30" w:after="72"/>
        <w:jc w:val="both"/>
        <w:rPr>
          <w:rFonts w:ascii="Book Antiqua" w:eastAsia="Calibri" w:hAnsi="Book Antiqua" w:cs="Arial"/>
          <w:sz w:val="24"/>
          <w:szCs w:val="24"/>
        </w:rPr>
      </w:pPr>
      <w:r w:rsidRPr="00391382">
        <w:rPr>
          <w:rFonts w:ascii="Book Antiqua" w:eastAsia="Calibri" w:hAnsi="Book Antiqua" w:cs="Arial"/>
          <w:sz w:val="24"/>
          <w:szCs w:val="24"/>
        </w:rPr>
        <w:t>De</w:t>
      </w:r>
      <w:r w:rsidR="006B229A" w:rsidRPr="00391382">
        <w:rPr>
          <w:rFonts w:ascii="Book Antiqua" w:eastAsia="Calibri" w:hAnsi="Book Antiqua" w:cs="Arial"/>
          <w:sz w:val="24"/>
          <w:szCs w:val="24"/>
        </w:rPr>
        <w:t xml:space="preserve">l </w:t>
      </w:r>
      <w:r w:rsidR="00FD2D48" w:rsidRPr="00391382">
        <w:rPr>
          <w:rFonts w:ascii="Book Antiqua" w:eastAsia="Calibri" w:hAnsi="Book Antiqua" w:cs="Arial"/>
          <w:sz w:val="24"/>
          <w:szCs w:val="24"/>
        </w:rPr>
        <w:t>recu</w:t>
      </w:r>
      <w:r w:rsidR="00FD2D48">
        <w:rPr>
          <w:rFonts w:ascii="Book Antiqua" w:eastAsia="Calibri" w:hAnsi="Book Antiqua" w:cs="Arial"/>
          <w:sz w:val="24"/>
          <w:szCs w:val="24"/>
        </w:rPr>
        <w:t>adro anterior se puede inferir,</w:t>
      </w:r>
      <w:r w:rsidR="00695D9F">
        <w:rPr>
          <w:rFonts w:ascii="Book Antiqua" w:eastAsia="Calibri" w:hAnsi="Book Antiqua" w:cs="Arial"/>
          <w:sz w:val="24"/>
          <w:szCs w:val="24"/>
        </w:rPr>
        <w:t xml:space="preserve"> que en promedio el 53% del tiempo de ocupación diaria (8 horas), es destinado para la atención de personas usuarias que asisten a los despachos Contra la Violencia Doméstica, motivo por el cual, al considerarse la sensibilidad de la materia</w:t>
      </w:r>
      <w:r w:rsidR="008E4DC7">
        <w:rPr>
          <w:rFonts w:ascii="Book Antiqua" w:eastAsia="Calibri" w:hAnsi="Book Antiqua" w:cs="Arial"/>
          <w:sz w:val="24"/>
          <w:szCs w:val="24"/>
        </w:rPr>
        <w:t>,</w:t>
      </w:r>
      <w:r w:rsidR="00695D9F">
        <w:rPr>
          <w:rFonts w:ascii="Book Antiqua" w:eastAsia="Calibri" w:hAnsi="Book Antiqua" w:cs="Arial"/>
          <w:sz w:val="24"/>
          <w:szCs w:val="24"/>
        </w:rPr>
        <w:t xml:space="preserve"> aunado a</w:t>
      </w:r>
      <w:r w:rsidR="008E4DC7">
        <w:rPr>
          <w:rFonts w:ascii="Book Antiqua" w:eastAsia="Calibri" w:hAnsi="Book Antiqua" w:cs="Arial"/>
          <w:sz w:val="24"/>
          <w:szCs w:val="24"/>
        </w:rPr>
        <w:t xml:space="preserve"> que ese </w:t>
      </w:r>
      <w:r w:rsidR="00695D9F">
        <w:rPr>
          <w:rFonts w:ascii="Book Antiqua" w:eastAsia="Calibri" w:hAnsi="Book Antiqua" w:cs="Arial"/>
          <w:sz w:val="24"/>
          <w:szCs w:val="24"/>
        </w:rPr>
        <w:t xml:space="preserve">tiempo </w:t>
      </w:r>
      <w:r w:rsidR="008E4DC7">
        <w:rPr>
          <w:rFonts w:ascii="Book Antiqua" w:eastAsia="Calibri" w:hAnsi="Book Antiqua" w:cs="Arial"/>
          <w:sz w:val="24"/>
          <w:szCs w:val="24"/>
        </w:rPr>
        <w:t>conlleva retraso en el trámite diario de expedientes y lo que conlleva las labores de seguimiento de cada causa; es que se considera fundamental la dotación de una figura especializada para la atención de personas usuarias.</w:t>
      </w:r>
      <w:r w:rsidR="00506B11">
        <w:rPr>
          <w:rFonts w:ascii="Book Antiqua" w:eastAsia="Calibri" w:hAnsi="Book Antiqua" w:cs="Arial"/>
          <w:sz w:val="24"/>
          <w:szCs w:val="24"/>
        </w:rPr>
        <w:t xml:space="preserve"> </w:t>
      </w:r>
      <w:r w:rsidR="00C42628">
        <w:rPr>
          <w:rFonts w:ascii="Book Antiqua" w:eastAsia="Calibri" w:hAnsi="Book Antiqua" w:cs="Arial"/>
          <w:sz w:val="24"/>
          <w:szCs w:val="24"/>
        </w:rPr>
        <w:t>A partir de lo anterior, se observa como en el caso de</w:t>
      </w:r>
      <w:r w:rsidR="00744359">
        <w:rPr>
          <w:rFonts w:ascii="Book Antiqua" w:eastAsia="Calibri" w:hAnsi="Book Antiqua" w:cs="Arial"/>
          <w:sz w:val="24"/>
          <w:szCs w:val="24"/>
        </w:rPr>
        <w:t xml:space="preserve"> los despachos de Hatillo, Pérez Zeledón, Goicoechea y Puntarenas, el tiempo que le consume al personal supera el 53% indicado, alcanzando una ocupación entre el </w:t>
      </w:r>
      <w:r w:rsidR="00652E30">
        <w:rPr>
          <w:rFonts w:ascii="Book Antiqua" w:eastAsia="Calibri" w:hAnsi="Book Antiqua" w:cs="Arial"/>
          <w:sz w:val="24"/>
          <w:szCs w:val="24"/>
        </w:rPr>
        <w:t xml:space="preserve">64% y 76%; por lo que en el caso de los otros despachos donde la ocupación no supera </w:t>
      </w:r>
      <w:r w:rsidR="00C91A05">
        <w:rPr>
          <w:rFonts w:ascii="Book Antiqua" w:eastAsia="Calibri" w:hAnsi="Book Antiqua" w:cs="Arial"/>
          <w:sz w:val="24"/>
          <w:szCs w:val="24"/>
        </w:rPr>
        <w:t xml:space="preserve">ese tiempo, deberán colaborar en diferentes labores </w:t>
      </w:r>
      <w:r w:rsidR="00D80D7C">
        <w:rPr>
          <w:rFonts w:ascii="Book Antiqua" w:eastAsia="Calibri" w:hAnsi="Book Antiqua" w:cs="Arial"/>
          <w:sz w:val="24"/>
          <w:szCs w:val="24"/>
        </w:rPr>
        <w:t>tales como:</w:t>
      </w:r>
    </w:p>
    <w:p w14:paraId="5A236BF9" w14:textId="77777777" w:rsidR="00292F21" w:rsidRDefault="00292F21" w:rsidP="00FD2D48">
      <w:pPr>
        <w:spacing w:before="30" w:afterLines="30" w:after="72"/>
        <w:jc w:val="both"/>
        <w:rPr>
          <w:rFonts w:ascii="Book Antiqua" w:eastAsia="Calibri" w:hAnsi="Book Antiqua" w:cs="Arial"/>
          <w:sz w:val="24"/>
          <w:szCs w:val="24"/>
        </w:rPr>
      </w:pPr>
    </w:p>
    <w:p w14:paraId="626ED28D" w14:textId="44981601"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Escanear</w:t>
      </w:r>
      <w:r w:rsidR="00527BC2">
        <w:rPr>
          <w:rFonts w:ascii="Book Antiqua" w:eastAsia="Calibri" w:hAnsi="Book Antiqua" w:cs="Arial"/>
          <w:sz w:val="24"/>
          <w:szCs w:val="24"/>
        </w:rPr>
        <w:t>.</w:t>
      </w:r>
    </w:p>
    <w:p w14:paraId="509052C6" w14:textId="1990EEFF"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Recolección de firmas</w:t>
      </w:r>
      <w:r w:rsidR="00527BC2">
        <w:rPr>
          <w:rFonts w:ascii="Book Antiqua" w:eastAsia="Calibri" w:hAnsi="Book Antiqua" w:cs="Arial"/>
          <w:sz w:val="24"/>
          <w:szCs w:val="24"/>
        </w:rPr>
        <w:t>.</w:t>
      </w:r>
    </w:p>
    <w:p w14:paraId="26B06A05" w14:textId="682D5CD0"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Entrega</w:t>
      </w:r>
      <w:r w:rsidR="00374FC8">
        <w:rPr>
          <w:rFonts w:ascii="Book Antiqua" w:eastAsia="Calibri" w:hAnsi="Book Antiqua" w:cs="Arial"/>
          <w:sz w:val="24"/>
          <w:szCs w:val="24"/>
        </w:rPr>
        <w:t>r</w:t>
      </w:r>
      <w:r w:rsidRPr="00D80D7C">
        <w:rPr>
          <w:rFonts w:ascii="Book Antiqua" w:eastAsia="Calibri" w:hAnsi="Book Antiqua" w:cs="Arial"/>
          <w:sz w:val="24"/>
          <w:szCs w:val="24"/>
        </w:rPr>
        <w:t>, recib</w:t>
      </w:r>
      <w:r w:rsidR="00374FC8">
        <w:rPr>
          <w:rFonts w:ascii="Book Antiqua" w:eastAsia="Calibri" w:hAnsi="Book Antiqua" w:cs="Arial"/>
          <w:sz w:val="24"/>
          <w:szCs w:val="24"/>
        </w:rPr>
        <w:t>ir</w:t>
      </w:r>
      <w:r w:rsidRPr="00D80D7C">
        <w:rPr>
          <w:rFonts w:ascii="Book Antiqua" w:eastAsia="Calibri" w:hAnsi="Book Antiqua" w:cs="Arial"/>
          <w:sz w:val="24"/>
          <w:szCs w:val="24"/>
        </w:rPr>
        <w:t xml:space="preserve"> las comisiones e incorpora</w:t>
      </w:r>
      <w:r w:rsidR="00374FC8">
        <w:rPr>
          <w:rFonts w:ascii="Book Antiqua" w:eastAsia="Calibri" w:hAnsi="Book Antiqua" w:cs="Arial"/>
          <w:sz w:val="24"/>
          <w:szCs w:val="24"/>
        </w:rPr>
        <w:t>rlas</w:t>
      </w:r>
      <w:r w:rsidRPr="00D80D7C">
        <w:rPr>
          <w:rFonts w:ascii="Book Antiqua" w:eastAsia="Calibri" w:hAnsi="Book Antiqua" w:cs="Arial"/>
          <w:sz w:val="24"/>
          <w:szCs w:val="24"/>
        </w:rPr>
        <w:t xml:space="preserve"> al sistema</w:t>
      </w:r>
      <w:r w:rsidR="00527BC2">
        <w:rPr>
          <w:rFonts w:ascii="Book Antiqua" w:eastAsia="Calibri" w:hAnsi="Book Antiqua" w:cs="Arial"/>
          <w:sz w:val="24"/>
          <w:szCs w:val="24"/>
        </w:rPr>
        <w:t>.</w:t>
      </w:r>
    </w:p>
    <w:p w14:paraId="58E01549" w14:textId="2F4E8FE6"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 xml:space="preserve">Entregar </w:t>
      </w:r>
      <w:r w:rsidR="00527BC2">
        <w:rPr>
          <w:rFonts w:ascii="Book Antiqua" w:eastAsia="Calibri" w:hAnsi="Book Antiqua" w:cs="Arial"/>
          <w:sz w:val="24"/>
          <w:szCs w:val="24"/>
        </w:rPr>
        <w:t>a</w:t>
      </w:r>
      <w:r w:rsidRPr="00D80D7C">
        <w:rPr>
          <w:rFonts w:ascii="Book Antiqua" w:eastAsia="Calibri" w:hAnsi="Book Antiqua" w:cs="Arial"/>
          <w:sz w:val="24"/>
          <w:szCs w:val="24"/>
        </w:rPr>
        <w:t>l Ministerio Públicos los testimonios de piezas</w:t>
      </w:r>
      <w:r w:rsidR="00527BC2">
        <w:rPr>
          <w:rFonts w:ascii="Book Antiqua" w:eastAsia="Calibri" w:hAnsi="Book Antiqua" w:cs="Arial"/>
          <w:sz w:val="24"/>
          <w:szCs w:val="24"/>
        </w:rPr>
        <w:t>.</w:t>
      </w:r>
    </w:p>
    <w:p w14:paraId="279D78B3" w14:textId="15866D24"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Prepara</w:t>
      </w:r>
      <w:r w:rsidR="00527BC2">
        <w:rPr>
          <w:rFonts w:ascii="Book Antiqua" w:eastAsia="Calibri" w:hAnsi="Book Antiqua" w:cs="Arial"/>
          <w:sz w:val="24"/>
          <w:szCs w:val="24"/>
        </w:rPr>
        <w:t>r</w:t>
      </w:r>
      <w:r w:rsidRPr="00D80D7C">
        <w:rPr>
          <w:rFonts w:ascii="Book Antiqua" w:eastAsia="Calibri" w:hAnsi="Book Antiqua" w:cs="Arial"/>
          <w:sz w:val="24"/>
          <w:szCs w:val="24"/>
        </w:rPr>
        <w:t xml:space="preserve"> y entrega</w:t>
      </w:r>
      <w:r w:rsidR="00527BC2">
        <w:rPr>
          <w:rFonts w:ascii="Book Antiqua" w:eastAsia="Calibri" w:hAnsi="Book Antiqua" w:cs="Arial"/>
          <w:sz w:val="24"/>
          <w:szCs w:val="24"/>
        </w:rPr>
        <w:t>r</w:t>
      </w:r>
      <w:r w:rsidRPr="00D80D7C">
        <w:rPr>
          <w:rFonts w:ascii="Book Antiqua" w:eastAsia="Calibri" w:hAnsi="Book Antiqua" w:cs="Arial"/>
          <w:sz w:val="24"/>
          <w:szCs w:val="24"/>
        </w:rPr>
        <w:t xml:space="preserve"> el correo</w:t>
      </w:r>
      <w:r w:rsidR="00527BC2">
        <w:rPr>
          <w:rFonts w:ascii="Book Antiqua" w:eastAsia="Calibri" w:hAnsi="Book Antiqua" w:cs="Arial"/>
          <w:sz w:val="24"/>
          <w:szCs w:val="24"/>
        </w:rPr>
        <w:t>.</w:t>
      </w:r>
    </w:p>
    <w:p w14:paraId="5F2C2312" w14:textId="6115BBF8"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Llamar a comparecencia a las partes y actualizar en Agenda Cronos y aquellos casos en que las partes no asisten</w:t>
      </w:r>
      <w:r w:rsidR="00527BC2">
        <w:rPr>
          <w:rFonts w:ascii="Book Antiqua" w:eastAsia="Calibri" w:hAnsi="Book Antiqua" w:cs="Arial"/>
          <w:sz w:val="24"/>
          <w:szCs w:val="24"/>
        </w:rPr>
        <w:t>.</w:t>
      </w:r>
    </w:p>
    <w:p w14:paraId="3B4A64A6" w14:textId="6E70F114" w:rsidR="00D80D7C" w:rsidRPr="00D80D7C" w:rsidRDefault="00D80D7C" w:rsidP="00D80D7C">
      <w:pPr>
        <w:numPr>
          <w:ilvl w:val="0"/>
          <w:numId w:val="49"/>
        </w:numPr>
        <w:spacing w:before="30" w:afterLines="30" w:after="72"/>
        <w:jc w:val="both"/>
        <w:rPr>
          <w:rFonts w:ascii="Book Antiqua" w:eastAsia="Calibri" w:hAnsi="Book Antiqua" w:cs="Arial"/>
          <w:sz w:val="24"/>
          <w:szCs w:val="24"/>
        </w:rPr>
      </w:pPr>
      <w:r w:rsidRPr="00D80D7C">
        <w:rPr>
          <w:rFonts w:ascii="Book Antiqua" w:eastAsia="Calibri" w:hAnsi="Book Antiqua" w:cs="Arial"/>
          <w:sz w:val="24"/>
          <w:szCs w:val="24"/>
        </w:rPr>
        <w:t xml:space="preserve">Recibir los expedientes itinerados que vienen por incompetencia y </w:t>
      </w:r>
      <w:r w:rsidR="00723957">
        <w:rPr>
          <w:rFonts w:ascii="Book Antiqua" w:eastAsia="Calibri" w:hAnsi="Book Antiqua" w:cs="Arial"/>
          <w:sz w:val="24"/>
          <w:szCs w:val="24"/>
        </w:rPr>
        <w:t xml:space="preserve">deberá encargarse de </w:t>
      </w:r>
      <w:r w:rsidRPr="00D80D7C">
        <w:rPr>
          <w:rFonts w:ascii="Book Antiqua" w:eastAsia="Calibri" w:hAnsi="Book Antiqua" w:cs="Arial"/>
          <w:sz w:val="24"/>
          <w:szCs w:val="24"/>
        </w:rPr>
        <w:t>distribuir</w:t>
      </w:r>
      <w:r w:rsidR="005D3601">
        <w:rPr>
          <w:rFonts w:ascii="Book Antiqua" w:eastAsia="Calibri" w:hAnsi="Book Antiqua" w:cs="Arial"/>
          <w:sz w:val="24"/>
          <w:szCs w:val="24"/>
        </w:rPr>
        <w:t xml:space="preserve"> esos asuntos</w:t>
      </w:r>
      <w:r w:rsidRPr="00D80D7C">
        <w:rPr>
          <w:rFonts w:ascii="Book Antiqua" w:eastAsia="Calibri" w:hAnsi="Book Antiqua" w:cs="Arial"/>
          <w:sz w:val="24"/>
          <w:szCs w:val="24"/>
        </w:rPr>
        <w:t xml:space="preserve"> (tejedora)</w:t>
      </w:r>
      <w:r w:rsidR="00723957">
        <w:rPr>
          <w:rFonts w:ascii="Book Antiqua" w:eastAsia="Calibri" w:hAnsi="Book Antiqua" w:cs="Arial"/>
          <w:sz w:val="24"/>
          <w:szCs w:val="24"/>
        </w:rPr>
        <w:t>.</w:t>
      </w:r>
    </w:p>
    <w:p w14:paraId="00176A4D" w14:textId="05CC3580" w:rsidR="008E4DC7" w:rsidRDefault="00D80D7C" w:rsidP="00FD2D48">
      <w:pPr>
        <w:numPr>
          <w:ilvl w:val="0"/>
          <w:numId w:val="49"/>
        </w:numPr>
        <w:spacing w:before="30" w:afterLines="30" w:after="72"/>
        <w:jc w:val="both"/>
        <w:rPr>
          <w:rFonts w:ascii="Book Antiqua" w:eastAsia="Calibri" w:hAnsi="Book Antiqua" w:cs="Arial"/>
          <w:sz w:val="24"/>
          <w:szCs w:val="24"/>
        </w:rPr>
      </w:pPr>
      <w:r w:rsidRPr="00E03F00">
        <w:rPr>
          <w:rFonts w:ascii="Book Antiqua" w:eastAsia="Calibri" w:hAnsi="Book Antiqua" w:cs="Arial"/>
          <w:sz w:val="24"/>
          <w:szCs w:val="24"/>
        </w:rPr>
        <w:t>Colaborar con</w:t>
      </w:r>
      <w:r w:rsidR="005D3601">
        <w:rPr>
          <w:rFonts w:ascii="Book Antiqua" w:eastAsia="Calibri" w:hAnsi="Book Antiqua" w:cs="Arial"/>
          <w:sz w:val="24"/>
          <w:szCs w:val="24"/>
        </w:rPr>
        <w:t xml:space="preserve"> los</w:t>
      </w:r>
      <w:r w:rsidRPr="00E03F00">
        <w:rPr>
          <w:rFonts w:ascii="Book Antiqua" w:eastAsia="Calibri" w:hAnsi="Book Antiqua" w:cs="Arial"/>
          <w:sz w:val="24"/>
          <w:szCs w:val="24"/>
        </w:rPr>
        <w:t xml:space="preserve"> seguimientos</w:t>
      </w:r>
      <w:r w:rsidR="00723957">
        <w:rPr>
          <w:rFonts w:ascii="Book Antiqua" w:eastAsia="Calibri" w:hAnsi="Book Antiqua" w:cs="Arial"/>
          <w:sz w:val="24"/>
          <w:szCs w:val="24"/>
        </w:rPr>
        <w:t>.</w:t>
      </w:r>
    </w:p>
    <w:p w14:paraId="09D502D4" w14:textId="77777777" w:rsidR="00A60C4E" w:rsidRDefault="00A60C4E" w:rsidP="00A60C4E">
      <w:pPr>
        <w:spacing w:before="30" w:afterLines="30" w:after="72"/>
        <w:jc w:val="both"/>
        <w:rPr>
          <w:rFonts w:ascii="Book Antiqua" w:eastAsia="Calibri" w:hAnsi="Book Antiqua" w:cs="Arial"/>
          <w:sz w:val="24"/>
          <w:szCs w:val="24"/>
        </w:rPr>
      </w:pPr>
    </w:p>
    <w:p w14:paraId="3A9790C0" w14:textId="03406FA4" w:rsidR="009B45D3" w:rsidRPr="00391382" w:rsidRDefault="00A60C4E" w:rsidP="009B45D3">
      <w:pPr>
        <w:spacing w:before="30" w:afterLines="30" w:after="72"/>
        <w:jc w:val="both"/>
        <w:rPr>
          <w:rFonts w:ascii="Book Antiqua" w:eastAsia="Calibri" w:hAnsi="Book Antiqua" w:cs="Arial"/>
          <w:sz w:val="24"/>
          <w:szCs w:val="24"/>
        </w:rPr>
      </w:pPr>
      <w:r>
        <w:rPr>
          <w:rFonts w:ascii="Book Antiqua" w:eastAsia="Calibri" w:hAnsi="Book Antiqua" w:cs="Arial"/>
          <w:sz w:val="24"/>
          <w:szCs w:val="24"/>
        </w:rPr>
        <w:t xml:space="preserve">Adicional a lo indicado anteriormente, el Modelo de Tramitación de la materia Violencia Doméstica proyecta que </w:t>
      </w:r>
      <w:r w:rsidR="009B45D3" w:rsidRPr="00E03F00">
        <w:rPr>
          <w:rFonts w:ascii="Book Antiqua" w:eastAsia="Calibri" w:hAnsi="Book Antiqua" w:cs="Arial"/>
          <w:sz w:val="24"/>
          <w:szCs w:val="24"/>
        </w:rPr>
        <w:t>existan</w:t>
      </w:r>
      <w:r w:rsidR="009B45D3" w:rsidRPr="00CA45A4">
        <w:rPr>
          <w:rFonts w:ascii="Book Antiqua" w:eastAsia="Calibri" w:hAnsi="Book Antiqua" w:cs="Arial"/>
          <w:sz w:val="24"/>
          <w:szCs w:val="24"/>
        </w:rPr>
        <w:t xml:space="preserve"> relaciones de trabajo de dos </w:t>
      </w:r>
      <w:r w:rsidR="009B45D3" w:rsidRPr="0001700D">
        <w:rPr>
          <w:rFonts w:ascii="Book Antiqua" w:eastAsia="Calibri" w:hAnsi="Book Antiqua" w:cs="Arial"/>
          <w:sz w:val="24"/>
          <w:szCs w:val="24"/>
        </w:rPr>
        <w:t xml:space="preserve">personas </w:t>
      </w:r>
      <w:r w:rsidR="009B45D3" w:rsidRPr="000843DA">
        <w:rPr>
          <w:rFonts w:ascii="Book Antiqua" w:eastAsia="Calibri" w:hAnsi="Book Antiqua" w:cs="Arial"/>
          <w:sz w:val="24"/>
          <w:szCs w:val="24"/>
        </w:rPr>
        <w:t>técnicas o técnicos judiciales por cada Jueza o Juez en esos Juzgados, además de una persona Coordinadora Judicial y</w:t>
      </w:r>
      <w:r w:rsidRPr="000843DA">
        <w:rPr>
          <w:rFonts w:ascii="Book Antiqua" w:eastAsia="Calibri" w:hAnsi="Book Antiqua" w:cs="Arial"/>
          <w:sz w:val="24"/>
          <w:szCs w:val="24"/>
        </w:rPr>
        <w:t xml:space="preserve"> la figura especializada en la atención de la manifestación. </w:t>
      </w:r>
      <w:r w:rsidR="009B45D3" w:rsidRPr="000843DA">
        <w:rPr>
          <w:rFonts w:ascii="Book Antiqua" w:eastAsia="Calibri" w:hAnsi="Book Antiqua" w:cs="Arial"/>
          <w:sz w:val="24"/>
          <w:szCs w:val="24"/>
        </w:rPr>
        <w:t>En la siguiente tabla se muestra la estructura ideal de cada despacho, así como la cantidad de personal requerida.</w:t>
      </w:r>
      <w:r w:rsidR="009B45D3">
        <w:rPr>
          <w:rFonts w:ascii="Book Antiqua" w:eastAsia="Calibri" w:hAnsi="Book Antiqua" w:cs="Arial"/>
          <w:sz w:val="24"/>
          <w:szCs w:val="24"/>
        </w:rPr>
        <w:t xml:space="preserve"> </w:t>
      </w:r>
    </w:p>
    <w:p w14:paraId="049E9972" w14:textId="77777777" w:rsidR="009B45D3" w:rsidRPr="00391382" w:rsidRDefault="009B45D3" w:rsidP="00391382">
      <w:pPr>
        <w:spacing w:before="30" w:afterLines="30" w:after="72"/>
        <w:jc w:val="both"/>
        <w:rPr>
          <w:rFonts w:ascii="Book Antiqua" w:eastAsia="Calibri" w:hAnsi="Book Antiqua" w:cs="Arial"/>
          <w:sz w:val="24"/>
          <w:szCs w:val="24"/>
        </w:rPr>
      </w:pPr>
    </w:p>
    <w:p w14:paraId="53D58E25" w14:textId="77777777" w:rsidR="00440BE7" w:rsidRDefault="00440BE7" w:rsidP="009B6D0C">
      <w:pPr>
        <w:spacing w:after="0" w:line="240" w:lineRule="auto"/>
        <w:jc w:val="center"/>
        <w:rPr>
          <w:rFonts w:ascii="Book Antiqua" w:eastAsia="Calibri" w:hAnsi="Book Antiqua" w:cs="Arial"/>
          <w:b/>
          <w:bCs/>
          <w:color w:val="1F497D"/>
          <w:szCs w:val="24"/>
          <w:lang w:val="es-ES" w:eastAsia="es-ES"/>
        </w:rPr>
        <w:sectPr w:rsidR="00440BE7" w:rsidSect="00FA559C">
          <w:footerReference w:type="default" r:id="rId69"/>
          <w:pgSz w:w="12240" w:h="15840"/>
          <w:pgMar w:top="1417" w:right="1701" w:bottom="1417" w:left="1701" w:header="708" w:footer="708" w:gutter="0"/>
          <w:pgNumType w:start="1"/>
          <w:cols w:space="708"/>
          <w:docGrid w:linePitch="360"/>
        </w:sectPr>
      </w:pPr>
    </w:p>
    <w:p w14:paraId="68A89EEC" w14:textId="23D8783B" w:rsidR="009B6D0C" w:rsidRPr="00391382" w:rsidRDefault="003012D1" w:rsidP="0038213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91382">
        <w:rPr>
          <w:rFonts w:ascii="Book Antiqua" w:eastAsia="Calibri" w:hAnsi="Book Antiqua" w:cs="Arial"/>
          <w:b/>
          <w:bCs/>
          <w:color w:val="1F497D"/>
          <w:szCs w:val="24"/>
          <w:lang w:val="es-ES" w:eastAsia="es-ES"/>
        </w:rPr>
        <w:lastRenderedPageBreak/>
        <w:t xml:space="preserve">Cuadro </w:t>
      </w:r>
      <w:r w:rsidR="009B6D0C" w:rsidRPr="006A551F">
        <w:rPr>
          <w:rFonts w:ascii="Book Antiqua" w:eastAsia="Calibri" w:hAnsi="Book Antiqua" w:cs="Arial"/>
          <w:b/>
          <w:bCs/>
          <w:color w:val="1F497D"/>
          <w:szCs w:val="24"/>
          <w:lang w:val="es-ES" w:eastAsia="es-ES"/>
        </w:rPr>
        <w:t xml:space="preserve"> </w:t>
      </w:r>
      <w:r w:rsidR="009B6D0C" w:rsidRPr="006A551F">
        <w:rPr>
          <w:rFonts w:ascii="Book Antiqua" w:eastAsia="Calibri" w:hAnsi="Book Antiqua" w:cs="Arial"/>
          <w:b/>
          <w:bCs/>
          <w:color w:val="1F497D"/>
          <w:szCs w:val="24"/>
          <w:lang w:val="es-ES" w:eastAsia="es-ES"/>
        </w:rPr>
        <w:fldChar w:fldCharType="begin"/>
      </w:r>
      <w:r w:rsidR="009B6D0C" w:rsidRPr="006A551F">
        <w:rPr>
          <w:rFonts w:ascii="Book Antiqua" w:eastAsia="Calibri" w:hAnsi="Book Antiqua" w:cs="Arial"/>
          <w:b/>
          <w:bCs/>
          <w:color w:val="1F497D"/>
          <w:szCs w:val="24"/>
          <w:lang w:val="es-ES" w:eastAsia="es-ES"/>
        </w:rPr>
        <w:instrText xml:space="preserve"> SEQ Cuadro \* ARABIC </w:instrText>
      </w:r>
      <w:r w:rsidR="009B6D0C" w:rsidRPr="006A551F">
        <w:rPr>
          <w:rFonts w:ascii="Book Antiqua" w:eastAsia="Calibri" w:hAnsi="Book Antiqua" w:cs="Arial"/>
          <w:b/>
          <w:bCs/>
          <w:color w:val="1F497D"/>
          <w:szCs w:val="24"/>
          <w:lang w:val="es-ES" w:eastAsia="es-ES"/>
        </w:rPr>
        <w:fldChar w:fldCharType="separate"/>
      </w:r>
      <w:r w:rsidR="00943861">
        <w:rPr>
          <w:rFonts w:ascii="Book Antiqua" w:eastAsia="Calibri" w:hAnsi="Book Antiqua" w:cs="Arial"/>
          <w:b/>
          <w:bCs/>
          <w:color w:val="1F497D"/>
          <w:szCs w:val="24"/>
          <w:lang w:val="es-ES" w:eastAsia="es-ES"/>
        </w:rPr>
        <w:t>65</w:t>
      </w:r>
      <w:r w:rsidR="009B6D0C" w:rsidRPr="006A551F">
        <w:rPr>
          <w:rFonts w:ascii="Book Antiqua" w:eastAsia="Calibri" w:hAnsi="Book Antiqua" w:cs="Arial"/>
          <w:b/>
          <w:bCs/>
          <w:color w:val="1F497D"/>
          <w:szCs w:val="24"/>
          <w:lang w:val="es-ES" w:eastAsia="es-ES"/>
        </w:rPr>
        <w:fldChar w:fldCharType="end"/>
      </w:r>
    </w:p>
    <w:p w14:paraId="05EA797D" w14:textId="168B41E5" w:rsidR="009B6D0C" w:rsidRDefault="009B6D0C" w:rsidP="009B6D0C">
      <w:pPr>
        <w:spacing w:after="0" w:line="240" w:lineRule="auto"/>
        <w:jc w:val="center"/>
        <w:rPr>
          <w:rFonts w:ascii="Book Antiqua" w:eastAsia="Calibri" w:hAnsi="Book Antiqua" w:cs="Arial"/>
          <w:b/>
          <w:bCs/>
          <w:color w:val="1F497D"/>
          <w:szCs w:val="24"/>
          <w:lang w:val="es-ES" w:eastAsia="es-ES"/>
        </w:rPr>
      </w:pPr>
      <w:r w:rsidRPr="00391382">
        <w:rPr>
          <w:rFonts w:ascii="Book Antiqua" w:eastAsia="Calibri" w:hAnsi="Book Antiqua" w:cs="Arial"/>
          <w:b/>
          <w:bCs/>
          <w:color w:val="1F497D"/>
          <w:szCs w:val="24"/>
          <w:lang w:val="es-ES" w:eastAsia="es-ES"/>
        </w:rPr>
        <w:t>Justificación de personal especializado en la manifestación y relaciones de trabajo, según Modelo de Tramitación que se implementará en los despachos de Violencia Doméstica</w:t>
      </w:r>
    </w:p>
    <w:tbl>
      <w:tblPr>
        <w:tblW w:w="12437" w:type="dxa"/>
        <w:tblCellMar>
          <w:left w:w="70" w:type="dxa"/>
          <w:right w:w="70" w:type="dxa"/>
        </w:tblCellMar>
        <w:tblLook w:val="04A0" w:firstRow="1" w:lastRow="0" w:firstColumn="1" w:lastColumn="0" w:noHBand="0" w:noVBand="1"/>
      </w:tblPr>
      <w:tblGrid>
        <w:gridCol w:w="320"/>
        <w:gridCol w:w="6251"/>
        <w:gridCol w:w="592"/>
        <w:gridCol w:w="592"/>
        <w:gridCol w:w="369"/>
        <w:gridCol w:w="426"/>
        <w:gridCol w:w="427"/>
        <w:gridCol w:w="427"/>
        <w:gridCol w:w="427"/>
        <w:gridCol w:w="425"/>
        <w:gridCol w:w="425"/>
        <w:gridCol w:w="425"/>
        <w:gridCol w:w="425"/>
        <w:gridCol w:w="453"/>
        <w:gridCol w:w="453"/>
      </w:tblGrid>
      <w:tr w:rsidR="00D32E04" w:rsidRPr="000057E4" w14:paraId="314537C6" w14:textId="77777777" w:rsidTr="000057E4">
        <w:trPr>
          <w:trHeight w:val="653"/>
        </w:trPr>
        <w:tc>
          <w:tcPr>
            <w:tcW w:w="0" w:type="auto"/>
            <w:vMerge w:val="restart"/>
            <w:tcBorders>
              <w:top w:val="single" w:sz="4" w:space="0" w:color="auto"/>
              <w:left w:val="single" w:sz="4" w:space="0" w:color="auto"/>
              <w:bottom w:val="single" w:sz="4" w:space="0" w:color="auto"/>
              <w:right w:val="single" w:sz="4" w:space="0" w:color="auto"/>
            </w:tcBorders>
            <w:shd w:val="clear" w:color="000000" w:fill="1F4E78"/>
            <w:vAlign w:val="center"/>
            <w:hideMark/>
          </w:tcPr>
          <w:p w14:paraId="5263D730"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1F4E78"/>
            <w:vAlign w:val="center"/>
            <w:hideMark/>
          </w:tcPr>
          <w:p w14:paraId="5B43345D"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Despacho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1F4E78"/>
            <w:textDirection w:val="btLr"/>
            <w:vAlign w:val="center"/>
            <w:hideMark/>
          </w:tcPr>
          <w:p w14:paraId="3C3CAB27"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Entrada mensual</w:t>
            </w:r>
            <w:r w:rsidRPr="00391382">
              <w:rPr>
                <w:rFonts w:ascii="Book Antiqua" w:eastAsia="Times New Roman" w:hAnsi="Book Antiqua" w:cs="Calibri"/>
                <w:b/>
                <w:bCs/>
                <w:color w:val="FFFFFF"/>
                <w:sz w:val="18"/>
                <w:szCs w:val="18"/>
                <w:lang w:eastAsia="es-CR"/>
              </w:rPr>
              <w:br/>
              <w:t>Prom. 2017-2021</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1F4E78"/>
            <w:textDirection w:val="btLr"/>
            <w:vAlign w:val="center"/>
            <w:hideMark/>
          </w:tcPr>
          <w:p w14:paraId="7E7EC910"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Entrada diaria</w:t>
            </w:r>
            <w:r w:rsidRPr="00391382">
              <w:rPr>
                <w:rFonts w:ascii="Book Antiqua" w:eastAsia="Times New Roman" w:hAnsi="Book Antiqua" w:cs="Calibri"/>
                <w:b/>
                <w:bCs/>
                <w:color w:val="FFFFFF"/>
                <w:sz w:val="18"/>
                <w:szCs w:val="18"/>
                <w:lang w:eastAsia="es-CR"/>
              </w:rPr>
              <w:br/>
              <w:t>Prom. 2017-2021</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1F4E78"/>
            <w:textDirection w:val="btLr"/>
            <w:vAlign w:val="center"/>
            <w:hideMark/>
          </w:tcPr>
          <w:p w14:paraId="60F4591B" w14:textId="77777777" w:rsidR="00E23F52" w:rsidRPr="00391382" w:rsidRDefault="00E23F52" w:rsidP="00E23F52">
            <w:pPr>
              <w:spacing w:after="0" w:line="240" w:lineRule="auto"/>
              <w:jc w:val="center"/>
              <w:rPr>
                <w:rFonts w:ascii="Book Antiqua" w:eastAsia="Times New Roman" w:hAnsi="Book Antiqua" w:cs="Calibri"/>
                <w:b/>
                <w:bCs/>
                <w:color w:val="FFFFFF"/>
                <w:sz w:val="18"/>
                <w:szCs w:val="18"/>
                <w:lang w:eastAsia="es-CR"/>
              </w:rPr>
            </w:pPr>
            <w:r w:rsidRPr="00391382">
              <w:rPr>
                <w:rFonts w:ascii="Book Antiqua" w:eastAsia="Times New Roman" w:hAnsi="Book Antiqua" w:cs="Calibri"/>
                <w:b/>
                <w:bCs/>
                <w:color w:val="FFFFFF"/>
                <w:sz w:val="18"/>
                <w:szCs w:val="18"/>
                <w:lang w:eastAsia="es-CR"/>
              </w:rPr>
              <w:t>Carga diaria por Juez/a</w:t>
            </w:r>
          </w:p>
        </w:tc>
        <w:tc>
          <w:tcPr>
            <w:tcW w:w="0" w:type="auto"/>
            <w:gridSpan w:val="4"/>
            <w:tcBorders>
              <w:top w:val="single" w:sz="4" w:space="0" w:color="auto"/>
              <w:left w:val="nil"/>
              <w:bottom w:val="single" w:sz="4" w:space="0" w:color="auto"/>
              <w:right w:val="single" w:sz="4" w:space="0" w:color="auto"/>
            </w:tcBorders>
            <w:shd w:val="clear" w:color="000000" w:fill="BDD7EE"/>
            <w:vAlign w:val="center"/>
            <w:hideMark/>
          </w:tcPr>
          <w:p w14:paraId="190B4909" w14:textId="77777777" w:rsidR="00E23F52" w:rsidRPr="00391382" w:rsidRDefault="00E23F52" w:rsidP="00E23F52">
            <w:pPr>
              <w:spacing w:after="0" w:line="240" w:lineRule="auto"/>
              <w:jc w:val="center"/>
              <w:rPr>
                <w:rFonts w:ascii="Book Antiqua" w:eastAsia="Times New Roman" w:hAnsi="Book Antiqua" w:cs="Calibri"/>
                <w:b/>
                <w:bCs/>
                <w:color w:val="1F497D"/>
                <w:sz w:val="18"/>
                <w:szCs w:val="18"/>
                <w:lang w:eastAsia="es-CR"/>
              </w:rPr>
            </w:pPr>
            <w:r w:rsidRPr="00391382">
              <w:rPr>
                <w:rFonts w:ascii="Book Antiqua" w:eastAsia="Times New Roman" w:hAnsi="Book Antiqua" w:cs="Calibri"/>
                <w:b/>
                <w:bCs/>
                <w:color w:val="1F497D"/>
                <w:sz w:val="18"/>
                <w:szCs w:val="18"/>
                <w:lang w:eastAsia="es-CR"/>
              </w:rPr>
              <w:t>Estructura Actual Juzgados Especializados de Violencia Doméstica</w:t>
            </w:r>
          </w:p>
        </w:tc>
        <w:tc>
          <w:tcPr>
            <w:tcW w:w="0" w:type="auto"/>
            <w:gridSpan w:val="4"/>
            <w:tcBorders>
              <w:top w:val="single" w:sz="4" w:space="0" w:color="auto"/>
              <w:left w:val="nil"/>
              <w:bottom w:val="single" w:sz="4" w:space="0" w:color="auto"/>
              <w:right w:val="single" w:sz="4" w:space="0" w:color="auto"/>
            </w:tcBorders>
            <w:shd w:val="clear" w:color="000000" w:fill="BDD7EE"/>
            <w:vAlign w:val="center"/>
            <w:hideMark/>
          </w:tcPr>
          <w:p w14:paraId="60FDAB25" w14:textId="77777777" w:rsidR="00E23F52" w:rsidRPr="00391382" w:rsidRDefault="00E23F52" w:rsidP="00E23F52">
            <w:pPr>
              <w:spacing w:after="0" w:line="240" w:lineRule="auto"/>
              <w:jc w:val="center"/>
              <w:rPr>
                <w:rFonts w:ascii="Book Antiqua" w:eastAsia="Times New Roman" w:hAnsi="Book Antiqua" w:cs="Calibri"/>
                <w:b/>
                <w:bCs/>
                <w:color w:val="1F497D"/>
                <w:sz w:val="18"/>
                <w:szCs w:val="18"/>
                <w:lang w:eastAsia="es-CR"/>
              </w:rPr>
            </w:pPr>
            <w:r w:rsidRPr="00391382">
              <w:rPr>
                <w:rFonts w:ascii="Book Antiqua" w:eastAsia="Times New Roman" w:hAnsi="Book Antiqua" w:cs="Calibri"/>
                <w:b/>
                <w:bCs/>
                <w:color w:val="1F497D"/>
                <w:sz w:val="18"/>
                <w:szCs w:val="18"/>
                <w:lang w:eastAsia="es-CR"/>
              </w:rPr>
              <w:t>Estructura Ideal Juzgados Especializados de Violencia Doméstica</w:t>
            </w:r>
          </w:p>
        </w:tc>
        <w:tc>
          <w:tcPr>
            <w:tcW w:w="0" w:type="auto"/>
            <w:gridSpan w:val="2"/>
            <w:tcBorders>
              <w:top w:val="single" w:sz="4" w:space="0" w:color="auto"/>
              <w:left w:val="nil"/>
              <w:bottom w:val="single" w:sz="4" w:space="0" w:color="auto"/>
              <w:right w:val="single" w:sz="4" w:space="0" w:color="auto"/>
            </w:tcBorders>
            <w:shd w:val="clear" w:color="000000" w:fill="BDD7EE"/>
            <w:vAlign w:val="center"/>
            <w:hideMark/>
          </w:tcPr>
          <w:p w14:paraId="7E9B9237" w14:textId="77777777" w:rsidR="00E23F52" w:rsidRPr="00391382" w:rsidRDefault="00E23F52" w:rsidP="00E23F52">
            <w:pPr>
              <w:spacing w:after="0" w:line="240" w:lineRule="auto"/>
              <w:jc w:val="center"/>
              <w:rPr>
                <w:rFonts w:ascii="Book Antiqua" w:eastAsia="Times New Roman" w:hAnsi="Book Antiqua" w:cs="Calibri"/>
                <w:b/>
                <w:bCs/>
                <w:color w:val="1F497D"/>
                <w:sz w:val="18"/>
                <w:szCs w:val="18"/>
                <w:lang w:eastAsia="es-CR"/>
              </w:rPr>
            </w:pPr>
            <w:r w:rsidRPr="00391382">
              <w:rPr>
                <w:rFonts w:ascii="Book Antiqua" w:eastAsia="Times New Roman" w:hAnsi="Book Antiqua" w:cs="Calibri"/>
                <w:b/>
                <w:bCs/>
                <w:color w:val="1F497D"/>
                <w:sz w:val="18"/>
                <w:szCs w:val="18"/>
                <w:lang w:eastAsia="es-CR"/>
              </w:rPr>
              <w:t>Personal Faltante</w:t>
            </w:r>
          </w:p>
        </w:tc>
      </w:tr>
      <w:tr w:rsidR="000057E4" w:rsidRPr="000843DA" w14:paraId="6AF21FA8" w14:textId="77777777" w:rsidTr="000057E4">
        <w:trPr>
          <w:trHeight w:val="155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7798111"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5956B9"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60C01D"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B6E843"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F91001" w14:textId="77777777" w:rsidR="00E23F52" w:rsidRPr="00391382" w:rsidRDefault="00E23F52" w:rsidP="00E23F52">
            <w:pPr>
              <w:spacing w:after="0" w:line="240" w:lineRule="auto"/>
              <w:rPr>
                <w:rFonts w:ascii="Book Antiqua" w:eastAsia="Times New Roman" w:hAnsi="Book Antiqua" w:cs="Calibri"/>
                <w:b/>
                <w:bCs/>
                <w:color w:val="FFFFFF"/>
                <w:sz w:val="18"/>
                <w:szCs w:val="18"/>
                <w:lang w:eastAsia="es-CR"/>
              </w:rPr>
            </w:pP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6FE7E302"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Juez/a</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2DFCAC41"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Coordinador/</w:t>
            </w:r>
            <w:proofErr w:type="gramStart"/>
            <w:r w:rsidRPr="00391382">
              <w:rPr>
                <w:rFonts w:ascii="Book Antiqua" w:eastAsia="Times New Roman" w:hAnsi="Book Antiqua" w:cs="Calibri"/>
                <w:b/>
                <w:bCs/>
                <w:color w:val="FFFFFF"/>
                <w:sz w:val="16"/>
                <w:szCs w:val="16"/>
                <w:lang w:eastAsia="es-CR"/>
              </w:rPr>
              <w:t>a  Judicial</w:t>
            </w:r>
            <w:proofErr w:type="gramEnd"/>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5168FC13"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Técnico/a Judicial totales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439B432A"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Aux. de Serv. Grls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366C6911"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Juez/a</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78077D99"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Coordinador/</w:t>
            </w:r>
            <w:proofErr w:type="gramStart"/>
            <w:r w:rsidRPr="00391382">
              <w:rPr>
                <w:rFonts w:ascii="Book Antiqua" w:eastAsia="Times New Roman" w:hAnsi="Book Antiqua" w:cs="Calibri"/>
                <w:b/>
                <w:bCs/>
                <w:color w:val="FFFFFF"/>
                <w:sz w:val="16"/>
                <w:szCs w:val="16"/>
                <w:lang w:eastAsia="es-CR"/>
              </w:rPr>
              <w:t>a  Judicial</w:t>
            </w:r>
            <w:proofErr w:type="gramEnd"/>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526A6146"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Técnico/a Judicial totales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56229CA9"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Aux. de Serv. Grls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08E0DE42"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Juez/a</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35BB3BCE" w14:textId="77777777" w:rsidR="00E23F52" w:rsidRPr="00391382" w:rsidRDefault="00E23F52" w:rsidP="00E23F52">
            <w:pPr>
              <w:spacing w:after="0" w:line="240" w:lineRule="auto"/>
              <w:jc w:val="center"/>
              <w:rPr>
                <w:rFonts w:ascii="Book Antiqua" w:eastAsia="Times New Roman" w:hAnsi="Book Antiqua" w:cs="Calibri"/>
                <w:b/>
                <w:bCs/>
                <w:color w:val="FFFFFF"/>
                <w:sz w:val="16"/>
                <w:szCs w:val="16"/>
                <w:lang w:eastAsia="es-CR"/>
              </w:rPr>
            </w:pPr>
            <w:r w:rsidRPr="00391382">
              <w:rPr>
                <w:rFonts w:ascii="Book Antiqua" w:eastAsia="Times New Roman" w:hAnsi="Book Antiqua" w:cs="Calibri"/>
                <w:b/>
                <w:bCs/>
                <w:color w:val="FFFFFF"/>
                <w:sz w:val="16"/>
                <w:szCs w:val="16"/>
                <w:lang w:eastAsia="es-CR"/>
              </w:rPr>
              <w:t>Técnico/a Judicial totales</w:t>
            </w:r>
          </w:p>
        </w:tc>
      </w:tr>
      <w:tr w:rsidR="00E23F52" w:rsidRPr="000057E4" w14:paraId="7BE30067" w14:textId="77777777" w:rsidTr="00391382">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65B5575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78E52A7A" w14:textId="53E2EBA9"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 Circ. Jud. San José</w:t>
            </w:r>
            <w:r w:rsidR="002F786E">
              <w:rPr>
                <w:rFonts w:ascii="Book Antiqua" w:eastAsia="Times New Roman" w:hAnsi="Book Antiqua" w:cs="Calibri"/>
                <w:color w:val="000000"/>
                <w:sz w:val="18"/>
                <w:szCs w:val="18"/>
                <w:lang w:eastAsia="es-CR"/>
              </w:rPr>
              <w:t>****</w:t>
            </w:r>
          </w:p>
        </w:tc>
        <w:tc>
          <w:tcPr>
            <w:tcW w:w="0" w:type="auto"/>
            <w:tcBorders>
              <w:top w:val="nil"/>
              <w:left w:val="nil"/>
              <w:bottom w:val="single" w:sz="4" w:space="0" w:color="auto"/>
              <w:right w:val="single" w:sz="4" w:space="0" w:color="auto"/>
            </w:tcBorders>
            <w:shd w:val="clear" w:color="auto" w:fill="auto"/>
            <w:noWrap/>
            <w:vAlign w:val="center"/>
            <w:hideMark/>
          </w:tcPr>
          <w:p w14:paraId="0A9B842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178</w:t>
            </w:r>
          </w:p>
        </w:tc>
        <w:tc>
          <w:tcPr>
            <w:tcW w:w="0" w:type="auto"/>
            <w:tcBorders>
              <w:top w:val="nil"/>
              <w:left w:val="nil"/>
              <w:bottom w:val="single" w:sz="4" w:space="0" w:color="auto"/>
              <w:right w:val="single" w:sz="4" w:space="0" w:color="auto"/>
            </w:tcBorders>
            <w:shd w:val="clear" w:color="auto" w:fill="auto"/>
            <w:noWrap/>
            <w:vAlign w:val="center"/>
            <w:hideMark/>
          </w:tcPr>
          <w:p w14:paraId="0B29B37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8,5</w:t>
            </w:r>
          </w:p>
        </w:tc>
        <w:tc>
          <w:tcPr>
            <w:tcW w:w="0" w:type="auto"/>
            <w:tcBorders>
              <w:top w:val="nil"/>
              <w:left w:val="nil"/>
              <w:bottom w:val="single" w:sz="4" w:space="0" w:color="auto"/>
              <w:right w:val="single" w:sz="4" w:space="0" w:color="auto"/>
            </w:tcBorders>
            <w:shd w:val="clear" w:color="auto" w:fill="auto"/>
            <w:noWrap/>
            <w:vAlign w:val="center"/>
            <w:hideMark/>
          </w:tcPr>
          <w:p w14:paraId="59D7D51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4,2</w:t>
            </w:r>
          </w:p>
        </w:tc>
        <w:tc>
          <w:tcPr>
            <w:tcW w:w="0" w:type="auto"/>
            <w:tcBorders>
              <w:top w:val="nil"/>
              <w:left w:val="nil"/>
              <w:bottom w:val="single" w:sz="4" w:space="0" w:color="auto"/>
              <w:right w:val="single" w:sz="4" w:space="0" w:color="auto"/>
            </w:tcBorders>
            <w:shd w:val="clear" w:color="auto" w:fill="auto"/>
            <w:noWrap/>
            <w:vAlign w:val="center"/>
            <w:hideMark/>
          </w:tcPr>
          <w:p w14:paraId="4817D2C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54FD6E2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97712C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0817280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7B66FA3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389AFFB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D516F4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2827593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0896DCC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EA004C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1A903962"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4E937AA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0AD48593"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II Circ. Jud. San José</w:t>
            </w:r>
          </w:p>
        </w:tc>
        <w:tc>
          <w:tcPr>
            <w:tcW w:w="0" w:type="auto"/>
            <w:tcBorders>
              <w:top w:val="nil"/>
              <w:left w:val="nil"/>
              <w:bottom w:val="single" w:sz="4" w:space="0" w:color="auto"/>
              <w:right w:val="single" w:sz="4" w:space="0" w:color="auto"/>
            </w:tcBorders>
            <w:shd w:val="clear" w:color="auto" w:fill="auto"/>
            <w:noWrap/>
            <w:vAlign w:val="center"/>
            <w:hideMark/>
          </w:tcPr>
          <w:p w14:paraId="1615216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484</w:t>
            </w:r>
          </w:p>
        </w:tc>
        <w:tc>
          <w:tcPr>
            <w:tcW w:w="0" w:type="auto"/>
            <w:tcBorders>
              <w:top w:val="nil"/>
              <w:left w:val="nil"/>
              <w:bottom w:val="single" w:sz="4" w:space="0" w:color="auto"/>
              <w:right w:val="single" w:sz="4" w:space="0" w:color="auto"/>
            </w:tcBorders>
            <w:shd w:val="clear" w:color="auto" w:fill="auto"/>
            <w:noWrap/>
            <w:vAlign w:val="center"/>
            <w:hideMark/>
          </w:tcPr>
          <w:p w14:paraId="43AE834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23,0</w:t>
            </w:r>
          </w:p>
        </w:tc>
        <w:tc>
          <w:tcPr>
            <w:tcW w:w="0" w:type="auto"/>
            <w:tcBorders>
              <w:top w:val="nil"/>
              <w:left w:val="nil"/>
              <w:bottom w:val="single" w:sz="4" w:space="0" w:color="auto"/>
              <w:right w:val="single" w:sz="4" w:space="0" w:color="auto"/>
            </w:tcBorders>
            <w:shd w:val="clear" w:color="000000" w:fill="FFFFFF"/>
            <w:noWrap/>
            <w:vAlign w:val="center"/>
            <w:hideMark/>
          </w:tcPr>
          <w:p w14:paraId="18EFB42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3EDF293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123BFB4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224327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61B06D8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486772C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3ABB4E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D47F5F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11</w:t>
            </w:r>
          </w:p>
        </w:tc>
        <w:tc>
          <w:tcPr>
            <w:tcW w:w="0" w:type="auto"/>
            <w:tcBorders>
              <w:top w:val="nil"/>
              <w:left w:val="nil"/>
              <w:bottom w:val="single" w:sz="4" w:space="0" w:color="auto"/>
              <w:right w:val="single" w:sz="4" w:space="0" w:color="auto"/>
            </w:tcBorders>
            <w:shd w:val="clear" w:color="000000" w:fill="FFFFFF"/>
            <w:vAlign w:val="center"/>
            <w:hideMark/>
          </w:tcPr>
          <w:p w14:paraId="3CB485E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748117E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77FBD5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r>
      <w:tr w:rsidR="000057E4" w:rsidRPr="000843DA" w14:paraId="6D063011"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29F6189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611AA808"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III Circ. Jud. San José (Desamparados)</w:t>
            </w:r>
          </w:p>
        </w:tc>
        <w:tc>
          <w:tcPr>
            <w:tcW w:w="0" w:type="auto"/>
            <w:tcBorders>
              <w:top w:val="nil"/>
              <w:left w:val="nil"/>
              <w:bottom w:val="single" w:sz="4" w:space="0" w:color="auto"/>
              <w:right w:val="single" w:sz="4" w:space="0" w:color="auto"/>
            </w:tcBorders>
            <w:shd w:val="clear" w:color="auto" w:fill="auto"/>
            <w:noWrap/>
            <w:vAlign w:val="center"/>
            <w:hideMark/>
          </w:tcPr>
          <w:p w14:paraId="56AD1DC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244</w:t>
            </w:r>
          </w:p>
        </w:tc>
        <w:tc>
          <w:tcPr>
            <w:tcW w:w="0" w:type="auto"/>
            <w:tcBorders>
              <w:top w:val="nil"/>
              <w:left w:val="nil"/>
              <w:bottom w:val="single" w:sz="4" w:space="0" w:color="auto"/>
              <w:right w:val="single" w:sz="4" w:space="0" w:color="auto"/>
            </w:tcBorders>
            <w:shd w:val="clear" w:color="auto" w:fill="auto"/>
            <w:noWrap/>
            <w:vAlign w:val="center"/>
            <w:hideMark/>
          </w:tcPr>
          <w:p w14:paraId="4A5D856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11,6</w:t>
            </w:r>
          </w:p>
        </w:tc>
        <w:tc>
          <w:tcPr>
            <w:tcW w:w="0" w:type="auto"/>
            <w:tcBorders>
              <w:top w:val="nil"/>
              <w:left w:val="nil"/>
              <w:bottom w:val="single" w:sz="4" w:space="0" w:color="auto"/>
              <w:right w:val="single" w:sz="4" w:space="0" w:color="auto"/>
            </w:tcBorders>
            <w:shd w:val="clear" w:color="000000" w:fill="FFFFFF"/>
            <w:noWrap/>
            <w:vAlign w:val="center"/>
            <w:hideMark/>
          </w:tcPr>
          <w:p w14:paraId="00D3E69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5,8</w:t>
            </w:r>
          </w:p>
        </w:tc>
        <w:tc>
          <w:tcPr>
            <w:tcW w:w="0" w:type="auto"/>
            <w:tcBorders>
              <w:top w:val="nil"/>
              <w:left w:val="nil"/>
              <w:bottom w:val="single" w:sz="4" w:space="0" w:color="auto"/>
              <w:right w:val="single" w:sz="4" w:space="0" w:color="auto"/>
            </w:tcBorders>
            <w:shd w:val="clear" w:color="auto" w:fill="auto"/>
            <w:noWrap/>
            <w:vAlign w:val="center"/>
            <w:hideMark/>
          </w:tcPr>
          <w:p w14:paraId="5C42C3D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0860E34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7FC18F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6D56DDC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3887D70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4E51854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871FAA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37A9FC6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0F44376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470D872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4EAF884E"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216EDAA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noWrap/>
            <w:vAlign w:val="center"/>
            <w:hideMark/>
          </w:tcPr>
          <w:p w14:paraId="34C7612F"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Hatillo, San Sebas. y Alajuelita</w:t>
            </w:r>
          </w:p>
        </w:tc>
        <w:tc>
          <w:tcPr>
            <w:tcW w:w="0" w:type="auto"/>
            <w:tcBorders>
              <w:top w:val="nil"/>
              <w:left w:val="nil"/>
              <w:bottom w:val="single" w:sz="4" w:space="0" w:color="auto"/>
              <w:right w:val="single" w:sz="4" w:space="0" w:color="auto"/>
            </w:tcBorders>
            <w:shd w:val="clear" w:color="auto" w:fill="auto"/>
            <w:noWrap/>
            <w:vAlign w:val="center"/>
            <w:hideMark/>
          </w:tcPr>
          <w:p w14:paraId="5FE80F1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241</w:t>
            </w:r>
          </w:p>
        </w:tc>
        <w:tc>
          <w:tcPr>
            <w:tcW w:w="0" w:type="auto"/>
            <w:tcBorders>
              <w:top w:val="nil"/>
              <w:left w:val="nil"/>
              <w:bottom w:val="single" w:sz="4" w:space="0" w:color="auto"/>
              <w:right w:val="single" w:sz="4" w:space="0" w:color="auto"/>
            </w:tcBorders>
            <w:shd w:val="clear" w:color="auto" w:fill="auto"/>
            <w:noWrap/>
            <w:vAlign w:val="center"/>
            <w:hideMark/>
          </w:tcPr>
          <w:p w14:paraId="6498602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11,5</w:t>
            </w:r>
          </w:p>
        </w:tc>
        <w:tc>
          <w:tcPr>
            <w:tcW w:w="0" w:type="auto"/>
            <w:tcBorders>
              <w:top w:val="nil"/>
              <w:left w:val="nil"/>
              <w:bottom w:val="single" w:sz="4" w:space="0" w:color="auto"/>
              <w:right w:val="single" w:sz="4" w:space="0" w:color="auto"/>
            </w:tcBorders>
            <w:shd w:val="clear" w:color="000000" w:fill="FFFFFF"/>
            <w:noWrap/>
            <w:vAlign w:val="center"/>
            <w:hideMark/>
          </w:tcPr>
          <w:p w14:paraId="44AD1D0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5,7</w:t>
            </w:r>
          </w:p>
        </w:tc>
        <w:tc>
          <w:tcPr>
            <w:tcW w:w="0" w:type="auto"/>
            <w:tcBorders>
              <w:top w:val="nil"/>
              <w:left w:val="nil"/>
              <w:bottom w:val="single" w:sz="4" w:space="0" w:color="auto"/>
              <w:right w:val="single" w:sz="4" w:space="0" w:color="auto"/>
            </w:tcBorders>
            <w:shd w:val="clear" w:color="auto" w:fill="auto"/>
            <w:noWrap/>
            <w:vAlign w:val="center"/>
            <w:hideMark/>
          </w:tcPr>
          <w:p w14:paraId="4040124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7509FB1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AF3992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0E46116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31167FC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4730A33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FF2A8C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0B42E4A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204A407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5B97193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5852B66E"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3F0D080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noWrap/>
            <w:vAlign w:val="center"/>
            <w:hideMark/>
          </w:tcPr>
          <w:p w14:paraId="71FAD441"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 Circ. Jud. Alajuela</w:t>
            </w:r>
          </w:p>
        </w:tc>
        <w:tc>
          <w:tcPr>
            <w:tcW w:w="0" w:type="auto"/>
            <w:tcBorders>
              <w:top w:val="nil"/>
              <w:left w:val="nil"/>
              <w:bottom w:val="single" w:sz="4" w:space="0" w:color="auto"/>
              <w:right w:val="single" w:sz="4" w:space="0" w:color="auto"/>
            </w:tcBorders>
            <w:shd w:val="clear" w:color="auto" w:fill="auto"/>
            <w:noWrap/>
            <w:vAlign w:val="center"/>
            <w:hideMark/>
          </w:tcPr>
          <w:p w14:paraId="3EADB34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332</w:t>
            </w:r>
          </w:p>
        </w:tc>
        <w:tc>
          <w:tcPr>
            <w:tcW w:w="0" w:type="auto"/>
            <w:tcBorders>
              <w:top w:val="nil"/>
              <w:left w:val="nil"/>
              <w:bottom w:val="single" w:sz="4" w:space="0" w:color="auto"/>
              <w:right w:val="single" w:sz="4" w:space="0" w:color="auto"/>
            </w:tcBorders>
            <w:shd w:val="clear" w:color="auto" w:fill="auto"/>
            <w:noWrap/>
            <w:vAlign w:val="center"/>
            <w:hideMark/>
          </w:tcPr>
          <w:p w14:paraId="28C399C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15,8</w:t>
            </w:r>
          </w:p>
        </w:tc>
        <w:tc>
          <w:tcPr>
            <w:tcW w:w="0" w:type="auto"/>
            <w:tcBorders>
              <w:top w:val="nil"/>
              <w:left w:val="nil"/>
              <w:bottom w:val="single" w:sz="4" w:space="0" w:color="auto"/>
              <w:right w:val="single" w:sz="4" w:space="0" w:color="auto"/>
            </w:tcBorders>
            <w:shd w:val="clear" w:color="000000" w:fill="FFFFFF"/>
            <w:noWrap/>
            <w:vAlign w:val="center"/>
            <w:hideMark/>
          </w:tcPr>
          <w:p w14:paraId="72EEA80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5,3</w:t>
            </w:r>
          </w:p>
        </w:tc>
        <w:tc>
          <w:tcPr>
            <w:tcW w:w="0" w:type="auto"/>
            <w:tcBorders>
              <w:top w:val="nil"/>
              <w:left w:val="nil"/>
              <w:bottom w:val="single" w:sz="4" w:space="0" w:color="auto"/>
              <w:right w:val="single" w:sz="4" w:space="0" w:color="auto"/>
            </w:tcBorders>
            <w:shd w:val="clear" w:color="auto" w:fill="auto"/>
            <w:noWrap/>
            <w:vAlign w:val="center"/>
            <w:hideMark/>
          </w:tcPr>
          <w:p w14:paraId="48B1EF3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6D33BC0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4C0E2E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26CCD4A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1B0657A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5D5D140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56D64E7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w:t>
            </w:r>
          </w:p>
        </w:tc>
        <w:tc>
          <w:tcPr>
            <w:tcW w:w="0" w:type="auto"/>
            <w:tcBorders>
              <w:top w:val="nil"/>
              <w:left w:val="nil"/>
              <w:bottom w:val="single" w:sz="4" w:space="0" w:color="auto"/>
              <w:right w:val="single" w:sz="4" w:space="0" w:color="auto"/>
            </w:tcBorders>
            <w:shd w:val="clear" w:color="000000" w:fill="FFFFFF"/>
            <w:vAlign w:val="center"/>
            <w:hideMark/>
          </w:tcPr>
          <w:p w14:paraId="768E44E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4AF78D1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5EDA15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3B2EADE7"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782D8C8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6</w:t>
            </w:r>
          </w:p>
        </w:tc>
        <w:tc>
          <w:tcPr>
            <w:tcW w:w="0" w:type="auto"/>
            <w:tcBorders>
              <w:top w:val="nil"/>
              <w:left w:val="nil"/>
              <w:bottom w:val="single" w:sz="4" w:space="0" w:color="auto"/>
              <w:right w:val="single" w:sz="4" w:space="0" w:color="auto"/>
            </w:tcBorders>
            <w:shd w:val="clear" w:color="auto" w:fill="auto"/>
            <w:noWrap/>
            <w:vAlign w:val="center"/>
            <w:hideMark/>
          </w:tcPr>
          <w:p w14:paraId="0674E679"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II Circ. Jud. Alajuela (San Carlos)</w:t>
            </w:r>
          </w:p>
        </w:tc>
        <w:tc>
          <w:tcPr>
            <w:tcW w:w="0" w:type="auto"/>
            <w:tcBorders>
              <w:top w:val="nil"/>
              <w:left w:val="nil"/>
              <w:bottom w:val="single" w:sz="4" w:space="0" w:color="auto"/>
              <w:right w:val="single" w:sz="4" w:space="0" w:color="auto"/>
            </w:tcBorders>
            <w:shd w:val="clear" w:color="auto" w:fill="auto"/>
            <w:noWrap/>
            <w:vAlign w:val="center"/>
            <w:hideMark/>
          </w:tcPr>
          <w:p w14:paraId="4DBA51C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153</w:t>
            </w:r>
          </w:p>
        </w:tc>
        <w:tc>
          <w:tcPr>
            <w:tcW w:w="0" w:type="auto"/>
            <w:tcBorders>
              <w:top w:val="nil"/>
              <w:left w:val="nil"/>
              <w:bottom w:val="single" w:sz="4" w:space="0" w:color="auto"/>
              <w:right w:val="single" w:sz="4" w:space="0" w:color="auto"/>
            </w:tcBorders>
            <w:shd w:val="clear" w:color="auto" w:fill="auto"/>
            <w:noWrap/>
            <w:vAlign w:val="center"/>
            <w:hideMark/>
          </w:tcPr>
          <w:p w14:paraId="7FDF098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000000" w:fill="D9E1F2"/>
            <w:noWrap/>
            <w:vAlign w:val="center"/>
            <w:hideMark/>
          </w:tcPr>
          <w:p w14:paraId="2A7CF3D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auto" w:fill="auto"/>
            <w:noWrap/>
            <w:vAlign w:val="center"/>
            <w:hideMark/>
          </w:tcPr>
          <w:p w14:paraId="16A2F4F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49D7A1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86242B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5CA719D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1197040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69825FD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49A409D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351A0FD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43DE6E5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473AF0A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r>
      <w:tr w:rsidR="000057E4" w:rsidRPr="000843DA" w14:paraId="39BC2789"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08D2471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w:t>
            </w:r>
          </w:p>
        </w:tc>
        <w:tc>
          <w:tcPr>
            <w:tcW w:w="0" w:type="auto"/>
            <w:tcBorders>
              <w:top w:val="nil"/>
              <w:left w:val="nil"/>
              <w:bottom w:val="single" w:sz="4" w:space="0" w:color="auto"/>
              <w:right w:val="single" w:sz="4" w:space="0" w:color="auto"/>
            </w:tcBorders>
            <w:shd w:val="clear" w:color="000000" w:fill="FFFFFF"/>
            <w:noWrap/>
            <w:vAlign w:val="center"/>
            <w:hideMark/>
          </w:tcPr>
          <w:p w14:paraId="05FE24D6"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Cartago</w:t>
            </w:r>
          </w:p>
        </w:tc>
        <w:tc>
          <w:tcPr>
            <w:tcW w:w="0" w:type="auto"/>
            <w:tcBorders>
              <w:top w:val="nil"/>
              <w:left w:val="nil"/>
              <w:bottom w:val="single" w:sz="4" w:space="0" w:color="auto"/>
              <w:right w:val="single" w:sz="4" w:space="0" w:color="auto"/>
            </w:tcBorders>
            <w:shd w:val="clear" w:color="000000" w:fill="FFFFFF"/>
            <w:noWrap/>
            <w:vAlign w:val="center"/>
            <w:hideMark/>
          </w:tcPr>
          <w:p w14:paraId="01D7D34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195</w:t>
            </w:r>
          </w:p>
        </w:tc>
        <w:tc>
          <w:tcPr>
            <w:tcW w:w="0" w:type="auto"/>
            <w:tcBorders>
              <w:top w:val="nil"/>
              <w:left w:val="nil"/>
              <w:bottom w:val="single" w:sz="4" w:space="0" w:color="auto"/>
              <w:right w:val="single" w:sz="4" w:space="0" w:color="auto"/>
            </w:tcBorders>
            <w:shd w:val="clear" w:color="auto" w:fill="auto"/>
            <w:noWrap/>
            <w:vAlign w:val="center"/>
            <w:hideMark/>
          </w:tcPr>
          <w:p w14:paraId="4FD1F53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9,3</w:t>
            </w:r>
          </w:p>
        </w:tc>
        <w:tc>
          <w:tcPr>
            <w:tcW w:w="0" w:type="auto"/>
            <w:tcBorders>
              <w:top w:val="nil"/>
              <w:left w:val="nil"/>
              <w:bottom w:val="single" w:sz="4" w:space="0" w:color="auto"/>
              <w:right w:val="single" w:sz="4" w:space="0" w:color="auto"/>
            </w:tcBorders>
            <w:shd w:val="clear" w:color="000000" w:fill="FFFFFF"/>
            <w:noWrap/>
            <w:vAlign w:val="center"/>
            <w:hideMark/>
          </w:tcPr>
          <w:p w14:paraId="44B9C47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25B390A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74C22F8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58A784A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2D99A0E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79BEF01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D0DC6A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48B9B5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7AD4015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32438C0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645F5E9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0C5AD402" w14:textId="77777777" w:rsidTr="000057E4">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02458F7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8</w:t>
            </w:r>
          </w:p>
        </w:tc>
        <w:tc>
          <w:tcPr>
            <w:tcW w:w="0" w:type="auto"/>
            <w:tcBorders>
              <w:top w:val="nil"/>
              <w:left w:val="nil"/>
              <w:bottom w:val="single" w:sz="4" w:space="0" w:color="auto"/>
              <w:right w:val="single" w:sz="4" w:space="0" w:color="auto"/>
            </w:tcBorders>
            <w:shd w:val="clear" w:color="auto" w:fill="auto"/>
            <w:noWrap/>
            <w:vAlign w:val="center"/>
            <w:hideMark/>
          </w:tcPr>
          <w:p w14:paraId="419D496E"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Heredia</w:t>
            </w:r>
          </w:p>
        </w:tc>
        <w:tc>
          <w:tcPr>
            <w:tcW w:w="0" w:type="auto"/>
            <w:tcBorders>
              <w:top w:val="nil"/>
              <w:left w:val="nil"/>
              <w:bottom w:val="single" w:sz="4" w:space="0" w:color="auto"/>
              <w:right w:val="single" w:sz="4" w:space="0" w:color="auto"/>
            </w:tcBorders>
            <w:shd w:val="clear" w:color="auto" w:fill="auto"/>
            <w:noWrap/>
            <w:vAlign w:val="center"/>
            <w:hideMark/>
          </w:tcPr>
          <w:p w14:paraId="4A16D73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200</w:t>
            </w:r>
          </w:p>
        </w:tc>
        <w:tc>
          <w:tcPr>
            <w:tcW w:w="0" w:type="auto"/>
            <w:tcBorders>
              <w:top w:val="nil"/>
              <w:left w:val="nil"/>
              <w:bottom w:val="single" w:sz="4" w:space="0" w:color="auto"/>
              <w:right w:val="single" w:sz="4" w:space="0" w:color="auto"/>
            </w:tcBorders>
            <w:shd w:val="clear" w:color="auto" w:fill="auto"/>
            <w:noWrap/>
            <w:vAlign w:val="center"/>
            <w:hideMark/>
          </w:tcPr>
          <w:p w14:paraId="694AD95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9,5</w:t>
            </w:r>
          </w:p>
        </w:tc>
        <w:tc>
          <w:tcPr>
            <w:tcW w:w="0" w:type="auto"/>
            <w:tcBorders>
              <w:top w:val="nil"/>
              <w:left w:val="nil"/>
              <w:bottom w:val="single" w:sz="4" w:space="0" w:color="auto"/>
              <w:right w:val="single" w:sz="4" w:space="0" w:color="auto"/>
            </w:tcBorders>
            <w:shd w:val="clear" w:color="000000" w:fill="FFFFFF"/>
            <w:noWrap/>
            <w:vAlign w:val="center"/>
            <w:hideMark/>
          </w:tcPr>
          <w:p w14:paraId="77814E5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4,8</w:t>
            </w:r>
          </w:p>
        </w:tc>
        <w:tc>
          <w:tcPr>
            <w:tcW w:w="0" w:type="auto"/>
            <w:tcBorders>
              <w:top w:val="nil"/>
              <w:left w:val="nil"/>
              <w:bottom w:val="single" w:sz="4" w:space="0" w:color="auto"/>
              <w:right w:val="single" w:sz="4" w:space="0" w:color="auto"/>
            </w:tcBorders>
            <w:shd w:val="clear" w:color="auto" w:fill="auto"/>
            <w:noWrap/>
            <w:vAlign w:val="center"/>
            <w:hideMark/>
          </w:tcPr>
          <w:p w14:paraId="36A89C4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7D8137A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141AB6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2F5A952C"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4119764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08DB4B9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5FF0033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15B7947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3EC78A5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081442F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E23F52" w:rsidRPr="000057E4" w14:paraId="579B348C" w14:textId="77777777" w:rsidTr="00391382">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1383FA0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491B2227"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Puntarenas</w:t>
            </w:r>
          </w:p>
        </w:tc>
        <w:tc>
          <w:tcPr>
            <w:tcW w:w="0" w:type="auto"/>
            <w:tcBorders>
              <w:top w:val="nil"/>
              <w:left w:val="nil"/>
              <w:bottom w:val="single" w:sz="4" w:space="0" w:color="auto"/>
              <w:right w:val="single" w:sz="4" w:space="0" w:color="auto"/>
            </w:tcBorders>
            <w:shd w:val="clear" w:color="auto" w:fill="auto"/>
            <w:noWrap/>
            <w:vAlign w:val="center"/>
            <w:hideMark/>
          </w:tcPr>
          <w:p w14:paraId="30F9FC9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153</w:t>
            </w:r>
          </w:p>
        </w:tc>
        <w:tc>
          <w:tcPr>
            <w:tcW w:w="0" w:type="auto"/>
            <w:tcBorders>
              <w:top w:val="nil"/>
              <w:left w:val="nil"/>
              <w:bottom w:val="single" w:sz="4" w:space="0" w:color="auto"/>
              <w:right w:val="single" w:sz="4" w:space="0" w:color="auto"/>
            </w:tcBorders>
            <w:shd w:val="clear" w:color="auto" w:fill="auto"/>
            <w:noWrap/>
            <w:vAlign w:val="center"/>
            <w:hideMark/>
          </w:tcPr>
          <w:p w14:paraId="015B550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000000" w:fill="FFFFFF"/>
            <w:noWrap/>
            <w:vAlign w:val="center"/>
            <w:hideMark/>
          </w:tcPr>
          <w:p w14:paraId="27DA3EF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3,6</w:t>
            </w:r>
          </w:p>
        </w:tc>
        <w:tc>
          <w:tcPr>
            <w:tcW w:w="0" w:type="auto"/>
            <w:tcBorders>
              <w:top w:val="nil"/>
              <w:left w:val="nil"/>
              <w:bottom w:val="single" w:sz="4" w:space="0" w:color="auto"/>
              <w:right w:val="single" w:sz="4" w:space="0" w:color="auto"/>
            </w:tcBorders>
            <w:shd w:val="clear" w:color="auto" w:fill="auto"/>
            <w:noWrap/>
            <w:vAlign w:val="center"/>
            <w:hideMark/>
          </w:tcPr>
          <w:p w14:paraId="7AAE7DD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131FA7D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4075F06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079402A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5436575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43C2B2C6"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F5138E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0A011A7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6760F63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0DD24B3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r>
      <w:tr w:rsidR="000057E4" w:rsidRPr="000843DA" w14:paraId="1335FC62" w14:textId="77777777" w:rsidTr="000057E4">
        <w:trPr>
          <w:trHeight w:val="170"/>
        </w:trPr>
        <w:tc>
          <w:tcPr>
            <w:tcW w:w="0" w:type="auto"/>
            <w:tcBorders>
              <w:top w:val="nil"/>
              <w:left w:val="single" w:sz="4" w:space="0" w:color="auto"/>
              <w:bottom w:val="single" w:sz="4" w:space="0" w:color="auto"/>
              <w:right w:val="single" w:sz="4" w:space="0" w:color="auto"/>
            </w:tcBorders>
            <w:shd w:val="clear" w:color="000000" w:fill="FFFFFF"/>
            <w:noWrap/>
            <w:hideMark/>
          </w:tcPr>
          <w:p w14:paraId="783BBCF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10</w:t>
            </w:r>
          </w:p>
        </w:tc>
        <w:tc>
          <w:tcPr>
            <w:tcW w:w="0" w:type="auto"/>
            <w:tcBorders>
              <w:top w:val="nil"/>
              <w:left w:val="nil"/>
              <w:bottom w:val="single" w:sz="4" w:space="0" w:color="auto"/>
              <w:right w:val="single" w:sz="4" w:space="0" w:color="auto"/>
            </w:tcBorders>
            <w:shd w:val="clear" w:color="000000" w:fill="FFFFFF"/>
            <w:noWrap/>
            <w:vAlign w:val="center"/>
            <w:hideMark/>
          </w:tcPr>
          <w:p w14:paraId="26CD5554"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 xml:space="preserve">Juzgado Violencia Doméstica I Circ. Jud. Zona Sur (Pérez Zeledón) </w:t>
            </w:r>
          </w:p>
        </w:tc>
        <w:tc>
          <w:tcPr>
            <w:tcW w:w="0" w:type="auto"/>
            <w:tcBorders>
              <w:top w:val="nil"/>
              <w:left w:val="nil"/>
              <w:bottom w:val="single" w:sz="4" w:space="0" w:color="auto"/>
              <w:right w:val="single" w:sz="4" w:space="0" w:color="auto"/>
            </w:tcBorders>
            <w:shd w:val="clear" w:color="000000" w:fill="FFFFFF"/>
            <w:noWrap/>
            <w:vAlign w:val="center"/>
            <w:hideMark/>
          </w:tcPr>
          <w:p w14:paraId="2E4F4C4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209</w:t>
            </w:r>
          </w:p>
        </w:tc>
        <w:tc>
          <w:tcPr>
            <w:tcW w:w="0" w:type="auto"/>
            <w:tcBorders>
              <w:top w:val="nil"/>
              <w:left w:val="nil"/>
              <w:bottom w:val="single" w:sz="4" w:space="0" w:color="auto"/>
              <w:right w:val="single" w:sz="4" w:space="0" w:color="auto"/>
            </w:tcBorders>
            <w:shd w:val="clear" w:color="auto" w:fill="auto"/>
            <w:noWrap/>
            <w:vAlign w:val="center"/>
            <w:hideMark/>
          </w:tcPr>
          <w:p w14:paraId="332D6A8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10,0</w:t>
            </w:r>
          </w:p>
        </w:tc>
        <w:tc>
          <w:tcPr>
            <w:tcW w:w="0" w:type="auto"/>
            <w:tcBorders>
              <w:top w:val="nil"/>
              <w:left w:val="nil"/>
              <w:bottom w:val="single" w:sz="4" w:space="0" w:color="auto"/>
              <w:right w:val="single" w:sz="4" w:space="0" w:color="auto"/>
            </w:tcBorders>
            <w:shd w:val="clear" w:color="000000" w:fill="FFFFFF"/>
            <w:noWrap/>
            <w:vAlign w:val="center"/>
            <w:hideMark/>
          </w:tcPr>
          <w:p w14:paraId="705C7BC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5,0</w:t>
            </w:r>
          </w:p>
        </w:tc>
        <w:tc>
          <w:tcPr>
            <w:tcW w:w="0" w:type="auto"/>
            <w:tcBorders>
              <w:top w:val="nil"/>
              <w:left w:val="nil"/>
              <w:bottom w:val="single" w:sz="4" w:space="0" w:color="auto"/>
              <w:right w:val="single" w:sz="4" w:space="0" w:color="auto"/>
            </w:tcBorders>
            <w:shd w:val="clear" w:color="000000" w:fill="FFFFFF"/>
            <w:noWrap/>
            <w:vAlign w:val="center"/>
            <w:hideMark/>
          </w:tcPr>
          <w:p w14:paraId="27049C9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vAlign w:val="center"/>
            <w:hideMark/>
          </w:tcPr>
          <w:p w14:paraId="76F821E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FFFFFF"/>
            <w:vAlign w:val="center"/>
            <w:hideMark/>
          </w:tcPr>
          <w:p w14:paraId="2839549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000000" w:fill="FFFFFF"/>
            <w:vAlign w:val="center"/>
            <w:hideMark/>
          </w:tcPr>
          <w:p w14:paraId="3A6FDFC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70E8BFD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FFFFFF"/>
            <w:vAlign w:val="center"/>
            <w:hideMark/>
          </w:tcPr>
          <w:p w14:paraId="2C14802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FFFFFF"/>
            <w:vAlign w:val="center"/>
            <w:hideMark/>
          </w:tcPr>
          <w:p w14:paraId="2986664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5</w:t>
            </w:r>
          </w:p>
        </w:tc>
        <w:tc>
          <w:tcPr>
            <w:tcW w:w="0" w:type="auto"/>
            <w:tcBorders>
              <w:top w:val="nil"/>
              <w:left w:val="nil"/>
              <w:bottom w:val="single" w:sz="4" w:space="0" w:color="auto"/>
              <w:right w:val="single" w:sz="4" w:space="0" w:color="auto"/>
            </w:tcBorders>
            <w:shd w:val="clear" w:color="000000" w:fill="FFFFFF"/>
            <w:vAlign w:val="center"/>
            <w:hideMark/>
          </w:tcPr>
          <w:p w14:paraId="240DF45B"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hideMark/>
          </w:tcPr>
          <w:p w14:paraId="4663FCA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000000" w:fill="FFFFFF"/>
            <w:noWrap/>
            <w:hideMark/>
          </w:tcPr>
          <w:p w14:paraId="04DFA7D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2</w:t>
            </w:r>
          </w:p>
        </w:tc>
      </w:tr>
      <w:tr w:rsidR="00E23F52" w:rsidRPr="000057E4" w14:paraId="0E1D4261" w14:textId="77777777" w:rsidTr="00391382">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191FEDF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11</w:t>
            </w:r>
          </w:p>
        </w:tc>
        <w:tc>
          <w:tcPr>
            <w:tcW w:w="0" w:type="auto"/>
            <w:tcBorders>
              <w:top w:val="nil"/>
              <w:left w:val="nil"/>
              <w:bottom w:val="single" w:sz="4" w:space="0" w:color="auto"/>
              <w:right w:val="single" w:sz="4" w:space="0" w:color="auto"/>
            </w:tcBorders>
            <w:shd w:val="clear" w:color="auto" w:fill="auto"/>
            <w:noWrap/>
            <w:vAlign w:val="center"/>
            <w:hideMark/>
          </w:tcPr>
          <w:p w14:paraId="78F885E0"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de Violencia Doméstica del I Circ. Jud. de la Zona Atlántica (Limón)</w:t>
            </w:r>
          </w:p>
        </w:tc>
        <w:tc>
          <w:tcPr>
            <w:tcW w:w="0" w:type="auto"/>
            <w:tcBorders>
              <w:top w:val="nil"/>
              <w:left w:val="nil"/>
              <w:bottom w:val="single" w:sz="4" w:space="0" w:color="auto"/>
              <w:right w:val="single" w:sz="4" w:space="0" w:color="auto"/>
            </w:tcBorders>
            <w:shd w:val="clear" w:color="auto" w:fill="auto"/>
            <w:noWrap/>
            <w:vAlign w:val="center"/>
            <w:hideMark/>
          </w:tcPr>
          <w:p w14:paraId="7134D33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97</w:t>
            </w:r>
          </w:p>
        </w:tc>
        <w:tc>
          <w:tcPr>
            <w:tcW w:w="0" w:type="auto"/>
            <w:tcBorders>
              <w:top w:val="nil"/>
              <w:left w:val="nil"/>
              <w:bottom w:val="single" w:sz="4" w:space="0" w:color="auto"/>
              <w:right w:val="single" w:sz="4" w:space="0" w:color="auto"/>
            </w:tcBorders>
            <w:shd w:val="clear" w:color="auto" w:fill="auto"/>
            <w:noWrap/>
            <w:vAlign w:val="center"/>
            <w:hideMark/>
          </w:tcPr>
          <w:p w14:paraId="1297D41A"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4,6</w:t>
            </w:r>
          </w:p>
        </w:tc>
        <w:tc>
          <w:tcPr>
            <w:tcW w:w="0" w:type="auto"/>
            <w:tcBorders>
              <w:top w:val="nil"/>
              <w:left w:val="nil"/>
              <w:bottom w:val="single" w:sz="4" w:space="0" w:color="auto"/>
              <w:right w:val="single" w:sz="4" w:space="0" w:color="auto"/>
            </w:tcBorders>
            <w:shd w:val="clear" w:color="000000" w:fill="FFFFFF"/>
            <w:noWrap/>
            <w:vAlign w:val="center"/>
            <w:hideMark/>
          </w:tcPr>
          <w:p w14:paraId="65B0AB4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45A8C293"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63D692D"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CF8D32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60C8E63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1634B987" w14:textId="385AECA4" w:rsidR="00E23F52" w:rsidRPr="00391382" w:rsidRDefault="00554696"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FBE38F2"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F9B9200" w14:textId="7A829408" w:rsidR="00E23F52" w:rsidRPr="00391382" w:rsidRDefault="00554696"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4E3CEE0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2846F3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7DAA6CCF" w14:textId="0B4B84E4" w:rsidR="00E23F52" w:rsidRPr="00391382" w:rsidRDefault="00554696"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0</w:t>
            </w:r>
          </w:p>
        </w:tc>
      </w:tr>
      <w:tr w:rsidR="00E23F52" w:rsidRPr="000057E4" w14:paraId="690BC7B0" w14:textId="77777777" w:rsidTr="00391382">
        <w:trPr>
          <w:trHeight w:val="170"/>
        </w:trPr>
        <w:tc>
          <w:tcPr>
            <w:tcW w:w="0" w:type="auto"/>
            <w:tcBorders>
              <w:top w:val="nil"/>
              <w:left w:val="single" w:sz="4" w:space="0" w:color="auto"/>
              <w:bottom w:val="single" w:sz="4" w:space="0" w:color="auto"/>
              <w:right w:val="single" w:sz="4" w:space="0" w:color="auto"/>
            </w:tcBorders>
            <w:shd w:val="clear" w:color="auto" w:fill="auto"/>
            <w:noWrap/>
            <w:hideMark/>
          </w:tcPr>
          <w:p w14:paraId="13883C6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12</w:t>
            </w:r>
          </w:p>
        </w:tc>
        <w:tc>
          <w:tcPr>
            <w:tcW w:w="0" w:type="auto"/>
            <w:tcBorders>
              <w:top w:val="nil"/>
              <w:left w:val="nil"/>
              <w:bottom w:val="single" w:sz="4" w:space="0" w:color="auto"/>
              <w:right w:val="single" w:sz="4" w:space="0" w:color="auto"/>
            </w:tcBorders>
            <w:shd w:val="clear" w:color="auto" w:fill="auto"/>
            <w:noWrap/>
            <w:vAlign w:val="center"/>
            <w:hideMark/>
          </w:tcPr>
          <w:p w14:paraId="6C825252" w14:textId="77777777" w:rsidR="00E23F52" w:rsidRPr="00391382" w:rsidRDefault="00E23F52" w:rsidP="00E23F52">
            <w:pPr>
              <w:spacing w:after="0" w:line="240" w:lineRule="auto"/>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Juzgado Violencia Doméstica II Circ. Jud. de la Zona Atlántica (Pococí)</w:t>
            </w:r>
          </w:p>
        </w:tc>
        <w:tc>
          <w:tcPr>
            <w:tcW w:w="0" w:type="auto"/>
            <w:tcBorders>
              <w:top w:val="nil"/>
              <w:left w:val="nil"/>
              <w:bottom w:val="single" w:sz="4" w:space="0" w:color="auto"/>
              <w:right w:val="single" w:sz="4" w:space="0" w:color="auto"/>
            </w:tcBorders>
            <w:shd w:val="clear" w:color="auto" w:fill="auto"/>
            <w:noWrap/>
            <w:vAlign w:val="center"/>
            <w:hideMark/>
          </w:tcPr>
          <w:p w14:paraId="5E9D0D3F"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154</w:t>
            </w:r>
          </w:p>
        </w:tc>
        <w:tc>
          <w:tcPr>
            <w:tcW w:w="0" w:type="auto"/>
            <w:tcBorders>
              <w:top w:val="nil"/>
              <w:left w:val="nil"/>
              <w:bottom w:val="single" w:sz="4" w:space="0" w:color="auto"/>
              <w:right w:val="single" w:sz="4" w:space="0" w:color="auto"/>
            </w:tcBorders>
            <w:shd w:val="clear" w:color="auto" w:fill="auto"/>
            <w:noWrap/>
            <w:vAlign w:val="center"/>
            <w:hideMark/>
          </w:tcPr>
          <w:p w14:paraId="4A1214A9"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000000" w:fill="D9E1F2"/>
            <w:noWrap/>
            <w:vAlign w:val="center"/>
            <w:hideMark/>
          </w:tcPr>
          <w:p w14:paraId="32AF6B04"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7,3</w:t>
            </w:r>
          </w:p>
        </w:tc>
        <w:tc>
          <w:tcPr>
            <w:tcW w:w="0" w:type="auto"/>
            <w:tcBorders>
              <w:top w:val="nil"/>
              <w:left w:val="nil"/>
              <w:bottom w:val="single" w:sz="4" w:space="0" w:color="auto"/>
              <w:right w:val="single" w:sz="4" w:space="0" w:color="auto"/>
            </w:tcBorders>
            <w:shd w:val="clear" w:color="auto" w:fill="auto"/>
            <w:noWrap/>
            <w:vAlign w:val="center"/>
            <w:hideMark/>
          </w:tcPr>
          <w:p w14:paraId="0EA94735"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F1D6C1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76C750F0"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5779110E"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5A90285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7678A48"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A30EAB7"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11A919F1" w14:textId="77777777" w:rsidR="00E23F52" w:rsidRPr="00391382" w:rsidRDefault="00E23F52" w:rsidP="00E23F52">
            <w:pPr>
              <w:spacing w:after="0" w:line="240" w:lineRule="auto"/>
              <w:jc w:val="center"/>
              <w:rPr>
                <w:rFonts w:ascii="Book Antiqua" w:eastAsia="Times New Roman" w:hAnsi="Book Antiqua" w:cs="Calibri"/>
                <w:color w:val="000000"/>
                <w:sz w:val="18"/>
                <w:szCs w:val="18"/>
                <w:lang w:eastAsia="es-CR"/>
              </w:rPr>
            </w:pPr>
            <w:r w:rsidRPr="00391382">
              <w:rPr>
                <w:rFonts w:ascii="Book Antiqua" w:eastAsia="Times New Roman" w:hAnsi="Book Antiqua" w:cs="Calibri"/>
                <w:color w:val="000000"/>
                <w:sz w:val="18"/>
                <w:szCs w:val="18"/>
                <w:lang w:eastAsia="es-CR"/>
              </w:rPr>
              <w:t>0</w:t>
            </w:r>
          </w:p>
        </w:tc>
        <w:tc>
          <w:tcPr>
            <w:tcW w:w="0" w:type="auto"/>
            <w:tcBorders>
              <w:top w:val="nil"/>
              <w:left w:val="nil"/>
              <w:bottom w:val="single" w:sz="4" w:space="0" w:color="auto"/>
              <w:right w:val="single" w:sz="4" w:space="0" w:color="auto"/>
            </w:tcBorders>
            <w:shd w:val="clear" w:color="auto" w:fill="auto"/>
            <w:noWrap/>
            <w:hideMark/>
          </w:tcPr>
          <w:p w14:paraId="1F54F384" w14:textId="0F2F9AC6" w:rsidR="00E23F52" w:rsidRPr="00391382" w:rsidRDefault="00E47E43"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hideMark/>
          </w:tcPr>
          <w:p w14:paraId="190ED4F0" w14:textId="3E41CB33" w:rsidR="00E23F52" w:rsidRPr="00391382" w:rsidRDefault="00E47E43" w:rsidP="00E23F52">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w:t>
            </w:r>
          </w:p>
        </w:tc>
      </w:tr>
      <w:tr w:rsidR="000057E4" w:rsidRPr="000843DA" w14:paraId="45B3D543" w14:textId="77777777" w:rsidTr="000057E4">
        <w:trPr>
          <w:trHeight w:val="170"/>
        </w:trPr>
        <w:tc>
          <w:tcPr>
            <w:tcW w:w="0" w:type="auto"/>
            <w:gridSpan w:val="2"/>
            <w:tcBorders>
              <w:top w:val="single" w:sz="4" w:space="0" w:color="auto"/>
              <w:left w:val="single" w:sz="4" w:space="0" w:color="auto"/>
              <w:bottom w:val="single" w:sz="4" w:space="0" w:color="auto"/>
              <w:right w:val="single" w:sz="4" w:space="0" w:color="auto"/>
            </w:tcBorders>
            <w:shd w:val="clear" w:color="auto" w:fill="9CC2E5" w:themeFill="accent5" w:themeFillTint="99"/>
            <w:noWrap/>
            <w:vAlign w:val="center"/>
            <w:hideMark/>
          </w:tcPr>
          <w:p w14:paraId="03F8963D"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Total general</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72A859D4"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220</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3F8B18A5"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10,5</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563D4AE1"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5,2</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086E8AE2"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25</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13D2BE38"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12</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16D83413"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45</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7F528C8C"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4</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1CE6DA49"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27</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5F50ED12"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12</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3EA3C17A"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66</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2B423B6A"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4</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26EE2009" w14:textId="642D0350" w:rsidR="00E23F52" w:rsidRPr="00391382" w:rsidRDefault="00E47E43" w:rsidP="00E23F52">
            <w:pPr>
              <w:spacing w:after="0" w:line="240" w:lineRule="auto"/>
              <w:jc w:val="center"/>
              <w:rPr>
                <w:rFonts w:ascii="Book Antiqua" w:eastAsia="Times New Roman" w:hAnsi="Book Antiqua" w:cs="Calibri"/>
                <w:b/>
                <w:bCs/>
                <w:color w:val="000000" w:themeColor="text1"/>
                <w:sz w:val="18"/>
                <w:szCs w:val="18"/>
                <w:lang w:eastAsia="es-CR"/>
              </w:rPr>
            </w:pPr>
            <w:r>
              <w:rPr>
                <w:rFonts w:ascii="Book Antiqua" w:eastAsia="Times New Roman" w:hAnsi="Book Antiqua" w:cs="Calibri"/>
                <w:b/>
                <w:bCs/>
                <w:color w:val="000000" w:themeColor="text1"/>
                <w:sz w:val="18"/>
                <w:szCs w:val="18"/>
                <w:lang w:eastAsia="es-CR"/>
              </w:rPr>
              <w:t>2</w:t>
            </w:r>
          </w:p>
        </w:tc>
        <w:tc>
          <w:tcPr>
            <w:tcW w:w="0" w:type="auto"/>
            <w:tcBorders>
              <w:top w:val="nil"/>
              <w:left w:val="nil"/>
              <w:bottom w:val="single" w:sz="4" w:space="0" w:color="auto"/>
              <w:right w:val="single" w:sz="4" w:space="0" w:color="auto"/>
            </w:tcBorders>
            <w:shd w:val="clear" w:color="auto" w:fill="9CC2E5" w:themeFill="accent5" w:themeFillTint="99"/>
            <w:noWrap/>
            <w:vAlign w:val="center"/>
            <w:hideMark/>
          </w:tcPr>
          <w:p w14:paraId="184FBA89" w14:textId="77777777" w:rsidR="00E23F52" w:rsidRPr="00391382" w:rsidRDefault="00E23F52" w:rsidP="00E23F52">
            <w:pPr>
              <w:spacing w:after="0" w:line="240" w:lineRule="auto"/>
              <w:jc w:val="center"/>
              <w:rPr>
                <w:rFonts w:ascii="Book Antiqua" w:eastAsia="Times New Roman" w:hAnsi="Book Antiqua" w:cs="Calibri"/>
                <w:b/>
                <w:bCs/>
                <w:color w:val="000000" w:themeColor="text1"/>
                <w:sz w:val="18"/>
                <w:szCs w:val="18"/>
                <w:lang w:eastAsia="es-CR"/>
              </w:rPr>
            </w:pPr>
            <w:r w:rsidRPr="00391382">
              <w:rPr>
                <w:rFonts w:ascii="Book Antiqua" w:eastAsia="Times New Roman" w:hAnsi="Book Antiqua" w:cs="Calibri"/>
                <w:b/>
                <w:bCs/>
                <w:color w:val="000000" w:themeColor="text1"/>
                <w:sz w:val="18"/>
                <w:szCs w:val="18"/>
                <w:lang w:eastAsia="es-CR"/>
              </w:rPr>
              <w:t>17</w:t>
            </w:r>
          </w:p>
        </w:tc>
      </w:tr>
    </w:tbl>
    <w:p w14:paraId="445DA62E" w14:textId="707F84E6" w:rsidR="00E23F52" w:rsidRPr="00391382" w:rsidRDefault="00CE7773" w:rsidP="00CE7773">
      <w:pPr>
        <w:spacing w:after="0" w:line="240" w:lineRule="auto"/>
        <w:rPr>
          <w:rFonts w:ascii="Book Antiqua" w:eastAsia="Calibri" w:hAnsi="Book Antiqua" w:cs="Arial"/>
          <w:i/>
          <w:iCs/>
          <w:color w:val="000000" w:themeColor="text1"/>
          <w:sz w:val="20"/>
          <w:szCs w:val="20"/>
          <w:lang w:val="es-ES" w:eastAsia="es-ES"/>
        </w:rPr>
      </w:pPr>
      <w:r w:rsidRPr="00391382">
        <w:rPr>
          <w:rFonts w:ascii="Book Antiqua" w:eastAsia="Calibri" w:hAnsi="Book Antiqua" w:cs="Arial"/>
          <w:i/>
          <w:iCs/>
          <w:color w:val="000000" w:themeColor="text1"/>
          <w:sz w:val="20"/>
          <w:szCs w:val="20"/>
          <w:lang w:val="es-ES" w:eastAsia="es-ES"/>
        </w:rPr>
        <w:t>Fuente: Modernización Institucional de la Dirección de Planificación, en el análisis de respuestas obtenidas de las personas Juzgadoras emitidas mediante formulario expuesta en los talleres efectuados.</w:t>
      </w:r>
    </w:p>
    <w:p w14:paraId="13547FA8" w14:textId="1ACC8E46" w:rsidR="002A73A9" w:rsidRPr="00391382" w:rsidRDefault="002A73A9" w:rsidP="00CE7773">
      <w:pPr>
        <w:spacing w:after="0" w:line="240" w:lineRule="auto"/>
        <w:rPr>
          <w:rFonts w:ascii="Book Antiqua" w:eastAsia="Calibri" w:hAnsi="Book Antiqua" w:cs="Arial"/>
          <w:i/>
          <w:iCs/>
          <w:color w:val="000000" w:themeColor="text1"/>
          <w:sz w:val="20"/>
          <w:szCs w:val="20"/>
          <w:lang w:val="es-ES" w:eastAsia="es-ES"/>
        </w:rPr>
      </w:pPr>
      <w:r w:rsidRPr="00391382">
        <w:rPr>
          <w:rFonts w:ascii="Book Antiqua" w:eastAsia="Calibri" w:hAnsi="Book Antiqua" w:cs="Arial"/>
          <w:i/>
          <w:iCs/>
          <w:color w:val="000000" w:themeColor="text1"/>
          <w:sz w:val="20"/>
          <w:szCs w:val="20"/>
          <w:lang w:val="es-ES" w:eastAsia="es-ES"/>
        </w:rPr>
        <w:t>Notas *: Plaza compartida entre el Juzgado de Violencia y el Juzgado de Niñez y Adolescencia.</w:t>
      </w:r>
    </w:p>
    <w:p w14:paraId="651C44BA" w14:textId="48EB521C" w:rsidR="002A73A9" w:rsidRPr="00391382" w:rsidRDefault="002A73A9" w:rsidP="00CE7773">
      <w:pPr>
        <w:spacing w:after="0" w:line="240" w:lineRule="auto"/>
        <w:rPr>
          <w:rFonts w:ascii="Book Antiqua" w:eastAsia="Calibri" w:hAnsi="Book Antiqua" w:cs="Arial"/>
          <w:i/>
          <w:iCs/>
          <w:color w:val="000000" w:themeColor="text1"/>
          <w:sz w:val="20"/>
          <w:szCs w:val="20"/>
          <w:lang w:val="es-ES" w:eastAsia="es-ES"/>
        </w:rPr>
      </w:pPr>
      <w:r w:rsidRPr="00391382">
        <w:rPr>
          <w:rFonts w:ascii="Book Antiqua" w:eastAsia="Calibri" w:hAnsi="Book Antiqua" w:cs="Arial"/>
          <w:i/>
          <w:iCs/>
          <w:color w:val="000000" w:themeColor="text1"/>
          <w:sz w:val="20"/>
          <w:szCs w:val="20"/>
          <w:lang w:val="es-ES" w:eastAsia="es-ES"/>
        </w:rPr>
        <w:t>**Se especializa manifestación</w:t>
      </w:r>
      <w:r w:rsidR="00386E47">
        <w:rPr>
          <w:rFonts w:ascii="Book Antiqua" w:eastAsia="Calibri" w:hAnsi="Book Antiqua" w:cs="Arial"/>
          <w:i/>
          <w:iCs/>
          <w:color w:val="000000" w:themeColor="text1"/>
          <w:sz w:val="20"/>
          <w:szCs w:val="20"/>
          <w:lang w:val="es-ES" w:eastAsia="es-ES"/>
        </w:rPr>
        <w:t>.</w:t>
      </w:r>
    </w:p>
    <w:p w14:paraId="617873F9" w14:textId="5C39677F" w:rsidR="002A73A9" w:rsidRDefault="002A73A9" w:rsidP="00CE7773">
      <w:pPr>
        <w:spacing w:after="0" w:line="240" w:lineRule="auto"/>
        <w:rPr>
          <w:rFonts w:ascii="Book Antiqua" w:eastAsia="Calibri" w:hAnsi="Book Antiqua" w:cs="Arial"/>
          <w:i/>
          <w:iCs/>
          <w:color w:val="000000" w:themeColor="text1"/>
          <w:sz w:val="20"/>
          <w:szCs w:val="20"/>
          <w:lang w:val="es-ES" w:eastAsia="es-ES"/>
        </w:rPr>
      </w:pPr>
      <w:r w:rsidRPr="00391382">
        <w:rPr>
          <w:rFonts w:ascii="Book Antiqua" w:eastAsia="Calibri" w:hAnsi="Book Antiqua" w:cs="Arial"/>
          <w:i/>
          <w:iCs/>
          <w:color w:val="000000" w:themeColor="text1"/>
          <w:sz w:val="20"/>
          <w:szCs w:val="20"/>
          <w:lang w:val="es-ES" w:eastAsia="es-ES"/>
        </w:rPr>
        <w:t xml:space="preserve">***Se debe solicitar recalificaciones a plazas de Auxiliar de Servicios Generales, </w:t>
      </w:r>
      <w:r w:rsidR="0042161D" w:rsidRPr="00391382">
        <w:rPr>
          <w:rFonts w:ascii="Book Antiqua" w:eastAsia="Calibri" w:hAnsi="Book Antiqua" w:cs="Arial"/>
          <w:i/>
          <w:iCs/>
          <w:color w:val="000000" w:themeColor="text1"/>
          <w:sz w:val="20"/>
          <w:szCs w:val="20"/>
          <w:lang w:val="es-ES" w:eastAsia="es-ES"/>
        </w:rPr>
        <w:t>prever</w:t>
      </w:r>
      <w:r w:rsidRPr="00391382">
        <w:rPr>
          <w:rFonts w:ascii="Book Antiqua" w:eastAsia="Calibri" w:hAnsi="Book Antiqua" w:cs="Arial"/>
          <w:i/>
          <w:iCs/>
          <w:color w:val="000000" w:themeColor="text1"/>
          <w:sz w:val="20"/>
          <w:szCs w:val="20"/>
          <w:lang w:val="es-ES" w:eastAsia="es-ES"/>
        </w:rPr>
        <w:t xml:space="preserve"> contratos de limpieza por parte de la Administración Regional.</w:t>
      </w:r>
    </w:p>
    <w:p w14:paraId="21445EF6" w14:textId="4563AADA" w:rsidR="002F786E" w:rsidRDefault="002F786E" w:rsidP="00F56EE2">
      <w:pPr>
        <w:spacing w:after="0" w:line="240" w:lineRule="auto"/>
        <w:jc w:val="both"/>
        <w:rPr>
          <w:rFonts w:ascii="Book Antiqua" w:eastAsia="Calibri" w:hAnsi="Book Antiqua" w:cs="Arial"/>
          <w:i/>
          <w:iCs/>
          <w:color w:val="000000" w:themeColor="text1"/>
          <w:sz w:val="20"/>
          <w:szCs w:val="20"/>
          <w:lang w:val="es-ES" w:eastAsia="es-ES"/>
        </w:rPr>
      </w:pPr>
      <w:r>
        <w:rPr>
          <w:rFonts w:ascii="Book Antiqua" w:eastAsia="Calibri" w:hAnsi="Book Antiqua" w:cs="Arial"/>
          <w:i/>
          <w:iCs/>
          <w:color w:val="000000" w:themeColor="text1"/>
          <w:sz w:val="20"/>
          <w:szCs w:val="20"/>
          <w:lang w:val="es-ES" w:eastAsia="es-ES"/>
        </w:rPr>
        <w:lastRenderedPageBreak/>
        <w:t>****El análisis parte de que la plaza de Auxiliar de Servicios Generales compartida entre el Juzgado de Familia, de Niñez y Adolescencia con el Juzgado contra la Violencia Doméstica del Primer Circuito Judicial de San José sea adscrita a este segundo, caso contrario sería necesario incluir una plaza adicional de Técnico Judicial al cuadro anterior para un total de 18, el estudio se encuentra en proceso.</w:t>
      </w:r>
    </w:p>
    <w:p w14:paraId="2034BB35" w14:textId="77777777" w:rsidR="00386E47" w:rsidRDefault="00386E47" w:rsidP="00CE7773">
      <w:pPr>
        <w:spacing w:after="0" w:line="240" w:lineRule="auto"/>
        <w:rPr>
          <w:rFonts w:ascii="Book Antiqua" w:eastAsia="Calibri" w:hAnsi="Book Antiqua" w:cs="Arial"/>
          <w:i/>
          <w:iCs/>
          <w:color w:val="000000" w:themeColor="text1"/>
          <w:sz w:val="20"/>
          <w:szCs w:val="20"/>
          <w:lang w:val="es-ES" w:eastAsia="es-ES"/>
        </w:rPr>
      </w:pPr>
    </w:p>
    <w:p w14:paraId="1BCAD95F" w14:textId="77777777" w:rsidR="00440BE7" w:rsidRDefault="00440BE7" w:rsidP="00391382">
      <w:pPr>
        <w:spacing w:after="0" w:line="240" w:lineRule="auto"/>
        <w:rPr>
          <w:lang w:val="es-ES"/>
        </w:rPr>
        <w:sectPr w:rsidR="00440BE7" w:rsidSect="00A132C7">
          <w:pgSz w:w="15840" w:h="12240" w:orient="landscape"/>
          <w:pgMar w:top="1701" w:right="1418" w:bottom="1701" w:left="1418" w:header="709" w:footer="709" w:gutter="0"/>
          <w:pgNumType w:start="197"/>
          <w:cols w:space="708"/>
          <w:docGrid w:linePitch="360"/>
        </w:sectPr>
      </w:pPr>
    </w:p>
    <w:p w14:paraId="0BB6DC1D" w14:textId="1BF2282B" w:rsidR="000B2A5F" w:rsidRDefault="00684B68" w:rsidP="00391382">
      <w:pPr>
        <w:spacing w:after="0" w:line="276" w:lineRule="auto"/>
        <w:jc w:val="both"/>
        <w:rPr>
          <w:rFonts w:ascii="Book Antiqua" w:eastAsia="Calibri" w:hAnsi="Book Antiqua" w:cs="Arial"/>
          <w:sz w:val="24"/>
          <w:szCs w:val="24"/>
        </w:rPr>
      </w:pPr>
      <w:r w:rsidRPr="00391382">
        <w:rPr>
          <w:rFonts w:ascii="Book Antiqua" w:eastAsia="Calibri" w:hAnsi="Book Antiqua" w:cs="Arial"/>
          <w:sz w:val="24"/>
          <w:szCs w:val="24"/>
        </w:rPr>
        <w:lastRenderedPageBreak/>
        <w:t>El anterior análisis</w:t>
      </w:r>
      <w:r w:rsidR="00C761C7">
        <w:rPr>
          <w:rFonts w:ascii="Book Antiqua" w:eastAsia="Calibri" w:hAnsi="Book Antiqua" w:cs="Arial"/>
          <w:sz w:val="24"/>
          <w:szCs w:val="24"/>
        </w:rPr>
        <w:t xml:space="preserve"> permite estimar un promedio de ingreso diario de 5,2 diligencias por persona Juzgadora, cantidad que se estima razonable en razón de las demás diligencias que debe efectuar ese personal entre las que se destacan </w:t>
      </w:r>
      <w:r w:rsidR="000C650E">
        <w:rPr>
          <w:rFonts w:ascii="Book Antiqua" w:eastAsia="Calibri" w:hAnsi="Book Antiqua" w:cs="Arial"/>
          <w:sz w:val="24"/>
          <w:szCs w:val="24"/>
        </w:rPr>
        <w:t>audiencias y  dictado de sentencias, así como firmado de proveído</w:t>
      </w:r>
      <w:r w:rsidR="005455B0">
        <w:rPr>
          <w:rFonts w:ascii="Book Antiqua" w:eastAsia="Calibri" w:hAnsi="Book Antiqua" w:cs="Arial"/>
          <w:sz w:val="24"/>
          <w:szCs w:val="24"/>
        </w:rPr>
        <w:t xml:space="preserve">; por lo que, se visualiza </w:t>
      </w:r>
      <w:r w:rsidRPr="00391382">
        <w:rPr>
          <w:rFonts w:ascii="Book Antiqua" w:eastAsia="Calibri" w:hAnsi="Book Antiqua" w:cs="Arial"/>
          <w:sz w:val="24"/>
          <w:szCs w:val="24"/>
        </w:rPr>
        <w:t xml:space="preserve">la necesidad de dos </w:t>
      </w:r>
      <w:r w:rsidR="005455B0">
        <w:rPr>
          <w:rFonts w:ascii="Book Antiqua" w:eastAsia="Calibri" w:hAnsi="Book Antiqua" w:cs="Arial"/>
          <w:sz w:val="24"/>
          <w:szCs w:val="24"/>
        </w:rPr>
        <w:t xml:space="preserve">plazas de </w:t>
      </w:r>
      <w:r w:rsidRPr="00391382">
        <w:rPr>
          <w:rFonts w:ascii="Book Antiqua" w:eastAsia="Calibri" w:hAnsi="Book Antiqua" w:cs="Arial"/>
          <w:sz w:val="24"/>
          <w:szCs w:val="24"/>
        </w:rPr>
        <w:t xml:space="preserve">personas Juzgadoras, </w:t>
      </w:r>
      <w:r w:rsidR="005455B0">
        <w:rPr>
          <w:rFonts w:ascii="Book Antiqua" w:eastAsia="Calibri" w:hAnsi="Book Antiqua" w:cs="Arial"/>
          <w:sz w:val="24"/>
          <w:szCs w:val="24"/>
        </w:rPr>
        <w:t xml:space="preserve">las cuales </w:t>
      </w:r>
      <w:r w:rsidRPr="00391382">
        <w:rPr>
          <w:rFonts w:ascii="Book Antiqua" w:eastAsia="Calibri" w:hAnsi="Book Antiqua" w:cs="Arial"/>
          <w:sz w:val="24"/>
          <w:szCs w:val="24"/>
        </w:rPr>
        <w:t xml:space="preserve">una </w:t>
      </w:r>
      <w:r w:rsidR="005455B0">
        <w:rPr>
          <w:rFonts w:ascii="Book Antiqua" w:eastAsia="Calibri" w:hAnsi="Book Antiqua" w:cs="Arial"/>
          <w:sz w:val="24"/>
          <w:szCs w:val="24"/>
        </w:rPr>
        <w:t xml:space="preserve">deberá </w:t>
      </w:r>
      <w:r w:rsidRPr="00391382">
        <w:rPr>
          <w:rFonts w:ascii="Book Antiqua" w:eastAsia="Calibri" w:hAnsi="Book Antiqua" w:cs="Arial"/>
          <w:sz w:val="24"/>
          <w:szCs w:val="24"/>
        </w:rPr>
        <w:t>destaca</w:t>
      </w:r>
      <w:r w:rsidR="005455B0">
        <w:rPr>
          <w:rFonts w:ascii="Book Antiqua" w:eastAsia="Calibri" w:hAnsi="Book Antiqua" w:cs="Arial"/>
          <w:sz w:val="24"/>
          <w:szCs w:val="24"/>
        </w:rPr>
        <w:t>rse</w:t>
      </w:r>
      <w:r w:rsidRPr="00391382">
        <w:rPr>
          <w:rFonts w:ascii="Book Antiqua" w:eastAsia="Calibri" w:hAnsi="Book Antiqua" w:cs="Arial"/>
          <w:sz w:val="24"/>
          <w:szCs w:val="24"/>
        </w:rPr>
        <w:t xml:space="preserve"> en San Carlos y otra plaza para Pococí, y en lo que respecta a </w:t>
      </w:r>
      <w:r w:rsidR="009B20FD" w:rsidRPr="00391382">
        <w:rPr>
          <w:rFonts w:ascii="Book Antiqua" w:eastAsia="Calibri" w:hAnsi="Book Antiqua" w:cs="Arial"/>
          <w:sz w:val="24"/>
          <w:szCs w:val="24"/>
        </w:rPr>
        <w:t xml:space="preserve">necesidad de personal Técnico Judicial, se </w:t>
      </w:r>
      <w:r w:rsidR="00120BDF">
        <w:rPr>
          <w:rFonts w:ascii="Book Antiqua" w:eastAsia="Calibri" w:hAnsi="Book Antiqua" w:cs="Arial"/>
          <w:sz w:val="24"/>
          <w:szCs w:val="24"/>
        </w:rPr>
        <w:t xml:space="preserve">estima una necesidad de 17 plazas de Técnicas Judiciales con el propósito de establecer una figura especializada en la manifestación y relaciones de trabajo con base en el Modelo de tramitación que se implementará para esta materia. </w:t>
      </w:r>
    </w:p>
    <w:p w14:paraId="33FBC500" w14:textId="77777777" w:rsidR="00292F21" w:rsidRDefault="00292F21" w:rsidP="00391382">
      <w:pPr>
        <w:spacing w:after="0" w:line="276" w:lineRule="auto"/>
        <w:jc w:val="both"/>
        <w:rPr>
          <w:lang w:val="es-ES"/>
        </w:rPr>
      </w:pPr>
    </w:p>
    <w:p w14:paraId="46945363" w14:textId="0665134F" w:rsidR="00220CA4" w:rsidRPr="00F3324E" w:rsidRDefault="00220CA4"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t xml:space="preserve">Proceso de Tramitación General </w:t>
      </w:r>
    </w:p>
    <w:p w14:paraId="2113C8C7" w14:textId="77777777" w:rsidR="006A397A" w:rsidRDefault="006A397A" w:rsidP="00220CA4">
      <w:pPr>
        <w:spacing w:after="0" w:line="276" w:lineRule="auto"/>
        <w:jc w:val="both"/>
        <w:rPr>
          <w:rFonts w:ascii="Book Antiqua" w:eastAsia="Calibri" w:hAnsi="Book Antiqua" w:cs="Arial"/>
          <w:b/>
          <w:bCs/>
          <w:i/>
          <w:iCs/>
          <w:sz w:val="24"/>
          <w:szCs w:val="24"/>
        </w:rPr>
      </w:pPr>
    </w:p>
    <w:p w14:paraId="003CF887" w14:textId="5CA67201" w:rsidR="00226EC7" w:rsidRPr="00F3324E" w:rsidRDefault="00226EC7" w:rsidP="00F3324E">
      <w:pPr>
        <w:spacing w:after="0" w:line="276" w:lineRule="auto"/>
        <w:jc w:val="both"/>
        <w:rPr>
          <w:rFonts w:ascii="Book Antiqua" w:eastAsia="Calibri" w:hAnsi="Book Antiqua" w:cs="Arial"/>
          <w:b/>
          <w:bCs/>
          <w:sz w:val="24"/>
          <w:szCs w:val="24"/>
        </w:rPr>
      </w:pPr>
      <w:r w:rsidRPr="00F3324E">
        <w:rPr>
          <w:rFonts w:ascii="Book Antiqua" w:eastAsia="Calibri" w:hAnsi="Book Antiqua" w:cs="Arial"/>
          <w:b/>
          <w:bCs/>
          <w:sz w:val="24"/>
          <w:szCs w:val="24"/>
        </w:rPr>
        <w:t xml:space="preserve">Duración de los procesos </w:t>
      </w:r>
      <w:r w:rsidR="00005309" w:rsidRPr="00F3324E">
        <w:rPr>
          <w:rFonts w:ascii="Book Antiqua" w:eastAsia="Calibri" w:hAnsi="Book Antiqua" w:cs="Arial"/>
          <w:b/>
          <w:bCs/>
          <w:sz w:val="24"/>
          <w:szCs w:val="24"/>
        </w:rPr>
        <w:t>Violencia Doméstica</w:t>
      </w:r>
    </w:p>
    <w:p w14:paraId="064C0B17" w14:textId="77777777" w:rsidR="006A397A" w:rsidRPr="00220CA4" w:rsidRDefault="006A397A" w:rsidP="00220CA4">
      <w:pPr>
        <w:spacing w:after="0" w:line="276" w:lineRule="auto"/>
        <w:jc w:val="both"/>
        <w:rPr>
          <w:rFonts w:ascii="Book Antiqua" w:eastAsia="Calibri" w:hAnsi="Book Antiqua" w:cs="Arial"/>
          <w:b/>
          <w:bCs/>
          <w:i/>
          <w:iCs/>
          <w:sz w:val="24"/>
          <w:szCs w:val="24"/>
        </w:rPr>
      </w:pPr>
    </w:p>
    <w:p w14:paraId="7C371461" w14:textId="18C8339C" w:rsidR="00220CA4" w:rsidRPr="00220CA4" w:rsidRDefault="00220CA4" w:rsidP="00220CA4">
      <w:pPr>
        <w:spacing w:after="0" w:line="276" w:lineRule="auto"/>
        <w:jc w:val="both"/>
        <w:rPr>
          <w:rFonts w:ascii="Book Antiqua" w:eastAsia="Calibri" w:hAnsi="Book Antiqua" w:cs="Arial"/>
          <w:sz w:val="24"/>
          <w:szCs w:val="24"/>
        </w:rPr>
      </w:pPr>
      <w:r w:rsidRPr="00220CA4">
        <w:rPr>
          <w:rFonts w:ascii="Book Antiqua" w:eastAsia="Calibri" w:hAnsi="Book Antiqua" w:cs="Arial"/>
          <w:sz w:val="24"/>
          <w:szCs w:val="24"/>
        </w:rPr>
        <w:t>Por parte de la Dirección de Planificación se diagramaron los principales procesos en materia de Violencia Doméstica con el apoyo del Lic. Cristian Martínez Hernández, Juez Gestor del Centro de Apoyo, Coordinación y Mejoramiento de la Función Jurisdiccional, con la duración por etapa (</w:t>
      </w:r>
      <w:r w:rsidRPr="006E41C2">
        <w:rPr>
          <w:rFonts w:ascii="Book Antiqua" w:eastAsia="Calibri" w:hAnsi="Book Antiqua" w:cs="Arial"/>
          <w:sz w:val="24"/>
          <w:szCs w:val="24"/>
        </w:rPr>
        <w:t xml:space="preserve">ver </w:t>
      </w:r>
      <w:r w:rsidRPr="006E41C2">
        <w:rPr>
          <w:rFonts w:ascii="Book Antiqua" w:eastAsia="Calibri" w:hAnsi="Book Antiqua" w:cs="Arial"/>
          <w:b/>
          <w:bCs/>
          <w:i/>
          <w:iCs/>
          <w:sz w:val="24"/>
          <w:szCs w:val="24"/>
        </w:rPr>
        <w:t xml:space="preserve">anexo </w:t>
      </w:r>
      <w:r w:rsidR="006E41C2" w:rsidRPr="006E41C2">
        <w:rPr>
          <w:rFonts w:ascii="Book Antiqua" w:eastAsia="Calibri" w:hAnsi="Book Antiqua" w:cs="Arial"/>
          <w:b/>
          <w:bCs/>
          <w:i/>
          <w:iCs/>
          <w:sz w:val="24"/>
          <w:szCs w:val="24"/>
        </w:rPr>
        <w:t>1</w:t>
      </w:r>
      <w:r w:rsidR="00EB4BCD">
        <w:rPr>
          <w:rFonts w:ascii="Book Antiqua" w:eastAsia="Calibri" w:hAnsi="Book Antiqua" w:cs="Arial"/>
          <w:b/>
          <w:bCs/>
          <w:i/>
          <w:iCs/>
          <w:sz w:val="24"/>
          <w:szCs w:val="24"/>
        </w:rPr>
        <w:t>7</w:t>
      </w:r>
      <w:r w:rsidR="006E41C2" w:rsidRPr="006E41C2">
        <w:rPr>
          <w:rFonts w:ascii="Book Antiqua" w:eastAsia="Calibri" w:hAnsi="Book Antiqua" w:cs="Arial"/>
          <w:b/>
          <w:bCs/>
          <w:i/>
          <w:iCs/>
          <w:sz w:val="24"/>
          <w:szCs w:val="24"/>
        </w:rPr>
        <w:t>)</w:t>
      </w:r>
      <w:r w:rsidRPr="006E41C2">
        <w:rPr>
          <w:rFonts w:ascii="Book Antiqua" w:eastAsia="Calibri" w:hAnsi="Book Antiqua" w:cs="Arial"/>
          <w:sz w:val="24"/>
          <w:szCs w:val="24"/>
        </w:rPr>
        <w:t>,</w:t>
      </w:r>
      <w:r w:rsidRPr="00220CA4">
        <w:rPr>
          <w:rFonts w:ascii="Book Antiqua" w:eastAsia="Calibri" w:hAnsi="Book Antiqua" w:cs="Arial"/>
          <w:sz w:val="24"/>
          <w:szCs w:val="24"/>
        </w:rPr>
        <w:t xml:space="preserve"> donde se destaca que una vez que la persona presunta agresora es notificada tiene plazo para oponerse a las medidas de protección, caso contrario el proceso pasa a la etapa de seguimiento</w:t>
      </w:r>
      <w:r w:rsidR="00F402C4">
        <w:rPr>
          <w:rFonts w:ascii="Book Antiqua" w:eastAsia="Calibri" w:hAnsi="Book Antiqua" w:cs="Arial"/>
          <w:sz w:val="24"/>
          <w:szCs w:val="24"/>
        </w:rPr>
        <w:t>, las medidas quedarán en firme por un año una vez que fue notificado por la persona presunta agresora</w:t>
      </w:r>
    </w:p>
    <w:p w14:paraId="5882DF2A" w14:textId="77777777" w:rsidR="00226EC7" w:rsidRDefault="00226EC7" w:rsidP="00220CA4">
      <w:pPr>
        <w:spacing w:after="0" w:line="276" w:lineRule="auto"/>
        <w:jc w:val="both"/>
        <w:rPr>
          <w:rFonts w:ascii="Book Antiqua" w:eastAsia="Calibri" w:hAnsi="Book Antiqua" w:cs="Arial"/>
          <w:b/>
          <w:bCs/>
          <w:i/>
          <w:iCs/>
          <w:sz w:val="24"/>
          <w:szCs w:val="24"/>
        </w:rPr>
      </w:pPr>
    </w:p>
    <w:p w14:paraId="2FB828D9" w14:textId="4ECB9AC4" w:rsidR="00226EC7" w:rsidRPr="00F3324E" w:rsidRDefault="00226EC7" w:rsidP="00F3324E">
      <w:pPr>
        <w:spacing w:after="0" w:line="276" w:lineRule="auto"/>
        <w:jc w:val="both"/>
        <w:rPr>
          <w:rFonts w:ascii="Book Antiqua" w:eastAsia="Calibri" w:hAnsi="Book Antiqua" w:cs="Arial"/>
          <w:b/>
          <w:bCs/>
          <w:sz w:val="24"/>
          <w:szCs w:val="24"/>
        </w:rPr>
      </w:pPr>
      <w:r w:rsidRPr="00F3324E">
        <w:rPr>
          <w:rFonts w:ascii="Book Antiqua" w:eastAsia="Calibri" w:hAnsi="Book Antiqua" w:cs="Arial"/>
          <w:b/>
          <w:bCs/>
          <w:sz w:val="24"/>
          <w:szCs w:val="24"/>
        </w:rPr>
        <w:t xml:space="preserve">Reparto de los procesos </w:t>
      </w:r>
      <w:r w:rsidR="00005309" w:rsidRPr="00F3324E">
        <w:rPr>
          <w:rFonts w:ascii="Book Antiqua" w:eastAsia="Calibri" w:hAnsi="Book Antiqua" w:cs="Arial"/>
          <w:b/>
          <w:bCs/>
          <w:sz w:val="24"/>
          <w:szCs w:val="24"/>
        </w:rPr>
        <w:t>Violencia Doméstica</w:t>
      </w:r>
    </w:p>
    <w:p w14:paraId="153168BE" w14:textId="77777777" w:rsidR="006A397A" w:rsidRPr="00220CA4" w:rsidRDefault="006A397A" w:rsidP="00220CA4">
      <w:pPr>
        <w:spacing w:after="0" w:line="276" w:lineRule="auto"/>
        <w:jc w:val="both"/>
        <w:rPr>
          <w:rFonts w:ascii="Book Antiqua" w:eastAsia="Calibri" w:hAnsi="Book Antiqua" w:cs="Arial"/>
          <w:b/>
          <w:bCs/>
          <w:i/>
          <w:iCs/>
          <w:sz w:val="24"/>
          <w:szCs w:val="24"/>
        </w:rPr>
      </w:pPr>
    </w:p>
    <w:p w14:paraId="5E0BEB45" w14:textId="07FEBD90" w:rsidR="00220CA4" w:rsidRPr="00220CA4" w:rsidRDefault="00220CA4" w:rsidP="00220CA4">
      <w:pPr>
        <w:spacing w:after="0" w:line="276" w:lineRule="auto"/>
        <w:jc w:val="both"/>
        <w:rPr>
          <w:rFonts w:ascii="Book Antiqua" w:eastAsia="Calibri" w:hAnsi="Book Antiqua" w:cs="Arial"/>
          <w:sz w:val="24"/>
          <w:szCs w:val="24"/>
        </w:rPr>
      </w:pPr>
      <w:r w:rsidRPr="00220CA4">
        <w:rPr>
          <w:rFonts w:ascii="Book Antiqua" w:eastAsia="Calibri" w:hAnsi="Book Antiqua" w:cs="Arial"/>
          <w:sz w:val="24"/>
          <w:szCs w:val="24"/>
        </w:rPr>
        <w:t>Para esta materia</w:t>
      </w:r>
      <w:r w:rsidRPr="006E41C2">
        <w:rPr>
          <w:rFonts w:ascii="Book Antiqua" w:eastAsia="Calibri" w:hAnsi="Book Antiqua" w:cs="Arial"/>
          <w:sz w:val="24"/>
          <w:szCs w:val="24"/>
        </w:rPr>
        <w:t xml:space="preserve">, se </w:t>
      </w:r>
      <w:r w:rsidR="00AA411E">
        <w:rPr>
          <w:rFonts w:ascii="Book Antiqua" w:eastAsia="Calibri" w:hAnsi="Book Antiqua" w:cs="Arial"/>
          <w:sz w:val="24"/>
          <w:szCs w:val="24"/>
        </w:rPr>
        <w:t xml:space="preserve">realizó </w:t>
      </w:r>
      <w:r w:rsidRPr="006E41C2">
        <w:rPr>
          <w:rFonts w:ascii="Book Antiqua" w:eastAsia="Calibri" w:hAnsi="Book Antiqua" w:cs="Arial"/>
          <w:sz w:val="24"/>
          <w:szCs w:val="24"/>
        </w:rPr>
        <w:t xml:space="preserve">la configuración del reparto automático por </w:t>
      </w:r>
      <w:r w:rsidRPr="006E41C2">
        <w:rPr>
          <w:rFonts w:ascii="Book Antiqua" w:eastAsia="Calibri" w:hAnsi="Book Antiqua" w:cs="Arial"/>
          <w:b/>
          <w:bCs/>
          <w:i/>
          <w:iCs/>
          <w:sz w:val="24"/>
          <w:szCs w:val="24"/>
        </w:rPr>
        <w:t xml:space="preserve">“clase de asunto” </w:t>
      </w:r>
      <w:r w:rsidRPr="006E41C2">
        <w:rPr>
          <w:rFonts w:ascii="Book Antiqua" w:eastAsia="Calibri" w:hAnsi="Book Antiqua" w:cs="Arial"/>
          <w:sz w:val="24"/>
          <w:szCs w:val="24"/>
        </w:rPr>
        <w:t>que es</w:t>
      </w:r>
      <w:r w:rsidRPr="00220CA4">
        <w:rPr>
          <w:rFonts w:ascii="Book Antiqua" w:eastAsia="Calibri" w:hAnsi="Book Antiqua" w:cs="Arial"/>
          <w:sz w:val="24"/>
          <w:szCs w:val="24"/>
        </w:rPr>
        <w:t xml:space="preserve"> el tipo de reparto existente actualmente, y además considerando que en Violencia Doméstica por el momento solo existe un tipo de procedimiento.  </w:t>
      </w:r>
    </w:p>
    <w:p w14:paraId="60AFB9BF" w14:textId="5438BBBA" w:rsidR="00220CA4" w:rsidRDefault="00220CA4" w:rsidP="00220CA4">
      <w:pPr>
        <w:spacing w:after="0" w:line="276" w:lineRule="auto"/>
        <w:jc w:val="both"/>
        <w:rPr>
          <w:rFonts w:ascii="Book Antiqua" w:eastAsia="Calibri" w:hAnsi="Book Antiqua" w:cs="Arial"/>
          <w:sz w:val="24"/>
          <w:szCs w:val="24"/>
        </w:rPr>
      </w:pPr>
      <w:r w:rsidRPr="00220CA4">
        <w:rPr>
          <w:rFonts w:ascii="Book Antiqua" w:eastAsia="Calibri" w:hAnsi="Book Antiqua" w:cs="Arial"/>
          <w:sz w:val="24"/>
          <w:szCs w:val="24"/>
        </w:rPr>
        <w:t>Sin embargo, a partir de 2022 con la entrada en vigencia del nuevo Código Procesal de Familia y al ampliarse la cantidad de procedimientos por la inclusión de los asuntos de protección cautelar, se coordinará con la Dirección de Tecnología de la Información para la aplicación del reparto por “</w:t>
      </w:r>
      <w:r w:rsidRPr="00220CA4">
        <w:rPr>
          <w:rFonts w:ascii="Book Antiqua" w:eastAsia="Calibri" w:hAnsi="Book Antiqua" w:cs="Arial"/>
          <w:b/>
          <w:bCs/>
          <w:i/>
          <w:iCs/>
          <w:sz w:val="24"/>
          <w:szCs w:val="24"/>
        </w:rPr>
        <w:t>procedimiento</w:t>
      </w:r>
      <w:r w:rsidRPr="00220CA4">
        <w:rPr>
          <w:rFonts w:ascii="Book Antiqua" w:eastAsia="Calibri" w:hAnsi="Book Antiqua" w:cs="Arial"/>
          <w:sz w:val="24"/>
          <w:szCs w:val="24"/>
        </w:rPr>
        <w:t xml:space="preserve">”.  </w:t>
      </w:r>
    </w:p>
    <w:p w14:paraId="1F86C03D" w14:textId="53E65938" w:rsidR="00D72349" w:rsidRDefault="00D72349" w:rsidP="00220CA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La utilización del reparto automático es de carácter obligatorio según circular 168-2021.</w:t>
      </w:r>
    </w:p>
    <w:p w14:paraId="46F9937B" w14:textId="77777777" w:rsidR="00F3324E" w:rsidRPr="00220CA4" w:rsidRDefault="00F3324E" w:rsidP="00220CA4">
      <w:pPr>
        <w:spacing w:after="0" w:line="276" w:lineRule="auto"/>
        <w:jc w:val="both"/>
        <w:rPr>
          <w:rFonts w:ascii="Book Antiqua" w:eastAsia="Calibri" w:hAnsi="Book Antiqua" w:cs="Arial"/>
          <w:sz w:val="24"/>
          <w:szCs w:val="24"/>
        </w:rPr>
      </w:pPr>
    </w:p>
    <w:p w14:paraId="4A41EF1C" w14:textId="27A05953" w:rsidR="006A551F" w:rsidRPr="00F3324E" w:rsidRDefault="006A551F"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F3324E">
        <w:rPr>
          <w:rFonts w:ascii="Book Antiqua" w:eastAsiaTheme="majorEastAsia" w:hAnsi="Book Antiqua" w:cstheme="majorBidi"/>
          <w:b/>
          <w:color w:val="1F3864" w:themeColor="accent1" w:themeShade="80"/>
          <w:sz w:val="24"/>
          <w:lang w:val="es-ES"/>
        </w:rPr>
        <w:lastRenderedPageBreak/>
        <w:t xml:space="preserve">Estructura Organizacional y Funciones </w:t>
      </w:r>
    </w:p>
    <w:p w14:paraId="17E1FE52" w14:textId="77777777" w:rsidR="00F3324E" w:rsidRDefault="00F3324E" w:rsidP="006A551F">
      <w:pPr>
        <w:spacing w:after="0" w:line="276" w:lineRule="auto"/>
        <w:jc w:val="both"/>
        <w:rPr>
          <w:rFonts w:ascii="Book Antiqua" w:eastAsia="Calibri" w:hAnsi="Book Antiqua" w:cs="Arial"/>
          <w:sz w:val="24"/>
          <w:szCs w:val="24"/>
        </w:rPr>
      </w:pPr>
    </w:p>
    <w:p w14:paraId="24BB9B6C" w14:textId="4D8F9207" w:rsidR="006A551F" w:rsidRPr="006A551F" w:rsidRDefault="006A551F" w:rsidP="006A551F">
      <w:pPr>
        <w:spacing w:after="0" w:line="276" w:lineRule="auto"/>
        <w:jc w:val="both"/>
        <w:rPr>
          <w:rFonts w:ascii="Book Antiqua" w:eastAsia="Calibri" w:hAnsi="Book Antiqua" w:cs="Arial"/>
          <w:sz w:val="24"/>
          <w:szCs w:val="24"/>
        </w:rPr>
      </w:pPr>
      <w:r w:rsidRPr="006A551F">
        <w:rPr>
          <w:rFonts w:ascii="Book Antiqua" w:eastAsia="Calibri" w:hAnsi="Book Antiqua" w:cs="Arial"/>
          <w:sz w:val="24"/>
          <w:szCs w:val="24"/>
        </w:rPr>
        <w:t>Los despachos especializados en la materia de Violencia Doméstica cuentan con una estructura funcional similar, con al menos dos técnicas o técnicos judiciales por cada Jueza o Juez en los despachos, y una persona Coordinadora Judicial, como se muestra en la tabla siguiente.</w:t>
      </w:r>
    </w:p>
    <w:p w14:paraId="52708E47" w14:textId="06CAA5F0" w:rsidR="00220CA4" w:rsidRDefault="00220CA4" w:rsidP="00A65874">
      <w:pPr>
        <w:rPr>
          <w:lang w:val="es-ES"/>
        </w:rPr>
      </w:pPr>
    </w:p>
    <w:p w14:paraId="157CDBEE" w14:textId="21F1C064" w:rsidR="006A551F" w:rsidRPr="006A551F" w:rsidRDefault="006A551F" w:rsidP="006A551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A551F">
        <w:rPr>
          <w:rFonts w:ascii="Book Antiqua" w:eastAsia="Calibri" w:hAnsi="Book Antiqua" w:cs="Arial"/>
          <w:b/>
          <w:bCs/>
          <w:color w:val="1F497D"/>
          <w:szCs w:val="24"/>
          <w:lang w:val="es-ES" w:eastAsia="es-ES"/>
        </w:rPr>
        <w:t xml:space="preserve">Cuadro </w:t>
      </w:r>
      <w:r w:rsidRPr="006A551F">
        <w:rPr>
          <w:rFonts w:ascii="Book Antiqua" w:eastAsia="Calibri" w:hAnsi="Book Antiqua" w:cs="Arial"/>
          <w:b/>
          <w:bCs/>
          <w:color w:val="1F497D"/>
          <w:szCs w:val="24"/>
          <w:lang w:val="es-ES" w:eastAsia="es-ES"/>
        </w:rPr>
        <w:fldChar w:fldCharType="begin"/>
      </w:r>
      <w:r w:rsidRPr="006A551F">
        <w:rPr>
          <w:rFonts w:ascii="Book Antiqua" w:eastAsia="Calibri" w:hAnsi="Book Antiqua" w:cs="Arial"/>
          <w:b/>
          <w:bCs/>
          <w:color w:val="1F497D"/>
          <w:szCs w:val="24"/>
          <w:lang w:val="es-ES" w:eastAsia="es-ES"/>
        </w:rPr>
        <w:instrText xml:space="preserve"> SEQ Cuadro \* ARABIC </w:instrText>
      </w:r>
      <w:r w:rsidRPr="006A551F">
        <w:rPr>
          <w:rFonts w:ascii="Book Antiqua" w:eastAsia="Calibri" w:hAnsi="Book Antiqua" w:cs="Arial"/>
          <w:b/>
          <w:bCs/>
          <w:color w:val="1F497D"/>
          <w:szCs w:val="24"/>
          <w:lang w:val="es-ES" w:eastAsia="es-ES"/>
        </w:rPr>
        <w:fldChar w:fldCharType="separate"/>
      </w:r>
      <w:r w:rsidR="00803089">
        <w:rPr>
          <w:rFonts w:ascii="Book Antiqua" w:eastAsia="Calibri" w:hAnsi="Book Antiqua" w:cs="Arial"/>
          <w:b/>
          <w:bCs/>
          <w:noProof/>
          <w:color w:val="1F497D"/>
          <w:szCs w:val="24"/>
          <w:lang w:val="es-ES" w:eastAsia="es-ES"/>
        </w:rPr>
        <w:t>66</w:t>
      </w:r>
      <w:r w:rsidRPr="006A551F">
        <w:rPr>
          <w:rFonts w:ascii="Book Antiqua" w:eastAsia="Calibri" w:hAnsi="Book Antiqua" w:cs="Arial"/>
          <w:b/>
          <w:bCs/>
          <w:color w:val="1F497D"/>
          <w:szCs w:val="24"/>
          <w:lang w:val="es-ES" w:eastAsia="es-ES"/>
        </w:rPr>
        <w:fldChar w:fldCharType="end"/>
      </w:r>
      <w:r w:rsidRPr="006A551F">
        <w:rPr>
          <w:rFonts w:ascii="Book Antiqua" w:eastAsia="Calibri" w:hAnsi="Book Antiqua" w:cs="Arial"/>
          <w:b/>
          <w:bCs/>
          <w:color w:val="1F497D"/>
          <w:szCs w:val="24"/>
          <w:lang w:val="es-ES" w:eastAsia="es-ES"/>
        </w:rPr>
        <w:t xml:space="preserve"> </w:t>
      </w:r>
    </w:p>
    <w:p w14:paraId="720E086F" w14:textId="77777777" w:rsidR="006A551F" w:rsidRPr="006A551F" w:rsidRDefault="006A551F" w:rsidP="006A551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A551F">
        <w:rPr>
          <w:rFonts w:ascii="Book Antiqua" w:eastAsia="Calibri" w:hAnsi="Book Antiqua" w:cs="Arial"/>
          <w:b/>
          <w:bCs/>
          <w:color w:val="1F497D"/>
          <w:szCs w:val="24"/>
          <w:lang w:val="es-ES" w:eastAsia="es-ES"/>
        </w:rPr>
        <w:t>Cantidad de personas en los juzgados especializados de Violencia Doméstica</w:t>
      </w:r>
    </w:p>
    <w:tbl>
      <w:tblPr>
        <w:tblW w:w="5000" w:type="pct"/>
        <w:tblCellMar>
          <w:left w:w="70" w:type="dxa"/>
          <w:right w:w="70" w:type="dxa"/>
        </w:tblCellMar>
        <w:tblLook w:val="04A0" w:firstRow="1" w:lastRow="0" w:firstColumn="1" w:lastColumn="0" w:noHBand="0" w:noVBand="1"/>
      </w:tblPr>
      <w:tblGrid>
        <w:gridCol w:w="5779"/>
        <w:gridCol w:w="478"/>
        <w:gridCol w:w="1058"/>
        <w:gridCol w:w="749"/>
        <w:gridCol w:w="764"/>
      </w:tblGrid>
      <w:tr w:rsidR="006A551F" w:rsidRPr="006A551F" w14:paraId="57B94429" w14:textId="77777777" w:rsidTr="006A551F">
        <w:trPr>
          <w:trHeight w:val="20"/>
          <w:tblHeader/>
        </w:trPr>
        <w:tc>
          <w:tcPr>
            <w:tcW w:w="3065"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3A714276" w14:textId="77777777" w:rsidR="006A551F" w:rsidRPr="006A551F" w:rsidRDefault="006A551F" w:rsidP="006A551F">
            <w:pPr>
              <w:spacing w:after="0" w:line="276" w:lineRule="auto"/>
              <w:jc w:val="center"/>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Despacho</w:t>
            </w:r>
          </w:p>
        </w:tc>
        <w:tc>
          <w:tcPr>
            <w:tcW w:w="299" w:type="pct"/>
            <w:tcBorders>
              <w:top w:val="single" w:sz="4" w:space="0" w:color="auto"/>
              <w:left w:val="nil"/>
              <w:bottom w:val="single" w:sz="4" w:space="0" w:color="auto"/>
              <w:right w:val="single" w:sz="4" w:space="0" w:color="auto"/>
            </w:tcBorders>
            <w:shd w:val="clear" w:color="000000" w:fill="002060"/>
            <w:vAlign w:val="center"/>
            <w:hideMark/>
          </w:tcPr>
          <w:p w14:paraId="260F6F27" w14:textId="77777777" w:rsidR="006A551F" w:rsidRPr="001D0C10" w:rsidRDefault="006A551F" w:rsidP="006A551F">
            <w:pPr>
              <w:spacing w:after="0" w:line="276" w:lineRule="auto"/>
              <w:jc w:val="center"/>
              <w:rPr>
                <w:rFonts w:ascii="Book Antiqua" w:eastAsia="Times New Roman" w:hAnsi="Book Antiqua" w:cs="Times New Roman"/>
                <w:b/>
                <w:bCs/>
                <w:color w:val="FFFFFF"/>
                <w:sz w:val="18"/>
                <w:szCs w:val="18"/>
                <w:lang w:val="es-ES" w:eastAsia="es-ES"/>
              </w:rPr>
            </w:pPr>
            <w:r w:rsidRPr="001D0C10">
              <w:rPr>
                <w:rFonts w:ascii="Book Antiqua" w:eastAsia="Times New Roman" w:hAnsi="Book Antiqua" w:cs="Times New Roman"/>
                <w:b/>
                <w:bCs/>
                <w:color w:val="FFFFFF"/>
                <w:sz w:val="18"/>
                <w:szCs w:val="18"/>
                <w:lang w:val="es-ES" w:eastAsia="es-ES"/>
              </w:rPr>
              <w:t>Jueza o Juez</w:t>
            </w:r>
          </w:p>
        </w:tc>
        <w:tc>
          <w:tcPr>
            <w:tcW w:w="676" w:type="pct"/>
            <w:tcBorders>
              <w:top w:val="single" w:sz="4" w:space="0" w:color="auto"/>
              <w:left w:val="nil"/>
              <w:bottom w:val="single" w:sz="4" w:space="0" w:color="auto"/>
              <w:right w:val="single" w:sz="4" w:space="0" w:color="auto"/>
            </w:tcBorders>
            <w:shd w:val="clear" w:color="000000" w:fill="002060"/>
            <w:vAlign w:val="center"/>
            <w:hideMark/>
          </w:tcPr>
          <w:p w14:paraId="3927ED2E" w14:textId="77777777" w:rsidR="006A551F" w:rsidRPr="001D0C10" w:rsidRDefault="006A551F" w:rsidP="006A551F">
            <w:pPr>
              <w:spacing w:after="0" w:line="276" w:lineRule="auto"/>
              <w:jc w:val="center"/>
              <w:rPr>
                <w:rFonts w:ascii="Book Antiqua" w:eastAsia="Times New Roman" w:hAnsi="Book Antiqua" w:cs="Times New Roman"/>
                <w:b/>
                <w:bCs/>
                <w:color w:val="FFFFFF"/>
                <w:sz w:val="18"/>
                <w:szCs w:val="18"/>
                <w:lang w:val="es-ES" w:eastAsia="es-ES"/>
              </w:rPr>
            </w:pPr>
            <w:r w:rsidRPr="001D0C10">
              <w:rPr>
                <w:rFonts w:ascii="Book Antiqua" w:eastAsia="Times New Roman" w:hAnsi="Book Antiqua" w:cs="Times New Roman"/>
                <w:b/>
                <w:bCs/>
                <w:color w:val="FFFFFF"/>
                <w:sz w:val="18"/>
                <w:szCs w:val="18"/>
                <w:lang w:val="es-ES" w:eastAsia="es-ES"/>
              </w:rPr>
              <w:t>Coordinadoras o Coordinadores judiciales</w:t>
            </w:r>
          </w:p>
        </w:tc>
        <w:tc>
          <w:tcPr>
            <w:tcW w:w="475" w:type="pct"/>
            <w:tcBorders>
              <w:top w:val="single" w:sz="4" w:space="0" w:color="auto"/>
              <w:left w:val="nil"/>
              <w:bottom w:val="single" w:sz="4" w:space="0" w:color="auto"/>
              <w:right w:val="single" w:sz="4" w:space="0" w:color="auto"/>
            </w:tcBorders>
            <w:shd w:val="clear" w:color="000000" w:fill="002060"/>
            <w:vAlign w:val="center"/>
            <w:hideMark/>
          </w:tcPr>
          <w:p w14:paraId="4BC2D886" w14:textId="77777777" w:rsidR="006A551F" w:rsidRPr="001D0C10" w:rsidRDefault="006A551F" w:rsidP="006A551F">
            <w:pPr>
              <w:spacing w:after="0" w:line="276" w:lineRule="auto"/>
              <w:jc w:val="center"/>
              <w:rPr>
                <w:rFonts w:ascii="Book Antiqua" w:eastAsia="Times New Roman" w:hAnsi="Book Antiqua" w:cs="Times New Roman"/>
                <w:b/>
                <w:bCs/>
                <w:color w:val="FFFFFF"/>
                <w:sz w:val="18"/>
                <w:szCs w:val="18"/>
                <w:lang w:val="es-ES" w:eastAsia="es-ES"/>
              </w:rPr>
            </w:pPr>
            <w:r w:rsidRPr="001D0C10">
              <w:rPr>
                <w:rFonts w:ascii="Book Antiqua" w:eastAsia="Times New Roman" w:hAnsi="Book Antiqua" w:cs="Times New Roman"/>
                <w:b/>
                <w:bCs/>
                <w:color w:val="FFFFFF"/>
                <w:sz w:val="18"/>
                <w:szCs w:val="18"/>
                <w:lang w:val="es-ES" w:eastAsia="es-ES"/>
              </w:rPr>
              <w:t>Técnicas o Técnicos Judiciales totales</w:t>
            </w:r>
          </w:p>
        </w:tc>
        <w:tc>
          <w:tcPr>
            <w:tcW w:w="485" w:type="pct"/>
            <w:tcBorders>
              <w:top w:val="single" w:sz="4" w:space="0" w:color="auto"/>
              <w:left w:val="nil"/>
              <w:bottom w:val="single" w:sz="4" w:space="0" w:color="auto"/>
              <w:right w:val="single" w:sz="4" w:space="0" w:color="auto"/>
            </w:tcBorders>
            <w:shd w:val="clear" w:color="000000" w:fill="002060"/>
            <w:vAlign w:val="center"/>
            <w:hideMark/>
          </w:tcPr>
          <w:p w14:paraId="0CF96C37" w14:textId="77777777" w:rsidR="006A551F" w:rsidRPr="001D0C10" w:rsidRDefault="006A551F" w:rsidP="006A551F">
            <w:pPr>
              <w:spacing w:after="0" w:line="276" w:lineRule="auto"/>
              <w:jc w:val="center"/>
              <w:rPr>
                <w:rFonts w:ascii="Book Antiqua" w:eastAsia="Times New Roman" w:hAnsi="Book Antiqua" w:cs="Times New Roman"/>
                <w:b/>
                <w:bCs/>
                <w:color w:val="FFFFFF"/>
                <w:sz w:val="18"/>
                <w:szCs w:val="18"/>
                <w:lang w:val="es-ES" w:eastAsia="es-ES"/>
              </w:rPr>
            </w:pPr>
            <w:r w:rsidRPr="001D0C10">
              <w:rPr>
                <w:rFonts w:ascii="Book Antiqua" w:eastAsia="Times New Roman" w:hAnsi="Book Antiqua" w:cs="Times New Roman"/>
                <w:b/>
                <w:bCs/>
                <w:color w:val="FFFFFF"/>
                <w:sz w:val="18"/>
                <w:szCs w:val="18"/>
                <w:lang w:val="es-ES" w:eastAsia="es-ES"/>
              </w:rPr>
              <w:t>Auxiliar de Servicios Generales</w:t>
            </w:r>
          </w:p>
        </w:tc>
      </w:tr>
      <w:tr w:rsidR="006A551F" w:rsidRPr="006A551F" w14:paraId="392FF78C"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7978ABFD" w14:textId="692FC7B1" w:rsidR="006A551F" w:rsidRPr="006A551F" w:rsidRDefault="006A551F" w:rsidP="001D0C10">
            <w:pPr>
              <w:spacing w:after="0" w:line="276" w:lineRule="auto"/>
              <w:jc w:val="both"/>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 xml:space="preserve">Juzgado de Violencia Doméstica del I Circ. Jud. </w:t>
            </w:r>
            <w:r w:rsidR="00E85731" w:rsidRPr="006A551F">
              <w:rPr>
                <w:rFonts w:ascii="Book Antiqua" w:eastAsia="Times New Roman" w:hAnsi="Book Antiqua" w:cs="Times New Roman"/>
                <w:color w:val="000000"/>
                <w:lang w:val="es-ES" w:eastAsia="es-ES"/>
              </w:rPr>
              <w:t>D</w:t>
            </w:r>
            <w:r w:rsidRPr="006A551F">
              <w:rPr>
                <w:rFonts w:ascii="Book Antiqua" w:eastAsia="Times New Roman" w:hAnsi="Book Antiqua" w:cs="Times New Roman"/>
                <w:color w:val="000000"/>
                <w:lang w:val="es-ES" w:eastAsia="es-ES"/>
              </w:rPr>
              <w:t>e la Zona Atlántica (Limón)</w:t>
            </w:r>
          </w:p>
        </w:tc>
        <w:tc>
          <w:tcPr>
            <w:tcW w:w="299" w:type="pct"/>
            <w:tcBorders>
              <w:top w:val="nil"/>
              <w:left w:val="nil"/>
              <w:bottom w:val="single" w:sz="4" w:space="0" w:color="auto"/>
              <w:right w:val="single" w:sz="4" w:space="0" w:color="auto"/>
            </w:tcBorders>
            <w:shd w:val="clear" w:color="auto" w:fill="auto"/>
            <w:noWrap/>
            <w:vAlign w:val="center"/>
            <w:hideMark/>
          </w:tcPr>
          <w:p w14:paraId="256AF39C"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676" w:type="pct"/>
            <w:tcBorders>
              <w:top w:val="nil"/>
              <w:left w:val="nil"/>
              <w:bottom w:val="single" w:sz="4" w:space="0" w:color="auto"/>
              <w:right w:val="single" w:sz="4" w:space="0" w:color="auto"/>
            </w:tcBorders>
            <w:shd w:val="clear" w:color="auto" w:fill="auto"/>
            <w:vAlign w:val="center"/>
            <w:hideMark/>
          </w:tcPr>
          <w:p w14:paraId="13107454"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794B6705"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5CBC26F9"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152A56AE" w14:textId="77777777" w:rsidTr="006A551F">
        <w:trPr>
          <w:trHeight w:val="20"/>
        </w:trPr>
        <w:tc>
          <w:tcPr>
            <w:tcW w:w="3065" w:type="pct"/>
            <w:tcBorders>
              <w:top w:val="nil"/>
              <w:left w:val="single" w:sz="4" w:space="0" w:color="auto"/>
              <w:bottom w:val="single" w:sz="4" w:space="0" w:color="auto"/>
              <w:right w:val="single" w:sz="4" w:space="0" w:color="auto"/>
            </w:tcBorders>
            <w:shd w:val="clear" w:color="000000" w:fill="FFFFFF"/>
            <w:noWrap/>
            <w:vAlign w:val="center"/>
            <w:hideMark/>
          </w:tcPr>
          <w:p w14:paraId="00388E94"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Cartago</w:t>
            </w:r>
          </w:p>
        </w:tc>
        <w:tc>
          <w:tcPr>
            <w:tcW w:w="299" w:type="pct"/>
            <w:tcBorders>
              <w:top w:val="nil"/>
              <w:left w:val="nil"/>
              <w:bottom w:val="single" w:sz="4" w:space="0" w:color="auto"/>
              <w:right w:val="single" w:sz="4" w:space="0" w:color="auto"/>
            </w:tcBorders>
            <w:shd w:val="clear" w:color="auto" w:fill="auto"/>
            <w:noWrap/>
            <w:vAlign w:val="center"/>
            <w:hideMark/>
          </w:tcPr>
          <w:p w14:paraId="14C279A4"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03C15310"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2A9C3D6D"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4</w:t>
            </w:r>
          </w:p>
        </w:tc>
        <w:tc>
          <w:tcPr>
            <w:tcW w:w="485" w:type="pct"/>
            <w:tcBorders>
              <w:top w:val="nil"/>
              <w:left w:val="nil"/>
              <w:bottom w:val="single" w:sz="4" w:space="0" w:color="auto"/>
              <w:right w:val="single" w:sz="4" w:space="0" w:color="auto"/>
            </w:tcBorders>
            <w:shd w:val="clear" w:color="auto" w:fill="auto"/>
            <w:vAlign w:val="center"/>
            <w:hideMark/>
          </w:tcPr>
          <w:p w14:paraId="46ED3580"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1B2B7D3D"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144C0943" w14:textId="2BA0159B" w:rsidR="006A551F" w:rsidRPr="006A551F" w:rsidRDefault="006A551F" w:rsidP="001D0C10">
            <w:pPr>
              <w:spacing w:after="0" w:line="276" w:lineRule="auto"/>
              <w:jc w:val="both"/>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 xml:space="preserve">Juzgado Violencia Doméstica Hatillo, San Sebas. </w:t>
            </w:r>
            <w:r w:rsidR="00E85731" w:rsidRPr="006A551F">
              <w:rPr>
                <w:rFonts w:ascii="Book Antiqua" w:eastAsia="Times New Roman" w:hAnsi="Book Antiqua" w:cs="Times New Roman"/>
                <w:color w:val="000000"/>
                <w:lang w:val="es-ES" w:eastAsia="es-ES"/>
              </w:rPr>
              <w:t>Y</w:t>
            </w:r>
            <w:r w:rsidRPr="006A551F">
              <w:rPr>
                <w:rFonts w:ascii="Book Antiqua" w:eastAsia="Times New Roman" w:hAnsi="Book Antiqua" w:cs="Times New Roman"/>
                <w:color w:val="000000"/>
                <w:lang w:val="es-ES" w:eastAsia="es-ES"/>
              </w:rPr>
              <w:t xml:space="preserve"> Alajuelita</w:t>
            </w:r>
          </w:p>
        </w:tc>
        <w:tc>
          <w:tcPr>
            <w:tcW w:w="299" w:type="pct"/>
            <w:tcBorders>
              <w:top w:val="nil"/>
              <w:left w:val="nil"/>
              <w:bottom w:val="single" w:sz="4" w:space="0" w:color="auto"/>
              <w:right w:val="single" w:sz="4" w:space="0" w:color="auto"/>
            </w:tcBorders>
            <w:shd w:val="clear" w:color="auto" w:fill="auto"/>
            <w:noWrap/>
            <w:vAlign w:val="center"/>
            <w:hideMark/>
          </w:tcPr>
          <w:p w14:paraId="440BFDB8"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1B116665"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0591EF69"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4A9A43E5"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r>
      <w:tr w:rsidR="006A551F" w:rsidRPr="006A551F" w14:paraId="58FD8158"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6E7046DA"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Heredia</w:t>
            </w:r>
          </w:p>
        </w:tc>
        <w:tc>
          <w:tcPr>
            <w:tcW w:w="299" w:type="pct"/>
            <w:tcBorders>
              <w:top w:val="nil"/>
              <w:left w:val="nil"/>
              <w:bottom w:val="single" w:sz="4" w:space="0" w:color="auto"/>
              <w:right w:val="single" w:sz="4" w:space="0" w:color="auto"/>
            </w:tcBorders>
            <w:shd w:val="clear" w:color="auto" w:fill="auto"/>
            <w:noWrap/>
            <w:vAlign w:val="center"/>
            <w:hideMark/>
          </w:tcPr>
          <w:p w14:paraId="645B1427"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1520F8DB"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2CF7B77C"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4</w:t>
            </w:r>
          </w:p>
        </w:tc>
        <w:tc>
          <w:tcPr>
            <w:tcW w:w="485" w:type="pct"/>
            <w:tcBorders>
              <w:top w:val="nil"/>
              <w:left w:val="nil"/>
              <w:bottom w:val="single" w:sz="4" w:space="0" w:color="auto"/>
              <w:right w:val="single" w:sz="4" w:space="0" w:color="auto"/>
            </w:tcBorders>
            <w:shd w:val="clear" w:color="auto" w:fill="auto"/>
            <w:vAlign w:val="center"/>
            <w:hideMark/>
          </w:tcPr>
          <w:p w14:paraId="3646E64A"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697DFDB7"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1057EC5B"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I Circ. Jud. Alajuela</w:t>
            </w:r>
          </w:p>
        </w:tc>
        <w:tc>
          <w:tcPr>
            <w:tcW w:w="299" w:type="pct"/>
            <w:tcBorders>
              <w:top w:val="nil"/>
              <w:left w:val="nil"/>
              <w:bottom w:val="single" w:sz="4" w:space="0" w:color="auto"/>
              <w:right w:val="single" w:sz="4" w:space="0" w:color="auto"/>
            </w:tcBorders>
            <w:shd w:val="clear" w:color="auto" w:fill="auto"/>
            <w:noWrap/>
            <w:vAlign w:val="center"/>
            <w:hideMark/>
          </w:tcPr>
          <w:p w14:paraId="18131B4E"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676" w:type="pct"/>
            <w:tcBorders>
              <w:top w:val="nil"/>
              <w:left w:val="nil"/>
              <w:bottom w:val="single" w:sz="4" w:space="0" w:color="auto"/>
              <w:right w:val="single" w:sz="4" w:space="0" w:color="auto"/>
            </w:tcBorders>
            <w:shd w:val="clear" w:color="auto" w:fill="auto"/>
            <w:vAlign w:val="center"/>
            <w:hideMark/>
          </w:tcPr>
          <w:p w14:paraId="300B3450"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38E2A4A6"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6</w:t>
            </w:r>
          </w:p>
        </w:tc>
        <w:tc>
          <w:tcPr>
            <w:tcW w:w="485" w:type="pct"/>
            <w:tcBorders>
              <w:top w:val="nil"/>
              <w:left w:val="nil"/>
              <w:bottom w:val="single" w:sz="4" w:space="0" w:color="auto"/>
              <w:right w:val="single" w:sz="4" w:space="0" w:color="auto"/>
            </w:tcBorders>
            <w:shd w:val="clear" w:color="auto" w:fill="auto"/>
            <w:vAlign w:val="center"/>
            <w:hideMark/>
          </w:tcPr>
          <w:p w14:paraId="69D347FF"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31DD9DBF"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217B4DE4"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I Circ. Jud. San José</w:t>
            </w:r>
          </w:p>
        </w:tc>
        <w:tc>
          <w:tcPr>
            <w:tcW w:w="299" w:type="pct"/>
            <w:tcBorders>
              <w:top w:val="nil"/>
              <w:left w:val="nil"/>
              <w:bottom w:val="single" w:sz="4" w:space="0" w:color="auto"/>
              <w:right w:val="single" w:sz="4" w:space="0" w:color="auto"/>
            </w:tcBorders>
            <w:shd w:val="clear" w:color="auto" w:fill="auto"/>
            <w:noWrap/>
            <w:vAlign w:val="center"/>
            <w:hideMark/>
          </w:tcPr>
          <w:p w14:paraId="1267F9B3"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39E301A6"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54C30AEE"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59872D31"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r>
      <w:tr w:rsidR="006A551F" w:rsidRPr="006A551F" w14:paraId="5BFA39A5"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1DF98646" w14:textId="77777777" w:rsidR="006A551F" w:rsidRPr="006A551F" w:rsidRDefault="006A551F" w:rsidP="001D0C10">
            <w:pPr>
              <w:spacing w:after="0" w:line="276" w:lineRule="auto"/>
              <w:jc w:val="both"/>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 xml:space="preserve">Juzgado Violencia Doméstica I Circ. Jud. Zona Sur (Pérez Zeledón) </w:t>
            </w:r>
          </w:p>
        </w:tc>
        <w:tc>
          <w:tcPr>
            <w:tcW w:w="299" w:type="pct"/>
            <w:tcBorders>
              <w:top w:val="nil"/>
              <w:left w:val="nil"/>
              <w:bottom w:val="single" w:sz="4" w:space="0" w:color="auto"/>
              <w:right w:val="single" w:sz="4" w:space="0" w:color="auto"/>
            </w:tcBorders>
            <w:shd w:val="clear" w:color="auto" w:fill="auto"/>
            <w:noWrap/>
            <w:vAlign w:val="center"/>
            <w:hideMark/>
          </w:tcPr>
          <w:p w14:paraId="08A0F5C3"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2200F483"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19B101AF"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369A63FA"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0021FADF"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29826841" w14:textId="77777777" w:rsidR="006A551F" w:rsidRPr="006A551F" w:rsidRDefault="006A551F" w:rsidP="001D0C10">
            <w:pPr>
              <w:spacing w:after="0" w:line="276" w:lineRule="auto"/>
              <w:jc w:val="both"/>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II Circ. Jud. Alajuela (San Carlos)</w:t>
            </w:r>
          </w:p>
        </w:tc>
        <w:tc>
          <w:tcPr>
            <w:tcW w:w="299" w:type="pct"/>
            <w:tcBorders>
              <w:top w:val="nil"/>
              <w:left w:val="nil"/>
              <w:bottom w:val="single" w:sz="4" w:space="0" w:color="auto"/>
              <w:right w:val="single" w:sz="4" w:space="0" w:color="auto"/>
            </w:tcBorders>
            <w:shd w:val="clear" w:color="auto" w:fill="auto"/>
            <w:noWrap/>
            <w:vAlign w:val="center"/>
            <w:hideMark/>
          </w:tcPr>
          <w:p w14:paraId="0AE63C04"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676" w:type="pct"/>
            <w:tcBorders>
              <w:top w:val="nil"/>
              <w:left w:val="nil"/>
              <w:bottom w:val="single" w:sz="4" w:space="0" w:color="auto"/>
              <w:right w:val="single" w:sz="4" w:space="0" w:color="auto"/>
            </w:tcBorders>
            <w:shd w:val="clear" w:color="auto" w:fill="auto"/>
            <w:vAlign w:val="center"/>
            <w:hideMark/>
          </w:tcPr>
          <w:p w14:paraId="3D9913FC"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34A07CAB"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485" w:type="pct"/>
            <w:tcBorders>
              <w:top w:val="nil"/>
              <w:left w:val="nil"/>
              <w:bottom w:val="single" w:sz="4" w:space="0" w:color="auto"/>
              <w:right w:val="single" w:sz="4" w:space="0" w:color="auto"/>
            </w:tcBorders>
            <w:shd w:val="clear" w:color="auto" w:fill="auto"/>
            <w:vAlign w:val="center"/>
            <w:hideMark/>
          </w:tcPr>
          <w:p w14:paraId="0BDB88F6"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r>
      <w:tr w:rsidR="006A551F" w:rsidRPr="006A551F" w14:paraId="25FE002F"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32A1E4A6" w14:textId="6BA817E0"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 xml:space="preserve">Juzgado Violencia Doméstica II Circ. Jud. </w:t>
            </w:r>
            <w:r w:rsidR="00E85731" w:rsidRPr="006A551F">
              <w:rPr>
                <w:rFonts w:ascii="Book Antiqua" w:eastAsia="Times New Roman" w:hAnsi="Book Antiqua" w:cs="Times New Roman"/>
                <w:color w:val="000000"/>
                <w:lang w:val="es-ES" w:eastAsia="es-ES"/>
              </w:rPr>
              <w:t>D</w:t>
            </w:r>
            <w:r w:rsidRPr="006A551F">
              <w:rPr>
                <w:rFonts w:ascii="Book Antiqua" w:eastAsia="Times New Roman" w:hAnsi="Book Antiqua" w:cs="Times New Roman"/>
                <w:color w:val="000000"/>
                <w:lang w:val="es-ES" w:eastAsia="es-ES"/>
              </w:rPr>
              <w:t>e la Zona Atlántica (Pococí)</w:t>
            </w:r>
          </w:p>
        </w:tc>
        <w:tc>
          <w:tcPr>
            <w:tcW w:w="299" w:type="pct"/>
            <w:tcBorders>
              <w:top w:val="nil"/>
              <w:left w:val="nil"/>
              <w:bottom w:val="single" w:sz="4" w:space="0" w:color="auto"/>
              <w:right w:val="single" w:sz="4" w:space="0" w:color="auto"/>
            </w:tcBorders>
            <w:shd w:val="clear" w:color="auto" w:fill="auto"/>
            <w:noWrap/>
            <w:vAlign w:val="center"/>
            <w:hideMark/>
          </w:tcPr>
          <w:p w14:paraId="07CD9185"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676" w:type="pct"/>
            <w:tcBorders>
              <w:top w:val="nil"/>
              <w:left w:val="nil"/>
              <w:bottom w:val="single" w:sz="4" w:space="0" w:color="auto"/>
              <w:right w:val="single" w:sz="4" w:space="0" w:color="auto"/>
            </w:tcBorders>
            <w:shd w:val="clear" w:color="auto" w:fill="auto"/>
            <w:vAlign w:val="center"/>
            <w:hideMark/>
          </w:tcPr>
          <w:p w14:paraId="74545BAD"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634DFD2C"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41F66E9B"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65DCD127"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1C59D6AE"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II Circ. Jud. San José</w:t>
            </w:r>
          </w:p>
        </w:tc>
        <w:tc>
          <w:tcPr>
            <w:tcW w:w="299" w:type="pct"/>
            <w:tcBorders>
              <w:top w:val="nil"/>
              <w:left w:val="nil"/>
              <w:bottom w:val="single" w:sz="4" w:space="0" w:color="auto"/>
              <w:right w:val="single" w:sz="4" w:space="0" w:color="auto"/>
            </w:tcBorders>
            <w:shd w:val="clear" w:color="auto" w:fill="auto"/>
            <w:noWrap/>
            <w:vAlign w:val="center"/>
            <w:hideMark/>
          </w:tcPr>
          <w:p w14:paraId="3D8D8F41"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5</w:t>
            </w:r>
          </w:p>
        </w:tc>
        <w:tc>
          <w:tcPr>
            <w:tcW w:w="676" w:type="pct"/>
            <w:tcBorders>
              <w:top w:val="nil"/>
              <w:left w:val="nil"/>
              <w:bottom w:val="single" w:sz="4" w:space="0" w:color="auto"/>
              <w:right w:val="single" w:sz="4" w:space="0" w:color="auto"/>
            </w:tcBorders>
            <w:shd w:val="clear" w:color="auto" w:fill="auto"/>
            <w:vAlign w:val="center"/>
            <w:hideMark/>
          </w:tcPr>
          <w:p w14:paraId="7ABD735F"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50FFFDA5"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7</w:t>
            </w:r>
          </w:p>
        </w:tc>
        <w:tc>
          <w:tcPr>
            <w:tcW w:w="485" w:type="pct"/>
            <w:tcBorders>
              <w:top w:val="nil"/>
              <w:left w:val="nil"/>
              <w:bottom w:val="single" w:sz="4" w:space="0" w:color="auto"/>
              <w:right w:val="single" w:sz="4" w:space="0" w:color="auto"/>
            </w:tcBorders>
            <w:shd w:val="clear" w:color="auto" w:fill="auto"/>
            <w:vAlign w:val="center"/>
            <w:hideMark/>
          </w:tcPr>
          <w:p w14:paraId="07B27FC8"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368EE68E"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6350B988" w14:textId="77777777" w:rsidR="006A551F" w:rsidRPr="006A551F" w:rsidRDefault="006A551F" w:rsidP="001D0C10">
            <w:pPr>
              <w:spacing w:after="0" w:line="276" w:lineRule="auto"/>
              <w:jc w:val="both"/>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III Circ. Jud. San José (Desamparados)</w:t>
            </w:r>
          </w:p>
        </w:tc>
        <w:tc>
          <w:tcPr>
            <w:tcW w:w="299" w:type="pct"/>
            <w:tcBorders>
              <w:top w:val="nil"/>
              <w:left w:val="nil"/>
              <w:bottom w:val="single" w:sz="4" w:space="0" w:color="auto"/>
              <w:right w:val="single" w:sz="4" w:space="0" w:color="auto"/>
            </w:tcBorders>
            <w:shd w:val="clear" w:color="auto" w:fill="auto"/>
            <w:noWrap/>
            <w:vAlign w:val="center"/>
            <w:hideMark/>
          </w:tcPr>
          <w:p w14:paraId="2AEA739E"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7F624CBC"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7926CE6A"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3</w:t>
            </w:r>
          </w:p>
        </w:tc>
        <w:tc>
          <w:tcPr>
            <w:tcW w:w="485" w:type="pct"/>
            <w:tcBorders>
              <w:top w:val="nil"/>
              <w:left w:val="nil"/>
              <w:bottom w:val="single" w:sz="4" w:space="0" w:color="auto"/>
              <w:right w:val="single" w:sz="4" w:space="0" w:color="auto"/>
            </w:tcBorders>
            <w:shd w:val="clear" w:color="auto" w:fill="auto"/>
            <w:vAlign w:val="center"/>
            <w:hideMark/>
          </w:tcPr>
          <w:p w14:paraId="60C9BE1A"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r>
      <w:tr w:rsidR="006A551F" w:rsidRPr="006A551F" w14:paraId="22F9E0F5" w14:textId="77777777" w:rsidTr="006A551F">
        <w:trPr>
          <w:trHeight w:val="20"/>
        </w:trPr>
        <w:tc>
          <w:tcPr>
            <w:tcW w:w="3065" w:type="pct"/>
            <w:tcBorders>
              <w:top w:val="nil"/>
              <w:left w:val="single" w:sz="4" w:space="0" w:color="auto"/>
              <w:bottom w:val="single" w:sz="4" w:space="0" w:color="auto"/>
              <w:right w:val="single" w:sz="4" w:space="0" w:color="auto"/>
            </w:tcBorders>
            <w:shd w:val="clear" w:color="auto" w:fill="auto"/>
            <w:noWrap/>
            <w:vAlign w:val="center"/>
            <w:hideMark/>
          </w:tcPr>
          <w:p w14:paraId="232F99C6" w14:textId="77777777" w:rsidR="006A551F" w:rsidRPr="006A551F" w:rsidRDefault="006A551F" w:rsidP="006A551F">
            <w:pPr>
              <w:spacing w:after="0" w:line="276" w:lineRule="auto"/>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Juzgado Violencia Doméstica Puntarenas</w:t>
            </w:r>
          </w:p>
        </w:tc>
        <w:tc>
          <w:tcPr>
            <w:tcW w:w="299" w:type="pct"/>
            <w:tcBorders>
              <w:top w:val="nil"/>
              <w:left w:val="nil"/>
              <w:bottom w:val="single" w:sz="4" w:space="0" w:color="auto"/>
              <w:right w:val="single" w:sz="4" w:space="0" w:color="auto"/>
            </w:tcBorders>
            <w:shd w:val="clear" w:color="auto" w:fill="auto"/>
            <w:noWrap/>
            <w:vAlign w:val="center"/>
            <w:hideMark/>
          </w:tcPr>
          <w:p w14:paraId="742AFFA4"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2</w:t>
            </w:r>
          </w:p>
        </w:tc>
        <w:tc>
          <w:tcPr>
            <w:tcW w:w="676" w:type="pct"/>
            <w:tcBorders>
              <w:top w:val="nil"/>
              <w:left w:val="nil"/>
              <w:bottom w:val="single" w:sz="4" w:space="0" w:color="auto"/>
              <w:right w:val="single" w:sz="4" w:space="0" w:color="auto"/>
            </w:tcBorders>
            <w:shd w:val="clear" w:color="auto" w:fill="auto"/>
            <w:vAlign w:val="center"/>
            <w:hideMark/>
          </w:tcPr>
          <w:p w14:paraId="309E380E"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1</w:t>
            </w:r>
          </w:p>
        </w:tc>
        <w:tc>
          <w:tcPr>
            <w:tcW w:w="475" w:type="pct"/>
            <w:tcBorders>
              <w:top w:val="nil"/>
              <w:left w:val="nil"/>
              <w:bottom w:val="single" w:sz="4" w:space="0" w:color="auto"/>
              <w:right w:val="single" w:sz="4" w:space="0" w:color="auto"/>
            </w:tcBorders>
            <w:shd w:val="clear" w:color="auto" w:fill="auto"/>
            <w:vAlign w:val="center"/>
            <w:hideMark/>
          </w:tcPr>
          <w:p w14:paraId="40D94621"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4</w:t>
            </w:r>
          </w:p>
        </w:tc>
        <w:tc>
          <w:tcPr>
            <w:tcW w:w="485" w:type="pct"/>
            <w:tcBorders>
              <w:top w:val="nil"/>
              <w:left w:val="nil"/>
              <w:bottom w:val="single" w:sz="4" w:space="0" w:color="auto"/>
              <w:right w:val="single" w:sz="4" w:space="0" w:color="auto"/>
            </w:tcBorders>
            <w:shd w:val="clear" w:color="auto" w:fill="auto"/>
            <w:vAlign w:val="center"/>
            <w:hideMark/>
          </w:tcPr>
          <w:p w14:paraId="6A64400B" w14:textId="77777777" w:rsidR="006A551F" w:rsidRPr="006A551F" w:rsidRDefault="006A551F" w:rsidP="006A551F">
            <w:pPr>
              <w:spacing w:after="0" w:line="276" w:lineRule="auto"/>
              <w:jc w:val="center"/>
              <w:rPr>
                <w:rFonts w:ascii="Book Antiqua" w:eastAsia="Times New Roman" w:hAnsi="Book Antiqua" w:cs="Times New Roman"/>
                <w:color w:val="000000"/>
                <w:lang w:val="es-ES" w:eastAsia="es-ES"/>
              </w:rPr>
            </w:pPr>
            <w:r w:rsidRPr="006A551F">
              <w:rPr>
                <w:rFonts w:ascii="Book Antiqua" w:eastAsia="Times New Roman" w:hAnsi="Book Antiqua" w:cs="Times New Roman"/>
                <w:color w:val="000000"/>
                <w:lang w:val="es-ES" w:eastAsia="es-ES"/>
              </w:rPr>
              <w:t>0</w:t>
            </w:r>
          </w:p>
        </w:tc>
      </w:tr>
      <w:tr w:rsidR="006A551F" w:rsidRPr="006A551F" w14:paraId="36194849" w14:textId="77777777" w:rsidTr="006A551F">
        <w:trPr>
          <w:trHeight w:val="20"/>
        </w:trPr>
        <w:tc>
          <w:tcPr>
            <w:tcW w:w="3065" w:type="pct"/>
            <w:tcBorders>
              <w:top w:val="nil"/>
              <w:left w:val="single" w:sz="4" w:space="0" w:color="auto"/>
              <w:bottom w:val="single" w:sz="4" w:space="0" w:color="auto"/>
              <w:right w:val="single" w:sz="4" w:space="0" w:color="auto"/>
            </w:tcBorders>
            <w:shd w:val="clear" w:color="000000" w:fill="808080"/>
            <w:noWrap/>
            <w:vAlign w:val="center"/>
            <w:hideMark/>
          </w:tcPr>
          <w:p w14:paraId="6737CD40" w14:textId="77777777" w:rsidR="006A551F" w:rsidRPr="006A551F" w:rsidRDefault="006A551F" w:rsidP="006A551F">
            <w:pPr>
              <w:spacing w:after="0" w:line="276" w:lineRule="auto"/>
              <w:jc w:val="right"/>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Total general</w:t>
            </w:r>
          </w:p>
        </w:tc>
        <w:tc>
          <w:tcPr>
            <w:tcW w:w="299" w:type="pct"/>
            <w:tcBorders>
              <w:top w:val="nil"/>
              <w:left w:val="nil"/>
              <w:bottom w:val="single" w:sz="4" w:space="0" w:color="auto"/>
              <w:right w:val="single" w:sz="4" w:space="0" w:color="auto"/>
            </w:tcBorders>
            <w:shd w:val="clear" w:color="000000" w:fill="808080"/>
            <w:noWrap/>
            <w:vAlign w:val="center"/>
            <w:hideMark/>
          </w:tcPr>
          <w:p w14:paraId="62C9FD92" w14:textId="77777777" w:rsidR="006A551F" w:rsidRPr="006A551F" w:rsidRDefault="006A551F" w:rsidP="006A551F">
            <w:pPr>
              <w:spacing w:after="0" w:line="276" w:lineRule="auto"/>
              <w:jc w:val="center"/>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25</w:t>
            </w:r>
          </w:p>
        </w:tc>
        <w:tc>
          <w:tcPr>
            <w:tcW w:w="676" w:type="pct"/>
            <w:tcBorders>
              <w:top w:val="nil"/>
              <w:left w:val="nil"/>
              <w:bottom w:val="single" w:sz="4" w:space="0" w:color="auto"/>
              <w:right w:val="single" w:sz="4" w:space="0" w:color="auto"/>
            </w:tcBorders>
            <w:shd w:val="clear" w:color="000000" w:fill="808080"/>
            <w:noWrap/>
            <w:vAlign w:val="center"/>
            <w:hideMark/>
          </w:tcPr>
          <w:p w14:paraId="7A11A466" w14:textId="77777777" w:rsidR="006A551F" w:rsidRPr="006A551F" w:rsidRDefault="006A551F" w:rsidP="006A551F">
            <w:pPr>
              <w:spacing w:after="0" w:line="276" w:lineRule="auto"/>
              <w:jc w:val="center"/>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12</w:t>
            </w:r>
          </w:p>
        </w:tc>
        <w:tc>
          <w:tcPr>
            <w:tcW w:w="475" w:type="pct"/>
            <w:tcBorders>
              <w:top w:val="nil"/>
              <w:left w:val="nil"/>
              <w:bottom w:val="single" w:sz="4" w:space="0" w:color="auto"/>
              <w:right w:val="single" w:sz="4" w:space="0" w:color="auto"/>
            </w:tcBorders>
            <w:shd w:val="clear" w:color="000000" w:fill="808080"/>
            <w:noWrap/>
            <w:vAlign w:val="center"/>
            <w:hideMark/>
          </w:tcPr>
          <w:p w14:paraId="11DCDF82" w14:textId="77777777" w:rsidR="006A551F" w:rsidRPr="006A551F" w:rsidRDefault="006A551F" w:rsidP="006A551F">
            <w:pPr>
              <w:spacing w:after="0" w:line="276" w:lineRule="auto"/>
              <w:jc w:val="center"/>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45</w:t>
            </w:r>
          </w:p>
        </w:tc>
        <w:tc>
          <w:tcPr>
            <w:tcW w:w="485" w:type="pct"/>
            <w:tcBorders>
              <w:top w:val="nil"/>
              <w:left w:val="nil"/>
              <w:bottom w:val="single" w:sz="4" w:space="0" w:color="auto"/>
              <w:right w:val="single" w:sz="4" w:space="0" w:color="auto"/>
            </w:tcBorders>
            <w:shd w:val="clear" w:color="000000" w:fill="808080"/>
            <w:noWrap/>
            <w:vAlign w:val="center"/>
            <w:hideMark/>
          </w:tcPr>
          <w:p w14:paraId="61773AD8" w14:textId="77777777" w:rsidR="006A551F" w:rsidRPr="006A551F" w:rsidRDefault="006A551F" w:rsidP="006A551F">
            <w:pPr>
              <w:spacing w:after="0" w:line="276" w:lineRule="auto"/>
              <w:jc w:val="center"/>
              <w:rPr>
                <w:rFonts w:ascii="Book Antiqua" w:eastAsia="Times New Roman" w:hAnsi="Book Antiqua" w:cs="Times New Roman"/>
                <w:b/>
                <w:bCs/>
                <w:color w:val="FFFFFF"/>
                <w:lang w:val="es-ES" w:eastAsia="es-ES"/>
              </w:rPr>
            </w:pPr>
            <w:r w:rsidRPr="006A551F">
              <w:rPr>
                <w:rFonts w:ascii="Book Antiqua" w:eastAsia="Times New Roman" w:hAnsi="Book Antiqua" w:cs="Times New Roman"/>
                <w:b/>
                <w:bCs/>
                <w:color w:val="FFFFFF"/>
                <w:lang w:val="es-ES" w:eastAsia="es-ES"/>
              </w:rPr>
              <w:t>4</w:t>
            </w:r>
          </w:p>
        </w:tc>
      </w:tr>
    </w:tbl>
    <w:p w14:paraId="1906B8ED" w14:textId="77777777" w:rsidR="006A551F" w:rsidRDefault="006A551F" w:rsidP="006A551F">
      <w:pPr>
        <w:rPr>
          <w:rFonts w:ascii="Book Antiqua" w:hAnsi="Book Antiqua"/>
          <w:i/>
          <w:iCs/>
          <w:sz w:val="20"/>
          <w:szCs w:val="20"/>
          <w:lang w:val="es-ES"/>
        </w:rPr>
      </w:pPr>
      <w:r w:rsidRPr="006A551F">
        <w:rPr>
          <w:rFonts w:ascii="Book Antiqua" w:hAnsi="Book Antiqua"/>
          <w:i/>
          <w:iCs/>
          <w:sz w:val="20"/>
          <w:szCs w:val="20"/>
          <w:lang w:val="es-ES"/>
        </w:rPr>
        <w:t xml:space="preserve">Fuente: Modernización Institucional </w:t>
      </w:r>
      <w:r>
        <w:rPr>
          <w:rFonts w:ascii="Book Antiqua" w:hAnsi="Book Antiqua"/>
          <w:i/>
          <w:iCs/>
          <w:sz w:val="20"/>
          <w:szCs w:val="20"/>
          <w:lang w:val="es-ES"/>
        </w:rPr>
        <w:t>con</w:t>
      </w:r>
      <w:r w:rsidRPr="006A551F">
        <w:rPr>
          <w:rFonts w:ascii="Book Antiqua" w:hAnsi="Book Antiqua"/>
          <w:i/>
          <w:iCs/>
          <w:sz w:val="20"/>
          <w:szCs w:val="20"/>
          <w:lang w:val="es-ES"/>
        </w:rPr>
        <w:t xml:space="preserve"> base </w:t>
      </w:r>
      <w:r>
        <w:rPr>
          <w:rFonts w:ascii="Book Antiqua" w:hAnsi="Book Antiqua"/>
          <w:i/>
          <w:iCs/>
          <w:sz w:val="20"/>
          <w:szCs w:val="20"/>
          <w:lang w:val="es-ES"/>
        </w:rPr>
        <w:t>en</w:t>
      </w:r>
      <w:r w:rsidRPr="006A551F">
        <w:rPr>
          <w:rFonts w:ascii="Book Antiqua" w:hAnsi="Book Antiqua"/>
          <w:i/>
          <w:iCs/>
          <w:sz w:val="20"/>
          <w:szCs w:val="20"/>
          <w:lang w:val="es-ES"/>
        </w:rPr>
        <w:t xml:space="preserve"> consultas a los despachos especializados en materia Violencia Doméstica.</w:t>
      </w:r>
    </w:p>
    <w:p w14:paraId="274CA362" w14:textId="589CF8EE" w:rsidR="006A551F" w:rsidRPr="006A551F" w:rsidRDefault="006A551F" w:rsidP="006A551F">
      <w:pPr>
        <w:rPr>
          <w:rFonts w:ascii="Book Antiqua" w:hAnsi="Book Antiqua"/>
          <w:i/>
          <w:iCs/>
          <w:sz w:val="20"/>
          <w:szCs w:val="20"/>
          <w:lang w:val="es-ES"/>
        </w:rPr>
      </w:pPr>
      <w:r w:rsidRPr="006A551F">
        <w:rPr>
          <w:rFonts w:ascii="Book Antiqua" w:hAnsi="Book Antiqua"/>
          <w:i/>
          <w:iCs/>
          <w:sz w:val="20"/>
          <w:szCs w:val="20"/>
          <w:lang w:val="es-ES"/>
        </w:rPr>
        <w:t>Nota *: Plaza compartida entre el Juzgado de Violencia y el Juzgado de Niñez y Adolescencia.</w:t>
      </w:r>
    </w:p>
    <w:p w14:paraId="1411E217" w14:textId="27A79707" w:rsidR="006A551F" w:rsidRDefault="00F70A7A" w:rsidP="001D0C10">
      <w:pPr>
        <w:jc w:val="both"/>
        <w:rPr>
          <w:rFonts w:ascii="Book Antiqua" w:hAnsi="Book Antiqua"/>
          <w:sz w:val="24"/>
          <w:szCs w:val="24"/>
          <w:lang w:val="es-ES"/>
        </w:rPr>
      </w:pPr>
      <w:r w:rsidRPr="001D0C10">
        <w:rPr>
          <w:rFonts w:ascii="Book Antiqua" w:hAnsi="Book Antiqua"/>
          <w:sz w:val="24"/>
          <w:szCs w:val="24"/>
          <w:lang w:val="es-ES"/>
        </w:rPr>
        <w:lastRenderedPageBreak/>
        <w:t xml:space="preserve">Parte de los objetivos de la construcción de ese modelo de oficinas, es definir la estructura </w:t>
      </w:r>
      <w:r w:rsidR="00A46B83">
        <w:rPr>
          <w:rFonts w:ascii="Book Antiqua" w:hAnsi="Book Antiqua"/>
          <w:sz w:val="24"/>
          <w:szCs w:val="24"/>
          <w:lang w:val="es-ES"/>
        </w:rPr>
        <w:t>ó</w:t>
      </w:r>
      <w:r w:rsidRPr="001D0C10">
        <w:rPr>
          <w:rFonts w:ascii="Book Antiqua" w:hAnsi="Book Antiqua"/>
          <w:sz w:val="24"/>
          <w:szCs w:val="24"/>
          <w:lang w:val="es-ES"/>
        </w:rPr>
        <w:t xml:space="preserve">ptima o ideal para estos despachos. </w:t>
      </w:r>
    </w:p>
    <w:p w14:paraId="6359BEFC" w14:textId="77777777" w:rsidR="003A1A2A" w:rsidRPr="001D0C10" w:rsidRDefault="003A1A2A" w:rsidP="001D0C10">
      <w:pPr>
        <w:jc w:val="both"/>
        <w:rPr>
          <w:rFonts w:ascii="Book Antiqua" w:hAnsi="Book Antiqua"/>
          <w:sz w:val="24"/>
          <w:szCs w:val="24"/>
          <w:lang w:val="es-ES"/>
        </w:rPr>
      </w:pPr>
    </w:p>
    <w:p w14:paraId="625B666B" w14:textId="40745CE3" w:rsidR="00F75CD7" w:rsidRPr="00F3324E" w:rsidRDefault="00F75CD7" w:rsidP="00F3324E">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59" w:name="_Hlk96998889"/>
      <w:r w:rsidRPr="00F3324E">
        <w:rPr>
          <w:rFonts w:ascii="Book Antiqua" w:eastAsiaTheme="majorEastAsia" w:hAnsi="Book Antiqua" w:cstheme="majorBidi"/>
          <w:b/>
          <w:color w:val="1F3864" w:themeColor="accent1" w:themeShade="80"/>
          <w:sz w:val="24"/>
          <w:lang w:val="es-ES"/>
        </w:rPr>
        <w:t>Coordinación con otras Instancias</w:t>
      </w:r>
    </w:p>
    <w:bookmarkEnd w:id="59"/>
    <w:p w14:paraId="30C24396" w14:textId="77777777" w:rsidR="003A1A2A" w:rsidRDefault="003A1A2A" w:rsidP="00F75CD7">
      <w:pPr>
        <w:spacing w:after="0" w:line="276" w:lineRule="auto"/>
        <w:jc w:val="both"/>
        <w:rPr>
          <w:rFonts w:ascii="Book Antiqua" w:eastAsia="Calibri" w:hAnsi="Book Antiqua" w:cs="Arial"/>
          <w:sz w:val="24"/>
          <w:szCs w:val="24"/>
          <w:lang w:val="es-ES_tradnl"/>
        </w:rPr>
      </w:pPr>
    </w:p>
    <w:p w14:paraId="72DCD988" w14:textId="003C9F92" w:rsidR="00F75CD7" w:rsidRDefault="00F75CD7" w:rsidP="00F75CD7">
      <w:pPr>
        <w:spacing w:after="0" w:line="276" w:lineRule="auto"/>
        <w:jc w:val="both"/>
        <w:rPr>
          <w:rFonts w:ascii="Book Antiqua" w:eastAsia="Calibri" w:hAnsi="Book Antiqua" w:cs="Arial"/>
          <w:sz w:val="24"/>
          <w:szCs w:val="24"/>
          <w:lang w:val="es-ES_tradnl"/>
        </w:rPr>
      </w:pPr>
      <w:r w:rsidRPr="00F75CD7">
        <w:rPr>
          <w:rFonts w:ascii="Book Antiqua" w:eastAsia="Calibri" w:hAnsi="Book Antiqua" w:cs="Arial"/>
          <w:sz w:val="24"/>
          <w:szCs w:val="24"/>
          <w:lang w:val="es-ES_tradnl"/>
        </w:rPr>
        <w:t>A nivel de los Juzgados competentes en materia de Violencia Doméstica existe coordinación con:</w:t>
      </w:r>
    </w:p>
    <w:p w14:paraId="5339389D" w14:textId="77777777" w:rsidR="00F75CD7" w:rsidRPr="00F75CD7" w:rsidRDefault="00F75CD7" w:rsidP="00F75CD7">
      <w:pPr>
        <w:spacing w:after="0" w:line="276" w:lineRule="auto"/>
        <w:jc w:val="both"/>
        <w:rPr>
          <w:rFonts w:ascii="Book Antiqua" w:eastAsia="Calibri" w:hAnsi="Book Antiqua" w:cs="Arial"/>
          <w:sz w:val="24"/>
          <w:szCs w:val="24"/>
          <w:lang w:val="es-ES_tradnl"/>
        </w:rPr>
      </w:pPr>
    </w:p>
    <w:p w14:paraId="6A3DE7DC"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Departamento de Trabajo Social y Psicología (valoraciones en caso de personas adultas mayores que no se pueden presentar al Juzgado, soporte en audiencias complejas con estudios sociales, psicológicos para conocer la dinámica entre las partes, entre otros; atención en crisis de las presuntas víctimas). Acompañamiento en visitas domiciliarias. Seguimiento a las medidas de protección dictadas en causas donde figura una persona adulta mayor.  </w:t>
      </w:r>
    </w:p>
    <w:p w14:paraId="63F4E080"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Oficinas de Atención y Protección a Víctimas y Testigos. En casos muy específicos en que existe un riesgo alto para la vida de la persona víctima. </w:t>
      </w:r>
    </w:p>
    <w:p w14:paraId="445578D3"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Patronato Nacional de la Infancia (cuando haya menores de edad involucrados). Seguimiento a las medidas de protección dictadas en causas donde figura una persona menor de edad. </w:t>
      </w:r>
    </w:p>
    <w:p w14:paraId="1E0906D4"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Medicatura Forense (solicitudes de valoración médica a las presuntas víctimas por la posible comisión de un delito).  También pericias psicológicas o psiquiátricas para determinar capacidad persona para ser parte del proceso. </w:t>
      </w:r>
    </w:p>
    <w:p w14:paraId="5B57B421"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 xml:space="preserve">Ministerio de Seguridad Pública (notificaciones, para acompañamientos de retiro de enseres personales, desalojos, decomiso de armas, realizar citaciones). Apoyo en situaciones de emergencia. </w:t>
      </w:r>
    </w:p>
    <w:p w14:paraId="4EA629E8"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Organismo de Investigación Judicial (localización de presuntos agresores, cuando ya se cuenta con actas de notificación de Fuerza Pública negativas o cuando la persona solicitante desconoce donde se ubica el presunto agresor).</w:t>
      </w:r>
    </w:p>
    <w:p w14:paraId="57A293E7"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Caja Costarricense del Seguro Social (con la oficina de Trabajo Social, que remiten al Juzgado la referencia para que inicie la causa a nivel judicial).</w:t>
      </w:r>
    </w:p>
    <w:p w14:paraId="1310F0F8" w14:textId="77777777" w:rsidR="00F75CD7" w:rsidRPr="00F75CD7" w:rsidRDefault="00F75CD7" w:rsidP="0090609F">
      <w:pPr>
        <w:numPr>
          <w:ilvl w:val="0"/>
          <w:numId w:val="27"/>
        </w:numPr>
        <w:spacing w:after="0" w:line="276" w:lineRule="auto"/>
        <w:contextualSpacing/>
        <w:jc w:val="both"/>
        <w:rPr>
          <w:rFonts w:ascii="Book Antiqua" w:eastAsia="Calibri" w:hAnsi="Book Antiqua" w:cs="Arial"/>
          <w:sz w:val="24"/>
          <w:szCs w:val="24"/>
          <w:lang w:val="es-ES_tradnl" w:eastAsia="es-CR"/>
        </w:rPr>
      </w:pPr>
      <w:r w:rsidRPr="00F75CD7">
        <w:rPr>
          <w:rFonts w:ascii="Book Antiqua" w:eastAsia="Calibri" w:hAnsi="Book Antiqua" w:cs="Arial"/>
          <w:sz w:val="24"/>
          <w:szCs w:val="24"/>
          <w:lang w:val="es-ES_tradnl" w:eastAsia="es-CR"/>
        </w:rPr>
        <w:t>Juzgados de Pensiones Alimentarias: cuando deben realizar un testimonio de piezas o coordinación para otorgar una pensión alimentaria provisional.</w:t>
      </w:r>
    </w:p>
    <w:p w14:paraId="6D77717E" w14:textId="1A49D4C1" w:rsidR="006A551F" w:rsidRDefault="006A551F" w:rsidP="00A65874">
      <w:pPr>
        <w:rPr>
          <w:lang w:val="es-ES"/>
        </w:rPr>
      </w:pPr>
    </w:p>
    <w:p w14:paraId="491F0708" w14:textId="3C749DD1" w:rsidR="00D87E50" w:rsidRDefault="00D87E50" w:rsidP="001D0C10">
      <w:pPr>
        <w:jc w:val="both"/>
        <w:rPr>
          <w:rFonts w:ascii="Book Antiqua" w:eastAsia="Calibri" w:hAnsi="Book Antiqua" w:cs="Arial"/>
          <w:sz w:val="24"/>
          <w:szCs w:val="24"/>
          <w:lang w:val="es-ES_tradnl" w:eastAsia="es-CR"/>
        </w:rPr>
      </w:pPr>
      <w:r w:rsidRPr="001D0C10">
        <w:rPr>
          <w:rFonts w:ascii="Book Antiqua" w:eastAsia="Calibri" w:hAnsi="Book Antiqua" w:cs="Arial"/>
          <w:sz w:val="24"/>
          <w:szCs w:val="24"/>
          <w:lang w:val="es-ES_tradnl" w:eastAsia="es-CR"/>
        </w:rPr>
        <w:lastRenderedPageBreak/>
        <w:t>Como parte del modelo de tramitación se está revisando</w:t>
      </w:r>
      <w:r w:rsidR="00067F9C" w:rsidRPr="001D0C10">
        <w:rPr>
          <w:rFonts w:ascii="Book Antiqua" w:eastAsia="Calibri" w:hAnsi="Book Antiqua" w:cs="Arial"/>
          <w:sz w:val="24"/>
          <w:szCs w:val="24"/>
          <w:lang w:val="es-ES_tradnl" w:eastAsia="es-CR"/>
        </w:rPr>
        <w:t xml:space="preserve"> las prácticas que se deben implementar con cada una de estas instituciones para la correcta tramitación de la </w:t>
      </w:r>
      <w:r w:rsidR="00F70A7A">
        <w:rPr>
          <w:rFonts w:ascii="Book Antiqua" w:eastAsia="Calibri" w:hAnsi="Book Antiqua" w:cs="Arial"/>
          <w:sz w:val="24"/>
          <w:szCs w:val="24"/>
          <w:lang w:val="es-ES_tradnl" w:eastAsia="es-CR"/>
        </w:rPr>
        <w:t>materia de V</w:t>
      </w:r>
      <w:r w:rsidR="00067F9C" w:rsidRPr="001D0C10">
        <w:rPr>
          <w:rFonts w:ascii="Book Antiqua" w:eastAsia="Calibri" w:hAnsi="Book Antiqua" w:cs="Arial"/>
          <w:sz w:val="24"/>
          <w:szCs w:val="24"/>
          <w:lang w:val="es-ES_tradnl" w:eastAsia="es-CR"/>
        </w:rPr>
        <w:t xml:space="preserve">iolencia </w:t>
      </w:r>
      <w:r w:rsidR="00F70A7A">
        <w:rPr>
          <w:rFonts w:ascii="Book Antiqua" w:eastAsia="Calibri" w:hAnsi="Book Antiqua" w:cs="Arial"/>
          <w:sz w:val="24"/>
          <w:szCs w:val="24"/>
          <w:lang w:val="es-ES_tradnl" w:eastAsia="es-CR"/>
        </w:rPr>
        <w:t>D</w:t>
      </w:r>
      <w:r w:rsidR="00067F9C" w:rsidRPr="001D0C10">
        <w:rPr>
          <w:rFonts w:ascii="Book Antiqua" w:eastAsia="Calibri" w:hAnsi="Book Antiqua" w:cs="Arial"/>
          <w:sz w:val="24"/>
          <w:szCs w:val="24"/>
          <w:lang w:val="es-ES_tradnl" w:eastAsia="es-CR"/>
        </w:rPr>
        <w:t>oméstica.</w:t>
      </w:r>
    </w:p>
    <w:p w14:paraId="60D73836" w14:textId="77777777" w:rsidR="00F37FEE" w:rsidRPr="001D0C10" w:rsidRDefault="00F37FEE" w:rsidP="001D0C10">
      <w:pPr>
        <w:jc w:val="both"/>
        <w:rPr>
          <w:rFonts w:ascii="Book Antiqua" w:eastAsia="Calibri" w:hAnsi="Book Antiqua" w:cs="Arial"/>
          <w:sz w:val="24"/>
          <w:szCs w:val="24"/>
          <w:lang w:val="es-ES_tradnl" w:eastAsia="es-CR"/>
        </w:rPr>
      </w:pPr>
    </w:p>
    <w:p w14:paraId="1B0FBD38" w14:textId="31A4198E" w:rsidR="00F75CD7" w:rsidRPr="003A1A2A" w:rsidRDefault="00F75CD7" w:rsidP="003A1A2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A1A2A">
        <w:rPr>
          <w:rFonts w:ascii="Book Antiqua" w:eastAsiaTheme="majorEastAsia" w:hAnsi="Book Antiqua" w:cstheme="majorBidi"/>
          <w:b/>
          <w:color w:val="1F3864" w:themeColor="accent1" w:themeShade="80"/>
          <w:sz w:val="24"/>
          <w:lang w:val="es-ES"/>
        </w:rPr>
        <w:t>Sistemas Informáticos</w:t>
      </w:r>
    </w:p>
    <w:p w14:paraId="4D8AD2B8" w14:textId="77777777" w:rsidR="003A1A2A" w:rsidRDefault="003A1A2A" w:rsidP="00F75CD7">
      <w:pPr>
        <w:spacing w:after="0" w:line="276" w:lineRule="auto"/>
        <w:jc w:val="both"/>
        <w:rPr>
          <w:rFonts w:ascii="Book Antiqua" w:eastAsia="Calibri" w:hAnsi="Book Antiqua" w:cs="Arial"/>
          <w:sz w:val="24"/>
          <w:szCs w:val="24"/>
        </w:rPr>
      </w:pPr>
    </w:p>
    <w:p w14:paraId="795E0678" w14:textId="7F752EA1" w:rsidR="00F75CD7" w:rsidRPr="00F75CD7" w:rsidRDefault="00F75CD7" w:rsidP="00F75CD7">
      <w:pPr>
        <w:spacing w:after="0" w:line="276" w:lineRule="auto"/>
        <w:jc w:val="both"/>
        <w:rPr>
          <w:rFonts w:ascii="Book Antiqua" w:eastAsia="Calibri" w:hAnsi="Book Antiqua" w:cs="Arial"/>
          <w:sz w:val="24"/>
          <w:szCs w:val="24"/>
        </w:rPr>
      </w:pPr>
      <w:r w:rsidRPr="00F75CD7">
        <w:rPr>
          <w:rFonts w:ascii="Book Antiqua" w:eastAsia="Calibri" w:hAnsi="Book Antiqua" w:cs="Arial"/>
          <w:sz w:val="24"/>
          <w:szCs w:val="24"/>
        </w:rPr>
        <w:t>En todos los Juzgados competentes en materia de Violencia Doméstica están implementados los siguientes sistemas:</w:t>
      </w:r>
    </w:p>
    <w:p w14:paraId="272B1199" w14:textId="77777777" w:rsidR="00F75CD7" w:rsidRPr="00F75CD7" w:rsidRDefault="00F75CD7" w:rsidP="00F75CD7">
      <w:pPr>
        <w:spacing w:after="0" w:line="276" w:lineRule="auto"/>
        <w:jc w:val="both"/>
        <w:rPr>
          <w:rFonts w:ascii="Book Antiqua" w:eastAsia="Calibri" w:hAnsi="Book Antiqua" w:cs="Arial"/>
          <w:sz w:val="24"/>
          <w:szCs w:val="24"/>
        </w:rPr>
      </w:pPr>
    </w:p>
    <w:p w14:paraId="3A4ED28E" w14:textId="77777777"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 xml:space="preserve">Sistema de Gestión en Línea </w:t>
      </w:r>
    </w:p>
    <w:p w14:paraId="7CF05F5C" w14:textId="77777777"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Escritorio Virtual con la totalidad de las mejoras que competan a la materia incluyendo la mejora de pase a fallo y de reparto automático.</w:t>
      </w:r>
    </w:p>
    <w:p w14:paraId="2C873B18" w14:textId="77777777"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Sistema de Gestión de despachos judiciales</w:t>
      </w:r>
    </w:p>
    <w:p w14:paraId="5AF2C622" w14:textId="77777777"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Sistema de Itineraciones</w:t>
      </w:r>
    </w:p>
    <w:p w14:paraId="2EA7EBF5" w14:textId="77777777" w:rsidR="00F75CD7" w:rsidRPr="00F75CD7" w:rsidRDefault="00F75CD7"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F75CD7">
        <w:rPr>
          <w:rFonts w:ascii="Book Antiqua" w:eastAsia="Calibri" w:hAnsi="Book Antiqua" w:cs="Arial"/>
          <w:sz w:val="24"/>
          <w:szCs w:val="24"/>
          <w:lang w:eastAsia="es-CR"/>
        </w:rPr>
        <w:t>Sistema de Rol de Peritos</w:t>
      </w:r>
    </w:p>
    <w:p w14:paraId="5BCB475E" w14:textId="77777777" w:rsidR="00695918" w:rsidRPr="00695918" w:rsidRDefault="00695918"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Agenda Cronos</w:t>
      </w:r>
    </w:p>
    <w:p w14:paraId="207DCBC6" w14:textId="77777777" w:rsidR="00695918" w:rsidRPr="00695918" w:rsidRDefault="00695918"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Sistema de Mensajería Masiva CEMSMS</w:t>
      </w:r>
    </w:p>
    <w:p w14:paraId="14FF309E" w14:textId="77777777" w:rsidR="00695918" w:rsidRPr="00695918" w:rsidRDefault="00695918"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Sistema de Registro de Personas Agresoras</w:t>
      </w:r>
    </w:p>
    <w:p w14:paraId="0F16A98D" w14:textId="1CC40E78" w:rsidR="00F75CD7" w:rsidRDefault="00F75CD7" w:rsidP="00A65874">
      <w:pPr>
        <w:rPr>
          <w:lang w:val="es-ES"/>
        </w:rPr>
      </w:pPr>
    </w:p>
    <w:p w14:paraId="04BF42FC" w14:textId="56EFCE79" w:rsidR="00695918" w:rsidRDefault="00695918" w:rsidP="00695918">
      <w:pPr>
        <w:spacing w:after="0" w:line="276" w:lineRule="auto"/>
        <w:jc w:val="both"/>
        <w:rPr>
          <w:rFonts w:ascii="Book Antiqua" w:eastAsia="Calibri" w:hAnsi="Book Antiqua" w:cs="Arial"/>
          <w:b/>
          <w:bCs/>
          <w:i/>
          <w:iCs/>
          <w:sz w:val="24"/>
          <w:szCs w:val="24"/>
        </w:rPr>
      </w:pPr>
      <w:r w:rsidRPr="00695918">
        <w:rPr>
          <w:rFonts w:ascii="Book Antiqua" w:eastAsia="Calibri" w:hAnsi="Book Antiqua" w:cs="Arial"/>
          <w:sz w:val="24"/>
          <w:szCs w:val="24"/>
        </w:rPr>
        <w:t xml:space="preserve">Al finalizar 2020 todos Juzgados de Violencia Doméstica cuentan con los sistemas debidamente implementados por parte de la Dirección de Tecnología de la Información. La información se certificó como entregable dentro del Proyecto de implementación del CPF, </w:t>
      </w:r>
      <w:r w:rsidRPr="00AA411E">
        <w:rPr>
          <w:rFonts w:ascii="Book Antiqua" w:eastAsia="Calibri" w:hAnsi="Book Antiqua" w:cs="Arial"/>
          <w:b/>
          <w:bCs/>
          <w:i/>
          <w:iCs/>
          <w:sz w:val="24"/>
          <w:szCs w:val="24"/>
        </w:rPr>
        <w:t xml:space="preserve">anexo </w:t>
      </w:r>
      <w:r w:rsidR="00826A36">
        <w:rPr>
          <w:rFonts w:ascii="Book Antiqua" w:eastAsia="Calibri" w:hAnsi="Book Antiqua" w:cs="Arial"/>
          <w:b/>
          <w:bCs/>
          <w:i/>
          <w:iCs/>
          <w:sz w:val="24"/>
          <w:szCs w:val="24"/>
        </w:rPr>
        <w:t>10</w:t>
      </w:r>
      <w:r w:rsidRPr="00AA411E">
        <w:rPr>
          <w:rFonts w:ascii="Book Antiqua" w:eastAsia="Calibri" w:hAnsi="Book Antiqua" w:cs="Arial"/>
          <w:b/>
          <w:bCs/>
          <w:i/>
          <w:iCs/>
          <w:sz w:val="24"/>
          <w:szCs w:val="24"/>
        </w:rPr>
        <w:t>.</w:t>
      </w:r>
    </w:p>
    <w:p w14:paraId="0B6CC1AA" w14:textId="77777777" w:rsidR="00040602" w:rsidRDefault="00040602" w:rsidP="00695918">
      <w:pPr>
        <w:spacing w:after="0" w:line="276" w:lineRule="auto"/>
        <w:jc w:val="both"/>
        <w:rPr>
          <w:rFonts w:ascii="Book Antiqua" w:eastAsia="Calibri" w:hAnsi="Book Antiqua" w:cs="Arial"/>
          <w:b/>
          <w:bCs/>
          <w:i/>
          <w:iCs/>
          <w:sz w:val="24"/>
          <w:szCs w:val="24"/>
        </w:rPr>
      </w:pPr>
    </w:p>
    <w:p w14:paraId="63D3595B" w14:textId="21D629A5" w:rsidR="00040602" w:rsidRPr="00040602" w:rsidRDefault="00040602" w:rsidP="00695918">
      <w:pPr>
        <w:spacing w:after="0" w:line="276" w:lineRule="auto"/>
        <w:jc w:val="both"/>
        <w:rPr>
          <w:rFonts w:ascii="Book Antiqua" w:eastAsia="Calibri" w:hAnsi="Book Antiqua" w:cs="Arial"/>
          <w:sz w:val="24"/>
          <w:szCs w:val="24"/>
          <w:highlight w:val="yellow"/>
        </w:rPr>
      </w:pPr>
      <w:r>
        <w:rPr>
          <w:rFonts w:ascii="Book Antiqua" w:eastAsia="Calibri" w:hAnsi="Book Antiqua" w:cs="Arial"/>
          <w:sz w:val="24"/>
          <w:szCs w:val="24"/>
        </w:rPr>
        <w:t xml:space="preserve">Adicionalmente como parte del proyecto de despacho modelo de </w:t>
      </w:r>
      <w:r w:rsidR="00A46B83">
        <w:rPr>
          <w:rFonts w:ascii="Book Antiqua" w:eastAsia="Calibri" w:hAnsi="Book Antiqua" w:cs="Arial"/>
          <w:sz w:val="24"/>
          <w:szCs w:val="24"/>
        </w:rPr>
        <w:t>V</w:t>
      </w:r>
      <w:r>
        <w:rPr>
          <w:rFonts w:ascii="Book Antiqua" w:eastAsia="Calibri" w:hAnsi="Book Antiqua" w:cs="Arial"/>
          <w:sz w:val="24"/>
          <w:szCs w:val="24"/>
        </w:rPr>
        <w:t xml:space="preserve">iolencia </w:t>
      </w:r>
      <w:r w:rsidR="00A46B83">
        <w:rPr>
          <w:rFonts w:ascii="Book Antiqua" w:eastAsia="Calibri" w:hAnsi="Book Antiqua" w:cs="Arial"/>
          <w:sz w:val="24"/>
          <w:szCs w:val="24"/>
        </w:rPr>
        <w:t>D</w:t>
      </w:r>
      <w:r>
        <w:rPr>
          <w:rFonts w:ascii="Book Antiqua" w:eastAsia="Calibri" w:hAnsi="Book Antiqua" w:cs="Arial"/>
          <w:sz w:val="24"/>
          <w:szCs w:val="24"/>
        </w:rPr>
        <w:t xml:space="preserve">oméstica se han recopilado una serie de </w:t>
      </w:r>
      <w:r w:rsidR="00753055">
        <w:rPr>
          <w:rFonts w:ascii="Book Antiqua" w:eastAsia="Calibri" w:hAnsi="Book Antiqua" w:cs="Arial"/>
          <w:sz w:val="24"/>
          <w:szCs w:val="24"/>
        </w:rPr>
        <w:t xml:space="preserve">mejoras tecnológicas que </w:t>
      </w:r>
      <w:r w:rsidR="00653AE1">
        <w:rPr>
          <w:rFonts w:ascii="Book Antiqua" w:eastAsia="Calibri" w:hAnsi="Book Antiqua" w:cs="Arial"/>
          <w:sz w:val="24"/>
          <w:szCs w:val="24"/>
        </w:rPr>
        <w:t>promuevan la automatización y simplificación de trámites.</w:t>
      </w:r>
    </w:p>
    <w:p w14:paraId="286BD614" w14:textId="77777777" w:rsidR="00695918" w:rsidRDefault="00695918" w:rsidP="00A65874">
      <w:pPr>
        <w:rPr>
          <w:lang w:val="es-ES"/>
        </w:rPr>
      </w:pPr>
    </w:p>
    <w:p w14:paraId="25595FF9" w14:textId="36AC6A00" w:rsidR="00695918" w:rsidRPr="003A1A2A" w:rsidRDefault="00695918" w:rsidP="003A1A2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A1A2A">
        <w:rPr>
          <w:rFonts w:ascii="Book Antiqua" w:eastAsiaTheme="majorEastAsia" w:hAnsi="Book Antiqua" w:cstheme="majorBidi"/>
          <w:b/>
          <w:color w:val="1F3864" w:themeColor="accent1" w:themeShade="80"/>
          <w:sz w:val="24"/>
          <w:lang w:val="es-ES"/>
        </w:rPr>
        <w:t>Libros de Control</w:t>
      </w:r>
    </w:p>
    <w:p w14:paraId="38FAD60D" w14:textId="77777777" w:rsidR="003A1A2A" w:rsidRDefault="003A1A2A" w:rsidP="00695918">
      <w:pPr>
        <w:spacing w:after="0" w:line="276" w:lineRule="auto"/>
        <w:jc w:val="both"/>
        <w:rPr>
          <w:rFonts w:ascii="Book Antiqua" w:eastAsia="Calibri" w:hAnsi="Book Antiqua" w:cs="Arial"/>
          <w:sz w:val="24"/>
          <w:szCs w:val="24"/>
        </w:rPr>
      </w:pPr>
    </w:p>
    <w:p w14:paraId="57636C7B" w14:textId="3F40EE18"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Los Juzgados de Violencia Doméstica </w:t>
      </w:r>
      <w:r w:rsidR="00F70A7A">
        <w:rPr>
          <w:rFonts w:ascii="Book Antiqua" w:eastAsia="Calibri" w:hAnsi="Book Antiqua" w:cs="Arial"/>
          <w:sz w:val="24"/>
          <w:szCs w:val="24"/>
        </w:rPr>
        <w:t xml:space="preserve">actualmente </w:t>
      </w:r>
      <w:r w:rsidRPr="00695918">
        <w:rPr>
          <w:rFonts w:ascii="Book Antiqua" w:eastAsia="Calibri" w:hAnsi="Book Antiqua" w:cs="Arial"/>
          <w:sz w:val="24"/>
          <w:szCs w:val="24"/>
        </w:rPr>
        <w:t>deben llevar como mínimo los siguientes libros de control</w:t>
      </w:r>
      <w:r w:rsidR="00F70A7A">
        <w:rPr>
          <w:rFonts w:ascii="Book Antiqua" w:eastAsia="Calibri" w:hAnsi="Book Antiqua" w:cs="Arial"/>
          <w:sz w:val="24"/>
          <w:szCs w:val="24"/>
        </w:rPr>
        <w:t xml:space="preserve">. Sin embargo, parte de los entregables del proyecto, será </w:t>
      </w:r>
      <w:r w:rsidR="00F70A7A">
        <w:rPr>
          <w:rFonts w:ascii="Book Antiqua" w:eastAsia="Calibri" w:hAnsi="Book Antiqua" w:cs="Arial"/>
          <w:sz w:val="24"/>
          <w:szCs w:val="24"/>
        </w:rPr>
        <w:lastRenderedPageBreak/>
        <w:t>definir junto con los distintos órganos de control cuales son los controles indispensables y cuáles pueden ser sustituidos por algún otro medio automatizado</w:t>
      </w:r>
    </w:p>
    <w:p w14:paraId="1C45814E" w14:textId="77777777" w:rsidR="00695918" w:rsidRPr="00695918" w:rsidRDefault="00695918" w:rsidP="00695918">
      <w:pPr>
        <w:spacing w:after="0" w:line="276" w:lineRule="auto"/>
        <w:jc w:val="both"/>
        <w:rPr>
          <w:rFonts w:ascii="Book Antiqua" w:eastAsia="Calibri" w:hAnsi="Book Antiqua" w:cs="Arial"/>
          <w:sz w:val="24"/>
          <w:szCs w:val="24"/>
        </w:rPr>
      </w:pPr>
    </w:p>
    <w:p w14:paraId="317E3FEA"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pase a fallo y utilización módulo de pase a fallo en el Escritorio Virtual</w:t>
      </w:r>
    </w:p>
    <w:p w14:paraId="5366BEC9"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juramentaciones</w:t>
      </w:r>
    </w:p>
    <w:p w14:paraId="27B20980"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remisión de recursos al Tribunal de Familia</w:t>
      </w:r>
    </w:p>
    <w:p w14:paraId="74233D3A"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sustituciones</w:t>
      </w:r>
    </w:p>
    <w:p w14:paraId="06F0D016"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Comisiones enviadas y recibidas</w:t>
      </w:r>
    </w:p>
    <w:p w14:paraId="5F6B92C3" w14:textId="77777777" w:rsidR="00695918" w:rsidRPr="00695918" w:rsidRDefault="00695918"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Libro de control de atención al público</w:t>
      </w:r>
    </w:p>
    <w:p w14:paraId="3CEA3A93" w14:textId="77777777" w:rsidR="00695918" w:rsidRPr="00695918" w:rsidRDefault="00695918" w:rsidP="00695918">
      <w:pPr>
        <w:spacing w:after="0" w:line="276" w:lineRule="auto"/>
        <w:jc w:val="both"/>
        <w:rPr>
          <w:rFonts w:ascii="Book Antiqua" w:eastAsia="Calibri" w:hAnsi="Book Antiqua" w:cs="Arial"/>
          <w:sz w:val="24"/>
          <w:szCs w:val="24"/>
        </w:rPr>
      </w:pPr>
    </w:p>
    <w:p w14:paraId="00D5FD49"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bookmarkStart w:id="60" w:name="_Hlk63412425"/>
      <w:r w:rsidRPr="00695918">
        <w:rPr>
          <w:rFonts w:ascii="Book Antiqua" w:eastAsia="Calibri" w:hAnsi="Book Antiqua" w:cs="Arial"/>
          <w:sz w:val="24"/>
          <w:szCs w:val="24"/>
          <w:lang w:eastAsia="es-CR"/>
        </w:rPr>
        <w:t>Actualmente llevan también un Libro de resoluciones de mantener medidas.</w:t>
      </w:r>
    </w:p>
    <w:p w14:paraId="2C6291DE"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p>
    <w:p w14:paraId="5C82BBE7" w14:textId="23F496A9" w:rsidR="00695918" w:rsidRPr="00695918" w:rsidRDefault="00695918" w:rsidP="00695918">
      <w:pPr>
        <w:spacing w:after="0" w:line="276" w:lineRule="auto"/>
        <w:jc w:val="both"/>
        <w:rPr>
          <w:rFonts w:ascii="Book Antiqua" w:eastAsia="Calibri" w:hAnsi="Book Antiqua" w:cs="Arial"/>
          <w:sz w:val="24"/>
          <w:szCs w:val="24"/>
        </w:rPr>
      </w:pPr>
      <w:r w:rsidRPr="00404722">
        <w:rPr>
          <w:rFonts w:ascii="Book Antiqua" w:eastAsia="Calibri" w:hAnsi="Book Antiqua" w:cs="Arial"/>
          <w:sz w:val="24"/>
          <w:szCs w:val="24"/>
        </w:rPr>
        <w:t xml:space="preserve">Respecto a la obligatoriedad en el uso del módulo de pase a fallo, reparto y voto automáticos, la </w:t>
      </w:r>
      <w:r w:rsidRPr="00404722">
        <w:rPr>
          <w:rFonts w:ascii="Book Antiqua" w:eastAsia="Calibri" w:hAnsi="Book Antiqua" w:cs="Arial"/>
          <w:b/>
          <w:bCs/>
          <w:i/>
          <w:iCs/>
          <w:sz w:val="24"/>
          <w:szCs w:val="24"/>
        </w:rPr>
        <w:t>Comisión Permanente para el Seguimiento de la Atención y Prevención de la Violencia Intrafamiliar</w:t>
      </w:r>
      <w:r w:rsidRPr="00404722">
        <w:rPr>
          <w:rFonts w:ascii="Book Antiqua" w:eastAsia="Calibri" w:hAnsi="Book Antiqua" w:cs="Arial"/>
          <w:sz w:val="24"/>
          <w:szCs w:val="24"/>
        </w:rPr>
        <w:t xml:space="preserve"> </w:t>
      </w:r>
      <w:r w:rsidR="00F70A7A">
        <w:rPr>
          <w:rFonts w:ascii="Book Antiqua" w:eastAsia="Calibri" w:hAnsi="Book Antiqua" w:cs="Arial"/>
          <w:sz w:val="24"/>
          <w:szCs w:val="24"/>
        </w:rPr>
        <w:t xml:space="preserve">solicito al </w:t>
      </w:r>
      <w:r w:rsidRPr="00404722">
        <w:rPr>
          <w:rFonts w:ascii="Book Antiqua" w:eastAsia="Calibri" w:hAnsi="Book Antiqua" w:cs="Arial"/>
          <w:sz w:val="24"/>
          <w:szCs w:val="24"/>
        </w:rPr>
        <w:t xml:space="preserve">Consejo Superior una directriz </w:t>
      </w:r>
      <w:r w:rsidR="00F70A7A">
        <w:rPr>
          <w:rFonts w:ascii="Book Antiqua" w:eastAsia="Calibri" w:hAnsi="Book Antiqua" w:cs="Arial"/>
          <w:sz w:val="24"/>
          <w:szCs w:val="24"/>
        </w:rPr>
        <w:t xml:space="preserve">para regular este informe y al respecto se emitió la circular </w:t>
      </w:r>
      <w:r w:rsidR="0088000C">
        <w:rPr>
          <w:rFonts w:ascii="Book Antiqua" w:eastAsia="Calibri" w:hAnsi="Book Antiqua" w:cs="Arial"/>
          <w:sz w:val="24"/>
          <w:szCs w:val="24"/>
        </w:rPr>
        <w:t>168-2021.</w:t>
      </w:r>
    </w:p>
    <w:bookmarkEnd w:id="60"/>
    <w:p w14:paraId="27F1E8C2" w14:textId="29C60D8E" w:rsidR="00F75CD7" w:rsidRPr="001D0C10" w:rsidRDefault="0088000C" w:rsidP="001D0C10">
      <w:pPr>
        <w:spacing w:line="276" w:lineRule="auto"/>
        <w:jc w:val="both"/>
        <w:rPr>
          <w:rFonts w:ascii="Book Antiqua" w:hAnsi="Book Antiqua"/>
          <w:sz w:val="24"/>
          <w:szCs w:val="24"/>
          <w:lang w:val="es-ES"/>
        </w:rPr>
      </w:pPr>
      <w:r w:rsidRPr="001D0C10">
        <w:rPr>
          <w:rFonts w:ascii="Book Antiqua" w:hAnsi="Book Antiqua"/>
          <w:sz w:val="24"/>
          <w:szCs w:val="24"/>
          <w:lang w:val="es-ES"/>
        </w:rPr>
        <w:t xml:space="preserve">Adicionalmente se han emitido algunas otras directrices para estandarizar la tramitación en </w:t>
      </w:r>
      <w:r w:rsidRPr="0088000C">
        <w:rPr>
          <w:rFonts w:ascii="Book Antiqua" w:hAnsi="Book Antiqua"/>
          <w:sz w:val="24"/>
          <w:szCs w:val="24"/>
          <w:lang w:val="es-ES"/>
        </w:rPr>
        <w:t>esta materia</w:t>
      </w:r>
      <w:r w:rsidRPr="001D0C10">
        <w:rPr>
          <w:rFonts w:ascii="Book Antiqua" w:hAnsi="Book Antiqua"/>
          <w:sz w:val="24"/>
          <w:szCs w:val="24"/>
          <w:lang w:val="es-ES"/>
        </w:rPr>
        <w:t xml:space="preserve">: </w:t>
      </w:r>
    </w:p>
    <w:p w14:paraId="2A07710C" w14:textId="3860B651" w:rsidR="0088000C" w:rsidRPr="001D0C10" w:rsidRDefault="0088000C" w:rsidP="0090609F">
      <w:pPr>
        <w:pStyle w:val="Prrafodelista"/>
        <w:numPr>
          <w:ilvl w:val="0"/>
          <w:numId w:val="15"/>
        </w:numPr>
        <w:spacing w:line="276" w:lineRule="auto"/>
        <w:jc w:val="both"/>
        <w:rPr>
          <w:rFonts w:ascii="Book Antiqua" w:hAnsi="Book Antiqua"/>
          <w:sz w:val="24"/>
          <w:szCs w:val="24"/>
          <w:lang w:val="es-ES"/>
        </w:rPr>
      </w:pPr>
      <w:r w:rsidRPr="001D0C10">
        <w:rPr>
          <w:rFonts w:ascii="Book Antiqua" w:hAnsi="Book Antiqua"/>
          <w:sz w:val="24"/>
          <w:szCs w:val="24"/>
          <w:lang w:val="es-ES"/>
        </w:rPr>
        <w:t xml:space="preserve">Circular 221-2021 </w:t>
      </w:r>
      <w:r w:rsidRPr="001D0C10">
        <w:rPr>
          <w:rFonts w:ascii="Book Antiqua" w:hAnsi="Book Antiqua"/>
          <w:i/>
          <w:iCs/>
          <w:sz w:val="24"/>
          <w:szCs w:val="24"/>
          <w:lang w:val="es-ES"/>
        </w:rPr>
        <w:t>“Deber de solicitar autorización al Consejo Superior para realizar una modificación en la configuración del reparto”.</w:t>
      </w:r>
    </w:p>
    <w:p w14:paraId="713F157E" w14:textId="3FB517B0" w:rsidR="0088000C" w:rsidRPr="001D0C10" w:rsidRDefault="0088000C" w:rsidP="0090609F">
      <w:pPr>
        <w:pStyle w:val="Prrafodelista"/>
        <w:numPr>
          <w:ilvl w:val="0"/>
          <w:numId w:val="15"/>
        </w:numPr>
        <w:spacing w:line="276" w:lineRule="auto"/>
        <w:jc w:val="both"/>
        <w:rPr>
          <w:rFonts w:ascii="Book Antiqua" w:hAnsi="Book Antiqua"/>
          <w:sz w:val="24"/>
          <w:szCs w:val="24"/>
          <w:lang w:val="es-ES"/>
        </w:rPr>
      </w:pPr>
      <w:r w:rsidRPr="001D0C10">
        <w:rPr>
          <w:rFonts w:ascii="Book Antiqua" w:hAnsi="Book Antiqua"/>
          <w:sz w:val="24"/>
          <w:szCs w:val="24"/>
          <w:lang w:val="es-ES"/>
        </w:rPr>
        <w:t>Circular 267-2021 “</w:t>
      </w:r>
      <w:r w:rsidRPr="001D0C10">
        <w:rPr>
          <w:rFonts w:ascii="Book Antiqua" w:hAnsi="Book Antiqua"/>
          <w:i/>
          <w:iCs/>
          <w:sz w:val="24"/>
          <w:szCs w:val="24"/>
          <w:lang w:val="es-ES"/>
        </w:rPr>
        <w:t xml:space="preserve">Obligación de cumplir con la corrección de inconsistencias </w:t>
      </w:r>
      <w:r w:rsidR="00E85731">
        <w:rPr>
          <w:rFonts w:ascii="Book Antiqua" w:hAnsi="Book Antiqua"/>
          <w:i/>
          <w:iCs/>
          <w:sz w:val="24"/>
          <w:szCs w:val="24"/>
          <w:lang w:val="es-ES"/>
        </w:rPr>
        <w:t>–</w:t>
      </w:r>
      <w:r w:rsidRPr="001D0C10">
        <w:rPr>
          <w:rFonts w:ascii="Book Antiqua" w:hAnsi="Book Antiqua"/>
          <w:i/>
          <w:iCs/>
          <w:sz w:val="24"/>
          <w:szCs w:val="24"/>
          <w:lang w:val="es-ES"/>
        </w:rPr>
        <w:t xml:space="preserve"> aplicar el régimen disciplinario por su incumplimiento</w:t>
      </w:r>
      <w:r w:rsidRPr="001D0C10">
        <w:rPr>
          <w:rFonts w:ascii="Book Antiqua" w:hAnsi="Book Antiqua"/>
          <w:sz w:val="24"/>
          <w:szCs w:val="24"/>
          <w:lang w:val="es-ES"/>
        </w:rPr>
        <w:t>”.</w:t>
      </w:r>
    </w:p>
    <w:p w14:paraId="70A5DDFE" w14:textId="058B5382" w:rsidR="0088000C" w:rsidRPr="001D0C10" w:rsidRDefault="0088000C" w:rsidP="0090609F">
      <w:pPr>
        <w:pStyle w:val="Prrafodelista"/>
        <w:numPr>
          <w:ilvl w:val="0"/>
          <w:numId w:val="15"/>
        </w:numPr>
        <w:spacing w:line="276" w:lineRule="auto"/>
        <w:jc w:val="both"/>
        <w:rPr>
          <w:rFonts w:ascii="Book Antiqua" w:hAnsi="Book Antiqua"/>
          <w:i/>
          <w:iCs/>
          <w:sz w:val="24"/>
          <w:szCs w:val="24"/>
          <w:lang w:val="es-ES"/>
        </w:rPr>
      </w:pPr>
      <w:r w:rsidRPr="001D0C10">
        <w:rPr>
          <w:rFonts w:ascii="Book Antiqua" w:hAnsi="Book Antiqua"/>
          <w:sz w:val="24"/>
          <w:szCs w:val="24"/>
          <w:lang w:val="es-ES"/>
        </w:rPr>
        <w:t xml:space="preserve">Circular 110-20 </w:t>
      </w:r>
      <w:r w:rsidRPr="001D0C10">
        <w:rPr>
          <w:rFonts w:ascii="Book Antiqua" w:hAnsi="Book Antiqua"/>
          <w:i/>
          <w:iCs/>
          <w:sz w:val="24"/>
          <w:szCs w:val="24"/>
          <w:lang w:val="es-ES"/>
        </w:rPr>
        <w:t>“Reiterar la Circular N 60-99 relacionado con las Reglas prácticas para facilitar la aplicación efectiva de la Ley contra la violencia doméstica”.</w:t>
      </w:r>
    </w:p>
    <w:p w14:paraId="4D0F64C3" w14:textId="53716C1F" w:rsidR="0088000C" w:rsidRPr="001D0C10" w:rsidRDefault="0088000C" w:rsidP="0090609F">
      <w:pPr>
        <w:pStyle w:val="Prrafodelista"/>
        <w:numPr>
          <w:ilvl w:val="0"/>
          <w:numId w:val="15"/>
        </w:numPr>
        <w:spacing w:line="276" w:lineRule="auto"/>
        <w:jc w:val="both"/>
        <w:rPr>
          <w:rFonts w:ascii="Book Antiqua" w:hAnsi="Book Antiqua"/>
          <w:sz w:val="24"/>
          <w:szCs w:val="24"/>
          <w:lang w:val="es-ES"/>
        </w:rPr>
      </w:pPr>
      <w:r w:rsidRPr="001D0C10">
        <w:rPr>
          <w:rFonts w:ascii="Book Antiqua" w:hAnsi="Book Antiqua"/>
          <w:sz w:val="24"/>
          <w:szCs w:val="24"/>
          <w:lang w:val="es-ES"/>
        </w:rPr>
        <w:t xml:space="preserve">Circular 234-2021 </w:t>
      </w:r>
      <w:r w:rsidRPr="001D0C10">
        <w:rPr>
          <w:rFonts w:ascii="Book Antiqua" w:hAnsi="Book Antiqua"/>
          <w:i/>
          <w:iCs/>
          <w:sz w:val="24"/>
          <w:szCs w:val="24"/>
          <w:lang w:val="es-ES"/>
        </w:rPr>
        <w:t>“Que es sen</w:t>
      </w:r>
      <w:r>
        <w:rPr>
          <w:rFonts w:ascii="Book Antiqua" w:hAnsi="Book Antiqua"/>
          <w:i/>
          <w:iCs/>
          <w:sz w:val="24"/>
          <w:szCs w:val="24"/>
          <w:lang w:val="es-ES"/>
        </w:rPr>
        <w:t>t</w:t>
      </w:r>
      <w:r w:rsidRPr="001D0C10">
        <w:rPr>
          <w:rFonts w:ascii="Book Antiqua" w:hAnsi="Book Antiqua"/>
          <w:i/>
          <w:iCs/>
          <w:sz w:val="24"/>
          <w:szCs w:val="24"/>
          <w:lang w:val="es-ES"/>
        </w:rPr>
        <w:t>encia en materia de Violencia Doméstica uso y seguimiento a la información registrada en el reporte de pase a fallo”.</w:t>
      </w:r>
    </w:p>
    <w:p w14:paraId="78372938" w14:textId="56A60747" w:rsidR="0088000C" w:rsidRPr="001D0C10" w:rsidRDefault="0088000C" w:rsidP="0090609F">
      <w:pPr>
        <w:pStyle w:val="Prrafodelista"/>
        <w:numPr>
          <w:ilvl w:val="0"/>
          <w:numId w:val="15"/>
        </w:numPr>
        <w:spacing w:line="276" w:lineRule="auto"/>
        <w:jc w:val="both"/>
        <w:rPr>
          <w:rFonts w:ascii="Book Antiqua" w:hAnsi="Book Antiqua"/>
          <w:sz w:val="24"/>
          <w:szCs w:val="24"/>
          <w:lang w:val="es-ES"/>
        </w:rPr>
      </w:pPr>
      <w:r w:rsidRPr="001D0C10">
        <w:rPr>
          <w:rFonts w:ascii="Book Antiqua" w:hAnsi="Book Antiqua"/>
          <w:sz w:val="24"/>
          <w:szCs w:val="24"/>
          <w:lang w:val="es-ES"/>
        </w:rPr>
        <w:t xml:space="preserve">Circular 266-2021 </w:t>
      </w:r>
      <w:r w:rsidRPr="001D0C10">
        <w:rPr>
          <w:rFonts w:ascii="Book Antiqua" w:hAnsi="Book Antiqua"/>
          <w:i/>
          <w:iCs/>
          <w:sz w:val="24"/>
          <w:szCs w:val="24"/>
          <w:lang w:val="es-ES"/>
        </w:rPr>
        <w:t>“Deber de notificar personalmente el auto que otorga medidas la Circular No. 50-2021 específicamente en el punto 1.3”.</w:t>
      </w:r>
    </w:p>
    <w:p w14:paraId="3A721080" w14:textId="3B944EED" w:rsidR="004C4C40" w:rsidRDefault="004C4C40" w:rsidP="0090609F">
      <w:pPr>
        <w:pStyle w:val="Prrafodelista"/>
        <w:numPr>
          <w:ilvl w:val="0"/>
          <w:numId w:val="15"/>
        </w:numPr>
        <w:spacing w:line="276" w:lineRule="auto"/>
        <w:jc w:val="both"/>
        <w:rPr>
          <w:rFonts w:ascii="Book Antiqua" w:hAnsi="Book Antiqua"/>
          <w:sz w:val="24"/>
          <w:szCs w:val="24"/>
          <w:lang w:val="es-ES"/>
        </w:rPr>
      </w:pPr>
      <w:r>
        <w:rPr>
          <w:rFonts w:ascii="Book Antiqua" w:hAnsi="Book Antiqua"/>
          <w:sz w:val="24"/>
          <w:szCs w:val="24"/>
          <w:lang w:val="es-ES"/>
        </w:rPr>
        <w:t xml:space="preserve">Próximamente se </w:t>
      </w:r>
      <w:r w:rsidR="00A46B83">
        <w:rPr>
          <w:rFonts w:ascii="Book Antiqua" w:hAnsi="Book Antiqua"/>
          <w:sz w:val="24"/>
          <w:szCs w:val="24"/>
          <w:lang w:val="es-ES"/>
        </w:rPr>
        <w:t>publicará</w:t>
      </w:r>
      <w:r>
        <w:rPr>
          <w:rFonts w:ascii="Book Antiqua" w:hAnsi="Book Antiqua"/>
          <w:sz w:val="24"/>
          <w:szCs w:val="24"/>
          <w:lang w:val="es-ES"/>
        </w:rPr>
        <w:t xml:space="preserve"> una circular para mejorar la atención procesos CLAIS o de riesgo de muerte, así como para delimitar las fases en los procesos contra la Violencia Doméstica. </w:t>
      </w:r>
    </w:p>
    <w:p w14:paraId="43A4B5BC" w14:textId="5EBD9E63" w:rsidR="00F37FEE" w:rsidRDefault="00F37FEE" w:rsidP="00F37FEE">
      <w:pPr>
        <w:spacing w:line="276" w:lineRule="auto"/>
        <w:jc w:val="both"/>
        <w:rPr>
          <w:rFonts w:ascii="Book Antiqua" w:hAnsi="Book Antiqua"/>
          <w:sz w:val="24"/>
          <w:szCs w:val="24"/>
          <w:lang w:val="es-ES"/>
        </w:rPr>
      </w:pPr>
    </w:p>
    <w:p w14:paraId="5DDDD31C" w14:textId="1B233C96" w:rsidR="00695918" w:rsidRPr="003A1A2A" w:rsidRDefault="00695918" w:rsidP="003A1A2A">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61" w:name="_Hlk97001442"/>
      <w:r w:rsidRPr="003A1A2A">
        <w:rPr>
          <w:rFonts w:ascii="Book Antiqua" w:eastAsiaTheme="majorEastAsia" w:hAnsi="Book Antiqua" w:cstheme="majorBidi"/>
          <w:b/>
          <w:color w:val="1F3864" w:themeColor="accent1" w:themeShade="80"/>
          <w:sz w:val="24"/>
          <w:lang w:val="es-ES"/>
        </w:rPr>
        <w:lastRenderedPageBreak/>
        <w:t>Modelo de Sostenibilidad y Seguimiento de los proyectos de rediseño de oficinas en materia de Violencia Doméstica</w:t>
      </w:r>
      <w:bookmarkEnd w:id="61"/>
    </w:p>
    <w:p w14:paraId="465B283B" w14:textId="77777777" w:rsidR="003A1A2A" w:rsidRDefault="003A1A2A" w:rsidP="00695918">
      <w:pPr>
        <w:spacing w:after="0" w:line="276" w:lineRule="auto"/>
        <w:jc w:val="both"/>
        <w:rPr>
          <w:rFonts w:ascii="Book Antiqua" w:eastAsia="Calibri" w:hAnsi="Book Antiqua" w:cs="Arial"/>
          <w:sz w:val="24"/>
          <w:szCs w:val="24"/>
        </w:rPr>
      </w:pPr>
    </w:p>
    <w:p w14:paraId="3E15461A" w14:textId="31D7FEEA" w:rsid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El diseño de la matriz de indicadores de gestión para los despachos competentes en materia de Violencia Doméstica tomo en consideración Rediseños en los Juzgados de Familia del Segundo Circuito Judicial de Alajuela y Cartago y fueron debidamente validados con el equipo gestor, en donde los indicadores se categorizan de la siguiente manera: </w:t>
      </w:r>
    </w:p>
    <w:p w14:paraId="6A9BA92B" w14:textId="77777777" w:rsidR="00404722" w:rsidRPr="00695918" w:rsidRDefault="00404722" w:rsidP="00695918">
      <w:pPr>
        <w:spacing w:after="0" w:line="276" w:lineRule="auto"/>
        <w:jc w:val="both"/>
        <w:rPr>
          <w:rFonts w:ascii="Book Antiqua" w:eastAsia="Calibri" w:hAnsi="Book Antiqua" w:cs="Arial"/>
          <w:sz w:val="24"/>
          <w:szCs w:val="24"/>
        </w:rPr>
      </w:pPr>
    </w:p>
    <w:p w14:paraId="512F256B" w14:textId="77777777" w:rsidR="00695918" w:rsidRPr="00695918" w:rsidRDefault="00695918" w:rsidP="00695918">
      <w:pPr>
        <w:spacing w:after="0" w:line="276" w:lineRule="auto"/>
        <w:jc w:val="both"/>
        <w:rPr>
          <w:rFonts w:ascii="Book Antiqua" w:eastAsia="Calibri" w:hAnsi="Book Antiqua" w:cs="Arial"/>
          <w:sz w:val="24"/>
        </w:rPr>
      </w:pPr>
      <w:r w:rsidRPr="00695918">
        <w:rPr>
          <w:rFonts w:ascii="Book Antiqua" w:eastAsia="Calibri" w:hAnsi="Book Antiqua" w:cs="Arial"/>
          <w:sz w:val="24"/>
        </w:rPr>
        <w:t xml:space="preserve">Rendimiento estadístico del despacho: en términos generales consisten en detallar una serie de variables estadísticas destinadas a calificar de manera general el movimiento de trabajo del despacho (entradas, salidas, circulante, etc.). </w:t>
      </w:r>
    </w:p>
    <w:p w14:paraId="18BB48C6"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p>
    <w:p w14:paraId="63E391AB"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 xml:space="preserve">Plazos: valoran cierta cantidad de actividades de acuerdo principalmente a la duración a lo interno del Despacho (dictado de sentencias, resolver demandas nuevas, resolver escritos, entre otros). </w:t>
      </w:r>
    </w:p>
    <w:p w14:paraId="2C5840BD"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p>
    <w:p w14:paraId="50B8508D" w14:textId="77777777" w:rsidR="00695918" w:rsidRPr="00695918" w:rsidRDefault="00695918" w:rsidP="00695918">
      <w:pPr>
        <w:spacing w:after="0" w:line="276" w:lineRule="auto"/>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49F70C69" w14:textId="77777777" w:rsidR="00695918" w:rsidRPr="00695918" w:rsidRDefault="00695918" w:rsidP="00695918">
      <w:pPr>
        <w:spacing w:after="0" w:line="276" w:lineRule="auto"/>
        <w:jc w:val="both"/>
        <w:rPr>
          <w:rFonts w:ascii="Book Antiqua" w:eastAsia="Calibri" w:hAnsi="Book Antiqua" w:cs="Arial"/>
          <w:sz w:val="24"/>
          <w:szCs w:val="24"/>
        </w:rPr>
      </w:pPr>
    </w:p>
    <w:p w14:paraId="25A3F429" w14:textId="2B69A26D"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Respecto a los indicadores y parámetros de estos, estos fueron sometidos a aprobación de Consejo Superior y Corte Plena mediante informe 656-PLA-RH-MI-2020 y aprobados por ambas instancias en sesiones 45-2020 celebrada el 8 de mayo de 2020, artículo XIX y sesión 31-2020 del dos de junio del 2020, artículo I, respectivamente. </w:t>
      </w:r>
    </w:p>
    <w:p w14:paraId="1DDA7E78" w14:textId="77777777" w:rsidR="00695918" w:rsidRPr="00695918" w:rsidRDefault="00695918" w:rsidP="00695918">
      <w:pPr>
        <w:spacing w:after="0" w:line="276" w:lineRule="auto"/>
        <w:jc w:val="both"/>
        <w:rPr>
          <w:rFonts w:ascii="Book Antiqua" w:eastAsia="Calibri" w:hAnsi="Book Antiqua" w:cs="Arial"/>
          <w:sz w:val="24"/>
          <w:szCs w:val="24"/>
        </w:rPr>
      </w:pPr>
    </w:p>
    <w:p w14:paraId="62329690" w14:textId="7981BB0B"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A continuación, se presenta el detalle de la matriz de indicadores de las oficinas de Violencia Doméstica especializadas, que como se indicará adelante, serán abordadas por la Dirección de Planificación durante el </w:t>
      </w:r>
      <w:r w:rsidR="00356305">
        <w:rPr>
          <w:rFonts w:ascii="Book Antiqua" w:eastAsia="Calibri" w:hAnsi="Book Antiqua" w:cs="Arial"/>
          <w:sz w:val="24"/>
          <w:szCs w:val="24"/>
        </w:rPr>
        <w:t xml:space="preserve">2022, haciendo la observación que como parte de los talleres de construcción del despacho modelo </w:t>
      </w:r>
      <w:r w:rsidR="001C2CB6">
        <w:rPr>
          <w:rFonts w:ascii="Book Antiqua" w:eastAsia="Calibri" w:hAnsi="Book Antiqua" w:cs="Arial"/>
          <w:sz w:val="24"/>
          <w:szCs w:val="24"/>
        </w:rPr>
        <w:t>se encuentran en revisión</w:t>
      </w:r>
      <w:r w:rsidR="00F64F47">
        <w:rPr>
          <w:rFonts w:ascii="Book Antiqua" w:eastAsia="Calibri" w:hAnsi="Book Antiqua" w:cs="Arial"/>
          <w:sz w:val="24"/>
          <w:szCs w:val="24"/>
        </w:rPr>
        <w:t>:</w:t>
      </w:r>
      <w:r w:rsidRPr="00695918">
        <w:rPr>
          <w:rFonts w:ascii="Book Antiqua" w:eastAsia="Calibri" w:hAnsi="Book Antiqua" w:cs="Arial"/>
          <w:sz w:val="24"/>
          <w:szCs w:val="24"/>
        </w:rPr>
        <w:t xml:space="preserve"> </w:t>
      </w:r>
    </w:p>
    <w:p w14:paraId="17B260AB" w14:textId="089A90A1" w:rsidR="00F75CD7" w:rsidRDefault="00F75CD7" w:rsidP="00A65874">
      <w:pPr>
        <w:rPr>
          <w:lang w:val="es-ES"/>
        </w:rPr>
      </w:pPr>
    </w:p>
    <w:p w14:paraId="2CAB1C06" w14:textId="77777777" w:rsidR="00F37FEE" w:rsidRDefault="00F37FEE" w:rsidP="00A65874">
      <w:pPr>
        <w:rPr>
          <w:lang w:val="es-ES"/>
        </w:rPr>
      </w:pPr>
    </w:p>
    <w:p w14:paraId="34A5ABBE" w14:textId="77777777" w:rsidR="00695918" w:rsidRPr="00D54B9F" w:rsidRDefault="00695918" w:rsidP="00D54B9F">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D54B9F">
        <w:rPr>
          <w:rFonts w:ascii="Book Antiqua" w:eastAsiaTheme="majorEastAsia" w:hAnsi="Book Antiqua" w:cstheme="majorBidi"/>
          <w:b/>
          <w:color w:val="1F3864" w:themeColor="accent1" w:themeShade="80"/>
          <w:sz w:val="24"/>
          <w:lang w:val="es-ES"/>
        </w:rPr>
        <w:lastRenderedPageBreak/>
        <w:t>Indicadores en Despachos competentes en Violencia Doméstica</w:t>
      </w:r>
    </w:p>
    <w:p w14:paraId="62D941B7" w14:textId="5505B2B1" w:rsidR="00695918" w:rsidRDefault="00695918" w:rsidP="00A65874">
      <w:pPr>
        <w:rPr>
          <w:lang w:val="es-ES"/>
        </w:rPr>
      </w:pPr>
    </w:p>
    <w:p w14:paraId="5F5753FB"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r w:rsidRPr="00695918">
        <w:rPr>
          <w:rFonts w:ascii="Book Antiqua" w:eastAsia="Times New Roman" w:hAnsi="Book Antiqua" w:cs="Book Antiqua"/>
          <w:sz w:val="24"/>
          <w:szCs w:val="24"/>
          <w:lang w:eastAsia="es-ES"/>
        </w:rPr>
        <w:t xml:space="preserve">Con el rediseño de los Circuitos de San Carlos y Cartago, se implementó el Modelo de Sostenibilidad y Seguimiento de los proyectos de rediseño en los Juzgados de Violencia Doméstica de esas zonas. </w:t>
      </w:r>
    </w:p>
    <w:p w14:paraId="343DA06C"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p>
    <w:p w14:paraId="3B4019B7"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r w:rsidRPr="00695918">
        <w:rPr>
          <w:rFonts w:ascii="Book Antiqua" w:eastAsia="Times New Roman" w:hAnsi="Book Antiqua" w:cs="Book Antiqua"/>
          <w:sz w:val="24"/>
          <w:szCs w:val="24"/>
          <w:lang w:eastAsia="es-ES"/>
        </w:rPr>
        <w:t xml:space="preserve">Con el proyecto de la Reforma al Código de Trabajo, se abordaron los Juzgados que conocían la materia de Trabajo y también Violencia Doméstica, por lo que desde el 2017 cuenta con la matriz de Indicadores de Gestión y el Modelo de Sostenibilidad.  </w:t>
      </w:r>
    </w:p>
    <w:p w14:paraId="25274A17"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p>
    <w:p w14:paraId="6F520834" w14:textId="15B340FA"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r w:rsidRPr="00695918">
        <w:rPr>
          <w:rFonts w:ascii="Book Antiqua" w:eastAsia="Times New Roman" w:hAnsi="Book Antiqua" w:cs="Book Antiqua"/>
          <w:sz w:val="24"/>
          <w:szCs w:val="24"/>
          <w:lang w:eastAsia="es-ES"/>
        </w:rPr>
        <w:t xml:space="preserve">En 2020, se implementó el Modelo de Sostenibilidad y Seguimiento en los Juzgados que atienden materia de Familia y Violencia Doméstica. Y durante el </w:t>
      </w:r>
      <w:r w:rsidR="00D91DB9">
        <w:rPr>
          <w:rFonts w:ascii="Book Antiqua" w:eastAsia="Times New Roman" w:hAnsi="Book Antiqua" w:cs="Book Antiqua"/>
          <w:sz w:val="24"/>
          <w:szCs w:val="24"/>
          <w:lang w:eastAsia="es-ES"/>
        </w:rPr>
        <w:t>primer</w:t>
      </w:r>
      <w:r w:rsidRPr="00695918">
        <w:rPr>
          <w:rFonts w:ascii="Book Antiqua" w:eastAsia="Times New Roman" w:hAnsi="Book Antiqua" w:cs="Book Antiqua"/>
          <w:sz w:val="24"/>
          <w:szCs w:val="24"/>
          <w:lang w:eastAsia="es-ES"/>
        </w:rPr>
        <w:t xml:space="preserve"> semestre 202</w:t>
      </w:r>
      <w:r w:rsidR="00404722">
        <w:rPr>
          <w:rFonts w:ascii="Book Antiqua" w:eastAsia="Times New Roman" w:hAnsi="Book Antiqua" w:cs="Book Antiqua"/>
          <w:sz w:val="24"/>
          <w:szCs w:val="24"/>
          <w:lang w:eastAsia="es-ES"/>
        </w:rPr>
        <w:t>3</w:t>
      </w:r>
      <w:r w:rsidRPr="00695918">
        <w:rPr>
          <w:rFonts w:ascii="Book Antiqua" w:eastAsia="Times New Roman" w:hAnsi="Book Antiqua" w:cs="Book Antiqua"/>
          <w:sz w:val="24"/>
          <w:szCs w:val="24"/>
          <w:lang w:eastAsia="es-ES"/>
        </w:rPr>
        <w:t xml:space="preserve">, se implementará en los doce Juzgados de Violencia Doméstica especializados. </w:t>
      </w:r>
    </w:p>
    <w:p w14:paraId="3911A768" w14:textId="77777777" w:rsidR="00695918" w:rsidRPr="00695918" w:rsidRDefault="00695918" w:rsidP="00695918">
      <w:pPr>
        <w:spacing w:after="0" w:line="276" w:lineRule="auto"/>
        <w:jc w:val="both"/>
        <w:rPr>
          <w:rFonts w:ascii="Book Antiqua" w:eastAsia="Times New Roman" w:hAnsi="Book Antiqua" w:cs="Book Antiqua"/>
          <w:sz w:val="24"/>
          <w:szCs w:val="24"/>
          <w:lang w:eastAsia="es-ES"/>
        </w:rPr>
      </w:pPr>
    </w:p>
    <w:p w14:paraId="7E43CE39" w14:textId="14135436" w:rsidR="00695918" w:rsidRPr="00695918" w:rsidRDefault="00695918" w:rsidP="00D91DB9">
      <w:pPr>
        <w:spacing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Cabe mencionar que el Consejo Superior acuerda en sesión 82-2020 celebrada el 20 de agosto del 2020, artículo XLI emitir las circulares 193-2020 </w:t>
      </w:r>
      <w:r w:rsidRPr="00695918">
        <w:rPr>
          <w:rFonts w:ascii="Book Antiqua" w:eastAsia="Calibri" w:hAnsi="Book Antiqua" w:cs="Arial"/>
          <w:i/>
          <w:iCs/>
          <w:sz w:val="24"/>
          <w:szCs w:val="24"/>
        </w:rPr>
        <w:t>“Responsabilidades asociadas al Modelo de Sostenibilidad y Seguimientos de los proyectos de rediseño de oficinas”</w:t>
      </w:r>
      <w:r w:rsidRPr="00695918">
        <w:rPr>
          <w:rFonts w:ascii="Book Antiqua" w:eastAsia="Calibri" w:hAnsi="Book Antiqua" w:cs="Arial"/>
          <w:sz w:val="24"/>
          <w:szCs w:val="24"/>
        </w:rPr>
        <w:t xml:space="preserve"> y 194-2020 </w:t>
      </w:r>
      <w:r w:rsidRPr="00695918">
        <w:rPr>
          <w:rFonts w:ascii="Book Antiqua" w:eastAsia="Calibri" w:hAnsi="Book Antiqua" w:cs="Arial"/>
          <w:i/>
          <w:iCs/>
          <w:sz w:val="24"/>
          <w:szCs w:val="24"/>
        </w:rPr>
        <w:t xml:space="preserve">“Responsabilidades en el cumplimiento de las labores y el rendimiento de todos los servidores del despacho y el régimen disciplinario” </w:t>
      </w:r>
      <w:r w:rsidRPr="00695918">
        <w:rPr>
          <w:rFonts w:ascii="Book Antiqua" w:eastAsia="Calibri" w:hAnsi="Book Antiqua" w:cs="Arial"/>
          <w:sz w:val="24"/>
          <w:szCs w:val="24"/>
        </w:rPr>
        <w:t>como parte del compromiso institucional en la utilización del modelo de Sostenibilidad, mejora continua.</w:t>
      </w:r>
    </w:p>
    <w:p w14:paraId="0A4B5825"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p>
    <w:p w14:paraId="07814B9A" w14:textId="77777777" w:rsidR="00695918" w:rsidRPr="00695918" w:rsidRDefault="00695918" w:rsidP="00695918">
      <w:pPr>
        <w:spacing w:after="0" w:line="276" w:lineRule="auto"/>
        <w:contextualSpacing/>
        <w:jc w:val="both"/>
        <w:rPr>
          <w:rFonts w:ascii="Book Antiqua" w:eastAsia="Times New Roman" w:hAnsi="Book Antiqua" w:cs="Book Antiqua"/>
          <w:sz w:val="24"/>
          <w:szCs w:val="24"/>
          <w:lang w:eastAsia="es-ES"/>
        </w:rPr>
      </w:pPr>
      <w:r w:rsidRPr="00695918">
        <w:rPr>
          <w:rFonts w:ascii="Book Antiqua" w:eastAsia="Times New Roman" w:hAnsi="Book Antiqua" w:cs="Book Antiqua"/>
          <w:sz w:val="24"/>
          <w:szCs w:val="24"/>
          <w:lang w:eastAsia="es-ES"/>
        </w:rPr>
        <w:t>A continuación, se incluye el resumen de los indicadores recomendados en el informe 656-PLA-RH-MI-2020 para los Juzgados Especializados en Violencia Doméstica.</w:t>
      </w:r>
    </w:p>
    <w:p w14:paraId="56A50C3D" w14:textId="5CE2A275" w:rsidR="00695918" w:rsidRDefault="00695918" w:rsidP="00695918">
      <w:pPr>
        <w:rPr>
          <w:lang w:val="es-ES"/>
        </w:rPr>
      </w:pPr>
    </w:p>
    <w:p w14:paraId="0918EFA0" w14:textId="59130BD2" w:rsidR="00695918" w:rsidRPr="00695918" w:rsidRDefault="00695918" w:rsidP="0080308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5918">
        <w:rPr>
          <w:rFonts w:ascii="Book Antiqua" w:eastAsia="Calibri" w:hAnsi="Book Antiqua" w:cs="Arial"/>
          <w:b/>
          <w:bCs/>
          <w:color w:val="1F497D"/>
          <w:szCs w:val="24"/>
          <w:lang w:val="es-ES" w:eastAsia="es-ES"/>
        </w:rPr>
        <w:lastRenderedPageBreak/>
        <w:t xml:space="preserve">Cuadro </w:t>
      </w:r>
      <w:r w:rsidRPr="00695918">
        <w:rPr>
          <w:rFonts w:ascii="Book Antiqua" w:eastAsia="Calibri" w:hAnsi="Book Antiqua" w:cs="Arial"/>
          <w:b/>
          <w:bCs/>
          <w:color w:val="1F497D"/>
          <w:szCs w:val="24"/>
          <w:lang w:val="es-ES" w:eastAsia="es-ES"/>
        </w:rPr>
        <w:fldChar w:fldCharType="begin"/>
      </w:r>
      <w:r w:rsidRPr="00695918">
        <w:rPr>
          <w:rFonts w:ascii="Book Antiqua" w:eastAsia="Calibri" w:hAnsi="Book Antiqua" w:cs="Arial"/>
          <w:b/>
          <w:bCs/>
          <w:color w:val="1F497D"/>
          <w:szCs w:val="24"/>
          <w:lang w:val="es-ES" w:eastAsia="es-ES"/>
        </w:rPr>
        <w:instrText xml:space="preserve"> SEQ Cuadro \* ARABIC </w:instrText>
      </w:r>
      <w:r w:rsidRPr="00695918">
        <w:rPr>
          <w:rFonts w:ascii="Book Antiqua" w:eastAsia="Calibri" w:hAnsi="Book Antiqua" w:cs="Arial"/>
          <w:b/>
          <w:bCs/>
          <w:color w:val="1F497D"/>
          <w:szCs w:val="24"/>
          <w:lang w:val="es-ES" w:eastAsia="es-ES"/>
        </w:rPr>
        <w:fldChar w:fldCharType="separate"/>
      </w:r>
      <w:r w:rsidR="00E83ED2">
        <w:rPr>
          <w:rFonts w:ascii="Book Antiqua" w:eastAsia="Calibri" w:hAnsi="Book Antiqua" w:cs="Arial"/>
          <w:b/>
          <w:bCs/>
          <w:color w:val="1F497D"/>
          <w:szCs w:val="24"/>
          <w:lang w:val="es-ES" w:eastAsia="es-ES"/>
        </w:rPr>
        <w:t>67</w:t>
      </w:r>
      <w:r w:rsidRPr="00695918">
        <w:rPr>
          <w:rFonts w:ascii="Book Antiqua" w:eastAsia="Calibri" w:hAnsi="Book Antiqua" w:cs="Arial"/>
          <w:b/>
          <w:bCs/>
          <w:color w:val="1F497D"/>
          <w:szCs w:val="24"/>
          <w:lang w:val="es-ES" w:eastAsia="es-ES"/>
        </w:rPr>
        <w:fldChar w:fldCharType="end"/>
      </w:r>
    </w:p>
    <w:p w14:paraId="1CAD92E3" w14:textId="4CD92F96" w:rsidR="00695918" w:rsidRPr="00695918" w:rsidRDefault="00F64F47" w:rsidP="00695918">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Propuesta de m</w:t>
      </w:r>
      <w:r w:rsidR="00695918" w:rsidRPr="00695918">
        <w:rPr>
          <w:rFonts w:ascii="Book Antiqua" w:eastAsia="Calibri" w:hAnsi="Book Antiqua" w:cs="Arial"/>
          <w:b/>
          <w:bCs/>
          <w:color w:val="1F497D"/>
          <w:szCs w:val="24"/>
          <w:lang w:val="es-ES" w:eastAsia="es-ES"/>
        </w:rPr>
        <w:t>atriz de Indicadores de los Juzgados Especializados en Violencia Doméstica, 2021</w:t>
      </w:r>
    </w:p>
    <w:tbl>
      <w:tblPr>
        <w:tblW w:w="48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14"/>
        <w:gridCol w:w="731"/>
        <w:gridCol w:w="1754"/>
        <w:gridCol w:w="5301"/>
      </w:tblGrid>
      <w:tr w:rsidR="00695918" w:rsidRPr="00695918" w14:paraId="190AB557" w14:textId="77777777" w:rsidTr="003C68A1">
        <w:trPr>
          <w:cantSplit/>
          <w:trHeight w:val="386"/>
          <w:tblHeader/>
          <w:jc w:val="center"/>
        </w:trPr>
        <w:tc>
          <w:tcPr>
            <w:tcW w:w="473" w:type="pct"/>
            <w:shd w:val="clear" w:color="auto" w:fill="002060"/>
            <w:vAlign w:val="center"/>
          </w:tcPr>
          <w:p w14:paraId="2D7815C6" w14:textId="77777777" w:rsidR="00695918" w:rsidRPr="00695918" w:rsidRDefault="00695918" w:rsidP="00695918">
            <w:pPr>
              <w:spacing w:after="0" w:line="276" w:lineRule="auto"/>
              <w:jc w:val="center"/>
              <w:rPr>
                <w:rFonts w:ascii="Book Antiqua" w:eastAsia="Times New Roman" w:hAnsi="Book Antiqua" w:cs="Arial"/>
                <w:b/>
                <w:bCs/>
                <w:color w:val="FFFFFF"/>
                <w:lang w:eastAsia="es-CR"/>
              </w:rPr>
            </w:pPr>
            <w:r w:rsidRPr="00695918">
              <w:rPr>
                <w:rFonts w:ascii="Book Antiqua" w:eastAsia="Times New Roman" w:hAnsi="Book Antiqua" w:cs="Arial"/>
                <w:b/>
                <w:bCs/>
                <w:color w:val="FFFFFF"/>
                <w:lang w:eastAsia="es-CR"/>
              </w:rPr>
              <w:t>Categ.</w:t>
            </w:r>
          </w:p>
        </w:tc>
        <w:tc>
          <w:tcPr>
            <w:tcW w:w="425" w:type="pct"/>
            <w:shd w:val="clear" w:color="auto" w:fill="002060"/>
            <w:noWrap/>
            <w:vAlign w:val="center"/>
            <w:hideMark/>
          </w:tcPr>
          <w:p w14:paraId="72E81515" w14:textId="77777777" w:rsidR="00695918" w:rsidRPr="00695918" w:rsidRDefault="00695918" w:rsidP="00695918">
            <w:pPr>
              <w:spacing w:after="0" w:line="276" w:lineRule="auto"/>
              <w:jc w:val="center"/>
              <w:rPr>
                <w:rFonts w:ascii="Book Antiqua" w:eastAsia="Times New Roman" w:hAnsi="Book Antiqua" w:cs="Arial"/>
                <w:b/>
                <w:bCs/>
                <w:color w:val="FFFFFF"/>
                <w:lang w:eastAsia="es-CR"/>
              </w:rPr>
            </w:pPr>
            <w:r w:rsidRPr="00695918">
              <w:rPr>
                <w:rFonts w:ascii="Book Antiqua" w:eastAsia="Times New Roman" w:hAnsi="Book Antiqua" w:cs="Arial"/>
                <w:b/>
                <w:bCs/>
                <w:color w:val="FFFFFF"/>
                <w:lang w:eastAsia="es-CR"/>
              </w:rPr>
              <w:t>N°</w:t>
            </w:r>
          </w:p>
        </w:tc>
        <w:tc>
          <w:tcPr>
            <w:tcW w:w="1020" w:type="pct"/>
            <w:shd w:val="clear" w:color="auto" w:fill="002060"/>
            <w:noWrap/>
            <w:vAlign w:val="center"/>
            <w:hideMark/>
          </w:tcPr>
          <w:p w14:paraId="4C7DC3C2" w14:textId="77777777" w:rsidR="00695918" w:rsidRPr="00695918" w:rsidRDefault="00695918" w:rsidP="006310ED">
            <w:pPr>
              <w:spacing w:after="0" w:line="276" w:lineRule="auto"/>
              <w:jc w:val="center"/>
              <w:rPr>
                <w:rFonts w:ascii="Book Antiqua" w:eastAsia="Times New Roman" w:hAnsi="Book Antiqua" w:cs="Arial"/>
                <w:b/>
                <w:bCs/>
                <w:color w:val="FFFFFF"/>
                <w:lang w:eastAsia="es-CR"/>
              </w:rPr>
            </w:pPr>
            <w:r w:rsidRPr="00695918">
              <w:rPr>
                <w:rFonts w:ascii="Book Antiqua" w:eastAsia="Times New Roman" w:hAnsi="Book Antiqua" w:cs="Arial"/>
                <w:b/>
                <w:bCs/>
                <w:color w:val="FFFFFF"/>
                <w:lang w:eastAsia="es-CR"/>
              </w:rPr>
              <w:t>Indicadores</w:t>
            </w:r>
          </w:p>
        </w:tc>
        <w:tc>
          <w:tcPr>
            <w:tcW w:w="3083" w:type="pct"/>
            <w:shd w:val="clear" w:color="auto" w:fill="002060"/>
            <w:noWrap/>
            <w:vAlign w:val="center"/>
            <w:hideMark/>
          </w:tcPr>
          <w:p w14:paraId="0FCBD082" w14:textId="77777777" w:rsidR="00695918" w:rsidRPr="00695918" w:rsidRDefault="00695918" w:rsidP="00695918">
            <w:pPr>
              <w:spacing w:after="0" w:line="276" w:lineRule="auto"/>
              <w:jc w:val="center"/>
              <w:rPr>
                <w:rFonts w:ascii="Book Antiqua" w:eastAsia="Times New Roman" w:hAnsi="Book Antiqua" w:cs="Arial"/>
                <w:b/>
                <w:bCs/>
                <w:color w:val="FFFFFF"/>
                <w:lang w:eastAsia="es-CR"/>
              </w:rPr>
            </w:pPr>
            <w:r w:rsidRPr="00695918">
              <w:rPr>
                <w:rFonts w:ascii="Book Antiqua" w:eastAsia="Times New Roman" w:hAnsi="Book Antiqua" w:cs="Arial"/>
                <w:b/>
                <w:bCs/>
                <w:color w:val="FFFFFF"/>
                <w:lang w:eastAsia="es-CR"/>
              </w:rPr>
              <w:t>Detalle</w:t>
            </w:r>
          </w:p>
        </w:tc>
      </w:tr>
      <w:tr w:rsidR="00695918" w:rsidRPr="00695918" w14:paraId="43341484" w14:textId="77777777" w:rsidTr="003C68A1">
        <w:trPr>
          <w:cantSplit/>
          <w:trHeight w:val="1134"/>
          <w:jc w:val="center"/>
        </w:trPr>
        <w:tc>
          <w:tcPr>
            <w:tcW w:w="473" w:type="pct"/>
            <w:vMerge w:val="restart"/>
            <w:shd w:val="clear" w:color="auto" w:fill="DEE7FE"/>
            <w:textDirection w:val="btLr"/>
          </w:tcPr>
          <w:p w14:paraId="4ADB813A" w14:textId="77777777" w:rsidR="00695918" w:rsidRPr="00695918" w:rsidRDefault="00695918" w:rsidP="00695918">
            <w:pPr>
              <w:spacing w:after="0" w:line="276" w:lineRule="auto"/>
              <w:ind w:left="113" w:right="113"/>
              <w:jc w:val="center"/>
              <w:rPr>
                <w:rFonts w:ascii="Book Antiqua" w:eastAsia="Times New Roman" w:hAnsi="Book Antiqua" w:cs="Arial"/>
                <w:b/>
                <w:bCs/>
                <w:color w:val="44546A"/>
                <w:lang w:eastAsia="es-CR"/>
              </w:rPr>
            </w:pPr>
            <w:r w:rsidRPr="00695918">
              <w:rPr>
                <w:rFonts w:ascii="Book Antiqua" w:eastAsia="Times New Roman" w:hAnsi="Book Antiqua" w:cs="Arial"/>
                <w:b/>
                <w:bCs/>
                <w:lang w:eastAsia="es-CR"/>
              </w:rPr>
              <w:t>Rendimiento Estadístico</w:t>
            </w:r>
          </w:p>
        </w:tc>
        <w:tc>
          <w:tcPr>
            <w:tcW w:w="425" w:type="pct"/>
            <w:shd w:val="clear" w:color="auto" w:fill="FFFFFF"/>
            <w:vAlign w:val="center"/>
            <w:hideMark/>
          </w:tcPr>
          <w:p w14:paraId="61F977DE"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p>
        </w:tc>
        <w:tc>
          <w:tcPr>
            <w:tcW w:w="1020" w:type="pct"/>
            <w:shd w:val="clear" w:color="auto" w:fill="FFFFFF"/>
            <w:vAlign w:val="center"/>
            <w:hideMark/>
          </w:tcPr>
          <w:p w14:paraId="3A786BC5" w14:textId="77777777" w:rsidR="00695918" w:rsidRPr="00695918" w:rsidRDefault="00695918"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Entrada total</w:t>
            </w:r>
          </w:p>
        </w:tc>
        <w:tc>
          <w:tcPr>
            <w:tcW w:w="3083" w:type="pct"/>
            <w:shd w:val="clear" w:color="auto" w:fill="auto"/>
            <w:vAlign w:val="center"/>
            <w:hideMark/>
          </w:tcPr>
          <w:p w14:paraId="38CB4287" w14:textId="77777777" w:rsidR="00695918" w:rsidRPr="00695918" w:rsidRDefault="00695918"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Entrada total está conformada por el resultado de la sumatoria de la cantidad de asuntos nuevos ingresados, los casos reentrados y los testimonios de piezas creados en el mes.</w:t>
            </w:r>
          </w:p>
          <w:p w14:paraId="68C40657"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define del promedio del histórico del despacho del informe estadístico mensual de SIGMA.</w:t>
            </w:r>
          </w:p>
        </w:tc>
      </w:tr>
      <w:tr w:rsidR="00695918" w:rsidRPr="00695918" w14:paraId="16E88C9B" w14:textId="77777777" w:rsidTr="003C68A1">
        <w:trPr>
          <w:cantSplit/>
          <w:trHeight w:val="20"/>
          <w:jc w:val="center"/>
        </w:trPr>
        <w:tc>
          <w:tcPr>
            <w:tcW w:w="473" w:type="pct"/>
            <w:vMerge/>
            <w:shd w:val="clear" w:color="auto" w:fill="DEE7FE"/>
          </w:tcPr>
          <w:p w14:paraId="4003EEC9"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hideMark/>
          </w:tcPr>
          <w:p w14:paraId="71EC5EE5"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2</w:t>
            </w:r>
          </w:p>
        </w:tc>
        <w:tc>
          <w:tcPr>
            <w:tcW w:w="1020" w:type="pct"/>
            <w:shd w:val="clear" w:color="auto" w:fill="FFFFFF"/>
            <w:vAlign w:val="center"/>
            <w:hideMark/>
          </w:tcPr>
          <w:p w14:paraId="14017B25" w14:textId="77777777" w:rsidR="00695918" w:rsidRPr="00695918" w:rsidRDefault="00695918"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Salida</w:t>
            </w:r>
          </w:p>
        </w:tc>
        <w:tc>
          <w:tcPr>
            <w:tcW w:w="3083" w:type="pct"/>
            <w:shd w:val="clear" w:color="auto" w:fill="auto"/>
            <w:vAlign w:val="center"/>
            <w:hideMark/>
          </w:tcPr>
          <w:p w14:paraId="17DDE8FA" w14:textId="77777777" w:rsidR="00695918" w:rsidRPr="00695918" w:rsidRDefault="00695918"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Salida total</w:t>
            </w:r>
            <w:r w:rsidRPr="00695918">
              <w:rPr>
                <w:rFonts w:ascii="Book Antiqua" w:eastAsia="Calibri" w:hAnsi="Book Antiqua" w:cs="Times New Roman"/>
              </w:rPr>
              <w:t xml:space="preserve"> </w:t>
            </w:r>
            <w:r w:rsidRPr="00695918">
              <w:rPr>
                <w:rFonts w:ascii="Book Antiqua" w:eastAsia="Times New Roman" w:hAnsi="Book Antiqua" w:cs="Arial"/>
                <w:lang w:eastAsia="es-CR"/>
              </w:rPr>
              <w:t xml:space="preserve">está conformada por el resultado de: </w:t>
            </w:r>
            <w:r w:rsidRPr="00695918">
              <w:rPr>
                <w:rFonts w:ascii="Book Antiqua" w:eastAsia="Times New Roman" w:hAnsi="Book Antiqua" w:cs="Arial"/>
                <w:i/>
                <w:iCs/>
                <w:lang w:eastAsia="es-CR"/>
              </w:rPr>
              <w:t>Suma casos terminados principales y testimonios de piezas.</w:t>
            </w:r>
          </w:p>
          <w:p w14:paraId="373F6A94"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define del promedio del histórico del despacho del informe estadístico mensual de SIGMA.</w:t>
            </w:r>
          </w:p>
        </w:tc>
      </w:tr>
      <w:tr w:rsidR="00695918" w:rsidRPr="00695918" w14:paraId="625A78B1" w14:textId="77777777" w:rsidTr="003C68A1">
        <w:trPr>
          <w:cantSplit/>
          <w:trHeight w:val="20"/>
          <w:jc w:val="center"/>
        </w:trPr>
        <w:tc>
          <w:tcPr>
            <w:tcW w:w="473" w:type="pct"/>
            <w:vMerge/>
            <w:shd w:val="clear" w:color="auto" w:fill="DEE7FE"/>
          </w:tcPr>
          <w:p w14:paraId="7266CBCE"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hideMark/>
          </w:tcPr>
          <w:p w14:paraId="6CA59232"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3</w:t>
            </w:r>
          </w:p>
        </w:tc>
        <w:tc>
          <w:tcPr>
            <w:tcW w:w="1020" w:type="pct"/>
            <w:shd w:val="clear" w:color="auto" w:fill="FFFFFF"/>
            <w:vAlign w:val="center"/>
            <w:hideMark/>
          </w:tcPr>
          <w:p w14:paraId="26E68BD1" w14:textId="77777777" w:rsidR="00695918" w:rsidRPr="00695918" w:rsidRDefault="00695918"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Circulante</w:t>
            </w:r>
          </w:p>
        </w:tc>
        <w:tc>
          <w:tcPr>
            <w:tcW w:w="3083" w:type="pct"/>
            <w:shd w:val="clear" w:color="auto" w:fill="auto"/>
            <w:vAlign w:val="center"/>
            <w:hideMark/>
          </w:tcPr>
          <w:p w14:paraId="758E89F1" w14:textId="77777777" w:rsidR="00695918" w:rsidRPr="00695918" w:rsidRDefault="00695918"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Circulante: </w:t>
            </w:r>
            <w:r w:rsidRPr="00695918">
              <w:rPr>
                <w:rFonts w:ascii="Book Antiqua" w:eastAsia="Times New Roman" w:hAnsi="Book Antiqua" w:cs="Arial"/>
                <w:i/>
                <w:iCs/>
                <w:lang w:eastAsia="es-CR"/>
              </w:rPr>
              <w:t>(Circulante Inicial + Entradas + Reentrados – Terminados)</w:t>
            </w:r>
          </w:p>
          <w:p w14:paraId="784EEB84"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El parámetro se define del circulante del despacho al momento del abordaje al despacho. </w:t>
            </w:r>
          </w:p>
          <w:p w14:paraId="06AE28A8"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indicador se subdivide en circulante en trámite y en seguimiento.</w:t>
            </w:r>
          </w:p>
        </w:tc>
      </w:tr>
      <w:tr w:rsidR="00695918" w:rsidRPr="00695918" w14:paraId="789CFE4D" w14:textId="77777777" w:rsidTr="003C68A1">
        <w:trPr>
          <w:cantSplit/>
          <w:trHeight w:val="20"/>
          <w:jc w:val="center"/>
        </w:trPr>
        <w:tc>
          <w:tcPr>
            <w:tcW w:w="473" w:type="pct"/>
            <w:vMerge/>
            <w:shd w:val="clear" w:color="auto" w:fill="DEE7FE"/>
          </w:tcPr>
          <w:p w14:paraId="43D4F8F7"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hideMark/>
          </w:tcPr>
          <w:p w14:paraId="5C5FED53" w14:textId="77777777" w:rsidR="00695918" w:rsidRPr="00695918" w:rsidRDefault="00695918"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4</w:t>
            </w:r>
          </w:p>
        </w:tc>
        <w:tc>
          <w:tcPr>
            <w:tcW w:w="1020" w:type="pct"/>
            <w:shd w:val="clear" w:color="auto" w:fill="auto"/>
            <w:vAlign w:val="center"/>
            <w:hideMark/>
          </w:tcPr>
          <w:p w14:paraId="672081EF" w14:textId="77777777" w:rsidR="00695918" w:rsidRPr="00695918" w:rsidRDefault="00695918"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 xml:space="preserve">Relación salida Total / entrada total </w:t>
            </w:r>
          </w:p>
        </w:tc>
        <w:tc>
          <w:tcPr>
            <w:tcW w:w="3083" w:type="pct"/>
            <w:shd w:val="clear" w:color="auto" w:fill="auto"/>
            <w:vAlign w:val="center"/>
            <w:hideMark/>
          </w:tcPr>
          <w:p w14:paraId="6525A688" w14:textId="77777777" w:rsidR="00695918" w:rsidRPr="00695918" w:rsidRDefault="00695918"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Cálculo: </w:t>
            </w:r>
            <w:r w:rsidRPr="00695918">
              <w:rPr>
                <w:rFonts w:ascii="Book Antiqua" w:eastAsia="Times New Roman" w:hAnsi="Book Antiqua" w:cs="Arial"/>
                <w:i/>
                <w:iCs/>
                <w:lang w:eastAsia="es-CR"/>
              </w:rPr>
              <w:t>(Salidas/ Entradas) *100</w:t>
            </w:r>
          </w:p>
          <w:p w14:paraId="7072A125"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está definido en 90% a 100%</w:t>
            </w:r>
          </w:p>
        </w:tc>
      </w:tr>
      <w:tr w:rsidR="00642DD1" w:rsidRPr="00695918" w14:paraId="79BF7551" w14:textId="77777777" w:rsidTr="003C68A1">
        <w:trPr>
          <w:cantSplit/>
          <w:trHeight w:val="1134"/>
          <w:jc w:val="center"/>
        </w:trPr>
        <w:tc>
          <w:tcPr>
            <w:tcW w:w="473" w:type="pct"/>
            <w:vMerge w:val="restart"/>
            <w:shd w:val="clear" w:color="auto" w:fill="EAF1DD"/>
            <w:textDirection w:val="btLr"/>
          </w:tcPr>
          <w:p w14:paraId="39D4C589" w14:textId="77777777" w:rsidR="00642DD1" w:rsidRPr="00695918" w:rsidRDefault="00642DD1" w:rsidP="00695918">
            <w:pPr>
              <w:spacing w:after="0" w:line="276" w:lineRule="auto"/>
              <w:ind w:left="113" w:right="113"/>
              <w:jc w:val="center"/>
              <w:rPr>
                <w:rFonts w:ascii="Book Antiqua" w:eastAsia="Times New Roman" w:hAnsi="Book Antiqua" w:cs="Arial"/>
                <w:b/>
                <w:bCs/>
                <w:lang w:eastAsia="es-CR"/>
              </w:rPr>
            </w:pPr>
            <w:r w:rsidRPr="00695918">
              <w:rPr>
                <w:rFonts w:ascii="Book Antiqua" w:eastAsia="Times New Roman" w:hAnsi="Book Antiqua" w:cs="Arial"/>
                <w:b/>
                <w:bCs/>
                <w:lang w:eastAsia="es-CR"/>
              </w:rPr>
              <w:t>Plazos</w:t>
            </w:r>
          </w:p>
        </w:tc>
        <w:tc>
          <w:tcPr>
            <w:tcW w:w="425" w:type="pct"/>
            <w:shd w:val="clear" w:color="auto" w:fill="FFFFFF"/>
            <w:vAlign w:val="center"/>
          </w:tcPr>
          <w:p w14:paraId="32AAF276"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5</w:t>
            </w:r>
          </w:p>
        </w:tc>
        <w:tc>
          <w:tcPr>
            <w:tcW w:w="1020" w:type="pct"/>
            <w:shd w:val="clear" w:color="auto" w:fill="FFFFFF"/>
            <w:vAlign w:val="center"/>
          </w:tcPr>
          <w:p w14:paraId="63245C9A" w14:textId="76B98CD4"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 xml:space="preserve">Plazo para resolver </w:t>
            </w:r>
            <w:r>
              <w:rPr>
                <w:rFonts w:ascii="Book Antiqua" w:eastAsia="Times New Roman" w:hAnsi="Book Antiqua" w:cs="Arial"/>
                <w:b/>
                <w:bCs/>
                <w:color w:val="44546A"/>
                <w:lang w:eastAsia="es-CR"/>
              </w:rPr>
              <w:t>expedientes de nuevo ingreso</w:t>
            </w:r>
            <w:r w:rsidRPr="00695918">
              <w:rPr>
                <w:rFonts w:ascii="Book Antiqua" w:eastAsia="Times New Roman" w:hAnsi="Book Antiqua" w:cs="Arial"/>
                <w:b/>
                <w:bCs/>
                <w:color w:val="44546A"/>
                <w:lang w:eastAsia="es-CR"/>
              </w:rPr>
              <w:t xml:space="preserve"> </w:t>
            </w:r>
          </w:p>
        </w:tc>
        <w:tc>
          <w:tcPr>
            <w:tcW w:w="3083" w:type="pct"/>
            <w:shd w:val="clear" w:color="auto" w:fill="auto"/>
            <w:vAlign w:val="center"/>
          </w:tcPr>
          <w:p w14:paraId="05016195" w14:textId="475C9561" w:rsidR="00642DD1" w:rsidRPr="00695918" w:rsidRDefault="00642DD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Se calcula: </w:t>
            </w:r>
            <w:r w:rsidRPr="00695918">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695918">
              <w:rPr>
                <w:rFonts w:ascii="Book Antiqua" w:eastAsia="Times New Roman" w:hAnsi="Book Antiqua" w:cs="Arial"/>
                <w:i/>
                <w:iCs/>
                <w:lang w:eastAsia="es-CR"/>
              </w:rPr>
              <w:t xml:space="preserve"> fecha de la demanda más antigua pendiente de la primera resolución)</w:t>
            </w:r>
          </w:p>
          <w:p w14:paraId="2109383E"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tc>
      </w:tr>
      <w:tr w:rsidR="00642DD1" w:rsidRPr="00695918" w14:paraId="0CBB346E" w14:textId="77777777" w:rsidTr="003C68A1">
        <w:trPr>
          <w:cantSplit/>
          <w:trHeight w:val="1134"/>
          <w:jc w:val="center"/>
        </w:trPr>
        <w:tc>
          <w:tcPr>
            <w:tcW w:w="473" w:type="pct"/>
            <w:vMerge/>
            <w:shd w:val="clear" w:color="auto" w:fill="EAF1DD"/>
            <w:textDirection w:val="btLr"/>
          </w:tcPr>
          <w:p w14:paraId="4104999D" w14:textId="77777777" w:rsidR="00642DD1" w:rsidRPr="00695918" w:rsidRDefault="00642DD1" w:rsidP="00695918">
            <w:pPr>
              <w:spacing w:after="0" w:line="276" w:lineRule="auto"/>
              <w:ind w:left="113" w:right="113"/>
              <w:jc w:val="center"/>
              <w:rPr>
                <w:rFonts w:ascii="Book Antiqua" w:eastAsia="Times New Roman" w:hAnsi="Book Antiqua" w:cs="Arial"/>
                <w:b/>
                <w:bCs/>
                <w:color w:val="44546A"/>
                <w:lang w:eastAsia="es-CR"/>
              </w:rPr>
            </w:pPr>
          </w:p>
        </w:tc>
        <w:tc>
          <w:tcPr>
            <w:tcW w:w="425" w:type="pct"/>
            <w:shd w:val="clear" w:color="auto" w:fill="FFFFFF"/>
            <w:vAlign w:val="center"/>
          </w:tcPr>
          <w:p w14:paraId="6885F92B"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6</w:t>
            </w:r>
          </w:p>
        </w:tc>
        <w:tc>
          <w:tcPr>
            <w:tcW w:w="1020" w:type="pct"/>
            <w:shd w:val="clear" w:color="auto" w:fill="FFFFFF"/>
            <w:vAlign w:val="center"/>
          </w:tcPr>
          <w:p w14:paraId="76B4DE5A" w14:textId="77777777"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Plazo para resolver escritos</w:t>
            </w:r>
          </w:p>
        </w:tc>
        <w:tc>
          <w:tcPr>
            <w:tcW w:w="3083" w:type="pct"/>
            <w:shd w:val="clear" w:color="auto" w:fill="auto"/>
            <w:vAlign w:val="center"/>
          </w:tcPr>
          <w:p w14:paraId="13C32CF1"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Se subdivide en dos mediciones: </w:t>
            </w:r>
          </w:p>
          <w:p w14:paraId="419FD1F9" w14:textId="77777777" w:rsidR="00642DD1" w:rsidRPr="00695918" w:rsidRDefault="00642DD1" w:rsidP="00695918">
            <w:pPr>
              <w:spacing w:after="0" w:line="276" w:lineRule="auto"/>
              <w:jc w:val="both"/>
              <w:rPr>
                <w:rFonts w:ascii="Book Antiqua" w:eastAsia="Times New Roman" w:hAnsi="Book Antiqua" w:cs="Arial"/>
                <w:lang w:eastAsia="es-CR"/>
              </w:rPr>
            </w:pPr>
          </w:p>
          <w:p w14:paraId="2B470EAE" w14:textId="77777777" w:rsidR="00642DD1" w:rsidRPr="00695918" w:rsidRDefault="00642DD1" w:rsidP="00695918">
            <w:pPr>
              <w:spacing w:after="0" w:line="276" w:lineRule="auto"/>
              <w:jc w:val="both"/>
              <w:rPr>
                <w:rFonts w:ascii="Book Antiqua" w:eastAsia="Times New Roman" w:hAnsi="Book Antiqua" w:cs="Arial"/>
                <w:b/>
                <w:bCs/>
                <w:lang w:eastAsia="es-CR"/>
              </w:rPr>
            </w:pPr>
            <w:r w:rsidRPr="00695918">
              <w:rPr>
                <w:rFonts w:ascii="Book Antiqua" w:eastAsia="Times New Roman" w:hAnsi="Book Antiqua" w:cs="Arial"/>
                <w:b/>
                <w:bCs/>
                <w:lang w:eastAsia="es-CR"/>
              </w:rPr>
              <w:t>Escritos donde el expediente se encuentra fuera del Despacho:</w:t>
            </w:r>
          </w:p>
          <w:p w14:paraId="600AFF27" w14:textId="77777777" w:rsidR="00642DD1" w:rsidRPr="00695918" w:rsidRDefault="00642DD1" w:rsidP="00695918">
            <w:pPr>
              <w:spacing w:after="0" w:line="276" w:lineRule="auto"/>
              <w:jc w:val="both"/>
              <w:rPr>
                <w:rFonts w:ascii="Book Antiqua" w:eastAsia="Times New Roman" w:hAnsi="Book Antiqua" w:cs="Arial"/>
                <w:b/>
                <w:bCs/>
                <w:lang w:eastAsia="es-CR"/>
              </w:rPr>
            </w:pPr>
          </w:p>
          <w:p w14:paraId="20EB621F" w14:textId="4DD5676C" w:rsidR="00642DD1" w:rsidRPr="00BE6EC5" w:rsidRDefault="00642DD1" w:rsidP="00BE6EC5">
            <w:pPr>
              <w:spacing w:after="0" w:line="276" w:lineRule="auto"/>
              <w:jc w:val="both"/>
              <w:rPr>
                <w:rFonts w:ascii="Book Antiqua" w:eastAsia="Times New Roman" w:hAnsi="Book Antiqua" w:cs="Arial"/>
                <w:i/>
                <w:iCs/>
                <w:lang w:eastAsia="es-CR"/>
              </w:rPr>
            </w:pPr>
            <w:r w:rsidRPr="00BE6EC5">
              <w:rPr>
                <w:rFonts w:ascii="Book Antiqua" w:eastAsia="Times New Roman" w:hAnsi="Book Antiqua" w:cs="Arial"/>
                <w:lang w:eastAsia="es-CR"/>
              </w:rPr>
              <w:t>1) Indicador nuevo, se calcula: (</w:t>
            </w:r>
            <w:r w:rsidRPr="00BE6EC5">
              <w:rPr>
                <w:rFonts w:ascii="Book Antiqua" w:eastAsia="Times New Roman" w:hAnsi="Book Antiqua" w:cs="Arial"/>
                <w:i/>
                <w:iCs/>
                <w:lang w:eastAsia="es-CR"/>
              </w:rPr>
              <w:t>Fecha actual</w:t>
            </w:r>
            <w:r w:rsidR="00BE6EC5">
              <w:rPr>
                <w:rFonts w:ascii="Book Antiqua" w:eastAsia="Times New Roman" w:hAnsi="Book Antiqua" w:cs="Arial"/>
                <w:i/>
                <w:iCs/>
                <w:lang w:eastAsia="es-CR"/>
              </w:rPr>
              <w:t xml:space="preserve"> </w:t>
            </w:r>
            <w:r w:rsidR="00E85731" w:rsidRPr="00BE6EC5">
              <w:rPr>
                <w:rFonts w:ascii="Book Antiqua" w:eastAsia="Times New Roman" w:hAnsi="Book Antiqua" w:cs="Arial"/>
                <w:i/>
                <w:iCs/>
                <w:lang w:eastAsia="es-CR"/>
              </w:rPr>
              <w:t>–</w:t>
            </w:r>
            <w:r w:rsidRPr="00BE6EC5">
              <w:rPr>
                <w:rFonts w:ascii="Book Antiqua" w:eastAsia="Times New Roman" w:hAnsi="Book Antiqua" w:cs="Arial"/>
                <w:i/>
                <w:iCs/>
                <w:lang w:eastAsia="es-CR"/>
              </w:rPr>
              <w:t xml:space="preserve"> fecha del escrito más antiguo pendiente de resolver de expedientes que se encuentran fuera del despacho)</w:t>
            </w:r>
          </w:p>
          <w:p w14:paraId="012008C5"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bandeja de Escritos del Escritorio Virtual</w:t>
            </w:r>
          </w:p>
          <w:p w14:paraId="44FD284F" w14:textId="77777777" w:rsidR="00642DD1" w:rsidRPr="00695918" w:rsidRDefault="00642DD1" w:rsidP="00695918">
            <w:pPr>
              <w:spacing w:after="0" w:line="276" w:lineRule="auto"/>
              <w:jc w:val="both"/>
              <w:rPr>
                <w:rFonts w:ascii="Book Antiqua" w:eastAsia="Times New Roman" w:hAnsi="Book Antiqua" w:cs="Arial"/>
                <w:b/>
                <w:bCs/>
                <w:lang w:eastAsia="es-CR"/>
              </w:rPr>
            </w:pPr>
            <w:r w:rsidRPr="00695918">
              <w:rPr>
                <w:rFonts w:ascii="Book Antiqua" w:eastAsia="Times New Roman" w:hAnsi="Book Antiqua" w:cs="Arial"/>
                <w:lang w:eastAsia="es-CR"/>
              </w:rPr>
              <w:t xml:space="preserve">Se deben revisar todos los Escritos que se encuentran tramitándose, como los que se encuentran pendientes de distribuir, todas las ubicaciones, todos los Auxiliares, Estado de Expediente: </w:t>
            </w:r>
            <w:r w:rsidRPr="00695918">
              <w:rPr>
                <w:rFonts w:ascii="Book Antiqua" w:eastAsia="Times New Roman" w:hAnsi="Book Antiqua" w:cs="Arial"/>
                <w:b/>
                <w:bCs/>
                <w:lang w:eastAsia="es-CR"/>
              </w:rPr>
              <w:t>En Alzada.</w:t>
            </w:r>
          </w:p>
          <w:p w14:paraId="3F004820" w14:textId="77777777" w:rsidR="00642DD1" w:rsidRPr="00695918" w:rsidRDefault="00642DD1" w:rsidP="00695918">
            <w:pPr>
              <w:spacing w:after="0" w:line="276" w:lineRule="auto"/>
              <w:jc w:val="both"/>
              <w:rPr>
                <w:rFonts w:ascii="Book Antiqua" w:eastAsia="Times New Roman" w:hAnsi="Book Antiqua" w:cs="Arial"/>
                <w:lang w:eastAsia="es-CR"/>
              </w:rPr>
            </w:pPr>
          </w:p>
          <w:p w14:paraId="08DBC85F" w14:textId="77777777" w:rsidR="00642DD1" w:rsidRPr="00695918" w:rsidRDefault="00642DD1" w:rsidP="00695918">
            <w:pPr>
              <w:spacing w:after="0" w:line="276" w:lineRule="auto"/>
              <w:jc w:val="both"/>
              <w:rPr>
                <w:rFonts w:ascii="Book Antiqua" w:eastAsia="Times New Roman" w:hAnsi="Book Antiqua" w:cs="Arial"/>
                <w:b/>
                <w:bCs/>
                <w:lang w:eastAsia="es-CR"/>
              </w:rPr>
            </w:pPr>
            <w:r w:rsidRPr="00695918">
              <w:rPr>
                <w:rFonts w:ascii="Book Antiqua" w:eastAsia="Times New Roman" w:hAnsi="Book Antiqua" w:cs="Arial"/>
                <w:b/>
                <w:bCs/>
                <w:lang w:eastAsia="es-CR"/>
              </w:rPr>
              <w:t>Escritos donde el expediente se encuentra en el Despacho:</w:t>
            </w:r>
          </w:p>
          <w:p w14:paraId="72A2A8B2" w14:textId="34C2DEBD" w:rsidR="00642DD1" w:rsidRPr="00695918" w:rsidRDefault="00642DD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2) Se calcula: </w:t>
            </w:r>
            <w:r w:rsidRPr="00695918">
              <w:rPr>
                <w:rFonts w:ascii="Book Antiqua" w:eastAsia="Times New Roman" w:hAnsi="Book Antiqua" w:cs="Arial"/>
                <w:i/>
                <w:iCs/>
                <w:lang w:eastAsia="es-CR"/>
              </w:rPr>
              <w:t xml:space="preserve">(Fecha actual </w:t>
            </w:r>
            <w:r w:rsidR="00BE6EC5">
              <w:rPr>
                <w:rFonts w:ascii="Book Antiqua" w:eastAsia="Times New Roman" w:hAnsi="Book Antiqua" w:cs="Arial"/>
                <w:i/>
                <w:iCs/>
                <w:lang w:eastAsia="es-CR"/>
              </w:rPr>
              <w:t xml:space="preserve">- </w:t>
            </w:r>
            <w:r w:rsidRPr="00695918">
              <w:rPr>
                <w:rFonts w:ascii="Book Antiqua" w:eastAsia="Times New Roman" w:hAnsi="Book Antiqua" w:cs="Arial"/>
                <w:i/>
                <w:iCs/>
                <w:lang w:eastAsia="es-CR"/>
              </w:rPr>
              <w:t>fecha del escrito más antiguo pendiente de resolver de los que están en el despacho)</w:t>
            </w:r>
          </w:p>
          <w:p w14:paraId="652E99BE"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bandeja de Escritos del Escritorio Virtual</w:t>
            </w:r>
          </w:p>
          <w:p w14:paraId="47CCE936" w14:textId="77777777" w:rsidR="00642DD1" w:rsidRPr="00695918" w:rsidRDefault="00642DD1" w:rsidP="00695918">
            <w:pPr>
              <w:spacing w:after="0" w:line="276" w:lineRule="auto"/>
              <w:jc w:val="both"/>
              <w:rPr>
                <w:rFonts w:ascii="Book Antiqua" w:eastAsia="Times New Roman" w:hAnsi="Book Antiqua" w:cs="Arial"/>
                <w:b/>
                <w:bCs/>
                <w:lang w:eastAsia="es-CR"/>
              </w:rPr>
            </w:pPr>
            <w:r w:rsidRPr="00695918">
              <w:rPr>
                <w:rFonts w:ascii="Book Antiqua" w:eastAsia="Times New Roman" w:hAnsi="Book Antiqua" w:cs="Arial"/>
                <w:lang w:eastAsia="es-CR"/>
              </w:rPr>
              <w:t xml:space="preserve">Se deben revisar todos los Escritos que se encuentran Tramitándose, como los que se encuentran pendientes de distribuir. Todas la Ubicaciones, todos los Auxiliares, estado de expediente: </w:t>
            </w:r>
            <w:r w:rsidRPr="00695918">
              <w:rPr>
                <w:rFonts w:ascii="Book Antiqua" w:eastAsia="Times New Roman" w:hAnsi="Book Antiqua" w:cs="Arial"/>
                <w:b/>
                <w:bCs/>
                <w:lang w:eastAsia="es-CR"/>
              </w:rPr>
              <w:t>En Trámite, Inactivo, entre otros.</w:t>
            </w:r>
          </w:p>
          <w:p w14:paraId="1B1B98A2" w14:textId="77777777" w:rsidR="00642DD1" w:rsidRPr="00695918" w:rsidRDefault="00642DD1" w:rsidP="00695918">
            <w:pPr>
              <w:spacing w:after="0" w:line="276" w:lineRule="auto"/>
              <w:jc w:val="both"/>
              <w:rPr>
                <w:rFonts w:ascii="Book Antiqua" w:eastAsia="Times New Roman" w:hAnsi="Book Antiqua" w:cs="Arial"/>
                <w:lang w:eastAsia="es-CR"/>
              </w:rPr>
            </w:pPr>
          </w:p>
        </w:tc>
      </w:tr>
      <w:tr w:rsidR="00642DD1" w:rsidRPr="00695918" w14:paraId="0EE836C7" w14:textId="77777777" w:rsidTr="003C68A1">
        <w:trPr>
          <w:cantSplit/>
          <w:trHeight w:val="1134"/>
          <w:jc w:val="center"/>
        </w:trPr>
        <w:tc>
          <w:tcPr>
            <w:tcW w:w="473" w:type="pct"/>
            <w:vMerge/>
            <w:shd w:val="clear" w:color="auto" w:fill="EAF1DD"/>
            <w:textDirection w:val="btLr"/>
          </w:tcPr>
          <w:p w14:paraId="04D70E92" w14:textId="77777777" w:rsidR="00642DD1" w:rsidRPr="00695918" w:rsidRDefault="00642DD1" w:rsidP="00695918">
            <w:pPr>
              <w:spacing w:after="0" w:line="276" w:lineRule="auto"/>
              <w:ind w:left="113" w:right="113"/>
              <w:jc w:val="center"/>
              <w:rPr>
                <w:rFonts w:ascii="Book Antiqua" w:eastAsia="Times New Roman" w:hAnsi="Book Antiqua" w:cs="Arial"/>
                <w:b/>
                <w:bCs/>
                <w:color w:val="44546A"/>
                <w:lang w:eastAsia="es-CR"/>
              </w:rPr>
            </w:pPr>
          </w:p>
        </w:tc>
        <w:tc>
          <w:tcPr>
            <w:tcW w:w="425" w:type="pct"/>
            <w:shd w:val="clear" w:color="auto" w:fill="FFFFFF"/>
            <w:vAlign w:val="center"/>
            <w:hideMark/>
          </w:tcPr>
          <w:p w14:paraId="4956A9C4"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7</w:t>
            </w:r>
          </w:p>
        </w:tc>
        <w:tc>
          <w:tcPr>
            <w:tcW w:w="1020" w:type="pct"/>
            <w:shd w:val="clear" w:color="auto" w:fill="FFFFFF"/>
            <w:vAlign w:val="center"/>
            <w:hideMark/>
          </w:tcPr>
          <w:p w14:paraId="1CBB9CEC" w14:textId="77777777"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Plazo espera de dictado de sentencia</w:t>
            </w:r>
          </w:p>
        </w:tc>
        <w:tc>
          <w:tcPr>
            <w:tcW w:w="3083" w:type="pct"/>
            <w:shd w:val="clear" w:color="auto" w:fill="auto"/>
            <w:vAlign w:val="center"/>
            <w:hideMark/>
          </w:tcPr>
          <w:p w14:paraId="647FBF9B"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es la fecha del expediente más antiguo pendiente de fallo registrada en el despacho, se obtiene del libro de pase a fallo y Mejora de Pase a Fallo.</w:t>
            </w:r>
          </w:p>
          <w:p w14:paraId="13E68E27" w14:textId="77777777" w:rsidR="00642DD1" w:rsidRPr="00695918" w:rsidRDefault="00642DD1" w:rsidP="00695918">
            <w:pPr>
              <w:spacing w:after="0" w:line="276" w:lineRule="auto"/>
              <w:jc w:val="both"/>
              <w:rPr>
                <w:rFonts w:ascii="Book Antiqua" w:eastAsia="Calibri" w:hAnsi="Book Antiqua" w:cs="Arial"/>
                <w:lang w:eastAsia="es-CR"/>
              </w:rPr>
            </w:pPr>
            <w:r w:rsidRPr="00695918">
              <w:rPr>
                <w:rFonts w:ascii="Book Antiqua" w:eastAsia="Times New Roman" w:hAnsi="Book Antiqua" w:cs="Arial"/>
                <w:lang w:eastAsia="es-CR"/>
              </w:rPr>
              <w:t xml:space="preserve">El parámetro establecido es el plazo mayor de ley, en este caso 5 días de conformidad con el artículo 14 de la Ley contra la Violencia. </w:t>
            </w:r>
          </w:p>
        </w:tc>
      </w:tr>
      <w:tr w:rsidR="00642DD1" w:rsidRPr="00695918" w14:paraId="2AC50E7F" w14:textId="77777777" w:rsidTr="003C68A1">
        <w:trPr>
          <w:cantSplit/>
          <w:trHeight w:val="20"/>
          <w:jc w:val="center"/>
        </w:trPr>
        <w:tc>
          <w:tcPr>
            <w:tcW w:w="473" w:type="pct"/>
            <w:vMerge/>
            <w:shd w:val="clear" w:color="auto" w:fill="EAF1DD"/>
          </w:tcPr>
          <w:p w14:paraId="7D8A2424"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hideMark/>
          </w:tcPr>
          <w:p w14:paraId="37996D98"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8</w:t>
            </w:r>
          </w:p>
        </w:tc>
        <w:tc>
          <w:tcPr>
            <w:tcW w:w="1020" w:type="pct"/>
            <w:shd w:val="clear" w:color="auto" w:fill="FFFFFF"/>
            <w:vAlign w:val="center"/>
            <w:hideMark/>
          </w:tcPr>
          <w:p w14:paraId="140E2515" w14:textId="77777777"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Plazo espera para realización de recepción de prueba o debates (días)</w:t>
            </w:r>
          </w:p>
        </w:tc>
        <w:tc>
          <w:tcPr>
            <w:tcW w:w="3083" w:type="pct"/>
            <w:shd w:val="clear" w:color="auto" w:fill="auto"/>
            <w:vAlign w:val="center"/>
            <w:hideMark/>
          </w:tcPr>
          <w:p w14:paraId="7DB14754" w14:textId="45DB8786" w:rsidR="00642DD1" w:rsidRPr="00695918" w:rsidRDefault="00642DD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Se calcula: </w:t>
            </w:r>
            <w:r w:rsidRPr="00695918">
              <w:rPr>
                <w:rFonts w:ascii="Book Antiqua" w:eastAsia="Times New Roman" w:hAnsi="Book Antiqua" w:cs="Arial"/>
                <w:i/>
                <w:iCs/>
                <w:lang w:eastAsia="es-CR"/>
              </w:rPr>
              <w:t xml:space="preserve">(Fecha del último señalamiento de audiencia </w:t>
            </w:r>
            <w:r w:rsidR="00E85731">
              <w:rPr>
                <w:rFonts w:ascii="Book Antiqua" w:eastAsia="Times New Roman" w:hAnsi="Book Antiqua" w:cs="Arial"/>
                <w:i/>
                <w:iCs/>
                <w:lang w:eastAsia="es-CR"/>
              </w:rPr>
              <w:t>–</w:t>
            </w:r>
            <w:r w:rsidRPr="00695918">
              <w:rPr>
                <w:rFonts w:ascii="Book Antiqua" w:eastAsia="Times New Roman" w:hAnsi="Book Antiqua" w:cs="Arial"/>
                <w:i/>
                <w:iCs/>
                <w:lang w:eastAsia="es-CR"/>
              </w:rPr>
              <w:t xml:space="preserve"> fecha actual)</w:t>
            </w:r>
          </w:p>
          <w:p w14:paraId="150A6445"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Agenda Cronos, en “Buscar Apuntes”, búsqueda por criterio por rango de fecha y se obtiene el último señalamiento a Audiencia.</w:t>
            </w:r>
          </w:p>
          <w:p w14:paraId="4AB55D31"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w:t>
            </w:r>
          </w:p>
        </w:tc>
      </w:tr>
      <w:tr w:rsidR="00642DD1" w:rsidRPr="00695918" w14:paraId="6EAB597B" w14:textId="77777777" w:rsidTr="003C68A1">
        <w:trPr>
          <w:cantSplit/>
          <w:trHeight w:val="20"/>
          <w:jc w:val="center"/>
        </w:trPr>
        <w:tc>
          <w:tcPr>
            <w:tcW w:w="473" w:type="pct"/>
            <w:vMerge/>
            <w:shd w:val="clear" w:color="auto" w:fill="EAF1DD"/>
          </w:tcPr>
          <w:p w14:paraId="64C9F4FA"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tcPr>
          <w:p w14:paraId="32C808AB"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9</w:t>
            </w:r>
          </w:p>
        </w:tc>
        <w:tc>
          <w:tcPr>
            <w:tcW w:w="1020" w:type="pct"/>
            <w:shd w:val="clear" w:color="auto" w:fill="FFFFFF"/>
            <w:vAlign w:val="center"/>
          </w:tcPr>
          <w:p w14:paraId="3F014689" w14:textId="77777777"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Plazo de espera de firma de resoluciones</w:t>
            </w:r>
          </w:p>
        </w:tc>
        <w:tc>
          <w:tcPr>
            <w:tcW w:w="3083" w:type="pct"/>
            <w:shd w:val="clear" w:color="auto" w:fill="auto"/>
            <w:vAlign w:val="center"/>
          </w:tcPr>
          <w:p w14:paraId="2EFBDB60"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Plazo de Espera de Firma Resoluciones del Despacho</w:t>
            </w:r>
          </w:p>
          <w:p w14:paraId="0F1BB10B" w14:textId="77777777" w:rsidR="00642DD1" w:rsidRPr="00695918" w:rsidRDefault="00642DD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i/>
                <w:iCs/>
                <w:lang w:eastAsia="es-CR"/>
              </w:rPr>
              <w:t>(Fecha actual- fecha de pase a firma más antigua del documento pendiente de firma)</w:t>
            </w:r>
          </w:p>
          <w:p w14:paraId="3463AB31"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se obtiene con el resultado de la fecha actual menos la fecha del pase a firma más antigua del documento pendiente de firma</w:t>
            </w:r>
          </w:p>
        </w:tc>
      </w:tr>
      <w:tr w:rsidR="00642DD1" w:rsidRPr="00695918" w14:paraId="7E8C943A" w14:textId="77777777" w:rsidTr="003C68A1">
        <w:trPr>
          <w:cantSplit/>
          <w:trHeight w:val="1526"/>
          <w:jc w:val="center"/>
        </w:trPr>
        <w:tc>
          <w:tcPr>
            <w:tcW w:w="473" w:type="pct"/>
            <w:vMerge/>
            <w:shd w:val="clear" w:color="auto" w:fill="EAF1DD"/>
          </w:tcPr>
          <w:p w14:paraId="3E94A5FD"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tcPr>
          <w:p w14:paraId="67B0C0BC"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10</w:t>
            </w:r>
          </w:p>
        </w:tc>
        <w:tc>
          <w:tcPr>
            <w:tcW w:w="1020" w:type="pct"/>
            <w:shd w:val="clear" w:color="auto" w:fill="FFFFFF"/>
            <w:vAlign w:val="center"/>
          </w:tcPr>
          <w:p w14:paraId="02DEE6BC" w14:textId="77777777" w:rsidR="00642DD1" w:rsidRPr="00695918" w:rsidRDefault="00642DD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Plazo para resolución de mantener medidas de protección provisionales con oposición</w:t>
            </w:r>
          </w:p>
        </w:tc>
        <w:tc>
          <w:tcPr>
            <w:tcW w:w="3083" w:type="pct"/>
            <w:shd w:val="clear" w:color="auto" w:fill="auto"/>
            <w:vAlign w:val="center"/>
          </w:tcPr>
          <w:p w14:paraId="3C466621" w14:textId="77777777"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Plazo entre la entrada de la causa y el dictado de la sentencia en casos donde hubo oposición. </w:t>
            </w:r>
          </w:p>
          <w:p w14:paraId="73C8E3CB" w14:textId="77777777" w:rsidR="00642DD1" w:rsidRPr="00695918" w:rsidRDefault="00642DD1" w:rsidP="00695918">
            <w:pPr>
              <w:spacing w:after="0" w:line="276" w:lineRule="auto"/>
              <w:jc w:val="both"/>
              <w:rPr>
                <w:rFonts w:ascii="Book Antiqua" w:eastAsia="Times New Roman" w:hAnsi="Book Antiqua" w:cs="Arial"/>
                <w:lang w:eastAsia="es-CR"/>
              </w:rPr>
            </w:pPr>
          </w:p>
          <w:p w14:paraId="7CD7D17D" w14:textId="2D30C95D" w:rsidR="00642DD1" w:rsidRPr="00695918" w:rsidRDefault="00642DD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El dato se obtiene del Módulo de pase a fallo del Escritorio Virtual o Libro de Pase a Fallo.  </w:t>
            </w:r>
          </w:p>
        </w:tc>
      </w:tr>
      <w:tr w:rsidR="00642DD1" w:rsidRPr="00695918" w14:paraId="670B5139" w14:textId="77777777" w:rsidTr="003C68A1">
        <w:trPr>
          <w:cantSplit/>
          <w:trHeight w:val="1525"/>
          <w:jc w:val="center"/>
        </w:trPr>
        <w:tc>
          <w:tcPr>
            <w:tcW w:w="473" w:type="pct"/>
            <w:vMerge/>
            <w:shd w:val="clear" w:color="auto" w:fill="EAF1DD"/>
          </w:tcPr>
          <w:p w14:paraId="72E26F11" w14:textId="77777777" w:rsidR="00642DD1" w:rsidRPr="00695918" w:rsidRDefault="00642DD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FFFFFF"/>
            <w:vAlign w:val="center"/>
          </w:tcPr>
          <w:p w14:paraId="73CBE1EC" w14:textId="74510C5A" w:rsidR="00642DD1" w:rsidRPr="00695918" w:rsidRDefault="00642DD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11</w:t>
            </w:r>
          </w:p>
        </w:tc>
        <w:tc>
          <w:tcPr>
            <w:tcW w:w="1020" w:type="pct"/>
            <w:shd w:val="clear" w:color="auto" w:fill="FFFFFF"/>
            <w:vAlign w:val="center"/>
          </w:tcPr>
          <w:p w14:paraId="6FA71996" w14:textId="41D73D16" w:rsidR="00642DD1" w:rsidRPr="00695918" w:rsidRDefault="00642DD1" w:rsidP="001D0C10">
            <w:pPr>
              <w:spacing w:after="0" w:line="276" w:lineRule="auto"/>
              <w:jc w:val="both"/>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Plazo de espera de peritaje o valoración-PANI-DTSP</w:t>
            </w:r>
          </w:p>
        </w:tc>
        <w:tc>
          <w:tcPr>
            <w:tcW w:w="3083" w:type="pct"/>
            <w:shd w:val="clear" w:color="auto" w:fill="auto"/>
            <w:vAlign w:val="center"/>
          </w:tcPr>
          <w:p w14:paraId="788D7D42" w14:textId="36B5016E" w:rsidR="00642DD1" w:rsidRPr="00695918" w:rsidRDefault="00642DD1" w:rsidP="00695918">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Plazo entre la solicitud y la entrega del dictamen o pericia.  El dato se obtendría a partir del EV en una tarea específica. </w:t>
            </w:r>
          </w:p>
        </w:tc>
      </w:tr>
      <w:tr w:rsidR="00695918" w:rsidRPr="00695918" w14:paraId="126D0FCA" w14:textId="77777777" w:rsidTr="003C68A1">
        <w:trPr>
          <w:cantSplit/>
          <w:trHeight w:val="1134"/>
          <w:jc w:val="center"/>
        </w:trPr>
        <w:tc>
          <w:tcPr>
            <w:tcW w:w="473" w:type="pct"/>
            <w:shd w:val="clear" w:color="auto" w:fill="FBD4B4"/>
            <w:textDirection w:val="btLr"/>
          </w:tcPr>
          <w:p w14:paraId="721F83F5" w14:textId="77777777" w:rsidR="00695918" w:rsidRPr="00695918" w:rsidRDefault="00695918" w:rsidP="00695918">
            <w:pPr>
              <w:spacing w:after="0" w:line="276" w:lineRule="auto"/>
              <w:ind w:left="113" w:right="113"/>
              <w:jc w:val="center"/>
              <w:rPr>
                <w:rFonts w:ascii="Book Antiqua" w:eastAsia="Times New Roman" w:hAnsi="Book Antiqua" w:cs="Arial"/>
                <w:b/>
                <w:bCs/>
                <w:lang w:eastAsia="es-CR"/>
              </w:rPr>
            </w:pPr>
          </w:p>
        </w:tc>
        <w:tc>
          <w:tcPr>
            <w:tcW w:w="425" w:type="pct"/>
            <w:shd w:val="clear" w:color="auto" w:fill="auto"/>
            <w:vAlign w:val="center"/>
          </w:tcPr>
          <w:p w14:paraId="3E1636D4" w14:textId="11EAFEFE" w:rsidR="00695918" w:rsidRPr="00695918" w:rsidRDefault="00695918"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sidR="003C68A1">
              <w:rPr>
                <w:rFonts w:ascii="Book Antiqua" w:eastAsia="Times New Roman" w:hAnsi="Book Antiqua" w:cs="Arial"/>
                <w:b/>
                <w:bCs/>
                <w:color w:val="44546A"/>
                <w:lang w:eastAsia="es-CR"/>
              </w:rPr>
              <w:t>2</w:t>
            </w:r>
          </w:p>
        </w:tc>
        <w:tc>
          <w:tcPr>
            <w:tcW w:w="1020" w:type="pct"/>
            <w:shd w:val="clear" w:color="auto" w:fill="FFFFFF"/>
            <w:vAlign w:val="center"/>
          </w:tcPr>
          <w:p w14:paraId="75424159" w14:textId="1815E227" w:rsidR="00695918" w:rsidRPr="00695918" w:rsidRDefault="00695918"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 xml:space="preserve">Cantidad de </w:t>
            </w:r>
            <w:r w:rsidR="00642DD1">
              <w:rPr>
                <w:rFonts w:ascii="Book Antiqua" w:eastAsia="Times New Roman" w:hAnsi="Book Antiqua" w:cs="Arial"/>
                <w:b/>
                <w:bCs/>
                <w:color w:val="44546A"/>
                <w:lang w:eastAsia="es-CR"/>
              </w:rPr>
              <w:t>expedientes nuevos</w:t>
            </w:r>
            <w:r w:rsidRPr="00695918">
              <w:rPr>
                <w:rFonts w:ascii="Book Antiqua" w:eastAsia="Times New Roman" w:hAnsi="Book Antiqua" w:cs="Arial"/>
                <w:b/>
                <w:bCs/>
                <w:color w:val="44546A"/>
                <w:lang w:eastAsia="es-CR"/>
              </w:rPr>
              <w:t xml:space="preserve"> pendientes de </w:t>
            </w:r>
            <w:r w:rsidR="00642DD1">
              <w:rPr>
                <w:rFonts w:ascii="Book Antiqua" w:eastAsia="Times New Roman" w:hAnsi="Book Antiqua" w:cs="Arial"/>
                <w:b/>
                <w:bCs/>
                <w:color w:val="44546A"/>
                <w:lang w:eastAsia="es-CR"/>
              </w:rPr>
              <w:t>la primera resolución</w:t>
            </w:r>
          </w:p>
        </w:tc>
        <w:tc>
          <w:tcPr>
            <w:tcW w:w="3083" w:type="pct"/>
            <w:shd w:val="clear" w:color="auto" w:fill="auto"/>
            <w:vAlign w:val="center"/>
          </w:tcPr>
          <w:p w14:paraId="09D1E779"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Indicador se obtiene del Escritorio Virtual, se deben revisar todas las denuncias que se encuentran pendientes de tramitar por cada una de las personas técnicas judiciales.</w:t>
            </w:r>
          </w:p>
          <w:p w14:paraId="54A9D569" w14:textId="77777777" w:rsidR="00695918" w:rsidRPr="00695918" w:rsidRDefault="00695918"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 al revisar la cantidad de asuntos nuevos que ingresan por día y el plazo para resolver demandas nuevas.</w:t>
            </w:r>
          </w:p>
        </w:tc>
      </w:tr>
      <w:tr w:rsidR="003C68A1" w:rsidRPr="00695918" w14:paraId="436C1CD4" w14:textId="77777777" w:rsidTr="003C68A1">
        <w:trPr>
          <w:cantSplit/>
          <w:trHeight w:val="3922"/>
          <w:jc w:val="center"/>
        </w:trPr>
        <w:tc>
          <w:tcPr>
            <w:tcW w:w="473" w:type="pct"/>
            <w:vMerge w:val="restart"/>
            <w:shd w:val="clear" w:color="auto" w:fill="FBD4B4"/>
            <w:textDirection w:val="btLr"/>
          </w:tcPr>
          <w:p w14:paraId="7D036869" w14:textId="77777777" w:rsidR="003C68A1" w:rsidRPr="00695918" w:rsidRDefault="003C68A1" w:rsidP="00695918">
            <w:pPr>
              <w:spacing w:after="0" w:line="276" w:lineRule="auto"/>
              <w:ind w:left="113" w:right="113"/>
              <w:jc w:val="center"/>
              <w:rPr>
                <w:rFonts w:ascii="Book Antiqua" w:eastAsia="Times New Roman" w:hAnsi="Book Antiqua" w:cs="Arial"/>
                <w:b/>
                <w:bCs/>
                <w:color w:val="44546A"/>
                <w:lang w:eastAsia="es-CR"/>
              </w:rPr>
            </w:pPr>
            <w:r w:rsidRPr="00695918">
              <w:rPr>
                <w:rFonts w:ascii="Book Antiqua" w:eastAsia="Times New Roman" w:hAnsi="Book Antiqua" w:cs="Arial"/>
                <w:b/>
                <w:bCs/>
                <w:lang w:eastAsia="es-CR"/>
              </w:rPr>
              <w:lastRenderedPageBreak/>
              <w:t>Operacional</w:t>
            </w:r>
          </w:p>
        </w:tc>
        <w:tc>
          <w:tcPr>
            <w:tcW w:w="425" w:type="pct"/>
            <w:shd w:val="clear" w:color="auto" w:fill="auto"/>
            <w:vAlign w:val="center"/>
            <w:hideMark/>
          </w:tcPr>
          <w:p w14:paraId="06C96E8C"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p w14:paraId="78A2A1A2" w14:textId="1A91B0F6"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Pr>
                <w:rFonts w:ascii="Book Antiqua" w:eastAsia="Times New Roman" w:hAnsi="Book Antiqua" w:cs="Arial"/>
                <w:b/>
                <w:bCs/>
                <w:color w:val="44546A"/>
                <w:lang w:eastAsia="es-CR"/>
              </w:rPr>
              <w:t>3</w:t>
            </w:r>
          </w:p>
        </w:tc>
        <w:tc>
          <w:tcPr>
            <w:tcW w:w="1020" w:type="pct"/>
            <w:shd w:val="clear" w:color="auto" w:fill="FFFFFF"/>
            <w:vAlign w:val="center"/>
            <w:hideMark/>
          </w:tcPr>
          <w:p w14:paraId="121FCD93" w14:textId="623E8915"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 xml:space="preserve">Cantidad de escritos pendientes de </w:t>
            </w:r>
            <w:r>
              <w:rPr>
                <w:rFonts w:ascii="Book Antiqua" w:eastAsia="Times New Roman" w:hAnsi="Book Antiqua" w:cs="Arial"/>
                <w:b/>
                <w:bCs/>
                <w:color w:val="44546A"/>
                <w:lang w:eastAsia="es-CR"/>
              </w:rPr>
              <w:t>resolver</w:t>
            </w:r>
          </w:p>
        </w:tc>
        <w:tc>
          <w:tcPr>
            <w:tcW w:w="3083" w:type="pct"/>
            <w:shd w:val="clear" w:color="auto" w:fill="auto"/>
            <w:vAlign w:val="center"/>
            <w:hideMark/>
          </w:tcPr>
          <w:p w14:paraId="691E2E7B"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Indicador se subdivide en:</w:t>
            </w:r>
          </w:p>
          <w:p w14:paraId="45EA19B9" w14:textId="28B37533" w:rsidR="003C68A1" w:rsidRPr="000E4B98" w:rsidRDefault="003C68A1" w:rsidP="000E4B98">
            <w:pPr>
              <w:spacing w:after="0" w:line="276" w:lineRule="auto"/>
              <w:jc w:val="both"/>
              <w:rPr>
                <w:rFonts w:ascii="Book Antiqua" w:eastAsia="Times New Roman" w:hAnsi="Book Antiqua" w:cs="Arial"/>
                <w:lang w:eastAsia="es-CR"/>
              </w:rPr>
            </w:pPr>
            <w:r w:rsidRPr="000E4B98">
              <w:rPr>
                <w:rFonts w:ascii="Book Antiqua" w:eastAsia="Times New Roman" w:hAnsi="Book Antiqua" w:cs="Arial"/>
                <w:lang w:eastAsia="es-CR"/>
              </w:rPr>
              <w:t xml:space="preserve">1) Lo conforman el total de Escritos pendientes de resolver: </w:t>
            </w:r>
            <w:r w:rsidRPr="000E4B98">
              <w:rPr>
                <w:rFonts w:ascii="Book Antiqua" w:eastAsia="Times New Roman" w:hAnsi="Book Antiqua" w:cs="Arial"/>
                <w:i/>
                <w:iCs/>
                <w:lang w:eastAsia="es-CR"/>
              </w:rPr>
              <w:t>(consulta Tramitándose + consulta Pendiente de Distribuir + consulta Reservado)</w:t>
            </w:r>
          </w:p>
          <w:p w14:paraId="40E99D68"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bandeja de Escritos del Escritorio Virtual</w:t>
            </w:r>
          </w:p>
          <w:p w14:paraId="5D487865"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deben revisar todos los Escritos que se encuentran Tramitándose, como los que se encuentran pendientes de distribuir. Todas la Ubicaciones, todos los Auxiliares.</w:t>
            </w:r>
          </w:p>
          <w:p w14:paraId="403F9DD2"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w:t>
            </w:r>
          </w:p>
          <w:p w14:paraId="6396670A" w14:textId="77777777" w:rsidR="003C68A1" w:rsidRPr="00695918" w:rsidRDefault="003C68A1" w:rsidP="00695918">
            <w:pPr>
              <w:spacing w:after="0" w:line="276" w:lineRule="auto"/>
              <w:jc w:val="both"/>
              <w:rPr>
                <w:rFonts w:ascii="Book Antiqua" w:eastAsia="Times New Roman" w:hAnsi="Book Antiqua" w:cs="Arial"/>
                <w:lang w:eastAsia="es-CR"/>
              </w:rPr>
            </w:pPr>
          </w:p>
          <w:p w14:paraId="1BFBDE1A"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2) Cantidad de Escritos pendientes de resolver en estado de Trámite</w:t>
            </w:r>
          </w:p>
          <w:p w14:paraId="28843B67"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bandeja de Escritos del Escritorio Virtual</w:t>
            </w:r>
          </w:p>
          <w:p w14:paraId="73E79B7B" w14:textId="77777777" w:rsidR="003C68A1" w:rsidRPr="00695918" w:rsidRDefault="003C68A1" w:rsidP="00695918">
            <w:pPr>
              <w:spacing w:after="0" w:line="276" w:lineRule="auto"/>
              <w:jc w:val="both"/>
              <w:rPr>
                <w:rFonts w:ascii="Book Antiqua" w:eastAsia="Times New Roman" w:hAnsi="Book Antiqua" w:cs="Arial"/>
                <w:b/>
                <w:bCs/>
                <w:lang w:eastAsia="es-CR"/>
              </w:rPr>
            </w:pPr>
            <w:r w:rsidRPr="00695918">
              <w:rPr>
                <w:rFonts w:ascii="Book Antiqua" w:eastAsia="Times New Roman" w:hAnsi="Book Antiqua" w:cs="Arial"/>
                <w:lang w:eastAsia="es-CR"/>
              </w:rPr>
              <w:t xml:space="preserve">Se deben revisar todos los Escritos que se encuentran Tramitándose, como los que se encuentran pendientes de distribuir. Todas la Ubicaciones, todos los Auxiliares, Estado de Expediente: </w:t>
            </w:r>
            <w:r w:rsidRPr="00695918">
              <w:rPr>
                <w:rFonts w:ascii="Book Antiqua" w:eastAsia="Times New Roman" w:hAnsi="Book Antiqua" w:cs="Arial"/>
                <w:b/>
                <w:bCs/>
                <w:lang w:eastAsia="es-CR"/>
              </w:rPr>
              <w:t>En Trámite</w:t>
            </w:r>
          </w:p>
          <w:p w14:paraId="1744BF50"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w:t>
            </w:r>
          </w:p>
        </w:tc>
      </w:tr>
      <w:tr w:rsidR="003C68A1" w:rsidRPr="00695918" w14:paraId="279437F6" w14:textId="77777777" w:rsidTr="003C68A1">
        <w:trPr>
          <w:cantSplit/>
          <w:trHeight w:val="3920"/>
          <w:jc w:val="center"/>
        </w:trPr>
        <w:tc>
          <w:tcPr>
            <w:tcW w:w="473" w:type="pct"/>
            <w:vMerge/>
            <w:shd w:val="clear" w:color="auto" w:fill="FBD4B4"/>
            <w:textDirection w:val="btLr"/>
          </w:tcPr>
          <w:p w14:paraId="71639D64" w14:textId="77777777" w:rsidR="003C68A1" w:rsidRPr="00695918" w:rsidRDefault="003C68A1" w:rsidP="00695918">
            <w:pPr>
              <w:spacing w:after="0" w:line="276" w:lineRule="auto"/>
              <w:ind w:left="113" w:right="113"/>
              <w:jc w:val="center"/>
              <w:rPr>
                <w:rFonts w:ascii="Book Antiqua" w:eastAsia="Times New Roman" w:hAnsi="Book Antiqua" w:cs="Arial"/>
                <w:b/>
                <w:bCs/>
                <w:lang w:eastAsia="es-CR"/>
              </w:rPr>
            </w:pPr>
          </w:p>
        </w:tc>
        <w:tc>
          <w:tcPr>
            <w:tcW w:w="425" w:type="pct"/>
            <w:shd w:val="clear" w:color="auto" w:fill="auto"/>
            <w:vAlign w:val="center"/>
          </w:tcPr>
          <w:p w14:paraId="1599F892" w14:textId="783FA42D"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14</w:t>
            </w:r>
          </w:p>
        </w:tc>
        <w:tc>
          <w:tcPr>
            <w:tcW w:w="1020" w:type="pct"/>
            <w:shd w:val="clear" w:color="auto" w:fill="FFFFFF"/>
            <w:vAlign w:val="center"/>
          </w:tcPr>
          <w:p w14:paraId="4EE1BA9A" w14:textId="4E42499E" w:rsidR="003C68A1" w:rsidRPr="00695918" w:rsidRDefault="003C68A1" w:rsidP="001D0C10">
            <w:pPr>
              <w:spacing w:after="0" w:line="276" w:lineRule="auto"/>
              <w:jc w:val="both"/>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Cantidad de expedientes pendientes de fallo</w:t>
            </w:r>
          </w:p>
        </w:tc>
        <w:tc>
          <w:tcPr>
            <w:tcW w:w="3083" w:type="pct"/>
            <w:shd w:val="clear" w:color="auto" w:fill="auto"/>
            <w:vAlign w:val="center"/>
          </w:tcPr>
          <w:p w14:paraId="44C07D50" w14:textId="722D08DD" w:rsidR="003C68A1" w:rsidRPr="00695918" w:rsidRDefault="003C68A1" w:rsidP="00695918">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Cantidad de asuntos pendientes de estudio, se obtienen del módulo de pase a fallo del EV o del control manual de la oficina. </w:t>
            </w:r>
          </w:p>
        </w:tc>
      </w:tr>
      <w:tr w:rsidR="003C68A1" w:rsidRPr="00695918" w14:paraId="6A7977AA" w14:textId="77777777" w:rsidTr="001D0C10">
        <w:trPr>
          <w:cantSplit/>
          <w:trHeight w:val="513"/>
          <w:jc w:val="center"/>
        </w:trPr>
        <w:tc>
          <w:tcPr>
            <w:tcW w:w="473" w:type="pct"/>
            <w:vMerge/>
            <w:shd w:val="clear" w:color="auto" w:fill="FBD4B4"/>
            <w:textDirection w:val="btLr"/>
          </w:tcPr>
          <w:p w14:paraId="7C33A04C" w14:textId="77777777" w:rsidR="003C68A1" w:rsidRPr="00695918" w:rsidRDefault="003C68A1" w:rsidP="00695918">
            <w:pPr>
              <w:spacing w:after="0" w:line="276" w:lineRule="auto"/>
              <w:ind w:left="113" w:right="113"/>
              <w:jc w:val="center"/>
              <w:rPr>
                <w:rFonts w:ascii="Book Antiqua" w:eastAsia="Times New Roman" w:hAnsi="Book Antiqua" w:cs="Arial"/>
                <w:b/>
                <w:bCs/>
                <w:lang w:eastAsia="es-CR"/>
              </w:rPr>
            </w:pPr>
          </w:p>
        </w:tc>
        <w:tc>
          <w:tcPr>
            <w:tcW w:w="425" w:type="pct"/>
            <w:shd w:val="clear" w:color="auto" w:fill="auto"/>
            <w:vAlign w:val="center"/>
          </w:tcPr>
          <w:p w14:paraId="63996BD5" w14:textId="59434525"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15</w:t>
            </w:r>
          </w:p>
        </w:tc>
        <w:tc>
          <w:tcPr>
            <w:tcW w:w="1020" w:type="pct"/>
            <w:shd w:val="clear" w:color="auto" w:fill="FFFFFF"/>
            <w:vAlign w:val="center"/>
          </w:tcPr>
          <w:p w14:paraId="0FCABDB2" w14:textId="6B66A8B6" w:rsidR="003C68A1" w:rsidRPr="00695918" w:rsidRDefault="003C68A1" w:rsidP="001D0C10">
            <w:pPr>
              <w:spacing w:after="0" w:line="276" w:lineRule="auto"/>
              <w:jc w:val="both"/>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Cantidad de peritajes o valoraciones pendientes PANI-DTSP</w:t>
            </w:r>
          </w:p>
        </w:tc>
        <w:tc>
          <w:tcPr>
            <w:tcW w:w="3083" w:type="pct"/>
            <w:shd w:val="clear" w:color="auto" w:fill="auto"/>
            <w:vAlign w:val="center"/>
          </w:tcPr>
          <w:p w14:paraId="6FDC1E0B" w14:textId="7928796F" w:rsidR="003C68A1" w:rsidRPr="00695918" w:rsidRDefault="003C68A1" w:rsidP="00695918">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Cantidad de asuntos pendientes de recibir el dictamen solicitado. Se obtendría de una tarea del EV. </w:t>
            </w:r>
          </w:p>
        </w:tc>
      </w:tr>
      <w:tr w:rsidR="003C68A1" w:rsidRPr="00695918" w14:paraId="4E0023E0" w14:textId="77777777" w:rsidTr="003C68A1">
        <w:trPr>
          <w:cantSplit/>
          <w:trHeight w:val="20"/>
          <w:jc w:val="center"/>
        </w:trPr>
        <w:tc>
          <w:tcPr>
            <w:tcW w:w="473" w:type="pct"/>
            <w:vMerge/>
            <w:shd w:val="clear" w:color="auto" w:fill="FBD4B4"/>
          </w:tcPr>
          <w:p w14:paraId="259AD6C5"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402E10AB" w14:textId="141DE1EB"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Pr>
                <w:rFonts w:ascii="Book Antiqua" w:eastAsia="Times New Roman" w:hAnsi="Book Antiqua" w:cs="Arial"/>
                <w:b/>
                <w:bCs/>
                <w:color w:val="44546A"/>
                <w:lang w:eastAsia="es-CR"/>
              </w:rPr>
              <w:t>6</w:t>
            </w:r>
          </w:p>
        </w:tc>
        <w:tc>
          <w:tcPr>
            <w:tcW w:w="1020" w:type="pct"/>
            <w:shd w:val="clear" w:color="auto" w:fill="auto"/>
            <w:vAlign w:val="center"/>
          </w:tcPr>
          <w:p w14:paraId="42424670"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Cantidad de audiencias pendientes de realización</w:t>
            </w:r>
          </w:p>
        </w:tc>
        <w:tc>
          <w:tcPr>
            <w:tcW w:w="3083" w:type="pct"/>
            <w:shd w:val="clear" w:color="auto" w:fill="auto"/>
            <w:vAlign w:val="center"/>
          </w:tcPr>
          <w:p w14:paraId="03951A1F"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Agenda Cronos, en Buscar Apuntes, búsqueda por criterio por rango de fecha y se obtiene la cantidad de señalamiento a Audiencia pendientes de realización</w:t>
            </w:r>
          </w:p>
          <w:p w14:paraId="0A17CC2A"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No se incluyen los seguimientos de Violencia Doméstica</w:t>
            </w:r>
          </w:p>
        </w:tc>
      </w:tr>
      <w:tr w:rsidR="003C68A1" w:rsidRPr="00695918" w14:paraId="0E4BA2D2" w14:textId="77777777" w:rsidTr="003C68A1">
        <w:trPr>
          <w:cantSplit/>
          <w:trHeight w:val="20"/>
          <w:jc w:val="center"/>
        </w:trPr>
        <w:tc>
          <w:tcPr>
            <w:tcW w:w="473" w:type="pct"/>
            <w:vMerge/>
            <w:shd w:val="clear" w:color="auto" w:fill="FBD4B4"/>
          </w:tcPr>
          <w:p w14:paraId="766D2030"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hideMark/>
          </w:tcPr>
          <w:p w14:paraId="5378CD25" w14:textId="5970AE70"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Pr>
                <w:rFonts w:ascii="Book Antiqua" w:eastAsia="Times New Roman" w:hAnsi="Book Antiqua" w:cs="Arial"/>
                <w:b/>
                <w:bCs/>
                <w:color w:val="44546A"/>
                <w:lang w:eastAsia="es-CR"/>
              </w:rPr>
              <w:t>7</w:t>
            </w:r>
          </w:p>
        </w:tc>
        <w:tc>
          <w:tcPr>
            <w:tcW w:w="1020" w:type="pct"/>
            <w:shd w:val="clear" w:color="auto" w:fill="auto"/>
            <w:vAlign w:val="center"/>
            <w:hideMark/>
          </w:tcPr>
          <w:p w14:paraId="5C62DA15"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Porcentaje de efectividad de recepción de prueba</w:t>
            </w:r>
          </w:p>
        </w:tc>
        <w:tc>
          <w:tcPr>
            <w:tcW w:w="3083" w:type="pct"/>
            <w:shd w:val="clear" w:color="auto" w:fill="auto"/>
            <w:vAlign w:val="center"/>
            <w:hideMark/>
          </w:tcPr>
          <w:p w14:paraId="57554912" w14:textId="77777777" w:rsidR="003C68A1" w:rsidRPr="00695918" w:rsidRDefault="003C68A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Se calcula: </w:t>
            </w:r>
            <w:r w:rsidRPr="00695918">
              <w:rPr>
                <w:rFonts w:ascii="Book Antiqua" w:eastAsia="Times New Roman" w:hAnsi="Book Antiqua" w:cs="Arial"/>
                <w:i/>
                <w:iCs/>
                <w:lang w:eastAsia="es-CR"/>
              </w:rPr>
              <w:t>(Audiencias realizadas / Audiencias programadas) *100</w:t>
            </w:r>
          </w:p>
          <w:p w14:paraId="7DE11186"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Agenda Cronos, en Buscar Apuntes, búsqueda por criterio por rango de fecha y se obtiene la cantidad de señalamiento a Audiencia programados.</w:t>
            </w:r>
          </w:p>
          <w:p w14:paraId="3E6A47A7"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3C68A1" w:rsidRPr="00695918" w14:paraId="7162E335" w14:textId="77777777" w:rsidTr="003C68A1">
        <w:trPr>
          <w:cantSplit/>
          <w:trHeight w:val="20"/>
          <w:jc w:val="center"/>
        </w:trPr>
        <w:tc>
          <w:tcPr>
            <w:tcW w:w="473" w:type="pct"/>
            <w:vMerge/>
            <w:shd w:val="clear" w:color="auto" w:fill="FBD4B4"/>
          </w:tcPr>
          <w:p w14:paraId="06B1FAE7"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74F334A0" w14:textId="52E0F61F"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Pr>
                <w:rFonts w:ascii="Book Antiqua" w:eastAsia="Times New Roman" w:hAnsi="Book Antiqua" w:cs="Arial"/>
                <w:b/>
                <w:bCs/>
                <w:color w:val="44546A"/>
                <w:lang w:eastAsia="es-CR"/>
              </w:rPr>
              <w:t>8</w:t>
            </w:r>
          </w:p>
        </w:tc>
        <w:tc>
          <w:tcPr>
            <w:tcW w:w="1020" w:type="pct"/>
            <w:shd w:val="clear" w:color="auto" w:fill="auto"/>
            <w:vAlign w:val="center"/>
          </w:tcPr>
          <w:p w14:paraId="3136CD9F"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Cantidad de audiencias de seguimiento</w:t>
            </w:r>
          </w:p>
        </w:tc>
        <w:tc>
          <w:tcPr>
            <w:tcW w:w="3083" w:type="pct"/>
            <w:shd w:val="clear" w:color="auto" w:fill="auto"/>
            <w:vAlign w:val="center"/>
          </w:tcPr>
          <w:p w14:paraId="1E7B0B08"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Cantidad de audiencias de Seguimiento de Violencia Doméstica al mes</w:t>
            </w:r>
          </w:p>
        </w:tc>
      </w:tr>
      <w:tr w:rsidR="003C68A1" w:rsidRPr="00695918" w14:paraId="6063103A" w14:textId="77777777" w:rsidTr="003C68A1">
        <w:trPr>
          <w:cantSplit/>
          <w:trHeight w:val="20"/>
          <w:jc w:val="center"/>
        </w:trPr>
        <w:tc>
          <w:tcPr>
            <w:tcW w:w="473" w:type="pct"/>
            <w:vMerge/>
            <w:shd w:val="clear" w:color="auto" w:fill="FBD4B4"/>
          </w:tcPr>
          <w:p w14:paraId="79B35605"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6FF80210" w14:textId="1B4EF1A2"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1</w:t>
            </w:r>
            <w:r>
              <w:rPr>
                <w:rFonts w:ascii="Book Antiqua" w:eastAsia="Times New Roman" w:hAnsi="Book Antiqua" w:cs="Arial"/>
                <w:b/>
                <w:bCs/>
                <w:color w:val="44546A"/>
                <w:lang w:eastAsia="es-CR"/>
              </w:rPr>
              <w:t>9</w:t>
            </w:r>
          </w:p>
        </w:tc>
        <w:tc>
          <w:tcPr>
            <w:tcW w:w="1020" w:type="pct"/>
            <w:shd w:val="clear" w:color="auto" w:fill="auto"/>
            <w:vAlign w:val="center"/>
          </w:tcPr>
          <w:p w14:paraId="18741095"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Porcentaje de efectividad audiencias de seguimientos</w:t>
            </w:r>
          </w:p>
        </w:tc>
        <w:tc>
          <w:tcPr>
            <w:tcW w:w="3083" w:type="pct"/>
            <w:shd w:val="clear" w:color="auto" w:fill="auto"/>
            <w:vAlign w:val="center"/>
          </w:tcPr>
          <w:p w14:paraId="37ACE5D8" w14:textId="77777777" w:rsidR="003C68A1" w:rsidRPr="00695918" w:rsidRDefault="003C68A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Se calcula: </w:t>
            </w:r>
            <w:r w:rsidRPr="00695918">
              <w:rPr>
                <w:rFonts w:ascii="Book Antiqua" w:eastAsia="Times New Roman" w:hAnsi="Book Antiqua" w:cs="Arial"/>
                <w:i/>
                <w:iCs/>
                <w:lang w:eastAsia="es-CR"/>
              </w:rPr>
              <w:t>(Audiencias de seguimiento individual realizadas / Audiencias de seguimiento programadas) *100</w:t>
            </w:r>
          </w:p>
          <w:p w14:paraId="7EFA4E68"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obtiene de la Agenda Cronos, en Buscar Apuntes, búsqueda por criterio por rango de fecha y se obtiene la cantidad de señalamiento a Audiencia de seguimiento programados.</w:t>
            </w:r>
          </w:p>
          <w:p w14:paraId="639EDBCC"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 para luego estandarizar un porcentaje de efectividad para todos los despachos.</w:t>
            </w:r>
          </w:p>
        </w:tc>
      </w:tr>
      <w:tr w:rsidR="003C68A1" w:rsidRPr="00695918" w14:paraId="45DDDE09" w14:textId="77777777" w:rsidTr="003C68A1">
        <w:trPr>
          <w:cantSplit/>
          <w:trHeight w:val="20"/>
          <w:jc w:val="center"/>
        </w:trPr>
        <w:tc>
          <w:tcPr>
            <w:tcW w:w="473" w:type="pct"/>
            <w:vMerge/>
            <w:shd w:val="clear" w:color="auto" w:fill="FBD4B4"/>
          </w:tcPr>
          <w:p w14:paraId="53726938"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673B759D" w14:textId="3E989CAF"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20</w:t>
            </w:r>
          </w:p>
        </w:tc>
        <w:tc>
          <w:tcPr>
            <w:tcW w:w="1020" w:type="pct"/>
            <w:shd w:val="clear" w:color="auto" w:fill="auto"/>
            <w:vAlign w:val="center"/>
          </w:tcPr>
          <w:p w14:paraId="6F1BF3EE"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Porcentaje de rendimiento por persona técnica judicial</w:t>
            </w:r>
          </w:p>
        </w:tc>
        <w:tc>
          <w:tcPr>
            <w:tcW w:w="3083" w:type="pct"/>
            <w:shd w:val="clear" w:color="auto" w:fill="auto"/>
            <w:vAlign w:val="center"/>
          </w:tcPr>
          <w:p w14:paraId="1E69E0E2" w14:textId="77777777" w:rsidR="003C68A1" w:rsidRPr="00695918" w:rsidRDefault="003C68A1" w:rsidP="00695918">
            <w:pPr>
              <w:spacing w:after="0" w:line="276" w:lineRule="auto"/>
              <w:jc w:val="both"/>
              <w:rPr>
                <w:rFonts w:ascii="Book Antiqua" w:eastAsia="Times New Roman" w:hAnsi="Book Antiqua" w:cs="Arial"/>
                <w:i/>
                <w:iCs/>
                <w:lang w:eastAsia="es-CR"/>
              </w:rPr>
            </w:pPr>
            <w:r w:rsidRPr="00695918">
              <w:rPr>
                <w:rFonts w:ascii="Book Antiqua" w:eastAsia="Times New Roman" w:hAnsi="Book Antiqua" w:cs="Arial"/>
                <w:lang w:eastAsia="es-CR"/>
              </w:rPr>
              <w:t xml:space="preserve">Se calcula: </w:t>
            </w:r>
            <w:r w:rsidRPr="00695918">
              <w:rPr>
                <w:rFonts w:ascii="Book Antiqua" w:eastAsia="Times New Roman" w:hAnsi="Book Antiqua" w:cs="Arial"/>
                <w:i/>
                <w:iCs/>
                <w:lang w:eastAsia="es-CR"/>
              </w:rPr>
              <w:t>(Cantidad de expedientes pasados a firmar / Cantidad de resoluciones a realizar según cuota de trabajo)</w:t>
            </w:r>
          </w:p>
          <w:p w14:paraId="5EE4F579"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toma en cuenta los días laborados por cada una de las personas técnicas judiciales en el mes, según la cuota de trabajo diaria.</w:t>
            </w:r>
          </w:p>
          <w:p w14:paraId="10AA05B7"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está definido en 95% a 100%</w:t>
            </w:r>
          </w:p>
          <w:p w14:paraId="65AA0064"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indicador se segrega para personas titulares y de apoyo.</w:t>
            </w:r>
          </w:p>
        </w:tc>
      </w:tr>
      <w:tr w:rsidR="003C68A1" w:rsidRPr="00695918" w14:paraId="59699F99" w14:textId="77777777" w:rsidTr="003C68A1">
        <w:trPr>
          <w:cantSplit/>
          <w:trHeight w:val="20"/>
          <w:jc w:val="center"/>
        </w:trPr>
        <w:tc>
          <w:tcPr>
            <w:tcW w:w="473" w:type="pct"/>
            <w:vMerge/>
            <w:shd w:val="clear" w:color="auto" w:fill="FBD4B4"/>
          </w:tcPr>
          <w:p w14:paraId="6B9BD3B6"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hideMark/>
          </w:tcPr>
          <w:p w14:paraId="5415E227" w14:textId="7FBFAE53"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21</w:t>
            </w:r>
          </w:p>
        </w:tc>
        <w:tc>
          <w:tcPr>
            <w:tcW w:w="1020" w:type="pct"/>
            <w:shd w:val="clear" w:color="auto" w:fill="auto"/>
            <w:vAlign w:val="center"/>
            <w:hideMark/>
          </w:tcPr>
          <w:p w14:paraId="6691E7E1"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 xml:space="preserve">Cantidad de expedientes pendientes de firma </w:t>
            </w:r>
          </w:p>
        </w:tc>
        <w:tc>
          <w:tcPr>
            <w:tcW w:w="3083" w:type="pct"/>
            <w:shd w:val="clear" w:color="auto" w:fill="auto"/>
            <w:vAlign w:val="center"/>
            <w:hideMark/>
          </w:tcPr>
          <w:p w14:paraId="06798A4B"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 la cantidad de expedientes pendientes de firma por cada persona juzgadora.</w:t>
            </w:r>
          </w:p>
          <w:p w14:paraId="7FBB13C4"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46F25311"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al momento del abordaje y corresponde a la cantidad de expedientes pasados a firmar por el equipo de personas técnicas judiciales a una persona juzgadora en el plazo de 3 días.</w:t>
            </w:r>
          </w:p>
        </w:tc>
      </w:tr>
      <w:tr w:rsidR="003C68A1" w:rsidRPr="00695918" w14:paraId="1F4C7FAA" w14:textId="77777777" w:rsidTr="003C68A1">
        <w:trPr>
          <w:cantSplit/>
          <w:trHeight w:val="20"/>
          <w:jc w:val="center"/>
        </w:trPr>
        <w:tc>
          <w:tcPr>
            <w:tcW w:w="473" w:type="pct"/>
            <w:vMerge/>
            <w:shd w:val="clear" w:color="auto" w:fill="FBD4B4"/>
          </w:tcPr>
          <w:p w14:paraId="441C840D"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1502CDE7" w14:textId="778FB4AA"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22</w:t>
            </w:r>
          </w:p>
        </w:tc>
        <w:tc>
          <w:tcPr>
            <w:tcW w:w="1020" w:type="pct"/>
            <w:shd w:val="clear" w:color="auto" w:fill="auto"/>
            <w:vAlign w:val="center"/>
          </w:tcPr>
          <w:p w14:paraId="27A1CEF7"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Cantidad de expedientes firmados por persona juzgadora en el mes</w:t>
            </w:r>
          </w:p>
        </w:tc>
        <w:tc>
          <w:tcPr>
            <w:tcW w:w="3083" w:type="pct"/>
            <w:shd w:val="clear" w:color="auto" w:fill="auto"/>
            <w:vAlign w:val="center"/>
          </w:tcPr>
          <w:p w14:paraId="058DAE7A"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 la cantidad de resoluciones firmadas por cada persona juzgadora.</w:t>
            </w:r>
          </w:p>
          <w:p w14:paraId="276B4282"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58E333F1"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3C68A1" w:rsidRPr="00695918" w14:paraId="1435FD9E" w14:textId="77777777" w:rsidTr="003C68A1">
        <w:trPr>
          <w:cantSplit/>
          <w:trHeight w:val="20"/>
          <w:jc w:val="center"/>
        </w:trPr>
        <w:tc>
          <w:tcPr>
            <w:tcW w:w="473" w:type="pct"/>
            <w:vMerge/>
            <w:shd w:val="clear" w:color="auto" w:fill="FBD4B4"/>
          </w:tcPr>
          <w:p w14:paraId="156AE039"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40289963" w14:textId="7BF84FCE" w:rsidR="003C68A1" w:rsidRPr="00695918" w:rsidRDefault="003C68A1" w:rsidP="00695918">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23</w:t>
            </w:r>
          </w:p>
        </w:tc>
        <w:tc>
          <w:tcPr>
            <w:tcW w:w="1020" w:type="pct"/>
            <w:shd w:val="clear" w:color="auto" w:fill="auto"/>
            <w:vAlign w:val="center"/>
          </w:tcPr>
          <w:p w14:paraId="70914B05" w14:textId="3DBA35F8" w:rsidR="003C68A1" w:rsidRPr="00695918" w:rsidRDefault="003C68A1" w:rsidP="001D0C10">
            <w:pPr>
              <w:spacing w:after="0" w:line="276" w:lineRule="auto"/>
              <w:jc w:val="both"/>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Porcentaje de efectividad en el firmado por persona juzgadora</w:t>
            </w:r>
          </w:p>
        </w:tc>
        <w:tc>
          <w:tcPr>
            <w:tcW w:w="3083" w:type="pct"/>
            <w:shd w:val="clear" w:color="auto" w:fill="auto"/>
            <w:vAlign w:val="center"/>
          </w:tcPr>
          <w:p w14:paraId="10F7F9C7" w14:textId="0DD12972" w:rsidR="003C68A1" w:rsidRPr="00695918" w:rsidRDefault="003C68A1" w:rsidP="00695918">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Se o tienen del EV. Resultado de la cantidad de expedientes firmados/cantidad esperada de expedientes firmados</w:t>
            </w:r>
          </w:p>
        </w:tc>
      </w:tr>
      <w:tr w:rsidR="003C68A1" w:rsidRPr="00695918" w14:paraId="3B8E3381" w14:textId="77777777" w:rsidTr="003C68A1">
        <w:trPr>
          <w:cantSplit/>
          <w:trHeight w:val="20"/>
          <w:jc w:val="center"/>
        </w:trPr>
        <w:tc>
          <w:tcPr>
            <w:tcW w:w="473" w:type="pct"/>
            <w:vMerge/>
            <w:shd w:val="clear" w:color="auto" w:fill="FBD4B4"/>
          </w:tcPr>
          <w:p w14:paraId="54CA71CD"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757CA587" w14:textId="5F12CA2D"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2</w:t>
            </w:r>
            <w:r>
              <w:rPr>
                <w:rFonts w:ascii="Book Antiqua" w:eastAsia="Times New Roman" w:hAnsi="Book Antiqua" w:cs="Arial"/>
                <w:b/>
                <w:bCs/>
                <w:color w:val="44546A"/>
                <w:lang w:eastAsia="es-CR"/>
              </w:rPr>
              <w:t>4</w:t>
            </w:r>
          </w:p>
        </w:tc>
        <w:tc>
          <w:tcPr>
            <w:tcW w:w="1020" w:type="pct"/>
            <w:shd w:val="clear" w:color="auto" w:fill="auto"/>
            <w:vAlign w:val="center"/>
          </w:tcPr>
          <w:p w14:paraId="49E72700"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Cantidad de sentencias dictadas por persona juzgadora</w:t>
            </w:r>
          </w:p>
        </w:tc>
        <w:tc>
          <w:tcPr>
            <w:tcW w:w="3083" w:type="pct"/>
            <w:shd w:val="clear" w:color="auto" w:fill="auto"/>
            <w:vAlign w:val="center"/>
          </w:tcPr>
          <w:p w14:paraId="43D007B0"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Indicador mide la cantidad global de sentencias dictadas por cada persona juzgadora.</w:t>
            </w:r>
          </w:p>
          <w:p w14:paraId="1EC3B8DE"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dato se obtiene del Módulo de pase a fallo del Escritorio Virtual o Libro de Pase a Fallo.</w:t>
            </w:r>
          </w:p>
          <w:p w14:paraId="5597CC87"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Este indicador se segrega para personas titulares y de apoyo.</w:t>
            </w:r>
          </w:p>
        </w:tc>
      </w:tr>
      <w:tr w:rsidR="003C68A1" w:rsidRPr="00695918" w14:paraId="1399FDA2" w14:textId="77777777" w:rsidTr="003C68A1">
        <w:trPr>
          <w:cantSplit/>
          <w:trHeight w:val="20"/>
          <w:jc w:val="center"/>
        </w:trPr>
        <w:tc>
          <w:tcPr>
            <w:tcW w:w="473" w:type="pct"/>
            <w:vMerge/>
            <w:shd w:val="clear" w:color="auto" w:fill="FBD4B4"/>
          </w:tcPr>
          <w:p w14:paraId="595ABB3F"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08CE427F" w14:textId="6EE31A41"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2</w:t>
            </w:r>
            <w:r>
              <w:rPr>
                <w:rFonts w:ascii="Book Antiqua" w:eastAsia="Times New Roman" w:hAnsi="Book Antiqua" w:cs="Arial"/>
                <w:b/>
                <w:bCs/>
                <w:color w:val="44546A"/>
                <w:lang w:eastAsia="es-CR"/>
              </w:rPr>
              <w:t>4</w:t>
            </w:r>
          </w:p>
        </w:tc>
        <w:tc>
          <w:tcPr>
            <w:tcW w:w="1020" w:type="pct"/>
            <w:shd w:val="clear" w:color="auto" w:fill="auto"/>
            <w:vAlign w:val="center"/>
            <w:hideMark/>
          </w:tcPr>
          <w:p w14:paraId="6BD9B71C"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Porcentaje de rendimiento por persona juzgadora</w:t>
            </w:r>
          </w:p>
        </w:tc>
        <w:tc>
          <w:tcPr>
            <w:tcW w:w="3083" w:type="pct"/>
            <w:shd w:val="clear" w:color="auto" w:fill="auto"/>
            <w:vAlign w:val="center"/>
            <w:hideMark/>
          </w:tcPr>
          <w:p w14:paraId="1A529720"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Se calcula para cada persona juzgadora: </w:t>
            </w:r>
            <w:r w:rsidRPr="00695918">
              <w:rPr>
                <w:rFonts w:ascii="Book Antiqua" w:eastAsia="Times New Roman" w:hAnsi="Book Antiqua" w:cs="Arial"/>
                <w:i/>
                <w:iCs/>
                <w:lang w:eastAsia="es-CR"/>
              </w:rPr>
              <w:t>(Cantidad de Sentencias y Otras Resoluciones dictadas / Cantidad de Sentencias y Resoluciones a realizar según cuota de trabajo)</w:t>
            </w:r>
            <w:r w:rsidRPr="00695918">
              <w:rPr>
                <w:rFonts w:ascii="Book Antiqua" w:eastAsia="Times New Roman" w:hAnsi="Book Antiqua" w:cs="Arial"/>
                <w:lang w:eastAsia="es-CR"/>
              </w:rPr>
              <w:t>.</w:t>
            </w:r>
          </w:p>
          <w:p w14:paraId="6D7C541B"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Se toma en cuenta los días laborados por cada una de las personas juzgadora en el mes, según la cuota de trabajo diaria de sentencias definida.</w:t>
            </w:r>
          </w:p>
          <w:p w14:paraId="55B37376"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El parámetro está definido en 95% a 100%</w:t>
            </w:r>
          </w:p>
          <w:p w14:paraId="6061662F"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 xml:space="preserve">Este indicador se segrega para personas titulares y de apoyo. </w:t>
            </w:r>
          </w:p>
        </w:tc>
      </w:tr>
      <w:tr w:rsidR="003C68A1" w:rsidRPr="00695918" w14:paraId="07710F43" w14:textId="77777777" w:rsidTr="003C68A1">
        <w:trPr>
          <w:cantSplit/>
          <w:trHeight w:val="20"/>
          <w:jc w:val="center"/>
        </w:trPr>
        <w:tc>
          <w:tcPr>
            <w:tcW w:w="473" w:type="pct"/>
            <w:vMerge/>
            <w:shd w:val="clear" w:color="auto" w:fill="FBD4B4"/>
          </w:tcPr>
          <w:p w14:paraId="15A3DA30" w14:textId="77777777" w:rsidR="003C68A1" w:rsidRPr="00695918" w:rsidRDefault="003C68A1" w:rsidP="00695918">
            <w:pPr>
              <w:spacing w:after="0" w:line="276" w:lineRule="auto"/>
              <w:jc w:val="center"/>
              <w:rPr>
                <w:rFonts w:ascii="Book Antiqua" w:eastAsia="Times New Roman" w:hAnsi="Book Antiqua" w:cs="Arial"/>
                <w:b/>
                <w:bCs/>
                <w:color w:val="44546A"/>
                <w:lang w:eastAsia="es-CR"/>
              </w:rPr>
            </w:pPr>
          </w:p>
        </w:tc>
        <w:tc>
          <w:tcPr>
            <w:tcW w:w="425" w:type="pct"/>
            <w:shd w:val="clear" w:color="auto" w:fill="auto"/>
            <w:vAlign w:val="center"/>
          </w:tcPr>
          <w:p w14:paraId="49F62EF7" w14:textId="19731DC3" w:rsidR="003C68A1" w:rsidRPr="00695918" w:rsidRDefault="003C68A1" w:rsidP="00695918">
            <w:pPr>
              <w:spacing w:after="0" w:line="276" w:lineRule="auto"/>
              <w:jc w:val="center"/>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2</w:t>
            </w:r>
            <w:r>
              <w:rPr>
                <w:rFonts w:ascii="Book Antiqua" w:eastAsia="Times New Roman" w:hAnsi="Book Antiqua" w:cs="Arial"/>
                <w:b/>
                <w:bCs/>
                <w:color w:val="44546A"/>
                <w:lang w:eastAsia="es-CR"/>
              </w:rPr>
              <w:t>6</w:t>
            </w:r>
          </w:p>
        </w:tc>
        <w:tc>
          <w:tcPr>
            <w:tcW w:w="1020" w:type="pct"/>
            <w:shd w:val="clear" w:color="auto" w:fill="auto"/>
            <w:vAlign w:val="center"/>
          </w:tcPr>
          <w:p w14:paraId="0474972C" w14:textId="77777777" w:rsidR="003C68A1" w:rsidRPr="00695918" w:rsidRDefault="003C68A1" w:rsidP="001D0C10">
            <w:pPr>
              <w:spacing w:after="0" w:line="276" w:lineRule="auto"/>
              <w:jc w:val="both"/>
              <w:rPr>
                <w:rFonts w:ascii="Book Antiqua" w:eastAsia="Times New Roman" w:hAnsi="Book Antiqua" w:cs="Arial"/>
                <w:b/>
                <w:bCs/>
                <w:color w:val="44546A"/>
                <w:lang w:eastAsia="es-CR"/>
              </w:rPr>
            </w:pPr>
            <w:r w:rsidRPr="00695918">
              <w:rPr>
                <w:rFonts w:ascii="Book Antiqua" w:eastAsia="Times New Roman" w:hAnsi="Book Antiqua" w:cs="Arial"/>
                <w:b/>
                <w:bCs/>
                <w:color w:val="44546A"/>
                <w:lang w:eastAsia="es-CR"/>
              </w:rPr>
              <w:t>Cantidad de personas usuarias atendidas (área de manifestación)</w:t>
            </w:r>
          </w:p>
        </w:tc>
        <w:tc>
          <w:tcPr>
            <w:tcW w:w="3083" w:type="pct"/>
            <w:shd w:val="clear" w:color="auto" w:fill="auto"/>
            <w:vAlign w:val="center"/>
          </w:tcPr>
          <w:p w14:paraId="07D81382" w14:textId="77777777" w:rsidR="003C68A1" w:rsidRPr="00695918" w:rsidRDefault="003C68A1" w:rsidP="00695918">
            <w:pPr>
              <w:spacing w:after="0" w:line="276" w:lineRule="auto"/>
              <w:jc w:val="both"/>
              <w:rPr>
                <w:rFonts w:ascii="Book Antiqua" w:eastAsia="Times New Roman" w:hAnsi="Book Antiqua" w:cs="Arial"/>
                <w:lang w:eastAsia="es-CR"/>
              </w:rPr>
            </w:pPr>
            <w:r w:rsidRPr="00695918">
              <w:rPr>
                <w:rFonts w:ascii="Book Antiqua" w:eastAsia="Times New Roman" w:hAnsi="Book Antiqua" w:cs="Arial"/>
                <w:lang w:eastAsia="es-CR"/>
              </w:rPr>
              <w:t>Cantidad total de personas usuarias atendidas durante el mes</w:t>
            </w:r>
          </w:p>
        </w:tc>
      </w:tr>
    </w:tbl>
    <w:p w14:paraId="7D7F566A" w14:textId="5B6A4A08" w:rsidR="00695918" w:rsidRDefault="00695918" w:rsidP="00695918">
      <w:pPr>
        <w:rPr>
          <w:rFonts w:ascii="Book Antiqua" w:hAnsi="Book Antiqua"/>
          <w:i/>
          <w:iCs/>
          <w:lang w:val="es-ES"/>
        </w:rPr>
      </w:pPr>
      <w:r w:rsidRPr="00695918">
        <w:rPr>
          <w:lang w:val="es-ES"/>
        </w:rPr>
        <w:t xml:space="preserve">   </w:t>
      </w:r>
      <w:r w:rsidRPr="00695918">
        <w:rPr>
          <w:rFonts w:ascii="Book Antiqua" w:hAnsi="Book Antiqua"/>
          <w:i/>
          <w:iCs/>
          <w:lang w:val="es-ES"/>
        </w:rPr>
        <w:t>Fuente: Subproceso de Modernización Institucional</w:t>
      </w:r>
      <w:r>
        <w:rPr>
          <w:rFonts w:ascii="Book Antiqua" w:hAnsi="Book Antiqua"/>
          <w:i/>
          <w:iCs/>
          <w:lang w:val="es-ES"/>
        </w:rPr>
        <w:t>.</w:t>
      </w:r>
    </w:p>
    <w:p w14:paraId="17A6F651" w14:textId="77777777" w:rsidR="008A5896" w:rsidRDefault="008A5896" w:rsidP="00695918">
      <w:pPr>
        <w:rPr>
          <w:rFonts w:ascii="Book Antiqua" w:hAnsi="Book Antiqua"/>
          <w:i/>
          <w:iCs/>
          <w:lang w:val="es-ES"/>
        </w:rPr>
      </w:pPr>
    </w:p>
    <w:p w14:paraId="53DEAEBB" w14:textId="13EFBA39" w:rsidR="00272183" w:rsidRPr="00D54B9F" w:rsidRDefault="008A5896" w:rsidP="00D54B9F">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62" w:name="_Hlk97083534"/>
      <w:r w:rsidRPr="00D54B9F">
        <w:rPr>
          <w:rFonts w:ascii="Book Antiqua" w:eastAsiaTheme="majorEastAsia" w:hAnsi="Book Antiqua" w:cstheme="majorBidi"/>
          <w:b/>
          <w:color w:val="1F3864" w:themeColor="accent1" w:themeShade="80"/>
          <w:sz w:val="24"/>
          <w:lang w:val="es-ES"/>
        </w:rPr>
        <w:t xml:space="preserve"> Impacto del Código Procesal de Familia a partir del 1 de octubre de 2022 en materia de Violencia Doméstica</w:t>
      </w:r>
    </w:p>
    <w:bookmarkEnd w:id="62"/>
    <w:p w14:paraId="1D757294" w14:textId="3DB94B2B" w:rsidR="00272183" w:rsidRDefault="00272183" w:rsidP="00695918">
      <w:pPr>
        <w:rPr>
          <w:rFonts w:ascii="Book Antiqua" w:hAnsi="Book Antiqua"/>
          <w:i/>
          <w:iCs/>
          <w:lang w:val="es-ES"/>
        </w:rPr>
      </w:pPr>
    </w:p>
    <w:p w14:paraId="1888B74C" w14:textId="7FD92715" w:rsidR="00272183" w:rsidRPr="00661A24" w:rsidRDefault="00272183" w:rsidP="00661A24">
      <w:pPr>
        <w:spacing w:after="0" w:line="276" w:lineRule="auto"/>
        <w:jc w:val="both"/>
        <w:rPr>
          <w:rFonts w:ascii="Book Antiqua" w:eastAsia="Calibri" w:hAnsi="Book Antiqua" w:cs="Arial"/>
          <w:b/>
          <w:bCs/>
          <w:sz w:val="24"/>
          <w:szCs w:val="24"/>
        </w:rPr>
      </w:pPr>
      <w:r w:rsidRPr="00661A24">
        <w:rPr>
          <w:rFonts w:ascii="Book Antiqua" w:eastAsia="Calibri" w:hAnsi="Book Antiqua" w:cs="Arial"/>
          <w:b/>
          <w:bCs/>
          <w:sz w:val="24"/>
          <w:szCs w:val="24"/>
        </w:rPr>
        <w:t>Análisis de cargas de trabajo actual y proyectada</w:t>
      </w:r>
      <w:r w:rsidR="00226EC7" w:rsidRPr="00661A24">
        <w:rPr>
          <w:rFonts w:ascii="Book Antiqua" w:eastAsia="Calibri" w:hAnsi="Book Antiqua" w:cs="Arial"/>
          <w:b/>
          <w:bCs/>
          <w:sz w:val="24"/>
          <w:szCs w:val="24"/>
        </w:rPr>
        <w:t xml:space="preserve"> en Violencia Doméstica</w:t>
      </w:r>
    </w:p>
    <w:p w14:paraId="08857B54" w14:textId="03D8FCAB" w:rsidR="00272183" w:rsidRDefault="00272183" w:rsidP="00695918">
      <w:pPr>
        <w:rPr>
          <w:rFonts w:ascii="Book Antiqua" w:hAnsi="Book Antiqua"/>
          <w:i/>
          <w:iCs/>
          <w:lang w:val="es-ES"/>
        </w:rPr>
      </w:pPr>
    </w:p>
    <w:p w14:paraId="03A7D5DF" w14:textId="542BAE00" w:rsidR="00272183" w:rsidRPr="00272183" w:rsidRDefault="00272183" w:rsidP="00272183">
      <w:pPr>
        <w:spacing w:after="0" w:line="276" w:lineRule="auto"/>
        <w:jc w:val="both"/>
        <w:rPr>
          <w:rFonts w:ascii="Book Antiqua" w:eastAsia="Calibri" w:hAnsi="Book Antiqua" w:cs="Arial"/>
          <w:sz w:val="24"/>
          <w:szCs w:val="24"/>
        </w:rPr>
      </w:pPr>
      <w:r w:rsidRPr="00272183">
        <w:rPr>
          <w:rFonts w:ascii="Book Antiqua" w:eastAsia="Calibri" w:hAnsi="Book Antiqua" w:cs="Arial"/>
          <w:sz w:val="24"/>
          <w:szCs w:val="24"/>
        </w:rPr>
        <w:t>De igual modo y con la finalidad de conocer el estado actual de los juzgados que atienden la materia de Violencia Doméstica, se analiza la carga de trabajo de los 12 despachos especializados que conocen esta materia en el país, en relación con la cantidad de casos entrados de 2017 a 20</w:t>
      </w:r>
      <w:r>
        <w:rPr>
          <w:rFonts w:ascii="Book Antiqua" w:eastAsia="Calibri" w:hAnsi="Book Antiqua" w:cs="Arial"/>
          <w:sz w:val="24"/>
          <w:szCs w:val="24"/>
        </w:rPr>
        <w:t>2</w:t>
      </w:r>
      <w:r w:rsidRPr="00272183">
        <w:rPr>
          <w:rFonts w:ascii="Book Antiqua" w:eastAsia="Calibri" w:hAnsi="Book Antiqua" w:cs="Arial"/>
          <w:sz w:val="24"/>
          <w:szCs w:val="24"/>
        </w:rPr>
        <w:t xml:space="preserve">1, a fin de establecer los valores promedio </w:t>
      </w:r>
      <w:r w:rsidRPr="00272183">
        <w:rPr>
          <w:rFonts w:ascii="Book Antiqua" w:eastAsia="Calibri" w:hAnsi="Book Antiqua" w:cs="Arial"/>
          <w:sz w:val="24"/>
          <w:szCs w:val="24"/>
        </w:rPr>
        <w:lastRenderedPageBreak/>
        <w:t>mensual de asuntos entrados por cada persona juzgadora y técnica o técnico judicial, obteniendo el siguiente resultado:</w:t>
      </w:r>
    </w:p>
    <w:p w14:paraId="3661D39C" w14:textId="2ABF1037" w:rsidR="00272183" w:rsidRDefault="00272183" w:rsidP="00695918">
      <w:pPr>
        <w:rPr>
          <w:rFonts w:ascii="Book Antiqua" w:hAnsi="Book Antiqua"/>
          <w:i/>
          <w:iCs/>
          <w:lang w:val="es-ES"/>
        </w:rPr>
      </w:pPr>
    </w:p>
    <w:p w14:paraId="18D3449C" w14:textId="4892B316" w:rsidR="00272183" w:rsidRPr="00272183" w:rsidRDefault="00272183" w:rsidP="002721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72183">
        <w:rPr>
          <w:rFonts w:ascii="Book Antiqua" w:eastAsia="Calibri" w:hAnsi="Book Antiqua" w:cs="Arial"/>
          <w:b/>
          <w:bCs/>
          <w:color w:val="1F497D"/>
          <w:szCs w:val="24"/>
          <w:lang w:val="es-ES" w:eastAsia="es-ES"/>
        </w:rPr>
        <w:t xml:space="preserve">Cuadro </w:t>
      </w:r>
      <w:r w:rsidRPr="00272183">
        <w:rPr>
          <w:rFonts w:ascii="Book Antiqua" w:eastAsia="Calibri" w:hAnsi="Book Antiqua" w:cs="Arial"/>
          <w:b/>
          <w:bCs/>
          <w:color w:val="1F497D"/>
          <w:szCs w:val="24"/>
          <w:lang w:val="es-ES" w:eastAsia="es-ES"/>
        </w:rPr>
        <w:fldChar w:fldCharType="begin"/>
      </w:r>
      <w:r w:rsidRPr="00272183">
        <w:rPr>
          <w:rFonts w:ascii="Book Antiqua" w:eastAsia="Calibri" w:hAnsi="Book Antiqua" w:cs="Arial"/>
          <w:b/>
          <w:bCs/>
          <w:color w:val="1F497D"/>
          <w:szCs w:val="24"/>
          <w:lang w:val="es-ES" w:eastAsia="es-ES"/>
        </w:rPr>
        <w:instrText xml:space="preserve"> SEQ Cuadro \* ARABIC </w:instrText>
      </w:r>
      <w:r w:rsidRPr="00272183">
        <w:rPr>
          <w:rFonts w:ascii="Book Antiqua" w:eastAsia="Calibri" w:hAnsi="Book Antiqua" w:cs="Arial"/>
          <w:b/>
          <w:bCs/>
          <w:color w:val="1F497D"/>
          <w:szCs w:val="24"/>
          <w:lang w:val="es-ES" w:eastAsia="es-ES"/>
        </w:rPr>
        <w:fldChar w:fldCharType="separate"/>
      </w:r>
      <w:r w:rsidR="00803089">
        <w:rPr>
          <w:rFonts w:ascii="Book Antiqua" w:eastAsia="Calibri" w:hAnsi="Book Antiqua" w:cs="Arial"/>
          <w:b/>
          <w:bCs/>
          <w:noProof/>
          <w:color w:val="1F497D"/>
          <w:szCs w:val="24"/>
          <w:lang w:val="es-ES" w:eastAsia="es-ES"/>
        </w:rPr>
        <w:t>68</w:t>
      </w:r>
      <w:r w:rsidRPr="00272183">
        <w:rPr>
          <w:rFonts w:ascii="Book Antiqua" w:eastAsia="Calibri" w:hAnsi="Book Antiqua" w:cs="Arial"/>
          <w:b/>
          <w:bCs/>
          <w:color w:val="1F497D"/>
          <w:szCs w:val="24"/>
          <w:lang w:val="es-ES" w:eastAsia="es-ES"/>
        </w:rPr>
        <w:fldChar w:fldCharType="end"/>
      </w:r>
      <w:r w:rsidRPr="00272183">
        <w:rPr>
          <w:rFonts w:ascii="Book Antiqua" w:eastAsia="Calibri" w:hAnsi="Book Antiqua" w:cs="Arial"/>
          <w:b/>
          <w:bCs/>
          <w:color w:val="1F497D"/>
          <w:szCs w:val="24"/>
          <w:lang w:val="es-ES" w:eastAsia="es-ES"/>
        </w:rPr>
        <w:t xml:space="preserve"> </w:t>
      </w:r>
    </w:p>
    <w:p w14:paraId="7BFBD628" w14:textId="77777777" w:rsidR="00272183" w:rsidRPr="00272183" w:rsidRDefault="00272183" w:rsidP="002721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72183">
        <w:rPr>
          <w:rFonts w:ascii="Book Antiqua" w:eastAsia="Calibri" w:hAnsi="Book Antiqua" w:cs="Arial"/>
          <w:b/>
          <w:bCs/>
          <w:color w:val="1F497D"/>
          <w:szCs w:val="24"/>
          <w:lang w:val="es-ES" w:eastAsia="es-ES"/>
        </w:rPr>
        <w:t xml:space="preserve">Movimiento histórico de los asuntos en los Juzgados </w:t>
      </w:r>
    </w:p>
    <w:p w14:paraId="0753B34C" w14:textId="0C8FA836" w:rsidR="00272183" w:rsidRPr="00272183" w:rsidRDefault="00272183" w:rsidP="0027218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72183">
        <w:rPr>
          <w:rFonts w:ascii="Book Antiqua" w:eastAsia="Calibri" w:hAnsi="Book Antiqua" w:cs="Arial"/>
          <w:b/>
          <w:bCs/>
          <w:color w:val="1F497D"/>
          <w:szCs w:val="24"/>
          <w:lang w:val="es-ES" w:eastAsia="es-ES"/>
        </w:rPr>
        <w:t>Especializados de la materia de Violencia Doméstica, del 2017 al 20</w:t>
      </w:r>
      <w:r>
        <w:rPr>
          <w:rFonts w:ascii="Book Antiqua" w:eastAsia="Calibri" w:hAnsi="Book Antiqua" w:cs="Arial"/>
          <w:b/>
          <w:bCs/>
          <w:color w:val="1F497D"/>
          <w:szCs w:val="24"/>
          <w:lang w:val="es-ES" w:eastAsia="es-ES"/>
        </w:rPr>
        <w:t>2</w:t>
      </w:r>
      <w:r w:rsidRPr="00272183">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2976"/>
        <w:gridCol w:w="1033"/>
        <w:gridCol w:w="1240"/>
        <w:gridCol w:w="1175"/>
        <w:gridCol w:w="640"/>
        <w:gridCol w:w="513"/>
        <w:gridCol w:w="626"/>
        <w:gridCol w:w="615"/>
      </w:tblGrid>
      <w:tr w:rsidR="00BA5303" w:rsidRPr="00BA5303" w14:paraId="044FAD5D" w14:textId="77777777" w:rsidTr="00BA5303">
        <w:trPr>
          <w:trHeight w:val="780"/>
        </w:trPr>
        <w:tc>
          <w:tcPr>
            <w:tcW w:w="168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3859251"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Despacho</w:t>
            </w:r>
          </w:p>
        </w:tc>
        <w:tc>
          <w:tcPr>
            <w:tcW w:w="1289" w:type="pct"/>
            <w:gridSpan w:val="2"/>
            <w:tcBorders>
              <w:top w:val="single" w:sz="8" w:space="0" w:color="auto"/>
              <w:left w:val="nil"/>
              <w:bottom w:val="single" w:sz="8" w:space="0" w:color="auto"/>
              <w:right w:val="single" w:sz="8" w:space="0" w:color="000000"/>
            </w:tcBorders>
            <w:shd w:val="clear" w:color="000000" w:fill="002060"/>
            <w:vAlign w:val="center"/>
            <w:hideMark/>
          </w:tcPr>
          <w:p w14:paraId="764AFF65"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Promedio mensual 2017 a 2021</w:t>
            </w:r>
          </w:p>
        </w:tc>
        <w:tc>
          <w:tcPr>
            <w:tcW w:w="666"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634BAF5"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Relación terminados / entrados totales</w:t>
            </w:r>
          </w:p>
        </w:tc>
        <w:tc>
          <w:tcPr>
            <w:tcW w:w="654" w:type="pct"/>
            <w:gridSpan w:val="2"/>
            <w:tcBorders>
              <w:top w:val="single" w:sz="8" w:space="0" w:color="auto"/>
              <w:left w:val="nil"/>
              <w:bottom w:val="single" w:sz="8" w:space="0" w:color="auto"/>
              <w:right w:val="single" w:sz="8" w:space="0" w:color="000000"/>
            </w:tcBorders>
            <w:shd w:val="clear" w:color="000000" w:fill="002060"/>
            <w:vAlign w:val="center"/>
            <w:hideMark/>
          </w:tcPr>
          <w:p w14:paraId="1FF506D2"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Entrados mensuales</w:t>
            </w:r>
          </w:p>
        </w:tc>
        <w:tc>
          <w:tcPr>
            <w:tcW w:w="704" w:type="pct"/>
            <w:gridSpan w:val="2"/>
            <w:tcBorders>
              <w:top w:val="single" w:sz="8" w:space="0" w:color="auto"/>
              <w:left w:val="nil"/>
              <w:bottom w:val="single" w:sz="8" w:space="0" w:color="auto"/>
              <w:right w:val="single" w:sz="8" w:space="0" w:color="000000"/>
            </w:tcBorders>
            <w:shd w:val="clear" w:color="000000" w:fill="002060"/>
            <w:vAlign w:val="center"/>
            <w:hideMark/>
          </w:tcPr>
          <w:p w14:paraId="16137A83"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Terminados mensuales</w:t>
            </w:r>
          </w:p>
        </w:tc>
      </w:tr>
      <w:tr w:rsidR="00BA5303" w:rsidRPr="00BA5303" w14:paraId="16E3D811" w14:textId="77777777" w:rsidTr="00BA5303">
        <w:trPr>
          <w:trHeight w:val="590"/>
        </w:trPr>
        <w:tc>
          <w:tcPr>
            <w:tcW w:w="1688" w:type="pct"/>
            <w:vMerge/>
            <w:tcBorders>
              <w:top w:val="single" w:sz="8" w:space="0" w:color="auto"/>
              <w:left w:val="single" w:sz="8" w:space="0" w:color="auto"/>
              <w:bottom w:val="single" w:sz="8" w:space="0" w:color="000000"/>
              <w:right w:val="single" w:sz="8" w:space="0" w:color="auto"/>
            </w:tcBorders>
            <w:vAlign w:val="center"/>
            <w:hideMark/>
          </w:tcPr>
          <w:p w14:paraId="7FBA7DFB" w14:textId="77777777" w:rsidR="00BA5303" w:rsidRPr="00BA5303" w:rsidRDefault="00BA5303" w:rsidP="00BA5303">
            <w:pPr>
              <w:spacing w:after="0" w:line="240" w:lineRule="auto"/>
              <w:rPr>
                <w:rFonts w:ascii="Book Antiqua" w:eastAsia="Times New Roman" w:hAnsi="Book Antiqua" w:cs="Calibri"/>
                <w:b/>
                <w:bCs/>
                <w:color w:val="FFFFFF"/>
                <w:lang w:eastAsia="es-CR"/>
              </w:rPr>
            </w:pPr>
          </w:p>
        </w:tc>
        <w:tc>
          <w:tcPr>
            <w:tcW w:w="586" w:type="pct"/>
            <w:tcBorders>
              <w:top w:val="nil"/>
              <w:left w:val="nil"/>
              <w:bottom w:val="single" w:sz="8" w:space="0" w:color="auto"/>
              <w:right w:val="single" w:sz="8" w:space="0" w:color="auto"/>
            </w:tcBorders>
            <w:shd w:val="clear" w:color="000000" w:fill="002060"/>
            <w:vAlign w:val="center"/>
            <w:hideMark/>
          </w:tcPr>
          <w:p w14:paraId="3080050A"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Entrados totales</w:t>
            </w:r>
          </w:p>
        </w:tc>
        <w:tc>
          <w:tcPr>
            <w:tcW w:w="703" w:type="pct"/>
            <w:tcBorders>
              <w:top w:val="nil"/>
              <w:left w:val="nil"/>
              <w:bottom w:val="single" w:sz="8" w:space="0" w:color="auto"/>
              <w:right w:val="single" w:sz="8" w:space="0" w:color="auto"/>
            </w:tcBorders>
            <w:shd w:val="clear" w:color="000000" w:fill="002060"/>
            <w:vAlign w:val="center"/>
            <w:hideMark/>
          </w:tcPr>
          <w:p w14:paraId="3A4E180A"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Terminados</w:t>
            </w:r>
          </w:p>
        </w:tc>
        <w:tc>
          <w:tcPr>
            <w:tcW w:w="666" w:type="pct"/>
            <w:vMerge/>
            <w:tcBorders>
              <w:top w:val="single" w:sz="8" w:space="0" w:color="auto"/>
              <w:left w:val="single" w:sz="8" w:space="0" w:color="auto"/>
              <w:bottom w:val="single" w:sz="8" w:space="0" w:color="000000"/>
              <w:right w:val="single" w:sz="8" w:space="0" w:color="auto"/>
            </w:tcBorders>
            <w:vAlign w:val="center"/>
            <w:hideMark/>
          </w:tcPr>
          <w:p w14:paraId="60FD1571" w14:textId="77777777" w:rsidR="00BA5303" w:rsidRPr="00BA5303" w:rsidRDefault="00BA5303" w:rsidP="00BA5303">
            <w:pPr>
              <w:spacing w:after="0" w:line="240" w:lineRule="auto"/>
              <w:rPr>
                <w:rFonts w:ascii="Book Antiqua" w:eastAsia="Times New Roman" w:hAnsi="Book Antiqua" w:cs="Calibri"/>
                <w:b/>
                <w:bCs/>
                <w:color w:val="FFFFFF"/>
                <w:sz w:val="20"/>
                <w:szCs w:val="20"/>
                <w:lang w:eastAsia="es-CR"/>
              </w:rPr>
            </w:pPr>
          </w:p>
        </w:tc>
        <w:tc>
          <w:tcPr>
            <w:tcW w:w="363" w:type="pct"/>
            <w:tcBorders>
              <w:top w:val="nil"/>
              <w:left w:val="nil"/>
              <w:bottom w:val="single" w:sz="8" w:space="0" w:color="auto"/>
              <w:right w:val="single" w:sz="8" w:space="0" w:color="auto"/>
            </w:tcBorders>
            <w:shd w:val="clear" w:color="000000" w:fill="002060"/>
            <w:vAlign w:val="center"/>
            <w:hideMark/>
          </w:tcPr>
          <w:p w14:paraId="682C79C6"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Jueza o Juez</w:t>
            </w:r>
          </w:p>
        </w:tc>
        <w:tc>
          <w:tcPr>
            <w:tcW w:w="291" w:type="pct"/>
            <w:tcBorders>
              <w:top w:val="nil"/>
              <w:left w:val="nil"/>
              <w:bottom w:val="single" w:sz="8" w:space="0" w:color="auto"/>
              <w:right w:val="single" w:sz="8" w:space="0" w:color="auto"/>
            </w:tcBorders>
            <w:shd w:val="clear" w:color="000000" w:fill="002060"/>
            <w:vAlign w:val="center"/>
            <w:hideMark/>
          </w:tcPr>
          <w:p w14:paraId="0D488616" w14:textId="77777777" w:rsidR="00BA5303" w:rsidRPr="00BA5303" w:rsidRDefault="00BA5303" w:rsidP="00BA5303">
            <w:pPr>
              <w:spacing w:after="0" w:line="240" w:lineRule="auto"/>
              <w:jc w:val="center"/>
              <w:rPr>
                <w:rFonts w:ascii="Book Antiqua" w:eastAsia="Times New Roman" w:hAnsi="Book Antiqua" w:cs="Calibri"/>
                <w:b/>
                <w:bCs/>
                <w:color w:val="FFFFFF"/>
                <w:sz w:val="20"/>
                <w:szCs w:val="20"/>
                <w:lang w:eastAsia="es-CR"/>
              </w:rPr>
            </w:pPr>
            <w:r w:rsidRPr="00BA5303">
              <w:rPr>
                <w:rFonts w:ascii="Book Antiqua" w:eastAsia="Times New Roman" w:hAnsi="Book Antiqua" w:cs="Calibri"/>
                <w:b/>
                <w:bCs/>
                <w:color w:val="FFFFFF"/>
                <w:sz w:val="20"/>
                <w:szCs w:val="20"/>
                <w:lang w:eastAsia="es-CR"/>
              </w:rPr>
              <w:t>Téc. Jud.</w:t>
            </w:r>
          </w:p>
        </w:tc>
        <w:tc>
          <w:tcPr>
            <w:tcW w:w="355" w:type="pct"/>
            <w:tcBorders>
              <w:top w:val="nil"/>
              <w:left w:val="nil"/>
              <w:bottom w:val="single" w:sz="8" w:space="0" w:color="auto"/>
              <w:right w:val="single" w:sz="8" w:space="0" w:color="auto"/>
            </w:tcBorders>
            <w:shd w:val="clear" w:color="000000" w:fill="002060"/>
            <w:vAlign w:val="center"/>
            <w:hideMark/>
          </w:tcPr>
          <w:p w14:paraId="324CB5B6" w14:textId="77777777" w:rsidR="00BA5303" w:rsidRPr="00BA5303" w:rsidRDefault="00BA5303" w:rsidP="00BA5303">
            <w:pPr>
              <w:spacing w:after="0" w:line="240" w:lineRule="auto"/>
              <w:jc w:val="center"/>
              <w:rPr>
                <w:rFonts w:ascii="Book Antiqua" w:eastAsia="Times New Roman" w:hAnsi="Book Antiqua" w:cs="Calibri"/>
                <w:color w:val="FFFFFF"/>
                <w:sz w:val="20"/>
                <w:szCs w:val="20"/>
                <w:lang w:eastAsia="es-CR"/>
              </w:rPr>
            </w:pPr>
            <w:r w:rsidRPr="00BA5303">
              <w:rPr>
                <w:rFonts w:ascii="Book Antiqua" w:eastAsia="Times New Roman" w:hAnsi="Book Antiqua" w:cs="Calibri"/>
                <w:color w:val="FFFFFF"/>
                <w:sz w:val="20"/>
                <w:szCs w:val="20"/>
                <w:lang w:eastAsia="es-CR"/>
              </w:rPr>
              <w:t>Jueza o Juez</w:t>
            </w:r>
          </w:p>
        </w:tc>
        <w:tc>
          <w:tcPr>
            <w:tcW w:w="349" w:type="pct"/>
            <w:tcBorders>
              <w:top w:val="nil"/>
              <w:left w:val="nil"/>
              <w:bottom w:val="single" w:sz="8" w:space="0" w:color="auto"/>
              <w:right w:val="single" w:sz="8" w:space="0" w:color="auto"/>
            </w:tcBorders>
            <w:shd w:val="clear" w:color="000000" w:fill="002060"/>
            <w:vAlign w:val="center"/>
            <w:hideMark/>
          </w:tcPr>
          <w:p w14:paraId="43E3D80A" w14:textId="77777777" w:rsidR="00BA5303" w:rsidRPr="00BA5303" w:rsidRDefault="00BA5303" w:rsidP="00BA5303">
            <w:pPr>
              <w:spacing w:after="0" w:line="240" w:lineRule="auto"/>
              <w:jc w:val="center"/>
              <w:rPr>
                <w:rFonts w:ascii="Book Antiqua" w:eastAsia="Times New Roman" w:hAnsi="Book Antiqua" w:cs="Calibri"/>
                <w:color w:val="FFFFFF"/>
                <w:sz w:val="20"/>
                <w:szCs w:val="20"/>
                <w:lang w:eastAsia="es-CR"/>
              </w:rPr>
            </w:pPr>
            <w:r w:rsidRPr="00BA5303">
              <w:rPr>
                <w:rFonts w:ascii="Book Antiqua" w:eastAsia="Times New Roman" w:hAnsi="Book Antiqua" w:cs="Calibri"/>
                <w:color w:val="FFFFFF"/>
                <w:sz w:val="20"/>
                <w:szCs w:val="20"/>
                <w:lang w:eastAsia="es-CR"/>
              </w:rPr>
              <w:t>Téc. Jud.</w:t>
            </w:r>
          </w:p>
        </w:tc>
      </w:tr>
      <w:tr w:rsidR="00BA5303" w:rsidRPr="00BA5303" w14:paraId="7F3CBEAA"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3DE4D540" w14:textId="41A63065"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 xml:space="preserve">Juzgado de Violencia Doméstica del I Circ. Jud. </w:t>
            </w:r>
            <w:r w:rsidR="00E85731" w:rsidRPr="00BA5303">
              <w:rPr>
                <w:rFonts w:ascii="Book Antiqua" w:eastAsia="Times New Roman" w:hAnsi="Book Antiqua" w:cs="Calibri"/>
                <w:color w:val="000000"/>
                <w:lang w:eastAsia="es-CR"/>
              </w:rPr>
              <w:t>D</w:t>
            </w:r>
            <w:r w:rsidRPr="00BA5303">
              <w:rPr>
                <w:rFonts w:ascii="Book Antiqua" w:eastAsia="Times New Roman" w:hAnsi="Book Antiqua" w:cs="Calibri"/>
                <w:color w:val="000000"/>
                <w:lang w:eastAsia="es-CR"/>
              </w:rPr>
              <w:t>e la Zona Atlántica</w:t>
            </w:r>
          </w:p>
        </w:tc>
        <w:tc>
          <w:tcPr>
            <w:tcW w:w="586" w:type="pct"/>
            <w:tcBorders>
              <w:top w:val="nil"/>
              <w:left w:val="nil"/>
              <w:bottom w:val="single" w:sz="8" w:space="0" w:color="auto"/>
              <w:right w:val="single" w:sz="8" w:space="0" w:color="auto"/>
            </w:tcBorders>
            <w:shd w:val="clear" w:color="auto" w:fill="auto"/>
            <w:noWrap/>
            <w:vAlign w:val="center"/>
            <w:hideMark/>
          </w:tcPr>
          <w:p w14:paraId="0ED5C04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97</w:t>
            </w:r>
          </w:p>
        </w:tc>
        <w:tc>
          <w:tcPr>
            <w:tcW w:w="703" w:type="pct"/>
            <w:tcBorders>
              <w:top w:val="nil"/>
              <w:left w:val="nil"/>
              <w:bottom w:val="single" w:sz="8" w:space="0" w:color="auto"/>
              <w:right w:val="single" w:sz="8" w:space="0" w:color="auto"/>
            </w:tcBorders>
            <w:shd w:val="clear" w:color="auto" w:fill="auto"/>
            <w:noWrap/>
            <w:vAlign w:val="center"/>
            <w:hideMark/>
          </w:tcPr>
          <w:p w14:paraId="393D6CC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95</w:t>
            </w:r>
          </w:p>
        </w:tc>
        <w:tc>
          <w:tcPr>
            <w:tcW w:w="666" w:type="pct"/>
            <w:tcBorders>
              <w:top w:val="nil"/>
              <w:left w:val="nil"/>
              <w:bottom w:val="single" w:sz="8" w:space="0" w:color="auto"/>
              <w:right w:val="single" w:sz="8" w:space="0" w:color="auto"/>
            </w:tcBorders>
            <w:shd w:val="clear" w:color="auto" w:fill="auto"/>
            <w:noWrap/>
            <w:vAlign w:val="center"/>
            <w:hideMark/>
          </w:tcPr>
          <w:p w14:paraId="048409F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98%</w:t>
            </w:r>
          </w:p>
        </w:tc>
        <w:tc>
          <w:tcPr>
            <w:tcW w:w="363" w:type="pct"/>
            <w:tcBorders>
              <w:top w:val="nil"/>
              <w:left w:val="nil"/>
              <w:bottom w:val="single" w:sz="8" w:space="0" w:color="auto"/>
              <w:right w:val="single" w:sz="8" w:space="0" w:color="auto"/>
            </w:tcBorders>
            <w:shd w:val="clear" w:color="auto" w:fill="auto"/>
            <w:noWrap/>
            <w:vAlign w:val="center"/>
            <w:hideMark/>
          </w:tcPr>
          <w:p w14:paraId="587EBDC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97</w:t>
            </w:r>
          </w:p>
        </w:tc>
        <w:tc>
          <w:tcPr>
            <w:tcW w:w="291" w:type="pct"/>
            <w:tcBorders>
              <w:top w:val="nil"/>
              <w:left w:val="nil"/>
              <w:bottom w:val="single" w:sz="8" w:space="0" w:color="auto"/>
              <w:right w:val="single" w:sz="8" w:space="0" w:color="auto"/>
            </w:tcBorders>
            <w:shd w:val="clear" w:color="auto" w:fill="auto"/>
            <w:noWrap/>
            <w:vAlign w:val="center"/>
            <w:hideMark/>
          </w:tcPr>
          <w:p w14:paraId="1143DAA8"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48</w:t>
            </w:r>
          </w:p>
        </w:tc>
        <w:tc>
          <w:tcPr>
            <w:tcW w:w="355" w:type="pct"/>
            <w:tcBorders>
              <w:top w:val="nil"/>
              <w:left w:val="nil"/>
              <w:bottom w:val="single" w:sz="8" w:space="0" w:color="auto"/>
              <w:right w:val="single" w:sz="8" w:space="0" w:color="auto"/>
            </w:tcBorders>
            <w:shd w:val="clear" w:color="auto" w:fill="auto"/>
            <w:noWrap/>
            <w:vAlign w:val="center"/>
            <w:hideMark/>
          </w:tcPr>
          <w:p w14:paraId="7328249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95</w:t>
            </w:r>
          </w:p>
        </w:tc>
        <w:tc>
          <w:tcPr>
            <w:tcW w:w="349" w:type="pct"/>
            <w:tcBorders>
              <w:top w:val="nil"/>
              <w:left w:val="nil"/>
              <w:bottom w:val="single" w:sz="8" w:space="0" w:color="auto"/>
              <w:right w:val="single" w:sz="8" w:space="0" w:color="auto"/>
            </w:tcBorders>
            <w:shd w:val="clear" w:color="auto" w:fill="auto"/>
            <w:noWrap/>
            <w:vAlign w:val="center"/>
            <w:hideMark/>
          </w:tcPr>
          <w:p w14:paraId="660F97BB"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47</w:t>
            </w:r>
          </w:p>
        </w:tc>
      </w:tr>
      <w:tr w:rsidR="00BA5303" w:rsidRPr="00BA5303" w14:paraId="6D71F9FF" w14:textId="77777777" w:rsidTr="00BA5303">
        <w:trPr>
          <w:trHeight w:val="30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586B88E0"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Cartago</w:t>
            </w:r>
          </w:p>
        </w:tc>
        <w:tc>
          <w:tcPr>
            <w:tcW w:w="586" w:type="pct"/>
            <w:tcBorders>
              <w:top w:val="nil"/>
              <w:left w:val="nil"/>
              <w:bottom w:val="single" w:sz="8" w:space="0" w:color="auto"/>
              <w:right w:val="single" w:sz="8" w:space="0" w:color="auto"/>
            </w:tcBorders>
            <w:shd w:val="clear" w:color="auto" w:fill="auto"/>
            <w:noWrap/>
            <w:vAlign w:val="center"/>
            <w:hideMark/>
          </w:tcPr>
          <w:p w14:paraId="306EE2CD"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195</w:t>
            </w:r>
          </w:p>
        </w:tc>
        <w:tc>
          <w:tcPr>
            <w:tcW w:w="703" w:type="pct"/>
            <w:tcBorders>
              <w:top w:val="nil"/>
              <w:left w:val="nil"/>
              <w:bottom w:val="single" w:sz="8" w:space="0" w:color="auto"/>
              <w:right w:val="single" w:sz="8" w:space="0" w:color="auto"/>
            </w:tcBorders>
            <w:shd w:val="clear" w:color="auto" w:fill="auto"/>
            <w:noWrap/>
            <w:vAlign w:val="center"/>
            <w:hideMark/>
          </w:tcPr>
          <w:p w14:paraId="28FF9BC1"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190</w:t>
            </w:r>
          </w:p>
        </w:tc>
        <w:tc>
          <w:tcPr>
            <w:tcW w:w="666" w:type="pct"/>
            <w:tcBorders>
              <w:top w:val="nil"/>
              <w:left w:val="nil"/>
              <w:bottom w:val="single" w:sz="8" w:space="0" w:color="auto"/>
              <w:right w:val="single" w:sz="8" w:space="0" w:color="auto"/>
            </w:tcBorders>
            <w:shd w:val="clear" w:color="auto" w:fill="auto"/>
            <w:noWrap/>
            <w:vAlign w:val="center"/>
            <w:hideMark/>
          </w:tcPr>
          <w:p w14:paraId="7107075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97%</w:t>
            </w:r>
          </w:p>
        </w:tc>
        <w:tc>
          <w:tcPr>
            <w:tcW w:w="363" w:type="pct"/>
            <w:tcBorders>
              <w:top w:val="nil"/>
              <w:left w:val="nil"/>
              <w:bottom w:val="single" w:sz="8" w:space="0" w:color="auto"/>
              <w:right w:val="single" w:sz="8" w:space="0" w:color="auto"/>
            </w:tcBorders>
            <w:shd w:val="clear" w:color="auto" w:fill="auto"/>
            <w:noWrap/>
            <w:vAlign w:val="center"/>
            <w:hideMark/>
          </w:tcPr>
          <w:p w14:paraId="35B07DD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98</w:t>
            </w:r>
          </w:p>
        </w:tc>
        <w:tc>
          <w:tcPr>
            <w:tcW w:w="291" w:type="pct"/>
            <w:tcBorders>
              <w:top w:val="nil"/>
              <w:left w:val="nil"/>
              <w:bottom w:val="single" w:sz="8" w:space="0" w:color="auto"/>
              <w:right w:val="single" w:sz="8" w:space="0" w:color="auto"/>
            </w:tcBorders>
            <w:shd w:val="clear" w:color="auto" w:fill="auto"/>
            <w:noWrap/>
            <w:vAlign w:val="center"/>
            <w:hideMark/>
          </w:tcPr>
          <w:p w14:paraId="4ED8DC5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65</w:t>
            </w:r>
          </w:p>
        </w:tc>
        <w:tc>
          <w:tcPr>
            <w:tcW w:w="355" w:type="pct"/>
            <w:tcBorders>
              <w:top w:val="nil"/>
              <w:left w:val="nil"/>
              <w:bottom w:val="single" w:sz="8" w:space="0" w:color="auto"/>
              <w:right w:val="single" w:sz="8" w:space="0" w:color="auto"/>
            </w:tcBorders>
            <w:shd w:val="clear" w:color="auto" w:fill="auto"/>
            <w:noWrap/>
            <w:vAlign w:val="center"/>
            <w:hideMark/>
          </w:tcPr>
          <w:p w14:paraId="708A3F76"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95</w:t>
            </w:r>
          </w:p>
        </w:tc>
        <w:tc>
          <w:tcPr>
            <w:tcW w:w="349" w:type="pct"/>
            <w:tcBorders>
              <w:top w:val="nil"/>
              <w:left w:val="nil"/>
              <w:bottom w:val="single" w:sz="8" w:space="0" w:color="auto"/>
              <w:right w:val="single" w:sz="8" w:space="0" w:color="auto"/>
            </w:tcBorders>
            <w:shd w:val="clear" w:color="auto" w:fill="auto"/>
            <w:noWrap/>
            <w:vAlign w:val="center"/>
            <w:hideMark/>
          </w:tcPr>
          <w:p w14:paraId="02B178B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63</w:t>
            </w:r>
          </w:p>
        </w:tc>
      </w:tr>
      <w:tr w:rsidR="00BA5303" w:rsidRPr="00BA5303" w14:paraId="5F883262"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489097D6" w14:textId="25DC4EE5"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 xml:space="preserve">Juzgado Violencia Doméstica Hatillo, San Sebas. </w:t>
            </w:r>
            <w:r w:rsidR="00E85731" w:rsidRPr="00BA5303">
              <w:rPr>
                <w:rFonts w:ascii="Book Antiqua" w:eastAsia="Times New Roman" w:hAnsi="Book Antiqua" w:cs="Calibri"/>
                <w:color w:val="000000"/>
                <w:lang w:eastAsia="es-CR"/>
              </w:rPr>
              <w:t>Y</w:t>
            </w:r>
            <w:r w:rsidRPr="00BA5303">
              <w:rPr>
                <w:rFonts w:ascii="Book Antiqua" w:eastAsia="Times New Roman" w:hAnsi="Book Antiqua" w:cs="Calibri"/>
                <w:color w:val="000000"/>
                <w:lang w:eastAsia="es-CR"/>
              </w:rPr>
              <w:t xml:space="preserve"> Alajuelita</w:t>
            </w:r>
          </w:p>
        </w:tc>
        <w:tc>
          <w:tcPr>
            <w:tcW w:w="586" w:type="pct"/>
            <w:tcBorders>
              <w:top w:val="nil"/>
              <w:left w:val="nil"/>
              <w:bottom w:val="single" w:sz="8" w:space="0" w:color="auto"/>
              <w:right w:val="single" w:sz="8" w:space="0" w:color="auto"/>
            </w:tcBorders>
            <w:shd w:val="clear" w:color="auto" w:fill="auto"/>
            <w:noWrap/>
            <w:vAlign w:val="center"/>
            <w:hideMark/>
          </w:tcPr>
          <w:p w14:paraId="6E1DC26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241</w:t>
            </w:r>
          </w:p>
        </w:tc>
        <w:tc>
          <w:tcPr>
            <w:tcW w:w="703" w:type="pct"/>
            <w:tcBorders>
              <w:top w:val="nil"/>
              <w:left w:val="nil"/>
              <w:bottom w:val="single" w:sz="8" w:space="0" w:color="auto"/>
              <w:right w:val="single" w:sz="8" w:space="0" w:color="auto"/>
            </w:tcBorders>
            <w:shd w:val="clear" w:color="auto" w:fill="auto"/>
            <w:noWrap/>
            <w:vAlign w:val="center"/>
            <w:hideMark/>
          </w:tcPr>
          <w:p w14:paraId="06B71B0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231</w:t>
            </w:r>
          </w:p>
        </w:tc>
        <w:tc>
          <w:tcPr>
            <w:tcW w:w="666" w:type="pct"/>
            <w:tcBorders>
              <w:top w:val="nil"/>
              <w:left w:val="nil"/>
              <w:bottom w:val="single" w:sz="8" w:space="0" w:color="auto"/>
              <w:right w:val="single" w:sz="8" w:space="0" w:color="auto"/>
            </w:tcBorders>
            <w:shd w:val="clear" w:color="auto" w:fill="auto"/>
            <w:noWrap/>
            <w:vAlign w:val="center"/>
            <w:hideMark/>
          </w:tcPr>
          <w:p w14:paraId="39954F23"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96%</w:t>
            </w:r>
          </w:p>
        </w:tc>
        <w:tc>
          <w:tcPr>
            <w:tcW w:w="363" w:type="pct"/>
            <w:tcBorders>
              <w:top w:val="nil"/>
              <w:left w:val="nil"/>
              <w:bottom w:val="single" w:sz="8" w:space="0" w:color="auto"/>
              <w:right w:val="single" w:sz="8" w:space="0" w:color="auto"/>
            </w:tcBorders>
            <w:shd w:val="clear" w:color="auto" w:fill="auto"/>
            <w:noWrap/>
            <w:vAlign w:val="center"/>
            <w:hideMark/>
          </w:tcPr>
          <w:p w14:paraId="3009B8E6"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120</w:t>
            </w:r>
          </w:p>
        </w:tc>
        <w:tc>
          <w:tcPr>
            <w:tcW w:w="291" w:type="pct"/>
            <w:tcBorders>
              <w:top w:val="nil"/>
              <w:left w:val="nil"/>
              <w:bottom w:val="single" w:sz="8" w:space="0" w:color="auto"/>
              <w:right w:val="single" w:sz="8" w:space="0" w:color="auto"/>
            </w:tcBorders>
            <w:shd w:val="clear" w:color="auto" w:fill="auto"/>
            <w:noWrap/>
            <w:vAlign w:val="center"/>
            <w:hideMark/>
          </w:tcPr>
          <w:p w14:paraId="00071877"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120</w:t>
            </w:r>
          </w:p>
        </w:tc>
        <w:tc>
          <w:tcPr>
            <w:tcW w:w="355" w:type="pct"/>
            <w:tcBorders>
              <w:top w:val="nil"/>
              <w:left w:val="nil"/>
              <w:bottom w:val="single" w:sz="8" w:space="0" w:color="auto"/>
              <w:right w:val="single" w:sz="8" w:space="0" w:color="auto"/>
            </w:tcBorders>
            <w:shd w:val="clear" w:color="auto" w:fill="auto"/>
            <w:noWrap/>
            <w:vAlign w:val="center"/>
            <w:hideMark/>
          </w:tcPr>
          <w:p w14:paraId="2B423698"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115</w:t>
            </w:r>
          </w:p>
        </w:tc>
        <w:tc>
          <w:tcPr>
            <w:tcW w:w="349" w:type="pct"/>
            <w:tcBorders>
              <w:top w:val="nil"/>
              <w:left w:val="nil"/>
              <w:bottom w:val="single" w:sz="8" w:space="0" w:color="auto"/>
              <w:right w:val="single" w:sz="8" w:space="0" w:color="auto"/>
            </w:tcBorders>
            <w:shd w:val="clear" w:color="auto" w:fill="auto"/>
            <w:noWrap/>
            <w:vAlign w:val="center"/>
            <w:hideMark/>
          </w:tcPr>
          <w:p w14:paraId="263522E3"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115</w:t>
            </w:r>
          </w:p>
        </w:tc>
      </w:tr>
      <w:tr w:rsidR="00BA5303" w:rsidRPr="00BA5303" w14:paraId="28160935" w14:textId="77777777" w:rsidTr="00BA5303">
        <w:trPr>
          <w:trHeight w:val="30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0701C43A"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Heredia</w:t>
            </w:r>
          </w:p>
        </w:tc>
        <w:tc>
          <w:tcPr>
            <w:tcW w:w="586" w:type="pct"/>
            <w:tcBorders>
              <w:top w:val="nil"/>
              <w:left w:val="nil"/>
              <w:bottom w:val="single" w:sz="8" w:space="0" w:color="auto"/>
              <w:right w:val="single" w:sz="8" w:space="0" w:color="auto"/>
            </w:tcBorders>
            <w:shd w:val="clear" w:color="auto" w:fill="auto"/>
            <w:noWrap/>
            <w:vAlign w:val="center"/>
            <w:hideMark/>
          </w:tcPr>
          <w:p w14:paraId="69D1AAC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200</w:t>
            </w:r>
          </w:p>
        </w:tc>
        <w:tc>
          <w:tcPr>
            <w:tcW w:w="703" w:type="pct"/>
            <w:tcBorders>
              <w:top w:val="nil"/>
              <w:left w:val="nil"/>
              <w:bottom w:val="single" w:sz="8" w:space="0" w:color="auto"/>
              <w:right w:val="single" w:sz="8" w:space="0" w:color="auto"/>
            </w:tcBorders>
            <w:shd w:val="clear" w:color="auto" w:fill="auto"/>
            <w:noWrap/>
            <w:vAlign w:val="center"/>
            <w:hideMark/>
          </w:tcPr>
          <w:p w14:paraId="2B90851B"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207</w:t>
            </w:r>
          </w:p>
        </w:tc>
        <w:tc>
          <w:tcPr>
            <w:tcW w:w="666" w:type="pct"/>
            <w:tcBorders>
              <w:top w:val="nil"/>
              <w:left w:val="nil"/>
              <w:bottom w:val="single" w:sz="8" w:space="0" w:color="auto"/>
              <w:right w:val="single" w:sz="8" w:space="0" w:color="auto"/>
            </w:tcBorders>
            <w:shd w:val="clear" w:color="auto" w:fill="auto"/>
            <w:noWrap/>
            <w:vAlign w:val="center"/>
            <w:hideMark/>
          </w:tcPr>
          <w:p w14:paraId="624F323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103%</w:t>
            </w:r>
          </w:p>
        </w:tc>
        <w:tc>
          <w:tcPr>
            <w:tcW w:w="363" w:type="pct"/>
            <w:tcBorders>
              <w:top w:val="nil"/>
              <w:left w:val="nil"/>
              <w:bottom w:val="single" w:sz="8" w:space="0" w:color="auto"/>
              <w:right w:val="single" w:sz="8" w:space="0" w:color="auto"/>
            </w:tcBorders>
            <w:shd w:val="clear" w:color="auto" w:fill="auto"/>
            <w:noWrap/>
            <w:vAlign w:val="center"/>
            <w:hideMark/>
          </w:tcPr>
          <w:p w14:paraId="1346B79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100</w:t>
            </w:r>
          </w:p>
        </w:tc>
        <w:tc>
          <w:tcPr>
            <w:tcW w:w="291" w:type="pct"/>
            <w:tcBorders>
              <w:top w:val="nil"/>
              <w:left w:val="nil"/>
              <w:bottom w:val="single" w:sz="8" w:space="0" w:color="auto"/>
              <w:right w:val="single" w:sz="8" w:space="0" w:color="auto"/>
            </w:tcBorders>
            <w:shd w:val="clear" w:color="auto" w:fill="auto"/>
            <w:noWrap/>
            <w:vAlign w:val="center"/>
            <w:hideMark/>
          </w:tcPr>
          <w:p w14:paraId="1AFE9BA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67</w:t>
            </w:r>
          </w:p>
        </w:tc>
        <w:tc>
          <w:tcPr>
            <w:tcW w:w="355" w:type="pct"/>
            <w:tcBorders>
              <w:top w:val="nil"/>
              <w:left w:val="nil"/>
              <w:bottom w:val="single" w:sz="8" w:space="0" w:color="auto"/>
              <w:right w:val="single" w:sz="8" w:space="0" w:color="auto"/>
            </w:tcBorders>
            <w:shd w:val="clear" w:color="auto" w:fill="auto"/>
            <w:noWrap/>
            <w:vAlign w:val="center"/>
            <w:hideMark/>
          </w:tcPr>
          <w:p w14:paraId="34A680E1"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104</w:t>
            </w:r>
          </w:p>
        </w:tc>
        <w:tc>
          <w:tcPr>
            <w:tcW w:w="349" w:type="pct"/>
            <w:tcBorders>
              <w:top w:val="nil"/>
              <w:left w:val="nil"/>
              <w:bottom w:val="single" w:sz="8" w:space="0" w:color="auto"/>
              <w:right w:val="single" w:sz="8" w:space="0" w:color="auto"/>
            </w:tcBorders>
            <w:shd w:val="clear" w:color="auto" w:fill="auto"/>
            <w:noWrap/>
            <w:vAlign w:val="center"/>
            <w:hideMark/>
          </w:tcPr>
          <w:p w14:paraId="72AB1373"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69</w:t>
            </w:r>
          </w:p>
        </w:tc>
      </w:tr>
      <w:tr w:rsidR="00BA5303" w:rsidRPr="00BA5303" w14:paraId="21D184F5"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706BF56A"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I Circ. Jud. Alajuela</w:t>
            </w:r>
          </w:p>
        </w:tc>
        <w:tc>
          <w:tcPr>
            <w:tcW w:w="586" w:type="pct"/>
            <w:tcBorders>
              <w:top w:val="nil"/>
              <w:left w:val="nil"/>
              <w:bottom w:val="single" w:sz="8" w:space="0" w:color="auto"/>
              <w:right w:val="single" w:sz="8" w:space="0" w:color="auto"/>
            </w:tcBorders>
            <w:shd w:val="clear" w:color="auto" w:fill="auto"/>
            <w:noWrap/>
            <w:vAlign w:val="center"/>
            <w:hideMark/>
          </w:tcPr>
          <w:p w14:paraId="78B2E86D"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332</w:t>
            </w:r>
          </w:p>
        </w:tc>
        <w:tc>
          <w:tcPr>
            <w:tcW w:w="703" w:type="pct"/>
            <w:tcBorders>
              <w:top w:val="nil"/>
              <w:left w:val="nil"/>
              <w:bottom w:val="single" w:sz="8" w:space="0" w:color="auto"/>
              <w:right w:val="single" w:sz="8" w:space="0" w:color="auto"/>
            </w:tcBorders>
            <w:shd w:val="clear" w:color="auto" w:fill="auto"/>
            <w:noWrap/>
            <w:vAlign w:val="center"/>
            <w:hideMark/>
          </w:tcPr>
          <w:p w14:paraId="028BA6C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334</w:t>
            </w:r>
          </w:p>
        </w:tc>
        <w:tc>
          <w:tcPr>
            <w:tcW w:w="666" w:type="pct"/>
            <w:tcBorders>
              <w:top w:val="nil"/>
              <w:left w:val="nil"/>
              <w:bottom w:val="single" w:sz="8" w:space="0" w:color="auto"/>
              <w:right w:val="single" w:sz="8" w:space="0" w:color="auto"/>
            </w:tcBorders>
            <w:shd w:val="clear" w:color="auto" w:fill="auto"/>
            <w:noWrap/>
            <w:vAlign w:val="center"/>
            <w:hideMark/>
          </w:tcPr>
          <w:p w14:paraId="428A83B3"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101%</w:t>
            </w:r>
          </w:p>
        </w:tc>
        <w:tc>
          <w:tcPr>
            <w:tcW w:w="363" w:type="pct"/>
            <w:tcBorders>
              <w:top w:val="nil"/>
              <w:left w:val="nil"/>
              <w:bottom w:val="single" w:sz="8" w:space="0" w:color="auto"/>
              <w:right w:val="single" w:sz="8" w:space="0" w:color="auto"/>
            </w:tcBorders>
            <w:shd w:val="clear" w:color="auto" w:fill="auto"/>
            <w:noWrap/>
            <w:vAlign w:val="center"/>
            <w:hideMark/>
          </w:tcPr>
          <w:p w14:paraId="56EB4E9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111</w:t>
            </w:r>
          </w:p>
        </w:tc>
        <w:tc>
          <w:tcPr>
            <w:tcW w:w="291" w:type="pct"/>
            <w:tcBorders>
              <w:top w:val="nil"/>
              <w:left w:val="nil"/>
              <w:bottom w:val="single" w:sz="8" w:space="0" w:color="auto"/>
              <w:right w:val="single" w:sz="8" w:space="0" w:color="auto"/>
            </w:tcBorders>
            <w:shd w:val="clear" w:color="auto" w:fill="auto"/>
            <w:noWrap/>
            <w:vAlign w:val="center"/>
            <w:hideMark/>
          </w:tcPr>
          <w:p w14:paraId="1C3291D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66</w:t>
            </w:r>
          </w:p>
        </w:tc>
        <w:tc>
          <w:tcPr>
            <w:tcW w:w="355" w:type="pct"/>
            <w:tcBorders>
              <w:top w:val="nil"/>
              <w:left w:val="nil"/>
              <w:bottom w:val="single" w:sz="8" w:space="0" w:color="auto"/>
              <w:right w:val="single" w:sz="8" w:space="0" w:color="auto"/>
            </w:tcBorders>
            <w:shd w:val="clear" w:color="auto" w:fill="auto"/>
            <w:noWrap/>
            <w:vAlign w:val="center"/>
            <w:hideMark/>
          </w:tcPr>
          <w:p w14:paraId="5B115AD7"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111</w:t>
            </w:r>
          </w:p>
        </w:tc>
        <w:tc>
          <w:tcPr>
            <w:tcW w:w="349" w:type="pct"/>
            <w:tcBorders>
              <w:top w:val="nil"/>
              <w:left w:val="nil"/>
              <w:bottom w:val="single" w:sz="8" w:space="0" w:color="auto"/>
              <w:right w:val="single" w:sz="8" w:space="0" w:color="auto"/>
            </w:tcBorders>
            <w:shd w:val="clear" w:color="auto" w:fill="auto"/>
            <w:noWrap/>
            <w:vAlign w:val="center"/>
            <w:hideMark/>
          </w:tcPr>
          <w:p w14:paraId="43D6C85E"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67</w:t>
            </w:r>
          </w:p>
        </w:tc>
      </w:tr>
      <w:tr w:rsidR="00BA5303" w:rsidRPr="00BA5303" w14:paraId="6552A29C"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7DE6776D"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I Circ. Jud. San José</w:t>
            </w:r>
          </w:p>
        </w:tc>
        <w:tc>
          <w:tcPr>
            <w:tcW w:w="586" w:type="pct"/>
            <w:tcBorders>
              <w:top w:val="nil"/>
              <w:left w:val="nil"/>
              <w:bottom w:val="single" w:sz="8" w:space="0" w:color="auto"/>
              <w:right w:val="single" w:sz="8" w:space="0" w:color="auto"/>
            </w:tcBorders>
            <w:shd w:val="clear" w:color="auto" w:fill="auto"/>
            <w:noWrap/>
            <w:vAlign w:val="center"/>
            <w:hideMark/>
          </w:tcPr>
          <w:p w14:paraId="0D809B4B"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178</w:t>
            </w:r>
          </w:p>
        </w:tc>
        <w:tc>
          <w:tcPr>
            <w:tcW w:w="703" w:type="pct"/>
            <w:tcBorders>
              <w:top w:val="nil"/>
              <w:left w:val="nil"/>
              <w:bottom w:val="single" w:sz="8" w:space="0" w:color="auto"/>
              <w:right w:val="single" w:sz="8" w:space="0" w:color="auto"/>
            </w:tcBorders>
            <w:shd w:val="clear" w:color="auto" w:fill="auto"/>
            <w:noWrap/>
            <w:vAlign w:val="center"/>
            <w:hideMark/>
          </w:tcPr>
          <w:p w14:paraId="19D2481E"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179</w:t>
            </w:r>
          </w:p>
        </w:tc>
        <w:tc>
          <w:tcPr>
            <w:tcW w:w="666" w:type="pct"/>
            <w:tcBorders>
              <w:top w:val="nil"/>
              <w:left w:val="nil"/>
              <w:bottom w:val="single" w:sz="8" w:space="0" w:color="auto"/>
              <w:right w:val="single" w:sz="8" w:space="0" w:color="auto"/>
            </w:tcBorders>
            <w:shd w:val="clear" w:color="auto" w:fill="auto"/>
            <w:noWrap/>
            <w:vAlign w:val="center"/>
            <w:hideMark/>
          </w:tcPr>
          <w:p w14:paraId="33255F6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101%</w:t>
            </w:r>
          </w:p>
        </w:tc>
        <w:tc>
          <w:tcPr>
            <w:tcW w:w="363" w:type="pct"/>
            <w:tcBorders>
              <w:top w:val="nil"/>
              <w:left w:val="nil"/>
              <w:bottom w:val="single" w:sz="8" w:space="0" w:color="auto"/>
              <w:right w:val="single" w:sz="8" w:space="0" w:color="auto"/>
            </w:tcBorders>
            <w:shd w:val="clear" w:color="auto" w:fill="auto"/>
            <w:noWrap/>
            <w:vAlign w:val="center"/>
            <w:hideMark/>
          </w:tcPr>
          <w:p w14:paraId="3BC97DE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89</w:t>
            </w:r>
          </w:p>
        </w:tc>
        <w:tc>
          <w:tcPr>
            <w:tcW w:w="291" w:type="pct"/>
            <w:tcBorders>
              <w:top w:val="nil"/>
              <w:left w:val="nil"/>
              <w:bottom w:val="single" w:sz="8" w:space="0" w:color="auto"/>
              <w:right w:val="single" w:sz="8" w:space="0" w:color="auto"/>
            </w:tcBorders>
            <w:shd w:val="clear" w:color="auto" w:fill="auto"/>
            <w:noWrap/>
            <w:vAlign w:val="center"/>
            <w:hideMark/>
          </w:tcPr>
          <w:p w14:paraId="3BEF18ED"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89</w:t>
            </w:r>
          </w:p>
        </w:tc>
        <w:tc>
          <w:tcPr>
            <w:tcW w:w="355" w:type="pct"/>
            <w:tcBorders>
              <w:top w:val="nil"/>
              <w:left w:val="nil"/>
              <w:bottom w:val="single" w:sz="8" w:space="0" w:color="auto"/>
              <w:right w:val="single" w:sz="8" w:space="0" w:color="auto"/>
            </w:tcBorders>
            <w:shd w:val="clear" w:color="auto" w:fill="auto"/>
            <w:noWrap/>
            <w:vAlign w:val="center"/>
            <w:hideMark/>
          </w:tcPr>
          <w:p w14:paraId="5E9BFD0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89</w:t>
            </w:r>
          </w:p>
        </w:tc>
        <w:tc>
          <w:tcPr>
            <w:tcW w:w="349" w:type="pct"/>
            <w:tcBorders>
              <w:top w:val="nil"/>
              <w:left w:val="nil"/>
              <w:bottom w:val="single" w:sz="8" w:space="0" w:color="auto"/>
              <w:right w:val="single" w:sz="8" w:space="0" w:color="auto"/>
            </w:tcBorders>
            <w:shd w:val="clear" w:color="auto" w:fill="auto"/>
            <w:noWrap/>
            <w:vAlign w:val="center"/>
            <w:hideMark/>
          </w:tcPr>
          <w:p w14:paraId="214814C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90</w:t>
            </w:r>
          </w:p>
        </w:tc>
      </w:tr>
      <w:tr w:rsidR="00BA5303" w:rsidRPr="00BA5303" w14:paraId="71D359B4"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2E3525F8"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I Circ. Jud. Zona Sur</w:t>
            </w:r>
          </w:p>
        </w:tc>
        <w:tc>
          <w:tcPr>
            <w:tcW w:w="586" w:type="pct"/>
            <w:tcBorders>
              <w:top w:val="nil"/>
              <w:left w:val="nil"/>
              <w:bottom w:val="single" w:sz="8" w:space="0" w:color="auto"/>
              <w:right w:val="single" w:sz="8" w:space="0" w:color="auto"/>
            </w:tcBorders>
            <w:shd w:val="clear" w:color="auto" w:fill="auto"/>
            <w:noWrap/>
            <w:vAlign w:val="center"/>
            <w:hideMark/>
          </w:tcPr>
          <w:p w14:paraId="47FE7921"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209</w:t>
            </w:r>
          </w:p>
        </w:tc>
        <w:tc>
          <w:tcPr>
            <w:tcW w:w="703" w:type="pct"/>
            <w:tcBorders>
              <w:top w:val="nil"/>
              <w:left w:val="nil"/>
              <w:bottom w:val="single" w:sz="8" w:space="0" w:color="auto"/>
              <w:right w:val="single" w:sz="8" w:space="0" w:color="auto"/>
            </w:tcBorders>
            <w:shd w:val="clear" w:color="auto" w:fill="auto"/>
            <w:noWrap/>
            <w:vAlign w:val="center"/>
            <w:hideMark/>
          </w:tcPr>
          <w:p w14:paraId="0879BF4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210</w:t>
            </w:r>
          </w:p>
        </w:tc>
        <w:tc>
          <w:tcPr>
            <w:tcW w:w="666" w:type="pct"/>
            <w:tcBorders>
              <w:top w:val="nil"/>
              <w:left w:val="nil"/>
              <w:bottom w:val="single" w:sz="8" w:space="0" w:color="auto"/>
              <w:right w:val="single" w:sz="8" w:space="0" w:color="auto"/>
            </w:tcBorders>
            <w:shd w:val="clear" w:color="auto" w:fill="auto"/>
            <w:noWrap/>
            <w:vAlign w:val="center"/>
            <w:hideMark/>
          </w:tcPr>
          <w:p w14:paraId="41AAF967"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101%</w:t>
            </w:r>
          </w:p>
        </w:tc>
        <w:tc>
          <w:tcPr>
            <w:tcW w:w="363" w:type="pct"/>
            <w:tcBorders>
              <w:top w:val="nil"/>
              <w:left w:val="nil"/>
              <w:bottom w:val="single" w:sz="8" w:space="0" w:color="auto"/>
              <w:right w:val="single" w:sz="8" w:space="0" w:color="auto"/>
            </w:tcBorders>
            <w:shd w:val="clear" w:color="auto" w:fill="auto"/>
            <w:noWrap/>
            <w:vAlign w:val="center"/>
            <w:hideMark/>
          </w:tcPr>
          <w:p w14:paraId="572EC79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104</w:t>
            </w:r>
          </w:p>
        </w:tc>
        <w:tc>
          <w:tcPr>
            <w:tcW w:w="291" w:type="pct"/>
            <w:tcBorders>
              <w:top w:val="nil"/>
              <w:left w:val="nil"/>
              <w:bottom w:val="single" w:sz="8" w:space="0" w:color="auto"/>
              <w:right w:val="single" w:sz="8" w:space="0" w:color="auto"/>
            </w:tcBorders>
            <w:shd w:val="clear" w:color="auto" w:fill="auto"/>
            <w:noWrap/>
            <w:vAlign w:val="center"/>
            <w:hideMark/>
          </w:tcPr>
          <w:p w14:paraId="38AD0B7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104</w:t>
            </w:r>
          </w:p>
        </w:tc>
        <w:tc>
          <w:tcPr>
            <w:tcW w:w="355" w:type="pct"/>
            <w:tcBorders>
              <w:top w:val="nil"/>
              <w:left w:val="nil"/>
              <w:bottom w:val="single" w:sz="8" w:space="0" w:color="auto"/>
              <w:right w:val="single" w:sz="8" w:space="0" w:color="auto"/>
            </w:tcBorders>
            <w:shd w:val="clear" w:color="auto" w:fill="auto"/>
            <w:noWrap/>
            <w:vAlign w:val="center"/>
            <w:hideMark/>
          </w:tcPr>
          <w:p w14:paraId="619E5D06"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105</w:t>
            </w:r>
          </w:p>
        </w:tc>
        <w:tc>
          <w:tcPr>
            <w:tcW w:w="349" w:type="pct"/>
            <w:tcBorders>
              <w:top w:val="nil"/>
              <w:left w:val="nil"/>
              <w:bottom w:val="single" w:sz="8" w:space="0" w:color="auto"/>
              <w:right w:val="single" w:sz="8" w:space="0" w:color="auto"/>
            </w:tcBorders>
            <w:shd w:val="clear" w:color="auto" w:fill="auto"/>
            <w:noWrap/>
            <w:vAlign w:val="center"/>
            <w:hideMark/>
          </w:tcPr>
          <w:p w14:paraId="1363AC3D"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105</w:t>
            </w:r>
          </w:p>
        </w:tc>
      </w:tr>
      <w:tr w:rsidR="00BA5303" w:rsidRPr="00BA5303" w14:paraId="7CD352B2"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54253B69"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 xml:space="preserve">Juzgado Violencia Doméstica II Circ. Jud. Alajuela </w:t>
            </w:r>
          </w:p>
        </w:tc>
        <w:tc>
          <w:tcPr>
            <w:tcW w:w="586" w:type="pct"/>
            <w:tcBorders>
              <w:top w:val="nil"/>
              <w:left w:val="nil"/>
              <w:bottom w:val="single" w:sz="8" w:space="0" w:color="auto"/>
              <w:right w:val="single" w:sz="8" w:space="0" w:color="auto"/>
            </w:tcBorders>
            <w:shd w:val="clear" w:color="auto" w:fill="auto"/>
            <w:noWrap/>
            <w:vAlign w:val="center"/>
            <w:hideMark/>
          </w:tcPr>
          <w:p w14:paraId="33651013"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703" w:type="pct"/>
            <w:tcBorders>
              <w:top w:val="nil"/>
              <w:left w:val="nil"/>
              <w:bottom w:val="single" w:sz="8" w:space="0" w:color="auto"/>
              <w:right w:val="single" w:sz="8" w:space="0" w:color="auto"/>
            </w:tcBorders>
            <w:shd w:val="clear" w:color="auto" w:fill="auto"/>
            <w:noWrap/>
            <w:vAlign w:val="center"/>
            <w:hideMark/>
          </w:tcPr>
          <w:p w14:paraId="47267614"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151</w:t>
            </w:r>
          </w:p>
        </w:tc>
        <w:tc>
          <w:tcPr>
            <w:tcW w:w="666" w:type="pct"/>
            <w:tcBorders>
              <w:top w:val="nil"/>
              <w:left w:val="nil"/>
              <w:bottom w:val="single" w:sz="8" w:space="0" w:color="auto"/>
              <w:right w:val="single" w:sz="8" w:space="0" w:color="auto"/>
            </w:tcBorders>
            <w:shd w:val="clear" w:color="auto" w:fill="auto"/>
            <w:noWrap/>
            <w:vAlign w:val="center"/>
            <w:hideMark/>
          </w:tcPr>
          <w:p w14:paraId="298CBA8E"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98%</w:t>
            </w:r>
          </w:p>
        </w:tc>
        <w:tc>
          <w:tcPr>
            <w:tcW w:w="363" w:type="pct"/>
            <w:tcBorders>
              <w:top w:val="nil"/>
              <w:left w:val="nil"/>
              <w:bottom w:val="single" w:sz="8" w:space="0" w:color="auto"/>
              <w:right w:val="single" w:sz="8" w:space="0" w:color="auto"/>
            </w:tcBorders>
            <w:shd w:val="clear" w:color="auto" w:fill="auto"/>
            <w:noWrap/>
            <w:vAlign w:val="center"/>
            <w:hideMark/>
          </w:tcPr>
          <w:p w14:paraId="16DD9289"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291" w:type="pct"/>
            <w:tcBorders>
              <w:top w:val="nil"/>
              <w:left w:val="nil"/>
              <w:bottom w:val="single" w:sz="8" w:space="0" w:color="auto"/>
              <w:right w:val="single" w:sz="8" w:space="0" w:color="auto"/>
            </w:tcBorders>
            <w:shd w:val="clear" w:color="auto" w:fill="auto"/>
            <w:noWrap/>
            <w:vAlign w:val="center"/>
            <w:hideMark/>
          </w:tcPr>
          <w:p w14:paraId="4D4B470B"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77</w:t>
            </w:r>
          </w:p>
        </w:tc>
        <w:tc>
          <w:tcPr>
            <w:tcW w:w="355" w:type="pct"/>
            <w:tcBorders>
              <w:top w:val="nil"/>
              <w:left w:val="nil"/>
              <w:bottom w:val="single" w:sz="8" w:space="0" w:color="auto"/>
              <w:right w:val="single" w:sz="8" w:space="0" w:color="auto"/>
            </w:tcBorders>
            <w:shd w:val="clear" w:color="auto" w:fill="auto"/>
            <w:noWrap/>
            <w:vAlign w:val="center"/>
            <w:hideMark/>
          </w:tcPr>
          <w:p w14:paraId="5BF15074"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151</w:t>
            </w:r>
          </w:p>
        </w:tc>
        <w:tc>
          <w:tcPr>
            <w:tcW w:w="349" w:type="pct"/>
            <w:tcBorders>
              <w:top w:val="nil"/>
              <w:left w:val="nil"/>
              <w:bottom w:val="single" w:sz="8" w:space="0" w:color="auto"/>
              <w:right w:val="single" w:sz="8" w:space="0" w:color="auto"/>
            </w:tcBorders>
            <w:shd w:val="clear" w:color="auto" w:fill="auto"/>
            <w:noWrap/>
            <w:vAlign w:val="center"/>
            <w:hideMark/>
          </w:tcPr>
          <w:p w14:paraId="53A85BB7"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76</w:t>
            </w:r>
          </w:p>
        </w:tc>
      </w:tr>
      <w:tr w:rsidR="00BA5303" w:rsidRPr="00BA5303" w14:paraId="6A0625BD"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521860FD" w14:textId="3FE0595F"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 xml:space="preserve">Juzgado Violencia Doméstica II Circ. Jud. </w:t>
            </w:r>
            <w:r w:rsidR="00E11BF8">
              <w:rPr>
                <w:rFonts w:ascii="Book Antiqua" w:eastAsia="Times New Roman" w:hAnsi="Book Antiqua" w:cs="Calibri"/>
                <w:color w:val="000000"/>
                <w:lang w:eastAsia="es-CR"/>
              </w:rPr>
              <w:t>d</w:t>
            </w:r>
            <w:r w:rsidRPr="00BA5303">
              <w:rPr>
                <w:rFonts w:ascii="Book Antiqua" w:eastAsia="Times New Roman" w:hAnsi="Book Antiqua" w:cs="Calibri"/>
                <w:color w:val="000000"/>
                <w:lang w:eastAsia="es-CR"/>
              </w:rPr>
              <w:t>e la</w:t>
            </w:r>
            <w:r w:rsidR="00E11BF8">
              <w:rPr>
                <w:rFonts w:ascii="Book Antiqua" w:eastAsia="Times New Roman" w:hAnsi="Book Antiqua" w:cs="Calibri"/>
                <w:color w:val="000000"/>
                <w:lang w:eastAsia="es-CR"/>
              </w:rPr>
              <w:t xml:space="preserve"> </w:t>
            </w:r>
            <w:r w:rsidRPr="00BA5303">
              <w:rPr>
                <w:rFonts w:ascii="Book Antiqua" w:eastAsia="Times New Roman" w:hAnsi="Book Antiqua" w:cs="Calibri"/>
                <w:color w:val="000000"/>
                <w:lang w:eastAsia="es-CR"/>
              </w:rPr>
              <w:t xml:space="preserve">Zona Atlántica </w:t>
            </w:r>
          </w:p>
        </w:tc>
        <w:tc>
          <w:tcPr>
            <w:tcW w:w="586" w:type="pct"/>
            <w:tcBorders>
              <w:top w:val="nil"/>
              <w:left w:val="nil"/>
              <w:bottom w:val="single" w:sz="8" w:space="0" w:color="auto"/>
              <w:right w:val="single" w:sz="8" w:space="0" w:color="auto"/>
            </w:tcBorders>
            <w:shd w:val="clear" w:color="auto" w:fill="auto"/>
            <w:noWrap/>
            <w:vAlign w:val="center"/>
            <w:hideMark/>
          </w:tcPr>
          <w:p w14:paraId="0C4D9A29"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154</w:t>
            </w:r>
          </w:p>
        </w:tc>
        <w:tc>
          <w:tcPr>
            <w:tcW w:w="703" w:type="pct"/>
            <w:tcBorders>
              <w:top w:val="nil"/>
              <w:left w:val="nil"/>
              <w:bottom w:val="single" w:sz="8" w:space="0" w:color="auto"/>
              <w:right w:val="single" w:sz="8" w:space="0" w:color="auto"/>
            </w:tcBorders>
            <w:shd w:val="clear" w:color="auto" w:fill="auto"/>
            <w:noWrap/>
            <w:vAlign w:val="center"/>
            <w:hideMark/>
          </w:tcPr>
          <w:p w14:paraId="181FDEFA"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666" w:type="pct"/>
            <w:tcBorders>
              <w:top w:val="nil"/>
              <w:left w:val="nil"/>
              <w:bottom w:val="single" w:sz="8" w:space="0" w:color="auto"/>
              <w:right w:val="single" w:sz="8" w:space="0" w:color="auto"/>
            </w:tcBorders>
            <w:shd w:val="clear" w:color="auto" w:fill="auto"/>
            <w:noWrap/>
            <w:vAlign w:val="center"/>
            <w:hideMark/>
          </w:tcPr>
          <w:p w14:paraId="19B9EC9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99%</w:t>
            </w:r>
          </w:p>
        </w:tc>
        <w:tc>
          <w:tcPr>
            <w:tcW w:w="363" w:type="pct"/>
            <w:tcBorders>
              <w:top w:val="nil"/>
              <w:left w:val="nil"/>
              <w:bottom w:val="single" w:sz="8" w:space="0" w:color="auto"/>
              <w:right w:val="single" w:sz="8" w:space="0" w:color="auto"/>
            </w:tcBorders>
            <w:shd w:val="clear" w:color="auto" w:fill="auto"/>
            <w:noWrap/>
            <w:vAlign w:val="center"/>
            <w:hideMark/>
          </w:tcPr>
          <w:p w14:paraId="0CB75466"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154</w:t>
            </w:r>
          </w:p>
        </w:tc>
        <w:tc>
          <w:tcPr>
            <w:tcW w:w="291" w:type="pct"/>
            <w:tcBorders>
              <w:top w:val="nil"/>
              <w:left w:val="nil"/>
              <w:bottom w:val="single" w:sz="8" w:space="0" w:color="auto"/>
              <w:right w:val="single" w:sz="8" w:space="0" w:color="auto"/>
            </w:tcBorders>
            <w:shd w:val="clear" w:color="auto" w:fill="auto"/>
            <w:noWrap/>
            <w:vAlign w:val="center"/>
            <w:hideMark/>
          </w:tcPr>
          <w:p w14:paraId="702D8F37"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77</w:t>
            </w:r>
          </w:p>
        </w:tc>
        <w:tc>
          <w:tcPr>
            <w:tcW w:w="355" w:type="pct"/>
            <w:tcBorders>
              <w:top w:val="nil"/>
              <w:left w:val="nil"/>
              <w:bottom w:val="single" w:sz="8" w:space="0" w:color="auto"/>
              <w:right w:val="single" w:sz="8" w:space="0" w:color="auto"/>
            </w:tcBorders>
            <w:shd w:val="clear" w:color="auto" w:fill="auto"/>
            <w:noWrap/>
            <w:vAlign w:val="center"/>
            <w:hideMark/>
          </w:tcPr>
          <w:p w14:paraId="1EDC19BC"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349" w:type="pct"/>
            <w:tcBorders>
              <w:top w:val="nil"/>
              <w:left w:val="nil"/>
              <w:bottom w:val="single" w:sz="8" w:space="0" w:color="auto"/>
              <w:right w:val="single" w:sz="8" w:space="0" w:color="auto"/>
            </w:tcBorders>
            <w:shd w:val="clear" w:color="auto" w:fill="auto"/>
            <w:noWrap/>
            <w:vAlign w:val="center"/>
            <w:hideMark/>
          </w:tcPr>
          <w:p w14:paraId="7CD3F25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76</w:t>
            </w:r>
          </w:p>
        </w:tc>
      </w:tr>
      <w:tr w:rsidR="00BA5303" w:rsidRPr="00BA5303" w14:paraId="332F905B"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08E2ADFD"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II Circ. Jud. San José</w:t>
            </w:r>
          </w:p>
        </w:tc>
        <w:tc>
          <w:tcPr>
            <w:tcW w:w="586" w:type="pct"/>
            <w:tcBorders>
              <w:top w:val="nil"/>
              <w:left w:val="nil"/>
              <w:bottom w:val="single" w:sz="8" w:space="0" w:color="auto"/>
              <w:right w:val="single" w:sz="8" w:space="0" w:color="auto"/>
            </w:tcBorders>
            <w:shd w:val="clear" w:color="auto" w:fill="auto"/>
            <w:noWrap/>
            <w:vAlign w:val="center"/>
            <w:hideMark/>
          </w:tcPr>
          <w:p w14:paraId="7B396CB8"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484</w:t>
            </w:r>
          </w:p>
        </w:tc>
        <w:tc>
          <w:tcPr>
            <w:tcW w:w="703" w:type="pct"/>
            <w:tcBorders>
              <w:top w:val="nil"/>
              <w:left w:val="nil"/>
              <w:bottom w:val="single" w:sz="8" w:space="0" w:color="auto"/>
              <w:right w:val="single" w:sz="8" w:space="0" w:color="auto"/>
            </w:tcBorders>
            <w:shd w:val="clear" w:color="auto" w:fill="auto"/>
            <w:noWrap/>
            <w:vAlign w:val="center"/>
            <w:hideMark/>
          </w:tcPr>
          <w:p w14:paraId="650CB651"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478</w:t>
            </w:r>
          </w:p>
        </w:tc>
        <w:tc>
          <w:tcPr>
            <w:tcW w:w="666" w:type="pct"/>
            <w:tcBorders>
              <w:top w:val="nil"/>
              <w:left w:val="nil"/>
              <w:bottom w:val="single" w:sz="8" w:space="0" w:color="auto"/>
              <w:right w:val="single" w:sz="8" w:space="0" w:color="auto"/>
            </w:tcBorders>
            <w:shd w:val="clear" w:color="auto" w:fill="auto"/>
            <w:noWrap/>
            <w:vAlign w:val="center"/>
            <w:hideMark/>
          </w:tcPr>
          <w:p w14:paraId="33BB3BC9"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99%</w:t>
            </w:r>
          </w:p>
        </w:tc>
        <w:tc>
          <w:tcPr>
            <w:tcW w:w="363" w:type="pct"/>
            <w:tcBorders>
              <w:top w:val="nil"/>
              <w:left w:val="nil"/>
              <w:bottom w:val="single" w:sz="8" w:space="0" w:color="auto"/>
              <w:right w:val="single" w:sz="8" w:space="0" w:color="auto"/>
            </w:tcBorders>
            <w:shd w:val="clear" w:color="auto" w:fill="auto"/>
            <w:noWrap/>
            <w:vAlign w:val="center"/>
            <w:hideMark/>
          </w:tcPr>
          <w:p w14:paraId="30F1594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97</w:t>
            </w:r>
          </w:p>
        </w:tc>
        <w:tc>
          <w:tcPr>
            <w:tcW w:w="291" w:type="pct"/>
            <w:tcBorders>
              <w:top w:val="nil"/>
              <w:left w:val="nil"/>
              <w:bottom w:val="single" w:sz="8" w:space="0" w:color="auto"/>
              <w:right w:val="single" w:sz="8" w:space="0" w:color="auto"/>
            </w:tcBorders>
            <w:shd w:val="clear" w:color="auto" w:fill="auto"/>
            <w:noWrap/>
            <w:vAlign w:val="center"/>
            <w:hideMark/>
          </w:tcPr>
          <w:p w14:paraId="35F9ADD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81</w:t>
            </w:r>
          </w:p>
        </w:tc>
        <w:tc>
          <w:tcPr>
            <w:tcW w:w="355" w:type="pct"/>
            <w:tcBorders>
              <w:top w:val="nil"/>
              <w:left w:val="nil"/>
              <w:bottom w:val="single" w:sz="8" w:space="0" w:color="auto"/>
              <w:right w:val="single" w:sz="8" w:space="0" w:color="auto"/>
            </w:tcBorders>
            <w:shd w:val="clear" w:color="auto" w:fill="auto"/>
            <w:noWrap/>
            <w:vAlign w:val="center"/>
            <w:hideMark/>
          </w:tcPr>
          <w:p w14:paraId="468DDBEE"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96</w:t>
            </w:r>
          </w:p>
        </w:tc>
        <w:tc>
          <w:tcPr>
            <w:tcW w:w="349" w:type="pct"/>
            <w:tcBorders>
              <w:top w:val="nil"/>
              <w:left w:val="nil"/>
              <w:bottom w:val="single" w:sz="8" w:space="0" w:color="auto"/>
              <w:right w:val="single" w:sz="8" w:space="0" w:color="auto"/>
            </w:tcBorders>
            <w:shd w:val="clear" w:color="auto" w:fill="auto"/>
            <w:noWrap/>
            <w:vAlign w:val="center"/>
            <w:hideMark/>
          </w:tcPr>
          <w:p w14:paraId="4B3B0B5B"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80</w:t>
            </w:r>
          </w:p>
        </w:tc>
      </w:tr>
      <w:tr w:rsidR="00BA5303" w:rsidRPr="00BA5303" w14:paraId="6D32458C" w14:textId="77777777" w:rsidTr="00BA5303">
        <w:trPr>
          <w:trHeight w:val="59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42C1B4EC"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lastRenderedPageBreak/>
              <w:t xml:space="preserve">Juzgado Violencia Doméstica III Circ. Jud. San José </w:t>
            </w:r>
          </w:p>
        </w:tc>
        <w:tc>
          <w:tcPr>
            <w:tcW w:w="586" w:type="pct"/>
            <w:tcBorders>
              <w:top w:val="nil"/>
              <w:left w:val="nil"/>
              <w:bottom w:val="single" w:sz="8" w:space="0" w:color="auto"/>
              <w:right w:val="single" w:sz="8" w:space="0" w:color="auto"/>
            </w:tcBorders>
            <w:shd w:val="clear" w:color="auto" w:fill="auto"/>
            <w:noWrap/>
            <w:vAlign w:val="center"/>
            <w:hideMark/>
          </w:tcPr>
          <w:p w14:paraId="1C468E9D"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244</w:t>
            </w:r>
          </w:p>
        </w:tc>
        <w:tc>
          <w:tcPr>
            <w:tcW w:w="703" w:type="pct"/>
            <w:tcBorders>
              <w:top w:val="nil"/>
              <w:left w:val="nil"/>
              <w:bottom w:val="single" w:sz="8" w:space="0" w:color="auto"/>
              <w:right w:val="single" w:sz="8" w:space="0" w:color="auto"/>
            </w:tcBorders>
            <w:shd w:val="clear" w:color="auto" w:fill="auto"/>
            <w:noWrap/>
            <w:vAlign w:val="center"/>
            <w:hideMark/>
          </w:tcPr>
          <w:p w14:paraId="59D9DE7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240</w:t>
            </w:r>
          </w:p>
        </w:tc>
        <w:tc>
          <w:tcPr>
            <w:tcW w:w="666" w:type="pct"/>
            <w:tcBorders>
              <w:top w:val="nil"/>
              <w:left w:val="nil"/>
              <w:bottom w:val="single" w:sz="8" w:space="0" w:color="auto"/>
              <w:right w:val="single" w:sz="8" w:space="0" w:color="auto"/>
            </w:tcBorders>
            <w:shd w:val="clear" w:color="auto" w:fill="auto"/>
            <w:noWrap/>
            <w:vAlign w:val="center"/>
            <w:hideMark/>
          </w:tcPr>
          <w:p w14:paraId="1637AB36"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98%</w:t>
            </w:r>
          </w:p>
        </w:tc>
        <w:tc>
          <w:tcPr>
            <w:tcW w:w="363" w:type="pct"/>
            <w:tcBorders>
              <w:top w:val="nil"/>
              <w:left w:val="nil"/>
              <w:bottom w:val="single" w:sz="8" w:space="0" w:color="auto"/>
              <w:right w:val="single" w:sz="8" w:space="0" w:color="auto"/>
            </w:tcBorders>
            <w:shd w:val="clear" w:color="auto" w:fill="auto"/>
            <w:noWrap/>
            <w:vAlign w:val="center"/>
            <w:hideMark/>
          </w:tcPr>
          <w:p w14:paraId="70AFEA64"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122</w:t>
            </w:r>
          </w:p>
        </w:tc>
        <w:tc>
          <w:tcPr>
            <w:tcW w:w="291" w:type="pct"/>
            <w:tcBorders>
              <w:top w:val="nil"/>
              <w:left w:val="nil"/>
              <w:bottom w:val="single" w:sz="8" w:space="0" w:color="auto"/>
              <w:right w:val="single" w:sz="8" w:space="0" w:color="auto"/>
            </w:tcBorders>
            <w:shd w:val="clear" w:color="auto" w:fill="auto"/>
            <w:noWrap/>
            <w:vAlign w:val="center"/>
            <w:hideMark/>
          </w:tcPr>
          <w:p w14:paraId="27BFEBE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122</w:t>
            </w:r>
          </w:p>
        </w:tc>
        <w:tc>
          <w:tcPr>
            <w:tcW w:w="355" w:type="pct"/>
            <w:tcBorders>
              <w:top w:val="nil"/>
              <w:left w:val="nil"/>
              <w:bottom w:val="single" w:sz="8" w:space="0" w:color="auto"/>
              <w:right w:val="single" w:sz="8" w:space="0" w:color="auto"/>
            </w:tcBorders>
            <w:shd w:val="clear" w:color="auto" w:fill="auto"/>
            <w:noWrap/>
            <w:vAlign w:val="center"/>
            <w:hideMark/>
          </w:tcPr>
          <w:p w14:paraId="08C8B96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122</w:t>
            </w:r>
          </w:p>
        </w:tc>
        <w:tc>
          <w:tcPr>
            <w:tcW w:w="349" w:type="pct"/>
            <w:tcBorders>
              <w:top w:val="nil"/>
              <w:left w:val="nil"/>
              <w:bottom w:val="single" w:sz="8" w:space="0" w:color="auto"/>
              <w:right w:val="single" w:sz="8" w:space="0" w:color="auto"/>
            </w:tcBorders>
            <w:shd w:val="clear" w:color="auto" w:fill="auto"/>
            <w:noWrap/>
            <w:vAlign w:val="center"/>
            <w:hideMark/>
          </w:tcPr>
          <w:p w14:paraId="177E8EA0"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120</w:t>
            </w:r>
          </w:p>
        </w:tc>
      </w:tr>
      <w:tr w:rsidR="00BA5303" w:rsidRPr="00BA5303" w14:paraId="55C1B97B" w14:textId="77777777" w:rsidTr="00BA5303">
        <w:trPr>
          <w:trHeight w:val="300"/>
        </w:trPr>
        <w:tc>
          <w:tcPr>
            <w:tcW w:w="1688" w:type="pct"/>
            <w:tcBorders>
              <w:top w:val="nil"/>
              <w:left w:val="single" w:sz="8" w:space="0" w:color="auto"/>
              <w:bottom w:val="single" w:sz="8" w:space="0" w:color="auto"/>
              <w:right w:val="single" w:sz="8" w:space="0" w:color="auto"/>
            </w:tcBorders>
            <w:shd w:val="clear" w:color="auto" w:fill="auto"/>
            <w:vAlign w:val="center"/>
            <w:hideMark/>
          </w:tcPr>
          <w:p w14:paraId="3CA2F941" w14:textId="77777777" w:rsidR="00BA5303" w:rsidRPr="00BA5303" w:rsidRDefault="00BA5303" w:rsidP="00BA5303">
            <w:pPr>
              <w:spacing w:after="0" w:line="240" w:lineRule="auto"/>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Juzgado Violencia Doméstica Puntarenas</w:t>
            </w:r>
          </w:p>
        </w:tc>
        <w:tc>
          <w:tcPr>
            <w:tcW w:w="586" w:type="pct"/>
            <w:tcBorders>
              <w:top w:val="nil"/>
              <w:left w:val="nil"/>
              <w:bottom w:val="nil"/>
              <w:right w:val="single" w:sz="8" w:space="0" w:color="auto"/>
            </w:tcBorders>
            <w:shd w:val="clear" w:color="auto" w:fill="auto"/>
            <w:noWrap/>
            <w:vAlign w:val="center"/>
            <w:hideMark/>
          </w:tcPr>
          <w:p w14:paraId="534113F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703" w:type="pct"/>
            <w:tcBorders>
              <w:top w:val="nil"/>
              <w:left w:val="nil"/>
              <w:bottom w:val="nil"/>
              <w:right w:val="single" w:sz="8" w:space="0" w:color="auto"/>
            </w:tcBorders>
            <w:shd w:val="clear" w:color="auto" w:fill="auto"/>
            <w:noWrap/>
            <w:vAlign w:val="center"/>
            <w:hideMark/>
          </w:tcPr>
          <w:p w14:paraId="02A702E2"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153</w:t>
            </w:r>
          </w:p>
        </w:tc>
        <w:tc>
          <w:tcPr>
            <w:tcW w:w="666" w:type="pct"/>
            <w:tcBorders>
              <w:top w:val="nil"/>
              <w:left w:val="nil"/>
              <w:bottom w:val="single" w:sz="8" w:space="0" w:color="auto"/>
              <w:right w:val="single" w:sz="8" w:space="0" w:color="auto"/>
            </w:tcBorders>
            <w:shd w:val="clear" w:color="auto" w:fill="auto"/>
            <w:noWrap/>
            <w:vAlign w:val="center"/>
            <w:hideMark/>
          </w:tcPr>
          <w:p w14:paraId="5C265504"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100%</w:t>
            </w:r>
          </w:p>
        </w:tc>
        <w:tc>
          <w:tcPr>
            <w:tcW w:w="363" w:type="pct"/>
            <w:tcBorders>
              <w:top w:val="nil"/>
              <w:left w:val="nil"/>
              <w:bottom w:val="single" w:sz="8" w:space="0" w:color="auto"/>
              <w:right w:val="single" w:sz="8" w:space="0" w:color="auto"/>
            </w:tcBorders>
            <w:shd w:val="clear" w:color="auto" w:fill="auto"/>
            <w:noWrap/>
            <w:vAlign w:val="center"/>
            <w:hideMark/>
          </w:tcPr>
          <w:p w14:paraId="45986E2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76</w:t>
            </w:r>
          </w:p>
        </w:tc>
        <w:tc>
          <w:tcPr>
            <w:tcW w:w="291" w:type="pct"/>
            <w:tcBorders>
              <w:top w:val="nil"/>
              <w:left w:val="nil"/>
              <w:bottom w:val="single" w:sz="8" w:space="0" w:color="auto"/>
              <w:right w:val="single" w:sz="8" w:space="0" w:color="auto"/>
            </w:tcBorders>
            <w:shd w:val="clear" w:color="auto" w:fill="auto"/>
            <w:noWrap/>
            <w:vAlign w:val="center"/>
            <w:hideMark/>
          </w:tcPr>
          <w:p w14:paraId="03C65D4F"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51</w:t>
            </w:r>
          </w:p>
        </w:tc>
        <w:tc>
          <w:tcPr>
            <w:tcW w:w="355" w:type="pct"/>
            <w:tcBorders>
              <w:top w:val="nil"/>
              <w:left w:val="nil"/>
              <w:bottom w:val="single" w:sz="8" w:space="0" w:color="auto"/>
              <w:right w:val="single" w:sz="8" w:space="0" w:color="auto"/>
            </w:tcBorders>
            <w:shd w:val="clear" w:color="auto" w:fill="auto"/>
            <w:noWrap/>
            <w:vAlign w:val="center"/>
            <w:hideMark/>
          </w:tcPr>
          <w:p w14:paraId="6BF64755"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76</w:t>
            </w:r>
          </w:p>
        </w:tc>
        <w:tc>
          <w:tcPr>
            <w:tcW w:w="349" w:type="pct"/>
            <w:tcBorders>
              <w:top w:val="nil"/>
              <w:left w:val="nil"/>
              <w:bottom w:val="single" w:sz="8" w:space="0" w:color="auto"/>
              <w:right w:val="single" w:sz="8" w:space="0" w:color="auto"/>
            </w:tcBorders>
            <w:shd w:val="clear" w:color="auto" w:fill="auto"/>
            <w:noWrap/>
            <w:vAlign w:val="center"/>
            <w:hideMark/>
          </w:tcPr>
          <w:p w14:paraId="621B8B74" w14:textId="77777777" w:rsidR="00BA5303" w:rsidRPr="00BA5303" w:rsidRDefault="00BA5303" w:rsidP="00BA5303">
            <w:pPr>
              <w:spacing w:after="0" w:line="240" w:lineRule="auto"/>
              <w:jc w:val="center"/>
              <w:rPr>
                <w:rFonts w:ascii="Book Antiqua" w:eastAsia="Times New Roman" w:hAnsi="Book Antiqua" w:cs="Calibri"/>
                <w:color w:val="000000"/>
                <w:lang w:eastAsia="es-CR"/>
              </w:rPr>
            </w:pPr>
            <w:r w:rsidRPr="00BA5303">
              <w:rPr>
                <w:rFonts w:ascii="Book Antiqua" w:eastAsia="Times New Roman" w:hAnsi="Book Antiqua" w:cs="Calibri"/>
                <w:color w:val="000000"/>
                <w:lang w:eastAsia="es-CR"/>
              </w:rPr>
              <w:t>51</w:t>
            </w:r>
          </w:p>
        </w:tc>
      </w:tr>
      <w:tr w:rsidR="00BA5303" w:rsidRPr="00BA5303" w14:paraId="798B971C" w14:textId="77777777" w:rsidTr="00BA5303">
        <w:trPr>
          <w:trHeight w:val="300"/>
        </w:trPr>
        <w:tc>
          <w:tcPr>
            <w:tcW w:w="1688" w:type="pct"/>
            <w:tcBorders>
              <w:top w:val="nil"/>
              <w:left w:val="single" w:sz="8" w:space="0" w:color="auto"/>
              <w:bottom w:val="single" w:sz="8" w:space="0" w:color="auto"/>
              <w:right w:val="single" w:sz="8" w:space="0" w:color="auto"/>
            </w:tcBorders>
            <w:shd w:val="clear" w:color="000000" w:fill="808080"/>
            <w:vAlign w:val="center"/>
            <w:hideMark/>
          </w:tcPr>
          <w:p w14:paraId="03F58372" w14:textId="77777777" w:rsidR="00BA5303" w:rsidRPr="00BA5303" w:rsidRDefault="00BA5303" w:rsidP="00BA5303">
            <w:pPr>
              <w:spacing w:after="0" w:line="240" w:lineRule="auto"/>
              <w:jc w:val="right"/>
              <w:rPr>
                <w:rFonts w:ascii="Book Antiqua" w:eastAsia="Times New Roman" w:hAnsi="Book Antiqua" w:cs="Calibri"/>
                <w:b/>
                <w:bCs/>
                <w:color w:val="FFFFFF"/>
                <w:lang w:eastAsia="es-CR"/>
              </w:rPr>
            </w:pPr>
            <w:r w:rsidRPr="00BA5303">
              <w:rPr>
                <w:rFonts w:ascii="Book Antiqua" w:eastAsia="Times New Roman" w:hAnsi="Book Antiqua" w:cs="Calibri"/>
                <w:b/>
                <w:bCs/>
                <w:color w:val="FFFFFF" w:themeColor="background1"/>
                <w:lang w:eastAsia="es-CR"/>
              </w:rPr>
              <w:t>Total</w:t>
            </w:r>
          </w:p>
        </w:tc>
        <w:tc>
          <w:tcPr>
            <w:tcW w:w="586" w:type="pct"/>
            <w:tcBorders>
              <w:top w:val="single" w:sz="8" w:space="0" w:color="auto"/>
              <w:left w:val="nil"/>
              <w:bottom w:val="single" w:sz="8" w:space="0" w:color="auto"/>
              <w:right w:val="single" w:sz="8" w:space="0" w:color="auto"/>
            </w:tcBorders>
            <w:shd w:val="clear" w:color="000000" w:fill="808080"/>
            <w:noWrap/>
            <w:vAlign w:val="center"/>
            <w:hideMark/>
          </w:tcPr>
          <w:p w14:paraId="7CC06522"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2639</w:t>
            </w:r>
          </w:p>
        </w:tc>
        <w:tc>
          <w:tcPr>
            <w:tcW w:w="703" w:type="pct"/>
            <w:tcBorders>
              <w:top w:val="single" w:sz="8" w:space="0" w:color="auto"/>
              <w:left w:val="nil"/>
              <w:bottom w:val="single" w:sz="8" w:space="0" w:color="auto"/>
              <w:right w:val="single" w:sz="8" w:space="0" w:color="auto"/>
            </w:tcBorders>
            <w:shd w:val="clear" w:color="000000" w:fill="808080"/>
            <w:noWrap/>
            <w:vAlign w:val="center"/>
            <w:hideMark/>
          </w:tcPr>
          <w:p w14:paraId="7BF4B672"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2621</w:t>
            </w:r>
          </w:p>
        </w:tc>
        <w:tc>
          <w:tcPr>
            <w:tcW w:w="666" w:type="pct"/>
            <w:tcBorders>
              <w:top w:val="nil"/>
              <w:left w:val="nil"/>
              <w:bottom w:val="single" w:sz="8" w:space="0" w:color="auto"/>
              <w:right w:val="single" w:sz="8" w:space="0" w:color="auto"/>
            </w:tcBorders>
            <w:shd w:val="clear" w:color="000000" w:fill="808080"/>
            <w:noWrap/>
            <w:vAlign w:val="center"/>
            <w:hideMark/>
          </w:tcPr>
          <w:p w14:paraId="76081F3C"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Prom</w:t>
            </w:r>
          </w:p>
        </w:tc>
        <w:tc>
          <w:tcPr>
            <w:tcW w:w="363" w:type="pct"/>
            <w:tcBorders>
              <w:top w:val="nil"/>
              <w:left w:val="nil"/>
              <w:bottom w:val="single" w:sz="8" w:space="0" w:color="auto"/>
              <w:right w:val="single" w:sz="8" w:space="0" w:color="auto"/>
            </w:tcBorders>
            <w:shd w:val="clear" w:color="000000" w:fill="808080"/>
            <w:noWrap/>
            <w:vAlign w:val="center"/>
            <w:hideMark/>
          </w:tcPr>
          <w:p w14:paraId="30A32953"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110</w:t>
            </w:r>
          </w:p>
        </w:tc>
        <w:tc>
          <w:tcPr>
            <w:tcW w:w="291" w:type="pct"/>
            <w:tcBorders>
              <w:top w:val="nil"/>
              <w:left w:val="nil"/>
              <w:bottom w:val="single" w:sz="8" w:space="0" w:color="auto"/>
              <w:right w:val="single" w:sz="8" w:space="0" w:color="auto"/>
            </w:tcBorders>
            <w:shd w:val="clear" w:color="000000" w:fill="808080"/>
            <w:noWrap/>
            <w:vAlign w:val="center"/>
            <w:hideMark/>
          </w:tcPr>
          <w:p w14:paraId="7E75179C"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81</w:t>
            </w:r>
          </w:p>
        </w:tc>
        <w:tc>
          <w:tcPr>
            <w:tcW w:w="355" w:type="pct"/>
            <w:tcBorders>
              <w:top w:val="nil"/>
              <w:left w:val="nil"/>
              <w:bottom w:val="single" w:sz="8" w:space="0" w:color="auto"/>
              <w:right w:val="single" w:sz="8" w:space="0" w:color="auto"/>
            </w:tcBorders>
            <w:shd w:val="clear" w:color="000000" w:fill="808080"/>
            <w:noWrap/>
            <w:vAlign w:val="center"/>
            <w:hideMark/>
          </w:tcPr>
          <w:p w14:paraId="6D17C04B"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109</w:t>
            </w:r>
          </w:p>
        </w:tc>
        <w:tc>
          <w:tcPr>
            <w:tcW w:w="349" w:type="pct"/>
            <w:tcBorders>
              <w:top w:val="nil"/>
              <w:left w:val="nil"/>
              <w:bottom w:val="single" w:sz="8" w:space="0" w:color="auto"/>
              <w:right w:val="single" w:sz="8" w:space="0" w:color="auto"/>
            </w:tcBorders>
            <w:shd w:val="clear" w:color="000000" w:fill="808080"/>
            <w:noWrap/>
            <w:vAlign w:val="center"/>
            <w:hideMark/>
          </w:tcPr>
          <w:p w14:paraId="4338EA91" w14:textId="77777777" w:rsidR="00BA5303" w:rsidRPr="00BA5303" w:rsidRDefault="00BA5303" w:rsidP="00BA5303">
            <w:pPr>
              <w:spacing w:after="0" w:line="240" w:lineRule="auto"/>
              <w:jc w:val="center"/>
              <w:rPr>
                <w:rFonts w:ascii="Book Antiqua" w:eastAsia="Times New Roman" w:hAnsi="Book Antiqua" w:cs="Calibri"/>
                <w:b/>
                <w:bCs/>
                <w:color w:val="FFFFFF"/>
                <w:lang w:eastAsia="es-CR"/>
              </w:rPr>
            </w:pPr>
            <w:r w:rsidRPr="00BA5303">
              <w:rPr>
                <w:rFonts w:ascii="Book Antiqua" w:eastAsia="Times New Roman" w:hAnsi="Book Antiqua" w:cs="Calibri"/>
                <w:b/>
                <w:bCs/>
                <w:color w:val="FFFFFF"/>
                <w:lang w:eastAsia="es-CR"/>
              </w:rPr>
              <w:t>80</w:t>
            </w:r>
          </w:p>
        </w:tc>
      </w:tr>
    </w:tbl>
    <w:p w14:paraId="618DA55C" w14:textId="04E50C0A" w:rsidR="00272183" w:rsidRPr="00695918" w:rsidRDefault="00BA5303" w:rsidP="00695918">
      <w:pPr>
        <w:rPr>
          <w:rFonts w:ascii="Book Antiqua" w:hAnsi="Book Antiqua"/>
          <w:i/>
          <w:iCs/>
          <w:lang w:val="es-ES"/>
        </w:rPr>
      </w:pPr>
      <w:r w:rsidRPr="00BA5303">
        <w:rPr>
          <w:rFonts w:ascii="Book Antiqua" w:hAnsi="Book Antiqua"/>
          <w:i/>
          <w:iCs/>
          <w:lang w:val="es-ES"/>
        </w:rPr>
        <w:t>Fuente: Subproceso de Modernización Institucional, con base en datos de Cuadros Estadísticos 2017 a 20</w:t>
      </w:r>
      <w:r>
        <w:rPr>
          <w:rFonts w:ascii="Book Antiqua" w:hAnsi="Book Antiqua"/>
          <w:i/>
          <w:iCs/>
          <w:lang w:val="es-ES"/>
        </w:rPr>
        <w:t>2</w:t>
      </w:r>
      <w:r w:rsidRPr="00BA5303">
        <w:rPr>
          <w:rFonts w:ascii="Book Antiqua" w:hAnsi="Book Antiqua"/>
          <w:i/>
          <w:iCs/>
          <w:lang w:val="es-ES"/>
        </w:rPr>
        <w:t>1 del Subproceso de Estadística.</w:t>
      </w:r>
    </w:p>
    <w:p w14:paraId="4877F545" w14:textId="1EF7A108" w:rsidR="00695918" w:rsidRPr="00695918" w:rsidRDefault="00695918" w:rsidP="006310ED">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La carga de trabajo de asuntos entrados es de 1</w:t>
      </w:r>
      <w:r w:rsidR="00BA5303">
        <w:rPr>
          <w:rFonts w:ascii="Book Antiqua" w:eastAsia="Calibri" w:hAnsi="Book Antiqua" w:cs="Arial"/>
          <w:sz w:val="24"/>
          <w:szCs w:val="24"/>
        </w:rPr>
        <w:t>10</w:t>
      </w:r>
      <w:r w:rsidRPr="00695918">
        <w:rPr>
          <w:rFonts w:ascii="Book Antiqua" w:eastAsia="Calibri" w:hAnsi="Book Antiqua" w:cs="Arial"/>
          <w:sz w:val="24"/>
          <w:szCs w:val="24"/>
        </w:rPr>
        <w:t xml:space="preserve"> casos al mes por persona juzgadora y de </w:t>
      </w:r>
      <w:r w:rsidR="00BA5303">
        <w:rPr>
          <w:rFonts w:ascii="Book Antiqua" w:eastAsia="Calibri" w:hAnsi="Book Antiqua" w:cs="Arial"/>
          <w:sz w:val="24"/>
          <w:szCs w:val="24"/>
        </w:rPr>
        <w:t>81</w:t>
      </w:r>
      <w:r w:rsidRPr="00695918">
        <w:rPr>
          <w:rFonts w:ascii="Book Antiqua" w:eastAsia="Calibri" w:hAnsi="Book Antiqua" w:cs="Arial"/>
          <w:sz w:val="24"/>
          <w:szCs w:val="24"/>
        </w:rPr>
        <w:t xml:space="preserve"> por persona técnica judicial.</w:t>
      </w:r>
    </w:p>
    <w:p w14:paraId="3D09240B" w14:textId="77777777" w:rsidR="00695918" w:rsidRPr="00695918" w:rsidRDefault="00695918" w:rsidP="006310ED">
      <w:pPr>
        <w:spacing w:after="0" w:line="276" w:lineRule="auto"/>
        <w:jc w:val="both"/>
        <w:rPr>
          <w:rFonts w:ascii="Book Antiqua" w:eastAsia="Calibri" w:hAnsi="Book Antiqua" w:cs="Arial"/>
          <w:sz w:val="24"/>
          <w:szCs w:val="24"/>
        </w:rPr>
      </w:pPr>
    </w:p>
    <w:p w14:paraId="22B89AE1" w14:textId="69B61D6C" w:rsidR="00695918" w:rsidRDefault="00695918" w:rsidP="006310ED">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Para 202</w:t>
      </w:r>
      <w:r w:rsidR="00BA5303" w:rsidRPr="007C0093">
        <w:rPr>
          <w:rFonts w:ascii="Book Antiqua" w:eastAsia="Calibri" w:hAnsi="Book Antiqua" w:cs="Arial"/>
          <w:sz w:val="24"/>
          <w:szCs w:val="24"/>
        </w:rPr>
        <w:t>1</w:t>
      </w:r>
      <w:r w:rsidRPr="00695918">
        <w:rPr>
          <w:rFonts w:ascii="Book Antiqua" w:eastAsia="Calibri" w:hAnsi="Book Antiqua" w:cs="Arial"/>
          <w:sz w:val="24"/>
          <w:szCs w:val="24"/>
        </w:rPr>
        <w:t>, se reportaron en los Juzgados Especializados en Violencia Doméstica una entrada total promedio de 2</w:t>
      </w:r>
      <w:r w:rsidR="007C0093" w:rsidRPr="007C0093">
        <w:rPr>
          <w:rFonts w:ascii="Book Antiqua" w:eastAsia="Calibri" w:hAnsi="Book Antiqua" w:cs="Arial"/>
          <w:sz w:val="24"/>
          <w:szCs w:val="24"/>
        </w:rPr>
        <w:t xml:space="preserve"> </w:t>
      </w:r>
      <w:r w:rsidR="00BA5303" w:rsidRPr="007C0093">
        <w:rPr>
          <w:rFonts w:ascii="Book Antiqua" w:eastAsia="Calibri" w:hAnsi="Book Antiqua" w:cs="Arial"/>
          <w:sz w:val="24"/>
          <w:szCs w:val="24"/>
        </w:rPr>
        <w:t>4</w:t>
      </w:r>
      <w:r w:rsidRPr="00695918">
        <w:rPr>
          <w:rFonts w:ascii="Book Antiqua" w:eastAsia="Calibri" w:hAnsi="Book Antiqua" w:cs="Arial"/>
          <w:sz w:val="24"/>
          <w:szCs w:val="24"/>
        </w:rPr>
        <w:t>31 asuntos por mes y 2</w:t>
      </w:r>
      <w:r w:rsidR="00BA5303" w:rsidRPr="007C0093">
        <w:rPr>
          <w:rFonts w:ascii="Book Antiqua" w:eastAsia="Calibri" w:hAnsi="Book Antiqua" w:cs="Arial"/>
          <w:sz w:val="24"/>
          <w:szCs w:val="24"/>
        </w:rPr>
        <w:t xml:space="preserve"> </w:t>
      </w:r>
      <w:r w:rsidRPr="00695918">
        <w:rPr>
          <w:rFonts w:ascii="Book Antiqua" w:eastAsia="Calibri" w:hAnsi="Book Antiqua" w:cs="Arial"/>
          <w:sz w:val="24"/>
          <w:szCs w:val="24"/>
        </w:rPr>
        <w:t>5</w:t>
      </w:r>
      <w:r w:rsidR="00BA5303" w:rsidRPr="007C0093">
        <w:rPr>
          <w:rFonts w:ascii="Book Antiqua" w:eastAsia="Calibri" w:hAnsi="Book Antiqua" w:cs="Arial"/>
          <w:sz w:val="24"/>
          <w:szCs w:val="24"/>
        </w:rPr>
        <w:t>14</w:t>
      </w:r>
      <w:r w:rsidRPr="00695918">
        <w:rPr>
          <w:rFonts w:ascii="Book Antiqua" w:eastAsia="Calibri" w:hAnsi="Book Antiqua" w:cs="Arial"/>
          <w:sz w:val="24"/>
          <w:szCs w:val="24"/>
        </w:rPr>
        <w:t xml:space="preserve"> terminados, para un circulante final de 2</w:t>
      </w:r>
      <w:r w:rsidR="007C0093" w:rsidRPr="007C0093">
        <w:rPr>
          <w:rFonts w:ascii="Book Antiqua" w:eastAsia="Calibri" w:hAnsi="Book Antiqua" w:cs="Arial"/>
          <w:sz w:val="24"/>
          <w:szCs w:val="24"/>
        </w:rPr>
        <w:t>0 365</w:t>
      </w:r>
      <w:r w:rsidRPr="00695918">
        <w:rPr>
          <w:rFonts w:ascii="Book Antiqua" w:eastAsia="Calibri" w:hAnsi="Book Antiqua" w:cs="Arial"/>
          <w:sz w:val="24"/>
          <w:szCs w:val="24"/>
        </w:rPr>
        <w:t xml:space="preserve">. Por lo que el promedio de entrada por plaza calculado en el cuadro anterior se mantiene. </w:t>
      </w:r>
    </w:p>
    <w:p w14:paraId="0A93B37F" w14:textId="77777777" w:rsidR="00FC140B" w:rsidRPr="00695918" w:rsidRDefault="00FC140B" w:rsidP="006310ED">
      <w:pPr>
        <w:spacing w:after="0" w:line="276" w:lineRule="auto"/>
        <w:jc w:val="both"/>
        <w:rPr>
          <w:rFonts w:ascii="Book Antiqua" w:eastAsia="Calibri" w:hAnsi="Book Antiqua" w:cs="Arial"/>
          <w:sz w:val="24"/>
          <w:szCs w:val="24"/>
        </w:rPr>
      </w:pPr>
    </w:p>
    <w:p w14:paraId="7D4E3DEA" w14:textId="5F59BAE5" w:rsidR="00C02927" w:rsidRDefault="009E0770"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A</w:t>
      </w:r>
      <w:r w:rsidR="00C12D04">
        <w:rPr>
          <w:rFonts w:ascii="Book Antiqua" w:eastAsia="Calibri" w:hAnsi="Book Antiqua" w:cs="Arial"/>
          <w:sz w:val="24"/>
          <w:szCs w:val="24"/>
        </w:rPr>
        <w:t>ctualmente se trabaja en el informe para definir l</w:t>
      </w:r>
      <w:r>
        <w:rPr>
          <w:rFonts w:ascii="Book Antiqua" w:eastAsia="Calibri" w:hAnsi="Book Antiqua" w:cs="Arial"/>
          <w:sz w:val="24"/>
          <w:szCs w:val="24"/>
        </w:rPr>
        <w:t>a</w:t>
      </w:r>
      <w:r w:rsidR="00C12D04">
        <w:rPr>
          <w:rFonts w:ascii="Book Antiqua" w:eastAsia="Calibri" w:hAnsi="Book Antiqua" w:cs="Arial"/>
          <w:sz w:val="24"/>
          <w:szCs w:val="24"/>
        </w:rPr>
        <w:t xml:space="preserve"> </w:t>
      </w:r>
      <w:r>
        <w:rPr>
          <w:rFonts w:ascii="Book Antiqua" w:eastAsia="Calibri" w:hAnsi="Book Antiqua" w:cs="Arial"/>
          <w:sz w:val="24"/>
          <w:szCs w:val="24"/>
        </w:rPr>
        <w:t xml:space="preserve">oficina </w:t>
      </w:r>
      <w:r w:rsidR="00C12D04">
        <w:rPr>
          <w:rFonts w:ascii="Book Antiqua" w:eastAsia="Calibri" w:hAnsi="Book Antiqua" w:cs="Arial"/>
          <w:sz w:val="24"/>
          <w:szCs w:val="24"/>
        </w:rPr>
        <w:t>modelo de los despachos que atienden la materia de Violencia Doméstica</w:t>
      </w:r>
      <w:r w:rsidR="00C02927">
        <w:rPr>
          <w:rFonts w:ascii="Book Antiqua" w:eastAsia="Calibri" w:hAnsi="Book Antiqua" w:cs="Arial"/>
          <w:sz w:val="24"/>
          <w:szCs w:val="24"/>
        </w:rPr>
        <w:t>;</w:t>
      </w:r>
      <w:r w:rsidR="00C12D04">
        <w:rPr>
          <w:rFonts w:ascii="Book Antiqua" w:eastAsia="Calibri" w:hAnsi="Book Antiqua" w:cs="Arial"/>
          <w:sz w:val="24"/>
          <w:szCs w:val="24"/>
        </w:rPr>
        <w:t xml:space="preserve"> </w:t>
      </w:r>
      <w:r>
        <w:rPr>
          <w:rFonts w:ascii="Book Antiqua" w:eastAsia="Calibri" w:hAnsi="Book Antiqua" w:cs="Arial"/>
          <w:sz w:val="24"/>
          <w:szCs w:val="24"/>
        </w:rPr>
        <w:t>como se observa en el cuadro anterior</w:t>
      </w:r>
      <w:r w:rsidR="00C02927">
        <w:rPr>
          <w:rFonts w:ascii="Book Antiqua" w:eastAsia="Calibri" w:hAnsi="Book Antiqua" w:cs="Arial"/>
          <w:sz w:val="24"/>
          <w:szCs w:val="24"/>
        </w:rPr>
        <w:t>,</w:t>
      </w:r>
      <w:r>
        <w:rPr>
          <w:rFonts w:ascii="Book Antiqua" w:eastAsia="Calibri" w:hAnsi="Book Antiqua" w:cs="Arial"/>
          <w:sz w:val="24"/>
          <w:szCs w:val="24"/>
        </w:rPr>
        <w:t xml:space="preserve"> el promedio de la carga de trabajo para el personal juzgador es de 110 </w:t>
      </w:r>
      <w:r w:rsidR="00C02927">
        <w:rPr>
          <w:rFonts w:ascii="Book Antiqua" w:eastAsia="Calibri" w:hAnsi="Book Antiqua" w:cs="Arial"/>
          <w:sz w:val="24"/>
          <w:szCs w:val="24"/>
        </w:rPr>
        <w:t>y para el personal técnico judicial de 81 asunto</w:t>
      </w:r>
      <w:r>
        <w:rPr>
          <w:rFonts w:ascii="Book Antiqua" w:eastAsia="Calibri" w:hAnsi="Book Antiqua" w:cs="Arial"/>
          <w:sz w:val="24"/>
          <w:szCs w:val="24"/>
        </w:rPr>
        <w:t>s mensuales</w:t>
      </w:r>
      <w:r w:rsidR="00C02927">
        <w:rPr>
          <w:rFonts w:ascii="Book Antiqua" w:eastAsia="Calibri" w:hAnsi="Book Antiqua" w:cs="Arial"/>
          <w:sz w:val="24"/>
          <w:szCs w:val="24"/>
        </w:rPr>
        <w:t xml:space="preserve">. </w:t>
      </w:r>
    </w:p>
    <w:p w14:paraId="764C725E" w14:textId="036F0F8D" w:rsidR="00401D77" w:rsidRDefault="00C02927"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 xml:space="preserve">En cuanto a </w:t>
      </w:r>
      <w:r w:rsidR="00A3607B">
        <w:rPr>
          <w:rFonts w:ascii="Book Antiqua" w:eastAsia="Calibri" w:hAnsi="Book Antiqua" w:cs="Arial"/>
          <w:sz w:val="24"/>
          <w:szCs w:val="24"/>
        </w:rPr>
        <w:t xml:space="preserve">la </w:t>
      </w:r>
      <w:r w:rsidR="00A3607B" w:rsidRPr="001D0C10">
        <w:rPr>
          <w:rFonts w:ascii="Book Antiqua" w:eastAsia="Calibri" w:hAnsi="Book Antiqua" w:cs="Arial"/>
          <w:sz w:val="24"/>
          <w:szCs w:val="24"/>
        </w:rPr>
        <w:t>carga</w:t>
      </w:r>
      <w:r w:rsidR="00A3607B">
        <w:rPr>
          <w:rFonts w:ascii="Book Antiqua" w:eastAsia="Calibri" w:hAnsi="Book Antiqua" w:cs="Arial"/>
          <w:sz w:val="24"/>
          <w:szCs w:val="24"/>
        </w:rPr>
        <w:t xml:space="preserve"> </w:t>
      </w:r>
      <w:r w:rsidR="00A3607B" w:rsidRPr="001D0C10">
        <w:rPr>
          <w:rFonts w:ascii="Book Antiqua" w:eastAsia="Calibri" w:hAnsi="Book Antiqua" w:cs="Arial"/>
          <w:sz w:val="24"/>
          <w:szCs w:val="24"/>
        </w:rPr>
        <w:t>d</w:t>
      </w:r>
      <w:r w:rsidR="00A3607B">
        <w:rPr>
          <w:rFonts w:ascii="Book Antiqua" w:eastAsia="Calibri" w:hAnsi="Book Antiqua" w:cs="Arial"/>
          <w:sz w:val="24"/>
          <w:szCs w:val="24"/>
        </w:rPr>
        <w:t>e</w:t>
      </w:r>
      <w:r w:rsidR="00A3607B" w:rsidRPr="001D0C10">
        <w:rPr>
          <w:rFonts w:ascii="Book Antiqua" w:eastAsia="Calibri" w:hAnsi="Book Antiqua" w:cs="Arial"/>
          <w:sz w:val="24"/>
          <w:szCs w:val="24"/>
        </w:rPr>
        <w:t xml:space="preserve"> trabajo de los Juzgados</w:t>
      </w:r>
      <w:r w:rsidR="00A3607B">
        <w:rPr>
          <w:rFonts w:ascii="Book Antiqua" w:eastAsia="Calibri" w:hAnsi="Book Antiqua" w:cs="Arial"/>
          <w:sz w:val="24"/>
          <w:szCs w:val="24"/>
        </w:rPr>
        <w:t xml:space="preserve"> de Violencia Doméstica del Segundo Circuito Judicial de Alajuela </w:t>
      </w:r>
      <w:r w:rsidR="008C32F1">
        <w:rPr>
          <w:rFonts w:ascii="Book Antiqua" w:eastAsia="Calibri" w:hAnsi="Book Antiqua" w:cs="Arial"/>
          <w:sz w:val="24"/>
          <w:szCs w:val="24"/>
        </w:rPr>
        <w:t xml:space="preserve">es de </w:t>
      </w:r>
      <w:r>
        <w:rPr>
          <w:rFonts w:ascii="Book Antiqua" w:eastAsia="Calibri" w:hAnsi="Book Antiqua" w:cs="Arial"/>
          <w:sz w:val="24"/>
          <w:szCs w:val="24"/>
        </w:rPr>
        <w:t>153</w:t>
      </w:r>
      <w:r w:rsidR="008C32F1">
        <w:rPr>
          <w:rFonts w:ascii="Book Antiqua" w:eastAsia="Calibri" w:hAnsi="Book Antiqua" w:cs="Arial"/>
          <w:sz w:val="24"/>
          <w:szCs w:val="24"/>
        </w:rPr>
        <w:t xml:space="preserve"> </w:t>
      </w:r>
      <w:r w:rsidR="008D7EBE">
        <w:rPr>
          <w:rFonts w:ascii="Book Antiqua" w:eastAsia="Calibri" w:hAnsi="Book Antiqua" w:cs="Arial"/>
          <w:sz w:val="24"/>
          <w:szCs w:val="24"/>
        </w:rPr>
        <w:t xml:space="preserve">asuntos por mes </w:t>
      </w:r>
      <w:r w:rsidR="00A3607B">
        <w:rPr>
          <w:rFonts w:ascii="Book Antiqua" w:eastAsia="Calibri" w:hAnsi="Book Antiqua" w:cs="Arial"/>
          <w:sz w:val="24"/>
          <w:szCs w:val="24"/>
        </w:rPr>
        <w:t xml:space="preserve">y </w:t>
      </w:r>
      <w:r w:rsidR="008D7EBE">
        <w:rPr>
          <w:rFonts w:ascii="Book Antiqua" w:eastAsia="Calibri" w:hAnsi="Book Antiqua" w:cs="Arial"/>
          <w:sz w:val="24"/>
          <w:szCs w:val="24"/>
        </w:rPr>
        <w:t xml:space="preserve">del </w:t>
      </w:r>
      <w:r w:rsidR="00A3607B">
        <w:rPr>
          <w:rFonts w:ascii="Book Antiqua" w:eastAsia="Calibri" w:hAnsi="Book Antiqua" w:cs="Arial"/>
          <w:sz w:val="24"/>
          <w:szCs w:val="24"/>
        </w:rPr>
        <w:t>Segundo Circuito Judicial de la Zona Atlántica</w:t>
      </w:r>
      <w:r>
        <w:rPr>
          <w:rFonts w:ascii="Book Antiqua" w:eastAsia="Calibri" w:hAnsi="Book Antiqua" w:cs="Arial"/>
          <w:sz w:val="24"/>
          <w:szCs w:val="24"/>
        </w:rPr>
        <w:t xml:space="preserve"> </w:t>
      </w:r>
      <w:r w:rsidR="008C32F1">
        <w:rPr>
          <w:rFonts w:ascii="Book Antiqua" w:eastAsia="Calibri" w:hAnsi="Book Antiqua" w:cs="Arial"/>
          <w:sz w:val="24"/>
          <w:szCs w:val="24"/>
        </w:rPr>
        <w:t xml:space="preserve">de </w:t>
      </w:r>
      <w:r>
        <w:rPr>
          <w:rFonts w:ascii="Book Antiqua" w:eastAsia="Calibri" w:hAnsi="Book Antiqua" w:cs="Arial"/>
          <w:sz w:val="24"/>
          <w:szCs w:val="24"/>
        </w:rPr>
        <w:t>154</w:t>
      </w:r>
      <w:r w:rsidR="008C32F1">
        <w:rPr>
          <w:rFonts w:ascii="Book Antiqua" w:eastAsia="Calibri" w:hAnsi="Book Antiqua" w:cs="Arial"/>
          <w:sz w:val="24"/>
          <w:szCs w:val="24"/>
        </w:rPr>
        <w:t xml:space="preserve"> asuntos mensuales por Juez o Jueza</w:t>
      </w:r>
      <w:r w:rsidR="00A3607B">
        <w:rPr>
          <w:rFonts w:ascii="Book Antiqua" w:eastAsia="Calibri" w:hAnsi="Book Antiqua" w:cs="Arial"/>
          <w:sz w:val="24"/>
          <w:szCs w:val="24"/>
        </w:rPr>
        <w:t xml:space="preserve">, </w:t>
      </w:r>
      <w:r w:rsidR="008D7EBE">
        <w:rPr>
          <w:rFonts w:ascii="Book Antiqua" w:eastAsia="Calibri" w:hAnsi="Book Antiqua" w:cs="Arial"/>
          <w:sz w:val="24"/>
          <w:szCs w:val="24"/>
        </w:rPr>
        <w:t xml:space="preserve">por lo que </w:t>
      </w:r>
      <w:r w:rsidR="008D7EBE" w:rsidRPr="008D7EBE">
        <w:rPr>
          <w:rFonts w:ascii="Book Antiqua" w:eastAsia="Calibri" w:hAnsi="Book Antiqua" w:cs="Arial"/>
          <w:sz w:val="24"/>
          <w:szCs w:val="24"/>
        </w:rPr>
        <w:t>se denota la diferencia en la carga de trabajo de</w:t>
      </w:r>
      <w:r w:rsidR="00A74954">
        <w:rPr>
          <w:rFonts w:ascii="Book Antiqua" w:eastAsia="Calibri" w:hAnsi="Book Antiqua" w:cs="Arial"/>
          <w:sz w:val="24"/>
          <w:szCs w:val="24"/>
        </w:rPr>
        <w:t xml:space="preserve"> </w:t>
      </w:r>
      <w:r w:rsidR="00401D77">
        <w:rPr>
          <w:rFonts w:ascii="Book Antiqua" w:eastAsia="Calibri" w:hAnsi="Book Antiqua" w:cs="Arial"/>
          <w:sz w:val="24"/>
          <w:szCs w:val="24"/>
        </w:rPr>
        <w:t xml:space="preserve">más de </w:t>
      </w:r>
      <w:r w:rsidR="00A74954">
        <w:rPr>
          <w:rFonts w:ascii="Book Antiqua" w:eastAsia="Calibri" w:hAnsi="Book Antiqua" w:cs="Arial"/>
          <w:sz w:val="24"/>
          <w:szCs w:val="24"/>
        </w:rPr>
        <w:t>4</w:t>
      </w:r>
      <w:r w:rsidR="00401D77">
        <w:rPr>
          <w:rFonts w:ascii="Book Antiqua" w:eastAsia="Calibri" w:hAnsi="Book Antiqua" w:cs="Arial"/>
          <w:sz w:val="24"/>
          <w:szCs w:val="24"/>
        </w:rPr>
        <w:t>0 asuntos</w:t>
      </w:r>
      <w:r w:rsidR="00A74954">
        <w:rPr>
          <w:rFonts w:ascii="Book Antiqua" w:eastAsia="Calibri" w:hAnsi="Book Antiqua" w:cs="Arial"/>
          <w:sz w:val="24"/>
          <w:szCs w:val="24"/>
        </w:rPr>
        <w:t xml:space="preserve"> por mes </w:t>
      </w:r>
      <w:r w:rsidR="006310ED">
        <w:rPr>
          <w:rFonts w:ascii="Book Antiqua" w:eastAsia="Calibri" w:hAnsi="Book Antiqua" w:cs="Arial"/>
          <w:sz w:val="24"/>
          <w:szCs w:val="24"/>
        </w:rPr>
        <w:t xml:space="preserve">por encima del </w:t>
      </w:r>
      <w:r w:rsidR="00A74954">
        <w:rPr>
          <w:rFonts w:ascii="Book Antiqua" w:eastAsia="Calibri" w:hAnsi="Book Antiqua" w:cs="Arial"/>
          <w:sz w:val="24"/>
          <w:szCs w:val="24"/>
        </w:rPr>
        <w:t>promedio</w:t>
      </w:r>
      <w:r w:rsidR="006310ED">
        <w:rPr>
          <w:rFonts w:ascii="Book Antiqua" w:eastAsia="Calibri" w:hAnsi="Book Antiqua" w:cs="Arial"/>
          <w:sz w:val="24"/>
          <w:szCs w:val="24"/>
        </w:rPr>
        <w:t xml:space="preserve"> (</w:t>
      </w:r>
      <w:r w:rsidR="00A74954">
        <w:rPr>
          <w:rFonts w:ascii="Book Antiqua" w:eastAsia="Calibri" w:hAnsi="Book Antiqua" w:cs="Arial"/>
          <w:sz w:val="24"/>
          <w:szCs w:val="24"/>
        </w:rPr>
        <w:t>110 asuntos mensuales por Juez o Jueza</w:t>
      </w:r>
      <w:r w:rsidR="006310ED">
        <w:rPr>
          <w:rFonts w:ascii="Book Antiqua" w:eastAsia="Calibri" w:hAnsi="Book Antiqua" w:cs="Arial"/>
          <w:sz w:val="24"/>
          <w:szCs w:val="24"/>
        </w:rPr>
        <w:t>)</w:t>
      </w:r>
      <w:r w:rsidR="003A7033">
        <w:rPr>
          <w:rFonts w:ascii="Book Antiqua" w:eastAsia="Calibri" w:hAnsi="Book Antiqua" w:cs="Arial"/>
          <w:sz w:val="24"/>
          <w:szCs w:val="24"/>
        </w:rPr>
        <w:t xml:space="preserve">. </w:t>
      </w:r>
    </w:p>
    <w:p w14:paraId="228CFEEF" w14:textId="52D53294" w:rsidR="008C32F1" w:rsidRDefault="003A7033" w:rsidP="001D0C10">
      <w:pPr>
        <w:spacing w:line="276" w:lineRule="auto"/>
        <w:jc w:val="both"/>
        <w:rPr>
          <w:rFonts w:ascii="Book Antiqua" w:eastAsia="Calibri" w:hAnsi="Book Antiqua" w:cs="Arial"/>
          <w:sz w:val="24"/>
          <w:szCs w:val="24"/>
        </w:rPr>
      </w:pPr>
      <w:r>
        <w:rPr>
          <w:rFonts w:ascii="Book Antiqua" w:eastAsia="Calibri" w:hAnsi="Book Antiqua" w:cs="Arial"/>
          <w:sz w:val="24"/>
          <w:szCs w:val="24"/>
        </w:rPr>
        <w:t>Dado lo anterior</w:t>
      </w:r>
      <w:r w:rsidR="00A3607B">
        <w:rPr>
          <w:rFonts w:ascii="Book Antiqua" w:eastAsia="Calibri" w:hAnsi="Book Antiqua" w:cs="Arial"/>
          <w:sz w:val="24"/>
          <w:szCs w:val="24"/>
        </w:rPr>
        <w:t>,</w:t>
      </w:r>
      <w:r>
        <w:rPr>
          <w:rFonts w:ascii="Book Antiqua" w:eastAsia="Calibri" w:hAnsi="Book Antiqua" w:cs="Arial"/>
          <w:sz w:val="24"/>
          <w:szCs w:val="24"/>
        </w:rPr>
        <w:t xml:space="preserve"> se </w:t>
      </w:r>
      <w:r w:rsidR="00401D77">
        <w:rPr>
          <w:rFonts w:ascii="Book Antiqua" w:eastAsia="Calibri" w:hAnsi="Book Antiqua" w:cs="Arial"/>
          <w:sz w:val="24"/>
          <w:szCs w:val="24"/>
        </w:rPr>
        <w:t>considera</w:t>
      </w:r>
      <w:r>
        <w:rPr>
          <w:rFonts w:ascii="Book Antiqua" w:eastAsia="Calibri" w:hAnsi="Book Antiqua" w:cs="Arial"/>
          <w:sz w:val="24"/>
          <w:szCs w:val="24"/>
        </w:rPr>
        <w:t xml:space="preserve"> reforzar </w:t>
      </w:r>
      <w:r w:rsidR="00A74954">
        <w:rPr>
          <w:rFonts w:ascii="Book Antiqua" w:eastAsia="Calibri" w:hAnsi="Book Antiqua" w:cs="Arial"/>
          <w:sz w:val="24"/>
          <w:szCs w:val="24"/>
        </w:rPr>
        <w:t xml:space="preserve">con </w:t>
      </w:r>
      <w:r w:rsidR="004B73B8">
        <w:rPr>
          <w:rFonts w:ascii="Book Antiqua" w:eastAsia="Calibri" w:hAnsi="Book Antiqua" w:cs="Arial"/>
          <w:sz w:val="24"/>
          <w:szCs w:val="24"/>
        </w:rPr>
        <w:t xml:space="preserve">dos personas </w:t>
      </w:r>
      <w:r w:rsidR="00A74954">
        <w:rPr>
          <w:rFonts w:ascii="Book Antiqua" w:eastAsia="Calibri" w:hAnsi="Book Antiqua" w:cs="Arial"/>
          <w:sz w:val="24"/>
          <w:szCs w:val="24"/>
        </w:rPr>
        <w:t>juzgador</w:t>
      </w:r>
      <w:r w:rsidR="004B73B8">
        <w:rPr>
          <w:rFonts w:ascii="Book Antiqua" w:eastAsia="Calibri" w:hAnsi="Book Antiqua" w:cs="Arial"/>
          <w:sz w:val="24"/>
          <w:szCs w:val="24"/>
        </w:rPr>
        <w:t>as</w:t>
      </w:r>
      <w:r w:rsidR="00A74954">
        <w:rPr>
          <w:rFonts w:ascii="Book Antiqua" w:eastAsia="Calibri" w:hAnsi="Book Antiqua" w:cs="Arial"/>
          <w:sz w:val="24"/>
          <w:szCs w:val="24"/>
        </w:rPr>
        <w:t xml:space="preserve"> y </w:t>
      </w:r>
      <w:r w:rsidR="006C7243">
        <w:rPr>
          <w:rFonts w:ascii="Book Antiqua" w:eastAsia="Calibri" w:hAnsi="Book Antiqua" w:cs="Arial"/>
          <w:sz w:val="24"/>
          <w:szCs w:val="24"/>
        </w:rPr>
        <w:t>17</w:t>
      </w:r>
      <w:r w:rsidR="004B73B8">
        <w:rPr>
          <w:rFonts w:ascii="Book Antiqua" w:eastAsia="Calibri" w:hAnsi="Book Antiqua" w:cs="Arial"/>
          <w:sz w:val="24"/>
          <w:szCs w:val="24"/>
        </w:rPr>
        <w:t xml:space="preserve"> </w:t>
      </w:r>
      <w:r w:rsidR="00A74954">
        <w:rPr>
          <w:rFonts w:ascii="Book Antiqua" w:eastAsia="Calibri" w:hAnsi="Book Antiqua" w:cs="Arial"/>
          <w:sz w:val="24"/>
          <w:szCs w:val="24"/>
        </w:rPr>
        <w:t>técnic</w:t>
      </w:r>
      <w:r w:rsidR="004B73B8">
        <w:rPr>
          <w:rFonts w:ascii="Book Antiqua" w:eastAsia="Calibri" w:hAnsi="Book Antiqua" w:cs="Arial"/>
          <w:sz w:val="24"/>
          <w:szCs w:val="24"/>
        </w:rPr>
        <w:t>as</w:t>
      </w:r>
      <w:r w:rsidR="00A74954">
        <w:rPr>
          <w:rFonts w:ascii="Book Antiqua" w:eastAsia="Calibri" w:hAnsi="Book Antiqua" w:cs="Arial"/>
          <w:sz w:val="24"/>
          <w:szCs w:val="24"/>
        </w:rPr>
        <w:t xml:space="preserve"> judicial</w:t>
      </w:r>
      <w:r w:rsidR="004B73B8">
        <w:rPr>
          <w:rFonts w:ascii="Book Antiqua" w:eastAsia="Calibri" w:hAnsi="Book Antiqua" w:cs="Arial"/>
          <w:sz w:val="24"/>
          <w:szCs w:val="24"/>
        </w:rPr>
        <w:t>es</w:t>
      </w:r>
      <w:r w:rsidR="006C7243">
        <w:rPr>
          <w:rFonts w:ascii="Book Antiqua" w:eastAsia="Calibri" w:hAnsi="Book Antiqua" w:cs="Arial"/>
          <w:sz w:val="24"/>
          <w:szCs w:val="24"/>
        </w:rPr>
        <w:t>, con el propósito de establecer una figura especializada en la manifestación y relaciones de trabajo de una persona Juzgadora con dos personas Técnicas Judiciales de trámite con base en el Modelo de tramitación que se implementará para esta materia.</w:t>
      </w:r>
    </w:p>
    <w:p w14:paraId="6958F13A" w14:textId="47303946" w:rsidR="00E830F7" w:rsidRPr="00E03F00" w:rsidRDefault="00E830F7" w:rsidP="00E830F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03F00">
        <w:rPr>
          <w:rFonts w:ascii="Book Antiqua" w:eastAsia="Calibri" w:hAnsi="Book Antiqua" w:cs="Arial"/>
          <w:b/>
          <w:bCs/>
          <w:color w:val="1F497D"/>
          <w:szCs w:val="24"/>
          <w:lang w:val="es-ES" w:eastAsia="es-ES"/>
        </w:rPr>
        <w:lastRenderedPageBreak/>
        <w:t xml:space="preserve">Cuadro </w:t>
      </w:r>
      <w:r w:rsidRPr="00E03F00">
        <w:rPr>
          <w:rFonts w:ascii="Book Antiqua" w:eastAsia="Calibri" w:hAnsi="Book Antiqua" w:cs="Arial"/>
          <w:b/>
          <w:bCs/>
          <w:color w:val="1F497D"/>
          <w:szCs w:val="24"/>
          <w:lang w:val="es-ES" w:eastAsia="es-ES"/>
        </w:rPr>
        <w:fldChar w:fldCharType="begin"/>
      </w:r>
      <w:r w:rsidRPr="000843DA">
        <w:rPr>
          <w:rFonts w:ascii="Book Antiqua" w:eastAsia="Calibri" w:hAnsi="Book Antiqua" w:cs="Arial"/>
          <w:b/>
          <w:bCs/>
          <w:color w:val="1F497D"/>
          <w:szCs w:val="24"/>
          <w:lang w:val="es-ES" w:eastAsia="es-ES"/>
        </w:rPr>
        <w:instrText xml:space="preserve"> SEQ Cuadro \* ARABIC </w:instrText>
      </w:r>
      <w:r w:rsidRPr="00E03F00">
        <w:rPr>
          <w:rFonts w:ascii="Book Antiqua" w:eastAsia="Calibri" w:hAnsi="Book Antiqua" w:cs="Arial"/>
          <w:b/>
          <w:bCs/>
          <w:color w:val="1F497D"/>
          <w:szCs w:val="24"/>
          <w:lang w:val="es-ES" w:eastAsia="es-ES"/>
        </w:rPr>
        <w:fldChar w:fldCharType="separate"/>
      </w:r>
      <w:r w:rsidR="00803089">
        <w:rPr>
          <w:rFonts w:ascii="Book Antiqua" w:eastAsia="Calibri" w:hAnsi="Book Antiqua" w:cs="Arial"/>
          <w:b/>
          <w:bCs/>
          <w:noProof/>
          <w:color w:val="1F497D"/>
          <w:szCs w:val="24"/>
          <w:lang w:val="es-ES" w:eastAsia="es-ES"/>
        </w:rPr>
        <w:t>69</w:t>
      </w:r>
      <w:r w:rsidRPr="00E03F00">
        <w:rPr>
          <w:rFonts w:ascii="Book Antiqua" w:eastAsia="Calibri" w:hAnsi="Book Antiqua" w:cs="Arial"/>
          <w:b/>
          <w:bCs/>
          <w:color w:val="1F497D"/>
          <w:szCs w:val="24"/>
          <w:lang w:val="es-ES" w:eastAsia="es-ES"/>
        </w:rPr>
        <w:fldChar w:fldCharType="end"/>
      </w:r>
      <w:r w:rsidRPr="00E03F00">
        <w:rPr>
          <w:rFonts w:ascii="Book Antiqua" w:eastAsia="Calibri" w:hAnsi="Book Antiqua" w:cs="Arial"/>
          <w:b/>
          <w:bCs/>
          <w:color w:val="1F497D"/>
          <w:szCs w:val="24"/>
          <w:lang w:val="es-ES" w:eastAsia="es-ES"/>
        </w:rPr>
        <w:t xml:space="preserve"> </w:t>
      </w:r>
    </w:p>
    <w:p w14:paraId="59151FB4" w14:textId="58023041" w:rsidR="00E830F7" w:rsidRPr="000843DA" w:rsidRDefault="00E830F7" w:rsidP="00E830F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03F00">
        <w:rPr>
          <w:rFonts w:ascii="Book Antiqua" w:eastAsia="Calibri" w:hAnsi="Book Antiqua" w:cs="Arial"/>
          <w:b/>
          <w:bCs/>
          <w:color w:val="1F497D"/>
          <w:szCs w:val="24"/>
          <w:lang w:val="es-ES" w:eastAsia="es-ES"/>
        </w:rPr>
        <w:t xml:space="preserve">Costo de los recursos propuestos </w:t>
      </w:r>
      <w:r w:rsidR="006C7243" w:rsidRPr="000843DA">
        <w:rPr>
          <w:rFonts w:ascii="Book Antiqua" w:eastAsia="Calibri" w:hAnsi="Book Antiqua" w:cs="Arial"/>
          <w:b/>
          <w:bCs/>
          <w:color w:val="1F497D"/>
          <w:szCs w:val="24"/>
          <w:lang w:val="es-ES" w:eastAsia="es-ES"/>
        </w:rPr>
        <w:t>para la implementación del Modelo de Tramitación en los Juzgados Contra la Violencia Doméstica</w:t>
      </w:r>
    </w:p>
    <w:tbl>
      <w:tblPr>
        <w:tblW w:w="8194" w:type="dxa"/>
        <w:tblCellMar>
          <w:left w:w="70" w:type="dxa"/>
          <w:right w:w="70" w:type="dxa"/>
        </w:tblCellMar>
        <w:tblLook w:val="04A0" w:firstRow="1" w:lastRow="0" w:firstColumn="1" w:lastColumn="0" w:noHBand="0" w:noVBand="1"/>
      </w:tblPr>
      <w:tblGrid>
        <w:gridCol w:w="1922"/>
        <w:gridCol w:w="2085"/>
        <w:gridCol w:w="1792"/>
        <w:gridCol w:w="2395"/>
      </w:tblGrid>
      <w:tr w:rsidR="00D628C0" w:rsidRPr="005C35B6" w14:paraId="5DC2147C" w14:textId="77777777" w:rsidTr="00391382">
        <w:trPr>
          <w:trHeight w:val="918"/>
        </w:trPr>
        <w:tc>
          <w:tcPr>
            <w:tcW w:w="1922" w:type="dxa"/>
            <w:tcBorders>
              <w:top w:val="nil"/>
              <w:left w:val="nil"/>
              <w:bottom w:val="single" w:sz="4" w:space="0" w:color="000000" w:themeColor="text1"/>
              <w:right w:val="single" w:sz="8" w:space="0" w:color="auto"/>
            </w:tcBorders>
            <w:shd w:val="clear" w:color="auto" w:fill="auto"/>
            <w:vAlign w:val="bottom"/>
            <w:hideMark/>
          </w:tcPr>
          <w:p w14:paraId="0B58E95B" w14:textId="77777777" w:rsidR="00D628C0" w:rsidRPr="000843DA" w:rsidRDefault="00D628C0" w:rsidP="00D628C0">
            <w:pPr>
              <w:spacing w:after="0" w:line="240" w:lineRule="auto"/>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 </w:t>
            </w:r>
          </w:p>
        </w:tc>
        <w:tc>
          <w:tcPr>
            <w:tcW w:w="2085" w:type="dxa"/>
            <w:tcBorders>
              <w:top w:val="single" w:sz="8" w:space="0" w:color="auto"/>
              <w:left w:val="nil"/>
              <w:bottom w:val="single" w:sz="4" w:space="0" w:color="000000" w:themeColor="text1"/>
              <w:right w:val="single" w:sz="8" w:space="0" w:color="auto"/>
            </w:tcBorders>
            <w:shd w:val="clear" w:color="000000" w:fill="002060"/>
            <w:vAlign w:val="center"/>
            <w:hideMark/>
          </w:tcPr>
          <w:p w14:paraId="6CFD11CA" w14:textId="77777777" w:rsidR="00D628C0" w:rsidRPr="000843DA" w:rsidRDefault="00D628C0" w:rsidP="00D628C0">
            <w:pPr>
              <w:spacing w:after="0" w:line="240" w:lineRule="auto"/>
              <w:jc w:val="center"/>
              <w:rPr>
                <w:rFonts w:ascii="Book Antiqua" w:eastAsia="Times New Roman" w:hAnsi="Book Antiqua" w:cs="Calibri"/>
                <w:b/>
                <w:bCs/>
                <w:color w:val="FFFFFF"/>
                <w:lang w:eastAsia="es-CR"/>
              </w:rPr>
            </w:pPr>
            <w:r w:rsidRPr="000843DA">
              <w:rPr>
                <w:rFonts w:ascii="Book Antiqua" w:eastAsia="Times New Roman" w:hAnsi="Book Antiqua" w:cs="Calibri"/>
                <w:b/>
                <w:bCs/>
                <w:color w:val="FFFFFF"/>
                <w:lang w:eastAsia="es-CR"/>
              </w:rPr>
              <w:t>Clase ancha</w:t>
            </w:r>
          </w:p>
        </w:tc>
        <w:tc>
          <w:tcPr>
            <w:tcW w:w="1792" w:type="dxa"/>
            <w:tcBorders>
              <w:top w:val="single" w:sz="8" w:space="0" w:color="auto"/>
              <w:left w:val="nil"/>
              <w:bottom w:val="single" w:sz="4" w:space="0" w:color="000000" w:themeColor="text1"/>
              <w:right w:val="single" w:sz="8" w:space="0" w:color="auto"/>
            </w:tcBorders>
            <w:shd w:val="clear" w:color="000000" w:fill="002060"/>
            <w:vAlign w:val="center"/>
            <w:hideMark/>
          </w:tcPr>
          <w:p w14:paraId="43A05906" w14:textId="77777777" w:rsidR="00D628C0" w:rsidRPr="000843DA" w:rsidRDefault="00D628C0" w:rsidP="00D628C0">
            <w:pPr>
              <w:spacing w:after="0" w:line="240" w:lineRule="auto"/>
              <w:jc w:val="center"/>
              <w:rPr>
                <w:rFonts w:ascii="Book Antiqua" w:eastAsia="Times New Roman" w:hAnsi="Book Antiqua" w:cs="Calibri"/>
                <w:b/>
                <w:bCs/>
                <w:color w:val="FFFFFF"/>
                <w:lang w:eastAsia="es-CR"/>
              </w:rPr>
            </w:pPr>
            <w:r w:rsidRPr="000843DA">
              <w:rPr>
                <w:rFonts w:ascii="Book Antiqua" w:eastAsia="Times New Roman" w:hAnsi="Book Antiqua" w:cs="Calibri"/>
                <w:b/>
                <w:bCs/>
                <w:color w:val="FFFFFF"/>
                <w:lang w:eastAsia="es-CR"/>
              </w:rPr>
              <w:t>Clase angosta</w:t>
            </w:r>
          </w:p>
        </w:tc>
        <w:tc>
          <w:tcPr>
            <w:tcW w:w="2395" w:type="dxa"/>
            <w:tcBorders>
              <w:top w:val="single" w:sz="8" w:space="0" w:color="auto"/>
              <w:left w:val="nil"/>
              <w:bottom w:val="single" w:sz="4" w:space="0" w:color="000000" w:themeColor="text1"/>
              <w:right w:val="single" w:sz="8" w:space="0" w:color="auto"/>
            </w:tcBorders>
            <w:shd w:val="clear" w:color="000000" w:fill="002060"/>
            <w:vAlign w:val="center"/>
            <w:hideMark/>
          </w:tcPr>
          <w:p w14:paraId="79842666" w14:textId="77777777" w:rsidR="00D628C0" w:rsidRPr="000843DA" w:rsidRDefault="00D628C0" w:rsidP="00D628C0">
            <w:pPr>
              <w:spacing w:after="0" w:line="240" w:lineRule="auto"/>
              <w:jc w:val="center"/>
              <w:rPr>
                <w:rFonts w:ascii="Book Antiqua" w:eastAsia="Times New Roman" w:hAnsi="Book Antiqua" w:cs="Calibri"/>
                <w:b/>
                <w:bCs/>
                <w:color w:val="FFFFFF"/>
                <w:lang w:eastAsia="es-CR"/>
              </w:rPr>
            </w:pPr>
            <w:r w:rsidRPr="000843DA">
              <w:rPr>
                <w:rFonts w:ascii="Book Antiqua" w:eastAsia="Times New Roman" w:hAnsi="Book Antiqua" w:cs="Calibri"/>
                <w:b/>
                <w:bCs/>
                <w:color w:val="FFFFFF"/>
                <w:lang w:eastAsia="es-CR"/>
              </w:rPr>
              <w:t>Costo del puesto anual</w:t>
            </w:r>
          </w:p>
        </w:tc>
      </w:tr>
      <w:tr w:rsidR="00D628C0" w:rsidRPr="005C35B6" w14:paraId="3705AC09" w14:textId="77777777" w:rsidTr="00391382">
        <w:trPr>
          <w:trHeight w:val="302"/>
        </w:trPr>
        <w:tc>
          <w:tcPr>
            <w:tcW w:w="192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vAlign w:val="center"/>
            <w:hideMark/>
          </w:tcPr>
          <w:p w14:paraId="7998B595" w14:textId="77777777" w:rsidR="00D628C0" w:rsidRPr="000843DA" w:rsidRDefault="00D628C0" w:rsidP="00E03F00">
            <w:pPr>
              <w:spacing w:after="0" w:line="240" w:lineRule="auto"/>
              <w:jc w:val="center"/>
              <w:rPr>
                <w:rFonts w:ascii="Book Antiqua" w:eastAsia="Times New Roman" w:hAnsi="Book Antiqua" w:cs="Calibri"/>
                <w:b/>
                <w:bCs/>
                <w:color w:val="FFFFFF"/>
                <w:lang w:eastAsia="es-CR"/>
              </w:rPr>
            </w:pPr>
            <w:r w:rsidRPr="00E03F00">
              <w:rPr>
                <w:rFonts w:ascii="Book Antiqua" w:eastAsia="Times New Roman" w:hAnsi="Book Antiqua" w:cs="Calibri"/>
                <w:b/>
                <w:bCs/>
                <w:color w:val="FFFFFF"/>
                <w:lang w:eastAsia="es-CR"/>
              </w:rPr>
              <w:t>Plaza nueva extraordinaria</w:t>
            </w: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727AFB7A" w14:textId="1E85C448"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Juez 3</w:t>
            </w:r>
            <w:r w:rsidR="00697FA3" w:rsidRPr="000843DA">
              <w:rPr>
                <w:rFonts w:ascii="Book Antiqua" w:eastAsia="Times New Roman" w:hAnsi="Book Antiqua" w:cs="Calibri"/>
                <w:color w:val="000000"/>
                <w:lang w:eastAsia="es-CR"/>
              </w:rPr>
              <w:t xml:space="preserve"> </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730E7C51" w14:textId="5430D20D"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Juez 3</w:t>
            </w:r>
            <w:r w:rsidR="007048A2" w:rsidRPr="000843DA">
              <w:rPr>
                <w:rFonts w:ascii="Book Antiqua" w:eastAsia="Times New Roman" w:hAnsi="Book Antiqua" w:cs="Calibri"/>
                <w:color w:val="000000"/>
                <w:lang w:eastAsia="es-CR"/>
              </w:rPr>
              <w:t xml:space="preserve"> Violencia Doméstica</w:t>
            </w:r>
          </w:p>
        </w:tc>
        <w:tc>
          <w:tcPr>
            <w:tcW w:w="2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0DC41927" w14:textId="77777777"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Times New Roman" w:eastAsia="Times New Roman" w:hAnsi="Times New Roman" w:cs="Times New Roman"/>
                <w:color w:val="000000"/>
                <w:lang w:eastAsia="es-CR"/>
              </w:rPr>
              <w:t>₡</w:t>
            </w:r>
            <w:r w:rsidRPr="000843DA">
              <w:rPr>
                <w:rFonts w:ascii="Book Antiqua" w:eastAsia="Times New Roman" w:hAnsi="Book Antiqua" w:cs="Calibri"/>
                <w:color w:val="000000"/>
                <w:lang w:eastAsia="es-CR"/>
              </w:rPr>
              <w:t>54.293.000</w:t>
            </w:r>
          </w:p>
        </w:tc>
      </w:tr>
      <w:tr w:rsidR="00D628C0" w:rsidRPr="005C35B6" w14:paraId="6FAEFD6D" w14:textId="77777777" w:rsidTr="00391382">
        <w:trPr>
          <w:trHeight w:val="302"/>
        </w:trPr>
        <w:tc>
          <w:tcPr>
            <w:tcW w:w="192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vAlign w:val="center"/>
            <w:hideMark/>
          </w:tcPr>
          <w:p w14:paraId="6FA597F4" w14:textId="77777777" w:rsidR="00D628C0" w:rsidRPr="000843DA" w:rsidRDefault="00D628C0" w:rsidP="00391382">
            <w:pPr>
              <w:spacing w:after="0" w:line="240" w:lineRule="auto"/>
              <w:jc w:val="center"/>
              <w:rPr>
                <w:rFonts w:ascii="Book Antiqua" w:eastAsia="Times New Roman" w:hAnsi="Book Antiqua" w:cs="Calibri"/>
                <w:b/>
                <w:bCs/>
                <w:color w:val="FFFFFF"/>
                <w:lang w:eastAsia="es-CR"/>
              </w:rPr>
            </w:pP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3EC35ECE" w14:textId="451AA921"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Técnico Judicial 2</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818E5B7" w14:textId="32D577EC"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Técnico Judicial</w:t>
            </w:r>
          </w:p>
        </w:tc>
        <w:tc>
          <w:tcPr>
            <w:tcW w:w="2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1E31985E" w14:textId="4301A0E8" w:rsidR="00D628C0" w:rsidRPr="000843DA" w:rsidRDefault="00D628C0" w:rsidP="00D628C0">
            <w:pPr>
              <w:spacing w:after="0" w:line="240" w:lineRule="auto"/>
              <w:jc w:val="center"/>
              <w:rPr>
                <w:rFonts w:ascii="Book Antiqua" w:eastAsia="Times New Roman" w:hAnsi="Book Antiqua" w:cs="Calibri"/>
                <w:color w:val="000000"/>
                <w:lang w:eastAsia="es-CR"/>
              </w:rPr>
            </w:pPr>
            <w:r w:rsidRPr="000843DA">
              <w:rPr>
                <w:rFonts w:ascii="Times New Roman" w:eastAsia="Times New Roman" w:hAnsi="Times New Roman" w:cs="Times New Roman"/>
                <w:color w:val="000000"/>
                <w:lang w:eastAsia="es-CR"/>
              </w:rPr>
              <w:t>₡</w:t>
            </w:r>
            <w:r w:rsidRPr="000843DA">
              <w:rPr>
                <w:rFonts w:ascii="Book Antiqua" w:eastAsia="Times New Roman" w:hAnsi="Book Antiqua" w:cs="Calibri"/>
                <w:color w:val="000000"/>
                <w:lang w:eastAsia="es-CR"/>
              </w:rPr>
              <w:t>14.388.000</w:t>
            </w:r>
          </w:p>
        </w:tc>
      </w:tr>
      <w:tr w:rsidR="000F29E7" w:rsidRPr="005C35B6" w14:paraId="75B0E849" w14:textId="77777777" w:rsidTr="00391382">
        <w:trPr>
          <w:trHeight w:val="302"/>
        </w:trPr>
        <w:tc>
          <w:tcPr>
            <w:tcW w:w="19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vAlign w:val="center"/>
          </w:tcPr>
          <w:p w14:paraId="1BD57F67" w14:textId="77777777" w:rsidR="000F29E7" w:rsidRPr="000843DA" w:rsidRDefault="000F29E7" w:rsidP="00391382">
            <w:pPr>
              <w:spacing w:after="0" w:line="240" w:lineRule="auto"/>
              <w:jc w:val="center"/>
              <w:rPr>
                <w:rFonts w:ascii="Book Antiqua" w:eastAsia="Times New Roman" w:hAnsi="Book Antiqua" w:cs="Calibri"/>
                <w:b/>
                <w:bCs/>
                <w:color w:val="FFFFFF"/>
                <w:lang w:eastAsia="es-CR"/>
              </w:rPr>
            </w:pPr>
            <w:r w:rsidRPr="00E03F00">
              <w:rPr>
                <w:rFonts w:ascii="Book Antiqua" w:eastAsia="Times New Roman" w:hAnsi="Book Antiqua" w:cs="Calibri"/>
                <w:b/>
                <w:bCs/>
                <w:color w:val="FFFFFF"/>
                <w:lang w:eastAsia="es-CR"/>
              </w:rPr>
              <w:t>Recalificaciones a:</w:t>
            </w:r>
          </w:p>
          <w:p w14:paraId="5CA8E6F3" w14:textId="68854AB0" w:rsidR="000F29E7" w:rsidRPr="000843DA" w:rsidRDefault="000F29E7" w:rsidP="00391382">
            <w:pPr>
              <w:spacing w:after="0" w:line="240" w:lineRule="auto"/>
              <w:jc w:val="center"/>
              <w:rPr>
                <w:rFonts w:ascii="Book Antiqua" w:eastAsia="Times New Roman" w:hAnsi="Book Antiqua" w:cs="Calibri"/>
                <w:b/>
                <w:bCs/>
                <w:color w:val="FFFFFF"/>
                <w:lang w:eastAsia="es-CR"/>
              </w:rPr>
            </w:pPr>
            <w:r w:rsidRPr="000843DA">
              <w:rPr>
                <w:rFonts w:ascii="Book Antiqua" w:eastAsia="Times New Roman" w:hAnsi="Book Antiqua" w:cs="Calibri"/>
                <w:b/>
                <w:bCs/>
                <w:color w:val="FFFFFF"/>
                <w:lang w:eastAsia="es-CR"/>
              </w:rPr>
              <w:t>Técnico/a Judicial 2</w:t>
            </w:r>
          </w:p>
        </w:tc>
        <w:tc>
          <w:tcPr>
            <w:tcW w:w="20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6B0EA8B" w14:textId="42B49639" w:rsidR="000F29E7" w:rsidRPr="000843DA" w:rsidRDefault="005C35B6" w:rsidP="00E03F0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 xml:space="preserve">Auxiliar de Servicios Generales 2 </w:t>
            </w:r>
          </w:p>
        </w:tc>
        <w:tc>
          <w:tcPr>
            <w:tcW w:w="17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C22B069" w14:textId="721D6244" w:rsidR="000F29E7" w:rsidRPr="000843DA" w:rsidRDefault="005C35B6" w:rsidP="00D628C0">
            <w:pPr>
              <w:spacing w:after="0" w:line="240" w:lineRule="auto"/>
              <w:jc w:val="center"/>
              <w:rPr>
                <w:rFonts w:ascii="Book Antiqua" w:eastAsia="Times New Roman" w:hAnsi="Book Antiqua" w:cs="Calibri"/>
                <w:color w:val="000000"/>
                <w:lang w:eastAsia="es-CR"/>
              </w:rPr>
            </w:pPr>
            <w:r w:rsidRPr="000843DA">
              <w:rPr>
                <w:rFonts w:ascii="Book Antiqua" w:eastAsia="Times New Roman" w:hAnsi="Book Antiqua" w:cs="Calibri"/>
                <w:color w:val="000000"/>
                <w:lang w:eastAsia="es-CR"/>
              </w:rPr>
              <w:t>Conserje</w:t>
            </w:r>
          </w:p>
        </w:tc>
        <w:tc>
          <w:tcPr>
            <w:tcW w:w="2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9D684C9" w14:textId="766B5CAA" w:rsidR="000F29E7" w:rsidRPr="00391382" w:rsidRDefault="005C35B6" w:rsidP="00D628C0">
            <w:pPr>
              <w:spacing w:after="0" w:line="240" w:lineRule="auto"/>
              <w:jc w:val="center"/>
              <w:rPr>
                <w:rFonts w:ascii="Book Antiqua" w:eastAsia="Times New Roman" w:hAnsi="Book Antiqua" w:cs="Times New Roman"/>
                <w:color w:val="000000"/>
                <w:lang w:eastAsia="es-CR"/>
              </w:rPr>
            </w:pPr>
            <w:r w:rsidRPr="000843DA">
              <w:rPr>
                <w:rFonts w:ascii="Times New Roman" w:eastAsia="Times New Roman" w:hAnsi="Times New Roman" w:cs="Times New Roman"/>
                <w:color w:val="000000"/>
                <w:lang w:eastAsia="es-CR"/>
              </w:rPr>
              <w:t>₡</w:t>
            </w:r>
            <w:r w:rsidRPr="00391382">
              <w:rPr>
                <w:rFonts w:ascii="Book Antiqua" w:eastAsia="Times New Roman" w:hAnsi="Book Antiqua" w:cs="Times New Roman"/>
                <w:color w:val="000000"/>
                <w:lang w:eastAsia="es-CR"/>
              </w:rPr>
              <w:t>12.176.000</w:t>
            </w:r>
          </w:p>
        </w:tc>
      </w:tr>
    </w:tbl>
    <w:p w14:paraId="6172246F" w14:textId="54CC4DA5" w:rsidR="00E830F7" w:rsidRPr="00E03F00" w:rsidRDefault="00895C1C" w:rsidP="002F3C80">
      <w:pPr>
        <w:jc w:val="both"/>
        <w:rPr>
          <w:rFonts w:ascii="Book Antiqua" w:eastAsia="Calibri" w:hAnsi="Book Antiqua" w:cs="Arial"/>
          <w:i/>
          <w:iCs/>
        </w:rPr>
      </w:pPr>
      <w:r w:rsidRPr="00E03F00">
        <w:rPr>
          <w:rFonts w:ascii="Book Antiqua" w:eastAsia="Calibri" w:hAnsi="Book Antiqua" w:cs="Arial"/>
          <w:b/>
          <w:bCs/>
          <w:i/>
          <w:iCs/>
        </w:rPr>
        <w:t>Fuente:</w:t>
      </w:r>
      <w:r w:rsidRPr="00E03F00">
        <w:rPr>
          <w:rFonts w:ascii="Book Antiqua" w:eastAsia="Calibri" w:hAnsi="Book Antiqua" w:cs="Arial"/>
          <w:i/>
          <w:iCs/>
        </w:rPr>
        <w:t xml:space="preserve"> </w:t>
      </w:r>
      <w:r w:rsidR="0037455E">
        <w:rPr>
          <w:rFonts w:ascii="Book Antiqua" w:eastAsia="Calibri" w:hAnsi="Book Antiqua" w:cs="Arial"/>
          <w:i/>
          <w:iCs/>
        </w:rPr>
        <w:t xml:space="preserve">Subproceso de </w:t>
      </w:r>
      <w:r w:rsidRPr="00E03F00">
        <w:rPr>
          <w:rFonts w:ascii="Book Antiqua" w:eastAsia="Calibri" w:hAnsi="Book Antiqua" w:cs="Arial"/>
          <w:i/>
          <w:iCs/>
        </w:rPr>
        <w:t>Modernización Institucional.</w:t>
      </w:r>
    </w:p>
    <w:p w14:paraId="7CCF1B07" w14:textId="2E694D9A" w:rsidR="00895C1C" w:rsidRPr="00895C1C" w:rsidRDefault="00895C1C" w:rsidP="00895C1C">
      <w:pPr>
        <w:spacing w:after="0" w:line="276" w:lineRule="auto"/>
        <w:jc w:val="both"/>
        <w:rPr>
          <w:rFonts w:ascii="Book Antiqua" w:eastAsia="Calibri" w:hAnsi="Book Antiqua" w:cs="Arial"/>
          <w:sz w:val="24"/>
          <w:szCs w:val="24"/>
        </w:rPr>
      </w:pPr>
      <w:r w:rsidRPr="000843DA">
        <w:rPr>
          <w:rFonts w:ascii="Book Antiqua" w:eastAsia="Calibri" w:hAnsi="Book Antiqua" w:cs="Arial"/>
          <w:sz w:val="24"/>
          <w:szCs w:val="24"/>
        </w:rPr>
        <w:t xml:space="preserve">El costo anual para hacer frente a la propuesta es de </w:t>
      </w:r>
      <w:r w:rsidRPr="000843DA">
        <w:rPr>
          <w:rFonts w:ascii="Times New Roman" w:eastAsia="Calibri" w:hAnsi="Times New Roman" w:cs="Times New Roman"/>
          <w:sz w:val="24"/>
          <w:szCs w:val="24"/>
        </w:rPr>
        <w:t>₡</w:t>
      </w:r>
      <w:r w:rsidR="00F40C43">
        <w:rPr>
          <w:rFonts w:ascii="Book Antiqua" w:eastAsia="Calibri" w:hAnsi="Book Antiqua" w:cs="Times New Roman"/>
          <w:sz w:val="24"/>
          <w:szCs w:val="24"/>
        </w:rPr>
        <w:t>3</w:t>
      </w:r>
      <w:r w:rsidR="0037455E">
        <w:rPr>
          <w:rFonts w:ascii="Book Antiqua" w:eastAsia="Calibri" w:hAnsi="Book Antiqua" w:cs="Times New Roman"/>
          <w:sz w:val="24"/>
          <w:szCs w:val="24"/>
        </w:rPr>
        <w:t>62</w:t>
      </w:r>
      <w:r w:rsidRPr="000843DA">
        <w:rPr>
          <w:rFonts w:ascii="Book Antiqua" w:eastAsia="Calibri" w:hAnsi="Book Antiqua" w:cs="Times New Roman"/>
          <w:sz w:val="24"/>
          <w:szCs w:val="24"/>
        </w:rPr>
        <w:t>.</w:t>
      </w:r>
      <w:r w:rsidR="0037455E">
        <w:rPr>
          <w:rFonts w:ascii="Book Antiqua" w:eastAsia="Calibri" w:hAnsi="Book Antiqua" w:cs="Times New Roman"/>
          <w:sz w:val="24"/>
          <w:szCs w:val="24"/>
        </w:rPr>
        <w:t>030</w:t>
      </w:r>
      <w:r w:rsidRPr="000843DA">
        <w:rPr>
          <w:rFonts w:ascii="Book Antiqua" w:eastAsia="Calibri" w:hAnsi="Book Antiqua" w:cs="Times New Roman"/>
          <w:sz w:val="24"/>
          <w:szCs w:val="24"/>
        </w:rPr>
        <w:t>.000</w:t>
      </w:r>
      <w:r w:rsidRPr="000843DA">
        <w:rPr>
          <w:rFonts w:ascii="Book Antiqua" w:eastAsia="Calibri" w:hAnsi="Book Antiqua" w:cs="Arial"/>
          <w:sz w:val="24"/>
          <w:szCs w:val="24"/>
        </w:rPr>
        <w:t>.</w:t>
      </w:r>
    </w:p>
    <w:p w14:paraId="29E2C501" w14:textId="22B53942" w:rsidR="00E830F7" w:rsidRPr="00E830F7" w:rsidRDefault="00E830F7" w:rsidP="00E830F7">
      <w:pPr>
        <w:jc w:val="both"/>
        <w:rPr>
          <w:rFonts w:ascii="Book Antiqua" w:eastAsia="Calibri" w:hAnsi="Book Antiqua" w:cs="Arial"/>
          <w:sz w:val="24"/>
          <w:szCs w:val="24"/>
        </w:rPr>
      </w:pPr>
    </w:p>
    <w:p w14:paraId="0779597C" w14:textId="09560F23"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Por otro lado, es importante traer a colación, que según los datos suministrados en el informe del Rediseño de Juzgado de Violencia Doméstica de San Carlos, la tarea de  “</w:t>
      </w:r>
      <w:r w:rsidRPr="00695918">
        <w:rPr>
          <w:rFonts w:ascii="Book Antiqua" w:eastAsia="Calibri" w:hAnsi="Book Antiqua" w:cs="Arial"/>
          <w:bCs/>
          <w:i/>
          <w:iCs/>
          <w:sz w:val="24"/>
          <w:szCs w:val="24"/>
          <w:lang w:eastAsia="es-CR"/>
        </w:rPr>
        <w:t>Solicitud medidas de protección</w:t>
      </w:r>
      <w:r w:rsidRPr="00695918">
        <w:rPr>
          <w:rFonts w:ascii="Book Antiqua" w:eastAsia="Calibri" w:hAnsi="Book Antiqua" w:cs="Arial"/>
          <w:i/>
          <w:iCs/>
          <w:sz w:val="24"/>
          <w:szCs w:val="24"/>
        </w:rPr>
        <w:t>”</w:t>
      </w:r>
      <w:r w:rsidRPr="00695918">
        <w:rPr>
          <w:rFonts w:ascii="Book Antiqua" w:eastAsia="Calibri" w:hAnsi="Book Antiqua" w:cs="Arial"/>
          <w:sz w:val="24"/>
          <w:szCs w:val="24"/>
        </w:rPr>
        <w:t xml:space="preserve"> que incluye la atención de la persona usuaria, así como la toma de la solicitud que esta realice, cuenta con un tiempo de duración promedio de 40 minutos, por lo cual, estimando ese tiempo y proyectando la cantidad más alta de entrados  por día por persona técnica judicial según el cuadro anterior (1</w:t>
      </w:r>
      <w:r w:rsidR="00DF080A" w:rsidRPr="009B5E63">
        <w:rPr>
          <w:rFonts w:ascii="Book Antiqua" w:eastAsia="Calibri" w:hAnsi="Book Antiqua" w:cs="Arial"/>
          <w:sz w:val="24"/>
          <w:szCs w:val="24"/>
        </w:rPr>
        <w:t>22</w:t>
      </w:r>
      <w:r w:rsidRPr="00695918">
        <w:rPr>
          <w:rFonts w:ascii="Book Antiqua" w:eastAsia="Calibri" w:hAnsi="Book Antiqua" w:cs="Arial"/>
          <w:sz w:val="24"/>
          <w:szCs w:val="24"/>
        </w:rPr>
        <w:t xml:space="preserve"> casos /21 días) que sería 5,</w:t>
      </w:r>
      <w:r w:rsidR="009B5E63" w:rsidRPr="009B5E63">
        <w:rPr>
          <w:rFonts w:ascii="Book Antiqua" w:eastAsia="Calibri" w:hAnsi="Book Antiqua" w:cs="Arial"/>
          <w:sz w:val="24"/>
          <w:szCs w:val="24"/>
        </w:rPr>
        <w:t>8</w:t>
      </w:r>
      <w:r w:rsidRPr="00695918">
        <w:rPr>
          <w:rFonts w:ascii="Book Antiqua" w:eastAsia="Calibri" w:hAnsi="Book Antiqua" w:cs="Arial"/>
          <w:sz w:val="24"/>
          <w:szCs w:val="24"/>
        </w:rPr>
        <w:t xml:space="preserve"> casos se esperaría que se utilice en esa tarea al día 3,</w:t>
      </w:r>
      <w:r w:rsidR="009B5E63" w:rsidRPr="009B5E63">
        <w:rPr>
          <w:rFonts w:ascii="Book Antiqua" w:eastAsia="Calibri" w:hAnsi="Book Antiqua" w:cs="Arial"/>
          <w:sz w:val="24"/>
          <w:szCs w:val="24"/>
        </w:rPr>
        <w:t>8</w:t>
      </w:r>
      <w:r w:rsidRPr="00695918">
        <w:rPr>
          <w:rFonts w:ascii="Book Antiqua" w:eastAsia="Calibri" w:hAnsi="Book Antiqua" w:cs="Arial"/>
          <w:sz w:val="24"/>
          <w:szCs w:val="24"/>
        </w:rPr>
        <w:t xml:space="preserve"> horas; lo cual evidencia que las personas técnicas judiciales presentan un margen para realizar otras tareas.  </w:t>
      </w:r>
    </w:p>
    <w:p w14:paraId="556AAB75" w14:textId="77777777" w:rsidR="00695918" w:rsidRPr="00695918" w:rsidRDefault="00695918" w:rsidP="00695918">
      <w:pPr>
        <w:spacing w:after="0" w:line="276" w:lineRule="auto"/>
        <w:jc w:val="both"/>
        <w:rPr>
          <w:rFonts w:ascii="Book Antiqua" w:eastAsia="Calibri" w:hAnsi="Book Antiqua" w:cs="Arial"/>
          <w:sz w:val="24"/>
          <w:szCs w:val="24"/>
        </w:rPr>
      </w:pPr>
    </w:p>
    <w:p w14:paraId="7840974B" w14:textId="77777777"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Al momento de la entrada en vigencia del Código Procesal de Familia se espera un aumento de los casos debido a la incorporación del proceso de “</w:t>
      </w:r>
      <w:r w:rsidRPr="00695918">
        <w:rPr>
          <w:rFonts w:ascii="Book Antiqua" w:eastAsia="Calibri" w:hAnsi="Book Antiqua" w:cs="Arial"/>
          <w:i/>
          <w:iCs/>
          <w:sz w:val="24"/>
          <w:szCs w:val="24"/>
        </w:rPr>
        <w:t>protección cautelar</w:t>
      </w:r>
      <w:r w:rsidRPr="00695918">
        <w:rPr>
          <w:rFonts w:ascii="Book Antiqua" w:eastAsia="Calibri" w:hAnsi="Book Antiqua" w:cs="Arial"/>
          <w:sz w:val="24"/>
          <w:szCs w:val="24"/>
        </w:rPr>
        <w:t>” cuando se presente una agresión fuera del núcleo familiar, en perjuicio de personas adultas mayores y personas con discapacidad. Lo anterior provocará que se incorpore los siguientes tipos de procedimiento para el catálogo de Violencia Doméstica:</w:t>
      </w:r>
    </w:p>
    <w:p w14:paraId="60F918BF" w14:textId="77777777" w:rsidR="00695918" w:rsidRPr="00695918" w:rsidRDefault="00695918" w:rsidP="00695918">
      <w:pPr>
        <w:spacing w:after="0" w:line="276" w:lineRule="auto"/>
        <w:jc w:val="both"/>
        <w:rPr>
          <w:rFonts w:ascii="Book Antiqua" w:eastAsia="Calibri" w:hAnsi="Book Antiqua" w:cs="Arial"/>
          <w:sz w:val="24"/>
          <w:szCs w:val="24"/>
        </w:rPr>
      </w:pPr>
    </w:p>
    <w:p w14:paraId="4F374502" w14:textId="77777777" w:rsidR="00695918" w:rsidRPr="00695918" w:rsidRDefault="00695918" w:rsidP="0090609F">
      <w:pPr>
        <w:numPr>
          <w:ilvl w:val="0"/>
          <w:numId w:val="28"/>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 xml:space="preserve">Medidas de protección en los casos de Violencia Doméstica. </w:t>
      </w:r>
    </w:p>
    <w:p w14:paraId="165F2D9A" w14:textId="77777777" w:rsidR="00695918" w:rsidRPr="00695918" w:rsidRDefault="00695918" w:rsidP="0090609F">
      <w:pPr>
        <w:numPr>
          <w:ilvl w:val="0"/>
          <w:numId w:val="28"/>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Medidas de Protección Cautelar en los casos de Personas Adultas Mayores.</w:t>
      </w:r>
    </w:p>
    <w:p w14:paraId="5C65388C" w14:textId="77777777" w:rsidR="00695918" w:rsidRPr="00695918" w:rsidRDefault="00695918" w:rsidP="0090609F">
      <w:pPr>
        <w:numPr>
          <w:ilvl w:val="0"/>
          <w:numId w:val="28"/>
        </w:numPr>
        <w:spacing w:after="0" w:line="276" w:lineRule="auto"/>
        <w:ind w:left="0" w:firstLine="0"/>
        <w:contextualSpacing/>
        <w:jc w:val="both"/>
        <w:rPr>
          <w:rFonts w:ascii="Book Antiqua" w:eastAsia="Calibri" w:hAnsi="Book Antiqua" w:cs="Arial"/>
          <w:sz w:val="24"/>
          <w:szCs w:val="24"/>
          <w:lang w:eastAsia="es-CR"/>
        </w:rPr>
      </w:pPr>
      <w:r w:rsidRPr="00695918">
        <w:rPr>
          <w:rFonts w:ascii="Book Antiqua" w:eastAsia="Calibri" w:hAnsi="Book Antiqua" w:cs="Arial"/>
          <w:sz w:val="24"/>
          <w:szCs w:val="24"/>
          <w:lang w:eastAsia="es-CR"/>
        </w:rPr>
        <w:t>Medidas de Protección Cautelar en los casos de Personas con discapacidad.</w:t>
      </w:r>
    </w:p>
    <w:p w14:paraId="0B4FEE78" w14:textId="5873930E"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lastRenderedPageBreak/>
        <w:t>Esta tarea corresponderá al equipo del Subproceso de Estadística de esta Dirección en conjunto con el Juez Gestor en la materia, como parte de las áreas de revisión y actualización de la fórmula estadística</w:t>
      </w:r>
      <w:r w:rsidR="0095629A">
        <w:rPr>
          <w:rFonts w:ascii="Book Antiqua" w:eastAsia="Calibri" w:hAnsi="Book Antiqua" w:cs="Arial"/>
          <w:sz w:val="24"/>
          <w:szCs w:val="24"/>
        </w:rPr>
        <w:t xml:space="preserve">, quienes actualmente trabajan en la actualización de las fórmulas de las 3 materias ligadas a este proyecto. </w:t>
      </w:r>
    </w:p>
    <w:p w14:paraId="41227385" w14:textId="77777777" w:rsidR="0095629A" w:rsidRDefault="0095629A" w:rsidP="00695918">
      <w:pPr>
        <w:spacing w:after="0" w:line="276" w:lineRule="auto"/>
        <w:jc w:val="both"/>
        <w:rPr>
          <w:rFonts w:ascii="Book Antiqua" w:eastAsia="Calibri" w:hAnsi="Book Antiqua" w:cs="Arial"/>
          <w:sz w:val="24"/>
          <w:szCs w:val="24"/>
        </w:rPr>
      </w:pPr>
    </w:p>
    <w:p w14:paraId="40B2850C" w14:textId="3346E095" w:rsidR="0095629A" w:rsidRDefault="0095629A" w:rsidP="00695918">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Las tareas, ubicaciones, y formatos jurídicos también están siendo actualizados a fin de estandarizarlos a nivel nacional. </w:t>
      </w:r>
    </w:p>
    <w:p w14:paraId="1C02E2E1" w14:textId="77777777" w:rsidR="0095629A" w:rsidRPr="00695918" w:rsidRDefault="0095629A" w:rsidP="00695918">
      <w:pPr>
        <w:spacing w:after="0" w:line="276" w:lineRule="auto"/>
        <w:jc w:val="both"/>
        <w:rPr>
          <w:rFonts w:ascii="Book Antiqua" w:eastAsia="Calibri" w:hAnsi="Book Antiqua" w:cs="Arial"/>
          <w:sz w:val="24"/>
          <w:szCs w:val="24"/>
        </w:rPr>
      </w:pPr>
    </w:p>
    <w:p w14:paraId="78BE1FAF" w14:textId="77777777"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El circulante en los despachos de Violencia Doméstica es una variable donde se torna necesario su análisis, ya que; debido a la naturaleza del proceso y lo expedito de su trámite se espera que la mayor parte del circulante se encuentre en fase de seguimiento.</w:t>
      </w:r>
    </w:p>
    <w:p w14:paraId="30D270DD" w14:textId="77777777" w:rsidR="00695918" w:rsidRPr="00695918" w:rsidRDefault="00695918" w:rsidP="00695918">
      <w:pPr>
        <w:spacing w:after="0" w:line="276" w:lineRule="auto"/>
        <w:jc w:val="both"/>
        <w:rPr>
          <w:rFonts w:ascii="Book Antiqua" w:eastAsia="Calibri" w:hAnsi="Book Antiqua" w:cs="Arial"/>
          <w:sz w:val="24"/>
          <w:szCs w:val="24"/>
        </w:rPr>
      </w:pPr>
    </w:p>
    <w:p w14:paraId="1440A488" w14:textId="18D2EB95" w:rsidR="00695918" w:rsidRPr="00695918" w:rsidRDefault="00695918" w:rsidP="00695918">
      <w:pPr>
        <w:spacing w:after="0" w:line="276" w:lineRule="auto"/>
        <w:jc w:val="both"/>
        <w:rPr>
          <w:rFonts w:ascii="Book Antiqua" w:eastAsia="Calibri" w:hAnsi="Book Antiqua" w:cs="Arial"/>
          <w:sz w:val="24"/>
          <w:szCs w:val="24"/>
        </w:rPr>
      </w:pPr>
      <w:r w:rsidRPr="008406A1">
        <w:rPr>
          <w:rFonts w:ascii="Book Antiqua" w:eastAsia="Calibri" w:hAnsi="Book Antiqua" w:cs="Arial"/>
          <w:sz w:val="24"/>
          <w:szCs w:val="24"/>
        </w:rPr>
        <w:t xml:space="preserve">Los datos del circulante por fase para el mes de </w:t>
      </w:r>
      <w:r w:rsidR="008406A1" w:rsidRPr="008406A1">
        <w:rPr>
          <w:rFonts w:ascii="Book Antiqua" w:eastAsia="Calibri" w:hAnsi="Book Antiqua" w:cs="Arial"/>
          <w:sz w:val="24"/>
          <w:szCs w:val="24"/>
        </w:rPr>
        <w:t>diciembre</w:t>
      </w:r>
      <w:r w:rsidRPr="008406A1">
        <w:rPr>
          <w:rFonts w:ascii="Book Antiqua" w:eastAsia="Calibri" w:hAnsi="Book Antiqua" w:cs="Arial"/>
          <w:sz w:val="24"/>
          <w:szCs w:val="24"/>
        </w:rPr>
        <w:t xml:space="preserve"> del 202</w:t>
      </w:r>
      <w:r w:rsidR="008406A1" w:rsidRPr="008406A1">
        <w:rPr>
          <w:rFonts w:ascii="Book Antiqua" w:eastAsia="Calibri" w:hAnsi="Book Antiqua" w:cs="Arial"/>
          <w:sz w:val="24"/>
          <w:szCs w:val="24"/>
        </w:rPr>
        <w:t>1</w:t>
      </w:r>
      <w:r w:rsidRPr="008406A1">
        <w:rPr>
          <w:rFonts w:ascii="Book Antiqua" w:eastAsia="Calibri" w:hAnsi="Book Antiqua" w:cs="Arial"/>
          <w:sz w:val="24"/>
          <w:szCs w:val="24"/>
        </w:rPr>
        <w:t xml:space="preserve"> se encontraban 2</w:t>
      </w:r>
      <w:r w:rsidR="008406A1" w:rsidRPr="008406A1">
        <w:rPr>
          <w:rFonts w:ascii="Book Antiqua" w:eastAsia="Calibri" w:hAnsi="Book Antiqua" w:cs="Arial"/>
          <w:sz w:val="24"/>
          <w:szCs w:val="24"/>
        </w:rPr>
        <w:t xml:space="preserve">0 363 </w:t>
      </w:r>
      <w:r w:rsidRPr="008406A1">
        <w:rPr>
          <w:rFonts w:ascii="Book Antiqua" w:eastAsia="Calibri" w:hAnsi="Book Antiqua" w:cs="Arial"/>
          <w:sz w:val="24"/>
          <w:szCs w:val="24"/>
        </w:rPr>
        <w:t>asuntos en circulante (</w:t>
      </w:r>
      <w:r w:rsidR="008406A1" w:rsidRPr="008406A1">
        <w:rPr>
          <w:rFonts w:ascii="Book Antiqua" w:eastAsia="Calibri" w:hAnsi="Book Antiqua" w:cs="Arial"/>
          <w:sz w:val="24"/>
          <w:szCs w:val="24"/>
        </w:rPr>
        <w:t>8 727</w:t>
      </w:r>
      <w:r w:rsidRPr="008406A1">
        <w:rPr>
          <w:rFonts w:ascii="Book Antiqua" w:eastAsia="Calibri" w:hAnsi="Book Antiqua" w:cs="Arial"/>
          <w:sz w:val="24"/>
          <w:szCs w:val="24"/>
        </w:rPr>
        <w:t xml:space="preserve"> en fase de demanda, 3</w:t>
      </w:r>
      <w:r w:rsidR="008406A1" w:rsidRPr="008406A1">
        <w:rPr>
          <w:rFonts w:ascii="Book Antiqua" w:eastAsia="Calibri" w:hAnsi="Book Antiqua" w:cs="Arial"/>
          <w:sz w:val="24"/>
          <w:szCs w:val="24"/>
        </w:rPr>
        <w:t>8</w:t>
      </w:r>
      <w:r w:rsidRPr="008406A1">
        <w:rPr>
          <w:rFonts w:ascii="Book Antiqua" w:eastAsia="Calibri" w:hAnsi="Book Antiqua" w:cs="Arial"/>
          <w:sz w:val="24"/>
          <w:szCs w:val="24"/>
        </w:rPr>
        <w:t xml:space="preserve">6 en demostrativa, </w:t>
      </w:r>
      <w:r w:rsidR="008406A1" w:rsidRPr="008406A1">
        <w:rPr>
          <w:rFonts w:ascii="Book Antiqua" w:eastAsia="Calibri" w:hAnsi="Book Antiqua" w:cs="Arial"/>
          <w:sz w:val="24"/>
          <w:szCs w:val="24"/>
        </w:rPr>
        <w:t>2 77</w:t>
      </w:r>
      <w:r w:rsidRPr="008406A1">
        <w:rPr>
          <w:rFonts w:ascii="Book Antiqua" w:eastAsia="Calibri" w:hAnsi="Book Antiqua" w:cs="Arial"/>
          <w:sz w:val="24"/>
          <w:szCs w:val="24"/>
        </w:rPr>
        <w:t>9 en conclusiva, 8</w:t>
      </w:r>
      <w:r w:rsidR="008406A1" w:rsidRPr="008406A1">
        <w:rPr>
          <w:rFonts w:ascii="Book Antiqua" w:eastAsia="Calibri" w:hAnsi="Book Antiqua" w:cs="Arial"/>
          <w:sz w:val="24"/>
          <w:szCs w:val="24"/>
        </w:rPr>
        <w:t xml:space="preserve"> </w:t>
      </w:r>
      <w:r w:rsidRPr="008406A1">
        <w:rPr>
          <w:rFonts w:ascii="Book Antiqua" w:eastAsia="Calibri" w:hAnsi="Book Antiqua" w:cs="Arial"/>
          <w:sz w:val="24"/>
          <w:szCs w:val="24"/>
        </w:rPr>
        <w:t>3</w:t>
      </w:r>
      <w:r w:rsidR="008406A1" w:rsidRPr="008406A1">
        <w:rPr>
          <w:rFonts w:ascii="Book Antiqua" w:eastAsia="Calibri" w:hAnsi="Book Antiqua" w:cs="Arial"/>
          <w:sz w:val="24"/>
          <w:szCs w:val="24"/>
        </w:rPr>
        <w:t>49</w:t>
      </w:r>
      <w:r w:rsidRPr="008406A1">
        <w:rPr>
          <w:rFonts w:ascii="Book Antiqua" w:eastAsia="Calibri" w:hAnsi="Book Antiqua" w:cs="Arial"/>
          <w:sz w:val="24"/>
          <w:szCs w:val="24"/>
        </w:rPr>
        <w:t xml:space="preserve"> en seguimiento</w:t>
      </w:r>
      <w:r w:rsidR="008406A1" w:rsidRPr="008406A1">
        <w:rPr>
          <w:rFonts w:ascii="Book Antiqua" w:eastAsia="Calibri" w:hAnsi="Book Antiqua" w:cs="Arial"/>
          <w:sz w:val="24"/>
          <w:szCs w:val="24"/>
        </w:rPr>
        <w:t>, 1 caso desconocido</w:t>
      </w:r>
      <w:r w:rsidRPr="008406A1">
        <w:rPr>
          <w:rFonts w:ascii="Book Antiqua" w:eastAsia="Calibri" w:hAnsi="Book Antiqua" w:cs="Arial"/>
          <w:sz w:val="24"/>
          <w:szCs w:val="24"/>
        </w:rPr>
        <w:t xml:space="preserve"> y 1</w:t>
      </w:r>
      <w:r w:rsidR="008406A1" w:rsidRPr="008406A1">
        <w:rPr>
          <w:rFonts w:ascii="Book Antiqua" w:eastAsia="Calibri" w:hAnsi="Book Antiqua" w:cs="Arial"/>
          <w:sz w:val="24"/>
          <w:szCs w:val="24"/>
        </w:rPr>
        <w:t>21</w:t>
      </w:r>
      <w:r w:rsidRPr="008406A1">
        <w:rPr>
          <w:rFonts w:ascii="Book Antiqua" w:eastAsia="Calibri" w:hAnsi="Book Antiqua" w:cs="Arial"/>
          <w:sz w:val="24"/>
          <w:szCs w:val="24"/>
        </w:rPr>
        <w:t xml:space="preserve"> casos sin actualizar la fase), lo que representaba un </w:t>
      </w:r>
      <w:r w:rsidR="008406A1" w:rsidRPr="008406A1">
        <w:rPr>
          <w:rFonts w:ascii="Book Antiqua" w:eastAsia="Calibri" w:hAnsi="Book Antiqua" w:cs="Arial"/>
          <w:sz w:val="24"/>
          <w:szCs w:val="24"/>
        </w:rPr>
        <w:t>48</w:t>
      </w:r>
      <w:r w:rsidRPr="008406A1">
        <w:rPr>
          <w:rFonts w:ascii="Book Antiqua" w:eastAsia="Calibri" w:hAnsi="Book Antiqua" w:cs="Arial"/>
          <w:sz w:val="24"/>
          <w:szCs w:val="24"/>
        </w:rPr>
        <w:t>% del circulante en seguimiento.</w:t>
      </w:r>
      <w:r w:rsidRPr="00695918">
        <w:rPr>
          <w:rFonts w:ascii="Book Antiqua" w:eastAsia="Calibri" w:hAnsi="Book Antiqua" w:cs="Arial"/>
          <w:sz w:val="24"/>
          <w:szCs w:val="24"/>
        </w:rPr>
        <w:t xml:space="preserve"> </w:t>
      </w:r>
    </w:p>
    <w:p w14:paraId="0EF4AB82" w14:textId="77777777" w:rsidR="00695918" w:rsidRPr="00695918" w:rsidRDefault="00695918" w:rsidP="00695918">
      <w:pPr>
        <w:spacing w:after="0" w:line="276" w:lineRule="auto"/>
        <w:jc w:val="both"/>
        <w:rPr>
          <w:rFonts w:ascii="Book Antiqua" w:eastAsia="Calibri" w:hAnsi="Book Antiqua" w:cs="Arial"/>
          <w:sz w:val="24"/>
          <w:szCs w:val="24"/>
        </w:rPr>
      </w:pPr>
    </w:p>
    <w:p w14:paraId="5B64533F" w14:textId="40649824"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Al finalizar </w:t>
      </w:r>
      <w:r w:rsidR="00367E46">
        <w:rPr>
          <w:rFonts w:ascii="Book Antiqua" w:eastAsia="Calibri" w:hAnsi="Book Antiqua" w:cs="Arial"/>
          <w:sz w:val="24"/>
          <w:szCs w:val="24"/>
        </w:rPr>
        <w:t xml:space="preserve">diciembre </w:t>
      </w:r>
      <w:r w:rsidRPr="00695918">
        <w:rPr>
          <w:rFonts w:ascii="Book Antiqua" w:eastAsia="Calibri" w:hAnsi="Book Antiqua" w:cs="Arial"/>
          <w:sz w:val="24"/>
          <w:szCs w:val="24"/>
        </w:rPr>
        <w:t xml:space="preserve">2021 según la información obtenida del SIGMA, se reportan </w:t>
      </w:r>
      <w:r w:rsidRPr="008406A1">
        <w:rPr>
          <w:rFonts w:ascii="Book Antiqua" w:eastAsia="Calibri" w:hAnsi="Book Antiqua" w:cs="Arial"/>
          <w:sz w:val="24"/>
          <w:szCs w:val="24"/>
        </w:rPr>
        <w:t xml:space="preserve">20 </w:t>
      </w:r>
      <w:r w:rsidR="008406A1" w:rsidRPr="008406A1">
        <w:rPr>
          <w:rFonts w:ascii="Book Antiqua" w:eastAsia="Calibri" w:hAnsi="Book Antiqua" w:cs="Arial"/>
          <w:sz w:val="24"/>
          <w:szCs w:val="24"/>
        </w:rPr>
        <w:t>3</w:t>
      </w:r>
      <w:r w:rsidRPr="008406A1">
        <w:rPr>
          <w:rFonts w:ascii="Book Antiqua" w:eastAsia="Calibri" w:hAnsi="Book Antiqua" w:cs="Arial"/>
          <w:sz w:val="24"/>
          <w:szCs w:val="24"/>
        </w:rPr>
        <w:t>6</w:t>
      </w:r>
      <w:r w:rsidR="008406A1" w:rsidRPr="008406A1">
        <w:rPr>
          <w:rFonts w:ascii="Book Antiqua" w:eastAsia="Calibri" w:hAnsi="Book Antiqua" w:cs="Arial"/>
          <w:sz w:val="24"/>
          <w:szCs w:val="24"/>
        </w:rPr>
        <w:t>3</w:t>
      </w:r>
      <w:r w:rsidRPr="008406A1">
        <w:rPr>
          <w:rFonts w:ascii="Book Antiqua" w:eastAsia="Calibri" w:hAnsi="Book Antiqua" w:cs="Arial"/>
          <w:sz w:val="24"/>
          <w:szCs w:val="24"/>
        </w:rPr>
        <w:t xml:space="preserve"> asuntos en circulante</w:t>
      </w:r>
      <w:r w:rsidRPr="00695918">
        <w:rPr>
          <w:rFonts w:ascii="Book Antiqua" w:eastAsia="Calibri" w:hAnsi="Book Antiqua" w:cs="Arial"/>
          <w:sz w:val="24"/>
          <w:szCs w:val="24"/>
        </w:rPr>
        <w:t xml:space="preserve">, una reducción respecto a </w:t>
      </w:r>
      <w:r w:rsidR="00367E46">
        <w:rPr>
          <w:rFonts w:ascii="Book Antiqua" w:eastAsia="Calibri" w:hAnsi="Book Antiqua" w:cs="Arial"/>
          <w:sz w:val="24"/>
          <w:szCs w:val="24"/>
        </w:rPr>
        <w:t>diciembre</w:t>
      </w:r>
      <w:r w:rsidRPr="00695918">
        <w:rPr>
          <w:rFonts w:ascii="Book Antiqua" w:eastAsia="Calibri" w:hAnsi="Book Antiqua" w:cs="Arial"/>
          <w:sz w:val="24"/>
          <w:szCs w:val="24"/>
        </w:rPr>
        <w:t xml:space="preserve"> del año anterior de </w:t>
      </w:r>
      <w:r w:rsidRPr="00C80063">
        <w:rPr>
          <w:rFonts w:ascii="Book Antiqua" w:eastAsia="Calibri" w:hAnsi="Book Antiqua" w:cs="Arial"/>
          <w:sz w:val="24"/>
          <w:szCs w:val="24"/>
        </w:rPr>
        <w:t>9</w:t>
      </w:r>
      <w:r w:rsidR="00CC505A">
        <w:rPr>
          <w:rFonts w:ascii="Book Antiqua" w:eastAsia="Calibri" w:hAnsi="Book Antiqua" w:cs="Arial"/>
          <w:sz w:val="24"/>
          <w:szCs w:val="24"/>
        </w:rPr>
        <w:t>09</w:t>
      </w:r>
      <w:r w:rsidRPr="00695918">
        <w:rPr>
          <w:rFonts w:ascii="Book Antiqua" w:eastAsia="Calibri" w:hAnsi="Book Antiqua" w:cs="Arial"/>
          <w:sz w:val="24"/>
          <w:szCs w:val="24"/>
        </w:rPr>
        <w:t xml:space="preserve"> casos, con el siguiente desglose por fase. </w:t>
      </w:r>
    </w:p>
    <w:p w14:paraId="32DA7A7E" w14:textId="77777777" w:rsidR="00695918" w:rsidRPr="00695918" w:rsidRDefault="00695918" w:rsidP="00695918">
      <w:pPr>
        <w:spacing w:after="0" w:line="276" w:lineRule="auto"/>
        <w:jc w:val="both"/>
        <w:rPr>
          <w:rFonts w:ascii="Book Antiqua" w:eastAsia="Calibri" w:hAnsi="Book Antiqua" w:cs="Arial"/>
          <w:sz w:val="24"/>
          <w:szCs w:val="24"/>
        </w:rPr>
      </w:pPr>
      <w:r w:rsidRPr="00695918">
        <w:rPr>
          <w:rFonts w:ascii="Book Antiqua" w:eastAsia="Calibri" w:hAnsi="Book Antiqua" w:cs="Arial"/>
          <w:sz w:val="24"/>
          <w:szCs w:val="24"/>
        </w:rPr>
        <w:t xml:space="preserve"> </w:t>
      </w:r>
    </w:p>
    <w:p w14:paraId="46E887F5" w14:textId="2FB53881" w:rsidR="00695918" w:rsidRPr="00695918" w:rsidRDefault="00695918" w:rsidP="0069591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5918">
        <w:rPr>
          <w:rFonts w:ascii="Book Antiqua" w:eastAsia="Calibri" w:hAnsi="Book Antiqua" w:cs="Arial"/>
          <w:b/>
          <w:bCs/>
          <w:color w:val="1F497D"/>
          <w:szCs w:val="24"/>
          <w:lang w:val="es-ES" w:eastAsia="es-ES"/>
        </w:rPr>
        <w:t xml:space="preserve">Cuadro </w:t>
      </w:r>
      <w:r w:rsidRPr="00695918">
        <w:rPr>
          <w:rFonts w:ascii="Book Antiqua" w:eastAsia="Calibri" w:hAnsi="Book Antiqua" w:cs="Arial"/>
          <w:b/>
          <w:bCs/>
          <w:color w:val="1F497D"/>
          <w:szCs w:val="24"/>
          <w:lang w:val="es-ES" w:eastAsia="es-ES"/>
        </w:rPr>
        <w:fldChar w:fldCharType="begin"/>
      </w:r>
      <w:r w:rsidRPr="00695918">
        <w:rPr>
          <w:rFonts w:ascii="Book Antiqua" w:eastAsia="Calibri" w:hAnsi="Book Antiqua" w:cs="Arial"/>
          <w:b/>
          <w:bCs/>
          <w:color w:val="1F497D"/>
          <w:szCs w:val="24"/>
          <w:lang w:val="es-ES" w:eastAsia="es-ES"/>
        </w:rPr>
        <w:instrText xml:space="preserve"> SEQ Cuadro \* ARABIC </w:instrText>
      </w:r>
      <w:r w:rsidRPr="00695918">
        <w:rPr>
          <w:rFonts w:ascii="Book Antiqua" w:eastAsia="Calibri" w:hAnsi="Book Antiqua" w:cs="Arial"/>
          <w:b/>
          <w:bCs/>
          <w:color w:val="1F497D"/>
          <w:szCs w:val="24"/>
          <w:lang w:val="es-ES" w:eastAsia="es-ES"/>
        </w:rPr>
        <w:fldChar w:fldCharType="separate"/>
      </w:r>
      <w:r w:rsidR="00803089">
        <w:rPr>
          <w:rFonts w:ascii="Book Antiqua" w:eastAsia="Calibri" w:hAnsi="Book Antiqua" w:cs="Arial"/>
          <w:b/>
          <w:bCs/>
          <w:noProof/>
          <w:color w:val="1F497D"/>
          <w:szCs w:val="24"/>
          <w:lang w:val="es-ES" w:eastAsia="es-ES"/>
        </w:rPr>
        <w:t>70</w:t>
      </w:r>
      <w:r w:rsidRPr="00695918">
        <w:rPr>
          <w:rFonts w:ascii="Book Antiqua" w:eastAsia="Calibri" w:hAnsi="Book Antiqua" w:cs="Arial"/>
          <w:b/>
          <w:bCs/>
          <w:color w:val="1F497D"/>
          <w:szCs w:val="24"/>
          <w:lang w:val="es-ES" w:eastAsia="es-ES"/>
        </w:rPr>
        <w:fldChar w:fldCharType="end"/>
      </w:r>
      <w:r w:rsidRPr="00695918">
        <w:rPr>
          <w:rFonts w:ascii="Book Antiqua" w:eastAsia="Calibri" w:hAnsi="Book Antiqua" w:cs="Arial"/>
          <w:b/>
          <w:bCs/>
          <w:color w:val="1F497D"/>
          <w:szCs w:val="24"/>
          <w:lang w:val="es-ES" w:eastAsia="es-ES"/>
        </w:rPr>
        <w:t xml:space="preserve"> </w:t>
      </w:r>
    </w:p>
    <w:p w14:paraId="6DD13367" w14:textId="77777777" w:rsidR="008406A1" w:rsidRDefault="00695918" w:rsidP="0069591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5918">
        <w:rPr>
          <w:rFonts w:ascii="Book Antiqua" w:eastAsia="Calibri" w:hAnsi="Book Antiqua" w:cs="Arial"/>
          <w:b/>
          <w:bCs/>
          <w:color w:val="1F497D"/>
          <w:szCs w:val="24"/>
          <w:lang w:val="es-ES" w:eastAsia="es-ES"/>
        </w:rPr>
        <w:t>Circulante por fases en los Juzgados Especializados de Violencia Doméstica,</w:t>
      </w:r>
    </w:p>
    <w:p w14:paraId="61B4970C" w14:textId="0DADD85A" w:rsidR="00695918" w:rsidRPr="00695918" w:rsidRDefault="00695918" w:rsidP="0069591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5918">
        <w:rPr>
          <w:rFonts w:ascii="Book Antiqua" w:eastAsia="Calibri" w:hAnsi="Book Antiqua" w:cs="Arial"/>
          <w:b/>
          <w:bCs/>
          <w:color w:val="1F497D"/>
          <w:szCs w:val="24"/>
          <w:lang w:val="es-ES" w:eastAsia="es-ES"/>
        </w:rPr>
        <w:t xml:space="preserve">al finalizar </w:t>
      </w:r>
      <w:r>
        <w:rPr>
          <w:rFonts w:ascii="Book Antiqua" w:eastAsia="Calibri" w:hAnsi="Book Antiqua" w:cs="Arial"/>
          <w:b/>
          <w:bCs/>
          <w:color w:val="1F497D"/>
          <w:szCs w:val="24"/>
          <w:lang w:val="es-ES" w:eastAsia="es-ES"/>
        </w:rPr>
        <w:t xml:space="preserve">diciembre </w:t>
      </w:r>
      <w:r w:rsidRPr="00695918">
        <w:rPr>
          <w:rFonts w:ascii="Book Antiqua" w:eastAsia="Calibri" w:hAnsi="Book Antiqua" w:cs="Arial"/>
          <w:b/>
          <w:bCs/>
          <w:color w:val="1F497D"/>
          <w:szCs w:val="24"/>
          <w:lang w:val="es-ES" w:eastAsia="es-ES"/>
        </w:rPr>
        <w:t>2021</w:t>
      </w:r>
    </w:p>
    <w:tbl>
      <w:tblPr>
        <w:tblW w:w="5000" w:type="pct"/>
        <w:tblCellMar>
          <w:left w:w="70" w:type="dxa"/>
          <w:right w:w="70" w:type="dxa"/>
        </w:tblCellMar>
        <w:tblLook w:val="04A0" w:firstRow="1" w:lastRow="0" w:firstColumn="1" w:lastColumn="0" w:noHBand="0" w:noVBand="1"/>
      </w:tblPr>
      <w:tblGrid>
        <w:gridCol w:w="2160"/>
        <w:gridCol w:w="722"/>
        <w:gridCol w:w="906"/>
        <w:gridCol w:w="722"/>
        <w:gridCol w:w="721"/>
        <w:gridCol w:w="721"/>
        <w:gridCol w:w="721"/>
        <w:gridCol w:w="721"/>
        <w:gridCol w:w="1424"/>
      </w:tblGrid>
      <w:tr w:rsidR="008406A1" w:rsidRPr="008406A1" w14:paraId="65C6F8B3" w14:textId="77777777" w:rsidTr="008406A1">
        <w:trPr>
          <w:cantSplit/>
          <w:trHeight w:val="1570"/>
        </w:trPr>
        <w:tc>
          <w:tcPr>
            <w:tcW w:w="1224" w:type="pct"/>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255A2EA8" w14:textId="77777777" w:rsidR="008406A1" w:rsidRPr="008406A1" w:rsidRDefault="008406A1" w:rsidP="004F2EC7">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Despacho</w:t>
            </w:r>
          </w:p>
        </w:tc>
        <w:tc>
          <w:tcPr>
            <w:tcW w:w="40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FBCAE0A"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Demanda</w:t>
            </w:r>
          </w:p>
        </w:tc>
        <w:tc>
          <w:tcPr>
            <w:tcW w:w="513"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546D624A"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Demostrativa</w:t>
            </w:r>
          </w:p>
        </w:tc>
        <w:tc>
          <w:tcPr>
            <w:tcW w:w="40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360949E"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Conclusiva</w:t>
            </w:r>
          </w:p>
        </w:tc>
        <w:tc>
          <w:tcPr>
            <w:tcW w:w="40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2B321BCF"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Seguimiento</w:t>
            </w:r>
          </w:p>
        </w:tc>
        <w:tc>
          <w:tcPr>
            <w:tcW w:w="40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3C61A6B2"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Desconocida</w:t>
            </w:r>
          </w:p>
        </w:tc>
        <w:tc>
          <w:tcPr>
            <w:tcW w:w="40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944D3FB"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Itinerado (Actualizar)</w:t>
            </w:r>
          </w:p>
        </w:tc>
        <w:tc>
          <w:tcPr>
            <w:tcW w:w="409" w:type="pct"/>
            <w:tcBorders>
              <w:top w:val="single" w:sz="8" w:space="0" w:color="auto"/>
              <w:left w:val="nil"/>
              <w:bottom w:val="single" w:sz="8" w:space="0" w:color="auto"/>
              <w:right w:val="single" w:sz="8" w:space="0" w:color="auto"/>
            </w:tcBorders>
            <w:shd w:val="clear" w:color="000000" w:fill="002060"/>
            <w:noWrap/>
            <w:vAlign w:val="center"/>
            <w:hideMark/>
          </w:tcPr>
          <w:p w14:paraId="30850B71"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Total</w:t>
            </w:r>
          </w:p>
        </w:tc>
        <w:tc>
          <w:tcPr>
            <w:tcW w:w="807" w:type="pct"/>
            <w:tcBorders>
              <w:top w:val="single" w:sz="8" w:space="0" w:color="auto"/>
              <w:left w:val="nil"/>
              <w:bottom w:val="single" w:sz="8" w:space="0" w:color="auto"/>
              <w:right w:val="single" w:sz="8" w:space="0" w:color="auto"/>
            </w:tcBorders>
            <w:shd w:val="clear" w:color="000000" w:fill="002060"/>
            <w:vAlign w:val="center"/>
            <w:hideMark/>
          </w:tcPr>
          <w:p w14:paraId="7B14BDEC"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Circulante en Seguimiento</w:t>
            </w:r>
          </w:p>
        </w:tc>
      </w:tr>
      <w:tr w:rsidR="008406A1" w:rsidRPr="008406A1" w14:paraId="411AB095"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1D3FCF82"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Heredia</w:t>
            </w:r>
          </w:p>
        </w:tc>
        <w:tc>
          <w:tcPr>
            <w:tcW w:w="409" w:type="pct"/>
            <w:tcBorders>
              <w:top w:val="nil"/>
              <w:left w:val="nil"/>
              <w:bottom w:val="single" w:sz="8" w:space="0" w:color="auto"/>
              <w:right w:val="single" w:sz="8" w:space="0" w:color="auto"/>
            </w:tcBorders>
            <w:shd w:val="clear" w:color="auto" w:fill="auto"/>
            <w:noWrap/>
            <w:vAlign w:val="center"/>
            <w:hideMark/>
          </w:tcPr>
          <w:p w14:paraId="340877F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103</w:t>
            </w:r>
          </w:p>
        </w:tc>
        <w:tc>
          <w:tcPr>
            <w:tcW w:w="513" w:type="pct"/>
            <w:tcBorders>
              <w:top w:val="nil"/>
              <w:left w:val="nil"/>
              <w:bottom w:val="single" w:sz="8" w:space="0" w:color="auto"/>
              <w:right w:val="single" w:sz="8" w:space="0" w:color="auto"/>
            </w:tcBorders>
            <w:shd w:val="clear" w:color="auto" w:fill="auto"/>
            <w:noWrap/>
            <w:vAlign w:val="center"/>
            <w:hideMark/>
          </w:tcPr>
          <w:p w14:paraId="43EEC1A7"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57</w:t>
            </w:r>
          </w:p>
        </w:tc>
        <w:tc>
          <w:tcPr>
            <w:tcW w:w="409" w:type="pct"/>
            <w:tcBorders>
              <w:top w:val="nil"/>
              <w:left w:val="nil"/>
              <w:bottom w:val="single" w:sz="8" w:space="0" w:color="auto"/>
              <w:right w:val="single" w:sz="8" w:space="0" w:color="auto"/>
            </w:tcBorders>
            <w:shd w:val="clear" w:color="auto" w:fill="auto"/>
            <w:noWrap/>
            <w:vAlign w:val="center"/>
            <w:hideMark/>
          </w:tcPr>
          <w:p w14:paraId="398800BB"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6</w:t>
            </w:r>
          </w:p>
        </w:tc>
        <w:tc>
          <w:tcPr>
            <w:tcW w:w="409" w:type="pct"/>
            <w:tcBorders>
              <w:top w:val="nil"/>
              <w:left w:val="nil"/>
              <w:bottom w:val="single" w:sz="8" w:space="0" w:color="auto"/>
              <w:right w:val="single" w:sz="8" w:space="0" w:color="auto"/>
            </w:tcBorders>
            <w:shd w:val="clear" w:color="auto" w:fill="auto"/>
            <w:noWrap/>
            <w:vAlign w:val="center"/>
            <w:hideMark/>
          </w:tcPr>
          <w:p w14:paraId="3190D057" w14:textId="77777777" w:rsidR="008406A1" w:rsidRPr="00464E4E"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717</w:t>
            </w:r>
          </w:p>
        </w:tc>
        <w:tc>
          <w:tcPr>
            <w:tcW w:w="409" w:type="pct"/>
            <w:tcBorders>
              <w:top w:val="nil"/>
              <w:left w:val="nil"/>
              <w:bottom w:val="single" w:sz="8" w:space="0" w:color="auto"/>
              <w:right w:val="single" w:sz="8" w:space="0" w:color="auto"/>
            </w:tcBorders>
            <w:shd w:val="clear" w:color="auto" w:fill="auto"/>
            <w:noWrap/>
            <w:vAlign w:val="center"/>
            <w:hideMark/>
          </w:tcPr>
          <w:p w14:paraId="1B955B3F"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4BDA37D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0D9DC0B3"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883</w:t>
            </w:r>
          </w:p>
        </w:tc>
        <w:tc>
          <w:tcPr>
            <w:tcW w:w="807" w:type="pct"/>
            <w:tcBorders>
              <w:top w:val="nil"/>
              <w:left w:val="nil"/>
              <w:bottom w:val="single" w:sz="8" w:space="0" w:color="auto"/>
              <w:right w:val="single" w:sz="8" w:space="0" w:color="auto"/>
            </w:tcBorders>
            <w:shd w:val="clear" w:color="000000" w:fill="FFFFFF"/>
            <w:noWrap/>
            <w:vAlign w:val="center"/>
            <w:hideMark/>
          </w:tcPr>
          <w:p w14:paraId="77F65B54"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81%</w:t>
            </w:r>
          </w:p>
        </w:tc>
      </w:tr>
      <w:tr w:rsidR="008406A1" w:rsidRPr="008406A1" w14:paraId="70169B7A"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37F522C4"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Puntarenas</w:t>
            </w:r>
          </w:p>
        </w:tc>
        <w:tc>
          <w:tcPr>
            <w:tcW w:w="409" w:type="pct"/>
            <w:tcBorders>
              <w:top w:val="nil"/>
              <w:left w:val="nil"/>
              <w:bottom w:val="single" w:sz="8" w:space="0" w:color="auto"/>
              <w:right w:val="single" w:sz="8" w:space="0" w:color="auto"/>
            </w:tcBorders>
            <w:shd w:val="clear" w:color="auto" w:fill="auto"/>
            <w:noWrap/>
            <w:vAlign w:val="center"/>
            <w:hideMark/>
          </w:tcPr>
          <w:p w14:paraId="52437C7D"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399</w:t>
            </w:r>
          </w:p>
        </w:tc>
        <w:tc>
          <w:tcPr>
            <w:tcW w:w="513" w:type="pct"/>
            <w:tcBorders>
              <w:top w:val="nil"/>
              <w:left w:val="nil"/>
              <w:bottom w:val="single" w:sz="8" w:space="0" w:color="auto"/>
              <w:right w:val="single" w:sz="8" w:space="0" w:color="auto"/>
            </w:tcBorders>
            <w:shd w:val="clear" w:color="auto" w:fill="auto"/>
            <w:noWrap/>
            <w:vAlign w:val="center"/>
            <w:hideMark/>
          </w:tcPr>
          <w:p w14:paraId="020BA599"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13</w:t>
            </w:r>
          </w:p>
        </w:tc>
        <w:tc>
          <w:tcPr>
            <w:tcW w:w="409" w:type="pct"/>
            <w:tcBorders>
              <w:top w:val="nil"/>
              <w:left w:val="nil"/>
              <w:bottom w:val="single" w:sz="8" w:space="0" w:color="auto"/>
              <w:right w:val="single" w:sz="8" w:space="0" w:color="auto"/>
            </w:tcBorders>
            <w:shd w:val="clear" w:color="auto" w:fill="auto"/>
            <w:noWrap/>
            <w:vAlign w:val="center"/>
            <w:hideMark/>
          </w:tcPr>
          <w:p w14:paraId="13DC9E6D"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w:t>
            </w:r>
          </w:p>
        </w:tc>
        <w:tc>
          <w:tcPr>
            <w:tcW w:w="409" w:type="pct"/>
            <w:tcBorders>
              <w:top w:val="nil"/>
              <w:left w:val="nil"/>
              <w:bottom w:val="single" w:sz="8" w:space="0" w:color="auto"/>
              <w:right w:val="single" w:sz="8" w:space="0" w:color="auto"/>
            </w:tcBorders>
            <w:shd w:val="clear" w:color="auto" w:fill="auto"/>
            <w:noWrap/>
            <w:vAlign w:val="center"/>
            <w:hideMark/>
          </w:tcPr>
          <w:p w14:paraId="11B665CA" w14:textId="77777777" w:rsidR="008406A1" w:rsidRPr="00464E4E"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757</w:t>
            </w:r>
          </w:p>
        </w:tc>
        <w:tc>
          <w:tcPr>
            <w:tcW w:w="409" w:type="pct"/>
            <w:tcBorders>
              <w:top w:val="nil"/>
              <w:left w:val="nil"/>
              <w:bottom w:val="single" w:sz="8" w:space="0" w:color="auto"/>
              <w:right w:val="single" w:sz="8" w:space="0" w:color="auto"/>
            </w:tcBorders>
            <w:shd w:val="clear" w:color="auto" w:fill="auto"/>
            <w:noWrap/>
            <w:vAlign w:val="center"/>
            <w:hideMark/>
          </w:tcPr>
          <w:p w14:paraId="1D6BA49E"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w:t>
            </w:r>
          </w:p>
        </w:tc>
        <w:tc>
          <w:tcPr>
            <w:tcW w:w="409" w:type="pct"/>
            <w:tcBorders>
              <w:top w:val="nil"/>
              <w:left w:val="nil"/>
              <w:bottom w:val="single" w:sz="8" w:space="0" w:color="auto"/>
              <w:right w:val="single" w:sz="8" w:space="0" w:color="auto"/>
            </w:tcBorders>
            <w:shd w:val="clear" w:color="auto" w:fill="auto"/>
            <w:noWrap/>
            <w:vAlign w:val="center"/>
            <w:hideMark/>
          </w:tcPr>
          <w:p w14:paraId="4596F7A6"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4BA76243"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1172</w:t>
            </w:r>
          </w:p>
        </w:tc>
        <w:tc>
          <w:tcPr>
            <w:tcW w:w="807" w:type="pct"/>
            <w:tcBorders>
              <w:top w:val="nil"/>
              <w:left w:val="nil"/>
              <w:bottom w:val="single" w:sz="8" w:space="0" w:color="auto"/>
              <w:right w:val="single" w:sz="8" w:space="0" w:color="auto"/>
            </w:tcBorders>
            <w:shd w:val="clear" w:color="000000" w:fill="FFFFFF"/>
            <w:noWrap/>
            <w:vAlign w:val="center"/>
            <w:hideMark/>
          </w:tcPr>
          <w:p w14:paraId="6F717EB3"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65%</w:t>
            </w:r>
          </w:p>
        </w:tc>
      </w:tr>
      <w:tr w:rsidR="008406A1" w:rsidRPr="008406A1" w14:paraId="45A0457E" w14:textId="77777777" w:rsidTr="008406A1">
        <w:trPr>
          <w:trHeight w:val="89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2E577A4D" w14:textId="7E1F03EC"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lastRenderedPageBreak/>
              <w:t xml:space="preserve">Juzgado de Violencia Doméstica del I Circ. Jud. </w:t>
            </w:r>
            <w:r w:rsidR="00E85731" w:rsidRPr="008406A1">
              <w:rPr>
                <w:rFonts w:ascii="Book Antiqua" w:eastAsia="Times New Roman" w:hAnsi="Book Antiqua" w:cs="Arial"/>
                <w:color w:val="000000"/>
                <w:lang w:eastAsia="es-CR"/>
              </w:rPr>
              <w:t>D</w:t>
            </w:r>
            <w:r w:rsidRPr="008406A1">
              <w:rPr>
                <w:rFonts w:ascii="Book Antiqua" w:eastAsia="Times New Roman" w:hAnsi="Book Antiqua" w:cs="Arial"/>
                <w:color w:val="000000"/>
                <w:lang w:eastAsia="es-CR"/>
              </w:rPr>
              <w:t>e la Zona Atlántica</w:t>
            </w:r>
          </w:p>
        </w:tc>
        <w:tc>
          <w:tcPr>
            <w:tcW w:w="409" w:type="pct"/>
            <w:tcBorders>
              <w:top w:val="nil"/>
              <w:left w:val="nil"/>
              <w:bottom w:val="single" w:sz="8" w:space="0" w:color="auto"/>
              <w:right w:val="single" w:sz="8" w:space="0" w:color="auto"/>
            </w:tcBorders>
            <w:shd w:val="clear" w:color="auto" w:fill="auto"/>
            <w:noWrap/>
            <w:vAlign w:val="center"/>
            <w:hideMark/>
          </w:tcPr>
          <w:p w14:paraId="6CFBB3D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355</w:t>
            </w:r>
          </w:p>
        </w:tc>
        <w:tc>
          <w:tcPr>
            <w:tcW w:w="513" w:type="pct"/>
            <w:tcBorders>
              <w:top w:val="nil"/>
              <w:left w:val="nil"/>
              <w:bottom w:val="single" w:sz="8" w:space="0" w:color="auto"/>
              <w:right w:val="single" w:sz="8" w:space="0" w:color="auto"/>
            </w:tcBorders>
            <w:shd w:val="clear" w:color="auto" w:fill="auto"/>
            <w:noWrap/>
            <w:vAlign w:val="center"/>
            <w:hideMark/>
          </w:tcPr>
          <w:p w14:paraId="0F30019A"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w:t>
            </w:r>
          </w:p>
        </w:tc>
        <w:tc>
          <w:tcPr>
            <w:tcW w:w="409" w:type="pct"/>
            <w:tcBorders>
              <w:top w:val="nil"/>
              <w:left w:val="nil"/>
              <w:bottom w:val="single" w:sz="8" w:space="0" w:color="auto"/>
              <w:right w:val="single" w:sz="8" w:space="0" w:color="auto"/>
            </w:tcBorders>
            <w:shd w:val="clear" w:color="auto" w:fill="auto"/>
            <w:noWrap/>
            <w:vAlign w:val="center"/>
            <w:hideMark/>
          </w:tcPr>
          <w:p w14:paraId="3FBA1C08"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w:t>
            </w:r>
          </w:p>
        </w:tc>
        <w:tc>
          <w:tcPr>
            <w:tcW w:w="409" w:type="pct"/>
            <w:tcBorders>
              <w:top w:val="nil"/>
              <w:left w:val="nil"/>
              <w:bottom w:val="single" w:sz="8" w:space="0" w:color="auto"/>
              <w:right w:val="single" w:sz="8" w:space="0" w:color="auto"/>
            </w:tcBorders>
            <w:shd w:val="clear" w:color="auto" w:fill="auto"/>
            <w:noWrap/>
            <w:vAlign w:val="center"/>
            <w:hideMark/>
          </w:tcPr>
          <w:p w14:paraId="61D22364" w14:textId="77777777" w:rsidR="008406A1" w:rsidRPr="00464E4E"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418</w:t>
            </w:r>
          </w:p>
        </w:tc>
        <w:tc>
          <w:tcPr>
            <w:tcW w:w="409" w:type="pct"/>
            <w:tcBorders>
              <w:top w:val="nil"/>
              <w:left w:val="nil"/>
              <w:bottom w:val="single" w:sz="8" w:space="0" w:color="auto"/>
              <w:right w:val="single" w:sz="8" w:space="0" w:color="auto"/>
            </w:tcBorders>
            <w:shd w:val="clear" w:color="auto" w:fill="auto"/>
            <w:noWrap/>
            <w:vAlign w:val="center"/>
            <w:hideMark/>
          </w:tcPr>
          <w:p w14:paraId="55A48DEA"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24E53B00"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0915458C"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776</w:t>
            </w:r>
          </w:p>
        </w:tc>
        <w:tc>
          <w:tcPr>
            <w:tcW w:w="807" w:type="pct"/>
            <w:tcBorders>
              <w:top w:val="nil"/>
              <w:left w:val="nil"/>
              <w:bottom w:val="single" w:sz="8" w:space="0" w:color="auto"/>
              <w:right w:val="single" w:sz="8" w:space="0" w:color="auto"/>
            </w:tcBorders>
            <w:shd w:val="clear" w:color="000000" w:fill="FFFFFF"/>
            <w:noWrap/>
            <w:vAlign w:val="center"/>
            <w:hideMark/>
          </w:tcPr>
          <w:p w14:paraId="1019B779"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54%</w:t>
            </w:r>
          </w:p>
        </w:tc>
      </w:tr>
      <w:tr w:rsidR="008406A1" w:rsidRPr="008406A1" w14:paraId="575CE277"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3096D6E1"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I Circ. Jud. Zona Sur</w:t>
            </w:r>
          </w:p>
        </w:tc>
        <w:tc>
          <w:tcPr>
            <w:tcW w:w="409" w:type="pct"/>
            <w:tcBorders>
              <w:top w:val="nil"/>
              <w:left w:val="nil"/>
              <w:bottom w:val="single" w:sz="8" w:space="0" w:color="auto"/>
              <w:right w:val="single" w:sz="8" w:space="0" w:color="auto"/>
            </w:tcBorders>
            <w:shd w:val="clear" w:color="auto" w:fill="auto"/>
            <w:noWrap/>
            <w:vAlign w:val="center"/>
            <w:hideMark/>
          </w:tcPr>
          <w:p w14:paraId="25BE42FE"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467</w:t>
            </w:r>
          </w:p>
        </w:tc>
        <w:tc>
          <w:tcPr>
            <w:tcW w:w="513" w:type="pct"/>
            <w:tcBorders>
              <w:top w:val="nil"/>
              <w:left w:val="nil"/>
              <w:bottom w:val="single" w:sz="8" w:space="0" w:color="auto"/>
              <w:right w:val="single" w:sz="8" w:space="0" w:color="auto"/>
            </w:tcBorders>
            <w:shd w:val="clear" w:color="auto" w:fill="auto"/>
            <w:noWrap/>
            <w:vAlign w:val="center"/>
            <w:hideMark/>
          </w:tcPr>
          <w:p w14:paraId="0F1CC82B"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5E37CE7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19</w:t>
            </w:r>
          </w:p>
        </w:tc>
        <w:tc>
          <w:tcPr>
            <w:tcW w:w="409" w:type="pct"/>
            <w:tcBorders>
              <w:top w:val="nil"/>
              <w:left w:val="nil"/>
              <w:bottom w:val="single" w:sz="8" w:space="0" w:color="auto"/>
              <w:right w:val="single" w:sz="8" w:space="0" w:color="auto"/>
            </w:tcBorders>
            <w:shd w:val="clear" w:color="auto" w:fill="auto"/>
            <w:noWrap/>
            <w:vAlign w:val="center"/>
            <w:hideMark/>
          </w:tcPr>
          <w:p w14:paraId="1DF7C76E" w14:textId="77777777" w:rsidR="008406A1" w:rsidRPr="00464E4E"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819</w:t>
            </w:r>
          </w:p>
        </w:tc>
        <w:tc>
          <w:tcPr>
            <w:tcW w:w="409" w:type="pct"/>
            <w:tcBorders>
              <w:top w:val="nil"/>
              <w:left w:val="nil"/>
              <w:bottom w:val="single" w:sz="8" w:space="0" w:color="auto"/>
              <w:right w:val="single" w:sz="8" w:space="0" w:color="auto"/>
            </w:tcBorders>
            <w:shd w:val="clear" w:color="auto" w:fill="auto"/>
            <w:noWrap/>
            <w:vAlign w:val="center"/>
            <w:hideMark/>
          </w:tcPr>
          <w:p w14:paraId="45AA7C89"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387868BD"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7E56F3BF"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1305</w:t>
            </w:r>
          </w:p>
        </w:tc>
        <w:tc>
          <w:tcPr>
            <w:tcW w:w="807" w:type="pct"/>
            <w:tcBorders>
              <w:top w:val="nil"/>
              <w:left w:val="nil"/>
              <w:bottom w:val="single" w:sz="8" w:space="0" w:color="auto"/>
              <w:right w:val="single" w:sz="8" w:space="0" w:color="auto"/>
            </w:tcBorders>
            <w:shd w:val="clear" w:color="000000" w:fill="FFFFFF"/>
            <w:noWrap/>
            <w:vAlign w:val="center"/>
            <w:hideMark/>
          </w:tcPr>
          <w:p w14:paraId="68D1E577"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63%</w:t>
            </w:r>
          </w:p>
        </w:tc>
      </w:tr>
      <w:tr w:rsidR="008406A1" w:rsidRPr="008406A1" w14:paraId="298A484A"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2168E013"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I Circ. Jud. San José</w:t>
            </w:r>
          </w:p>
        </w:tc>
        <w:tc>
          <w:tcPr>
            <w:tcW w:w="409" w:type="pct"/>
            <w:tcBorders>
              <w:top w:val="nil"/>
              <w:left w:val="nil"/>
              <w:bottom w:val="single" w:sz="8" w:space="0" w:color="auto"/>
              <w:right w:val="single" w:sz="8" w:space="0" w:color="auto"/>
            </w:tcBorders>
            <w:shd w:val="clear" w:color="auto" w:fill="auto"/>
            <w:noWrap/>
            <w:vAlign w:val="center"/>
            <w:hideMark/>
          </w:tcPr>
          <w:p w14:paraId="4F69018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233</w:t>
            </w:r>
          </w:p>
        </w:tc>
        <w:tc>
          <w:tcPr>
            <w:tcW w:w="513" w:type="pct"/>
            <w:tcBorders>
              <w:top w:val="nil"/>
              <w:left w:val="nil"/>
              <w:bottom w:val="single" w:sz="8" w:space="0" w:color="auto"/>
              <w:right w:val="single" w:sz="8" w:space="0" w:color="auto"/>
            </w:tcBorders>
            <w:shd w:val="clear" w:color="auto" w:fill="auto"/>
            <w:noWrap/>
            <w:vAlign w:val="center"/>
            <w:hideMark/>
          </w:tcPr>
          <w:p w14:paraId="0A6BB27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65</w:t>
            </w:r>
          </w:p>
        </w:tc>
        <w:tc>
          <w:tcPr>
            <w:tcW w:w="409" w:type="pct"/>
            <w:tcBorders>
              <w:top w:val="nil"/>
              <w:left w:val="nil"/>
              <w:bottom w:val="single" w:sz="8" w:space="0" w:color="auto"/>
              <w:right w:val="single" w:sz="8" w:space="0" w:color="auto"/>
            </w:tcBorders>
            <w:shd w:val="clear" w:color="auto" w:fill="auto"/>
            <w:noWrap/>
            <w:vAlign w:val="center"/>
            <w:hideMark/>
          </w:tcPr>
          <w:p w14:paraId="60A96733"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5DE8FAAC" w14:textId="77777777" w:rsidR="008406A1" w:rsidRPr="00464E4E"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718</w:t>
            </w:r>
          </w:p>
        </w:tc>
        <w:tc>
          <w:tcPr>
            <w:tcW w:w="409" w:type="pct"/>
            <w:tcBorders>
              <w:top w:val="nil"/>
              <w:left w:val="nil"/>
              <w:bottom w:val="single" w:sz="8" w:space="0" w:color="auto"/>
              <w:right w:val="single" w:sz="8" w:space="0" w:color="auto"/>
            </w:tcBorders>
            <w:shd w:val="clear" w:color="auto" w:fill="auto"/>
            <w:noWrap/>
            <w:vAlign w:val="center"/>
            <w:hideMark/>
          </w:tcPr>
          <w:p w14:paraId="4DE58EF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7AA9BA6B" w14:textId="77777777" w:rsidR="008406A1" w:rsidRPr="008406A1" w:rsidRDefault="008406A1" w:rsidP="008406A1">
            <w:pPr>
              <w:spacing w:after="0" w:line="240" w:lineRule="auto"/>
              <w:rPr>
                <w:rFonts w:ascii="Calibri" w:eastAsia="Times New Roman" w:hAnsi="Calibri" w:cs="Calibri"/>
                <w:color w:val="000000"/>
                <w:lang w:eastAsia="es-CR"/>
              </w:rPr>
            </w:pPr>
            <w:r w:rsidRPr="008406A1">
              <w:rPr>
                <w:rFonts w:ascii="Calibri" w:eastAsia="Times New Roman" w:hAnsi="Calibri"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5C619946"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1016</w:t>
            </w:r>
          </w:p>
        </w:tc>
        <w:tc>
          <w:tcPr>
            <w:tcW w:w="807" w:type="pct"/>
            <w:tcBorders>
              <w:top w:val="nil"/>
              <w:left w:val="nil"/>
              <w:bottom w:val="single" w:sz="8" w:space="0" w:color="auto"/>
              <w:right w:val="single" w:sz="8" w:space="0" w:color="auto"/>
            </w:tcBorders>
            <w:shd w:val="clear" w:color="000000" w:fill="FFFFFF"/>
            <w:noWrap/>
            <w:vAlign w:val="center"/>
            <w:hideMark/>
          </w:tcPr>
          <w:p w14:paraId="2741FCC1"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71%</w:t>
            </w:r>
          </w:p>
        </w:tc>
      </w:tr>
      <w:tr w:rsidR="008406A1" w:rsidRPr="008406A1" w14:paraId="0CCA81A5"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3903FFFF" w14:textId="531DE18E"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xml:space="preserve">Juzgado Violencia Doméstica Hatillo, San Sebas. </w:t>
            </w:r>
            <w:r w:rsidR="00E85731" w:rsidRPr="008406A1">
              <w:rPr>
                <w:rFonts w:ascii="Book Antiqua" w:eastAsia="Times New Roman" w:hAnsi="Book Antiqua" w:cs="Arial"/>
                <w:color w:val="000000"/>
                <w:lang w:eastAsia="es-CR"/>
              </w:rPr>
              <w:t>Y</w:t>
            </w:r>
            <w:r w:rsidRPr="008406A1">
              <w:rPr>
                <w:rFonts w:ascii="Book Antiqua" w:eastAsia="Times New Roman" w:hAnsi="Book Antiqua" w:cs="Arial"/>
                <w:color w:val="000000"/>
                <w:lang w:eastAsia="es-CR"/>
              </w:rPr>
              <w:t xml:space="preserve"> Alajuelita</w:t>
            </w:r>
          </w:p>
        </w:tc>
        <w:tc>
          <w:tcPr>
            <w:tcW w:w="409" w:type="pct"/>
            <w:tcBorders>
              <w:top w:val="nil"/>
              <w:left w:val="nil"/>
              <w:bottom w:val="single" w:sz="8" w:space="0" w:color="auto"/>
              <w:right w:val="single" w:sz="8" w:space="0" w:color="auto"/>
            </w:tcBorders>
            <w:shd w:val="clear" w:color="auto" w:fill="auto"/>
            <w:noWrap/>
            <w:vAlign w:val="center"/>
            <w:hideMark/>
          </w:tcPr>
          <w:p w14:paraId="6980AD8E"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582</w:t>
            </w:r>
          </w:p>
        </w:tc>
        <w:tc>
          <w:tcPr>
            <w:tcW w:w="513" w:type="pct"/>
            <w:tcBorders>
              <w:top w:val="nil"/>
              <w:left w:val="nil"/>
              <w:bottom w:val="single" w:sz="8" w:space="0" w:color="auto"/>
              <w:right w:val="single" w:sz="8" w:space="0" w:color="auto"/>
            </w:tcBorders>
            <w:shd w:val="clear" w:color="auto" w:fill="auto"/>
            <w:noWrap/>
            <w:vAlign w:val="center"/>
            <w:hideMark/>
          </w:tcPr>
          <w:p w14:paraId="088F0B36"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25</w:t>
            </w:r>
          </w:p>
        </w:tc>
        <w:tc>
          <w:tcPr>
            <w:tcW w:w="409" w:type="pct"/>
            <w:tcBorders>
              <w:top w:val="nil"/>
              <w:left w:val="nil"/>
              <w:bottom w:val="single" w:sz="8" w:space="0" w:color="auto"/>
              <w:right w:val="single" w:sz="8" w:space="0" w:color="auto"/>
            </w:tcBorders>
            <w:shd w:val="clear" w:color="auto" w:fill="auto"/>
            <w:noWrap/>
            <w:vAlign w:val="center"/>
            <w:hideMark/>
          </w:tcPr>
          <w:p w14:paraId="72ADDC4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479</w:t>
            </w:r>
          </w:p>
        </w:tc>
        <w:tc>
          <w:tcPr>
            <w:tcW w:w="409" w:type="pct"/>
            <w:tcBorders>
              <w:top w:val="nil"/>
              <w:left w:val="nil"/>
              <w:bottom w:val="single" w:sz="8" w:space="0" w:color="auto"/>
              <w:right w:val="single" w:sz="8" w:space="0" w:color="auto"/>
            </w:tcBorders>
            <w:shd w:val="clear" w:color="auto" w:fill="auto"/>
            <w:noWrap/>
            <w:vAlign w:val="center"/>
            <w:hideMark/>
          </w:tcPr>
          <w:p w14:paraId="12E94CF8" w14:textId="77777777" w:rsidR="008406A1" w:rsidRPr="0076637F" w:rsidRDefault="008406A1" w:rsidP="008406A1">
            <w:pPr>
              <w:spacing w:after="0" w:line="240" w:lineRule="auto"/>
              <w:jc w:val="center"/>
              <w:rPr>
                <w:rFonts w:ascii="Book Antiqua" w:eastAsia="Times New Roman" w:hAnsi="Book Antiqua" w:cs="Calibri"/>
                <w:color w:val="000000"/>
                <w:highlight w:val="green"/>
                <w:lang w:eastAsia="es-CR"/>
              </w:rPr>
            </w:pPr>
            <w:r w:rsidRPr="0076637F">
              <w:rPr>
                <w:rFonts w:ascii="Book Antiqua" w:eastAsia="Times New Roman" w:hAnsi="Book Antiqua" w:cs="Calibri"/>
                <w:color w:val="000000"/>
                <w:lang w:eastAsia="es-CR"/>
              </w:rPr>
              <w:t>896</w:t>
            </w:r>
          </w:p>
        </w:tc>
        <w:tc>
          <w:tcPr>
            <w:tcW w:w="409" w:type="pct"/>
            <w:tcBorders>
              <w:top w:val="nil"/>
              <w:left w:val="nil"/>
              <w:bottom w:val="single" w:sz="8" w:space="0" w:color="auto"/>
              <w:right w:val="single" w:sz="8" w:space="0" w:color="auto"/>
            </w:tcBorders>
            <w:shd w:val="clear" w:color="auto" w:fill="auto"/>
            <w:noWrap/>
            <w:vAlign w:val="center"/>
            <w:hideMark/>
          </w:tcPr>
          <w:p w14:paraId="1B3A753A"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2CAFEF37"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17</w:t>
            </w:r>
          </w:p>
        </w:tc>
        <w:tc>
          <w:tcPr>
            <w:tcW w:w="409" w:type="pct"/>
            <w:tcBorders>
              <w:top w:val="nil"/>
              <w:left w:val="nil"/>
              <w:bottom w:val="single" w:sz="8" w:space="0" w:color="auto"/>
              <w:right w:val="single" w:sz="8" w:space="0" w:color="auto"/>
            </w:tcBorders>
            <w:shd w:val="clear" w:color="000000" w:fill="FFFFFF"/>
            <w:noWrap/>
            <w:vAlign w:val="center"/>
            <w:hideMark/>
          </w:tcPr>
          <w:p w14:paraId="7478CCD8"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1999</w:t>
            </w:r>
          </w:p>
        </w:tc>
        <w:tc>
          <w:tcPr>
            <w:tcW w:w="807" w:type="pct"/>
            <w:tcBorders>
              <w:top w:val="nil"/>
              <w:left w:val="nil"/>
              <w:bottom w:val="single" w:sz="8" w:space="0" w:color="auto"/>
              <w:right w:val="single" w:sz="8" w:space="0" w:color="auto"/>
            </w:tcBorders>
            <w:shd w:val="clear" w:color="000000" w:fill="FFFFFF"/>
            <w:noWrap/>
            <w:vAlign w:val="center"/>
            <w:hideMark/>
          </w:tcPr>
          <w:p w14:paraId="59577FB1"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45%</w:t>
            </w:r>
          </w:p>
        </w:tc>
      </w:tr>
      <w:tr w:rsidR="008406A1" w:rsidRPr="008406A1" w14:paraId="5F8B4C7A"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4FDC5056"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xml:space="preserve">Juzgado Violencia Doméstica II Circ. Jud. Alajuela </w:t>
            </w:r>
          </w:p>
        </w:tc>
        <w:tc>
          <w:tcPr>
            <w:tcW w:w="409" w:type="pct"/>
            <w:tcBorders>
              <w:top w:val="nil"/>
              <w:left w:val="nil"/>
              <w:bottom w:val="single" w:sz="8" w:space="0" w:color="auto"/>
              <w:right w:val="single" w:sz="8" w:space="0" w:color="auto"/>
            </w:tcBorders>
            <w:shd w:val="clear" w:color="auto" w:fill="auto"/>
            <w:noWrap/>
            <w:vAlign w:val="center"/>
            <w:hideMark/>
          </w:tcPr>
          <w:p w14:paraId="5202D253"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245</w:t>
            </w:r>
          </w:p>
        </w:tc>
        <w:tc>
          <w:tcPr>
            <w:tcW w:w="513" w:type="pct"/>
            <w:tcBorders>
              <w:top w:val="nil"/>
              <w:left w:val="nil"/>
              <w:bottom w:val="single" w:sz="8" w:space="0" w:color="auto"/>
              <w:right w:val="single" w:sz="8" w:space="0" w:color="auto"/>
            </w:tcBorders>
            <w:shd w:val="clear" w:color="auto" w:fill="auto"/>
            <w:noWrap/>
            <w:vAlign w:val="center"/>
            <w:hideMark/>
          </w:tcPr>
          <w:p w14:paraId="514BA73F"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5E5C07B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58</w:t>
            </w:r>
          </w:p>
        </w:tc>
        <w:tc>
          <w:tcPr>
            <w:tcW w:w="409" w:type="pct"/>
            <w:tcBorders>
              <w:top w:val="nil"/>
              <w:left w:val="nil"/>
              <w:bottom w:val="single" w:sz="8" w:space="0" w:color="auto"/>
              <w:right w:val="single" w:sz="8" w:space="0" w:color="auto"/>
            </w:tcBorders>
            <w:shd w:val="clear" w:color="auto" w:fill="auto"/>
            <w:noWrap/>
            <w:vAlign w:val="center"/>
            <w:hideMark/>
          </w:tcPr>
          <w:p w14:paraId="0BA0933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464E4E">
              <w:rPr>
                <w:rFonts w:ascii="Book Antiqua" w:eastAsia="Times New Roman" w:hAnsi="Book Antiqua" w:cs="Calibri"/>
                <w:color w:val="000000"/>
                <w:lang w:eastAsia="es-CR"/>
              </w:rPr>
              <w:t>785</w:t>
            </w:r>
          </w:p>
        </w:tc>
        <w:tc>
          <w:tcPr>
            <w:tcW w:w="409" w:type="pct"/>
            <w:tcBorders>
              <w:top w:val="nil"/>
              <w:left w:val="nil"/>
              <w:bottom w:val="single" w:sz="8" w:space="0" w:color="auto"/>
              <w:right w:val="single" w:sz="8" w:space="0" w:color="auto"/>
            </w:tcBorders>
            <w:shd w:val="clear" w:color="auto" w:fill="auto"/>
            <w:noWrap/>
            <w:vAlign w:val="center"/>
            <w:hideMark/>
          </w:tcPr>
          <w:p w14:paraId="2A3C13A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5DCB88E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644FAA1B"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1088</w:t>
            </w:r>
          </w:p>
        </w:tc>
        <w:tc>
          <w:tcPr>
            <w:tcW w:w="807" w:type="pct"/>
            <w:tcBorders>
              <w:top w:val="nil"/>
              <w:left w:val="nil"/>
              <w:bottom w:val="single" w:sz="8" w:space="0" w:color="auto"/>
              <w:right w:val="single" w:sz="8" w:space="0" w:color="auto"/>
            </w:tcBorders>
            <w:shd w:val="clear" w:color="000000" w:fill="FFFFFF"/>
            <w:noWrap/>
            <w:vAlign w:val="center"/>
            <w:hideMark/>
          </w:tcPr>
          <w:p w14:paraId="5F3DC3BF"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72%</w:t>
            </w:r>
          </w:p>
        </w:tc>
      </w:tr>
      <w:tr w:rsidR="008406A1" w:rsidRPr="008406A1" w14:paraId="0C0A428F"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7E01D934"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Cartago</w:t>
            </w:r>
          </w:p>
        </w:tc>
        <w:tc>
          <w:tcPr>
            <w:tcW w:w="409" w:type="pct"/>
            <w:tcBorders>
              <w:top w:val="nil"/>
              <w:left w:val="nil"/>
              <w:bottom w:val="single" w:sz="8" w:space="0" w:color="auto"/>
              <w:right w:val="single" w:sz="8" w:space="0" w:color="auto"/>
            </w:tcBorders>
            <w:shd w:val="clear" w:color="auto" w:fill="auto"/>
            <w:noWrap/>
            <w:vAlign w:val="center"/>
            <w:hideMark/>
          </w:tcPr>
          <w:p w14:paraId="27F6ADE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1535</w:t>
            </w:r>
          </w:p>
        </w:tc>
        <w:tc>
          <w:tcPr>
            <w:tcW w:w="513" w:type="pct"/>
            <w:tcBorders>
              <w:top w:val="nil"/>
              <w:left w:val="nil"/>
              <w:bottom w:val="single" w:sz="8" w:space="0" w:color="auto"/>
              <w:right w:val="single" w:sz="8" w:space="0" w:color="auto"/>
            </w:tcBorders>
            <w:shd w:val="clear" w:color="auto" w:fill="auto"/>
            <w:noWrap/>
            <w:vAlign w:val="center"/>
            <w:hideMark/>
          </w:tcPr>
          <w:p w14:paraId="3D7972A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7730F378"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8</w:t>
            </w:r>
          </w:p>
        </w:tc>
        <w:tc>
          <w:tcPr>
            <w:tcW w:w="409" w:type="pct"/>
            <w:tcBorders>
              <w:top w:val="nil"/>
              <w:left w:val="nil"/>
              <w:bottom w:val="single" w:sz="8" w:space="0" w:color="auto"/>
              <w:right w:val="single" w:sz="8" w:space="0" w:color="auto"/>
            </w:tcBorders>
            <w:shd w:val="clear" w:color="auto" w:fill="auto"/>
            <w:noWrap/>
            <w:vAlign w:val="center"/>
            <w:hideMark/>
          </w:tcPr>
          <w:p w14:paraId="2BF92B4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397</w:t>
            </w:r>
          </w:p>
        </w:tc>
        <w:tc>
          <w:tcPr>
            <w:tcW w:w="409" w:type="pct"/>
            <w:tcBorders>
              <w:top w:val="nil"/>
              <w:left w:val="nil"/>
              <w:bottom w:val="single" w:sz="8" w:space="0" w:color="auto"/>
              <w:right w:val="single" w:sz="8" w:space="0" w:color="auto"/>
            </w:tcBorders>
            <w:shd w:val="clear" w:color="auto" w:fill="auto"/>
            <w:noWrap/>
            <w:vAlign w:val="center"/>
            <w:hideMark/>
          </w:tcPr>
          <w:p w14:paraId="10FDC678"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72B3993F"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60</w:t>
            </w:r>
          </w:p>
        </w:tc>
        <w:tc>
          <w:tcPr>
            <w:tcW w:w="409" w:type="pct"/>
            <w:tcBorders>
              <w:top w:val="nil"/>
              <w:left w:val="nil"/>
              <w:bottom w:val="single" w:sz="8" w:space="0" w:color="auto"/>
              <w:right w:val="single" w:sz="8" w:space="0" w:color="auto"/>
            </w:tcBorders>
            <w:shd w:val="clear" w:color="000000" w:fill="FFFFFF"/>
            <w:noWrap/>
            <w:vAlign w:val="center"/>
            <w:hideMark/>
          </w:tcPr>
          <w:p w14:paraId="6F0AF3CE"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2000</w:t>
            </w:r>
          </w:p>
        </w:tc>
        <w:tc>
          <w:tcPr>
            <w:tcW w:w="807" w:type="pct"/>
            <w:tcBorders>
              <w:top w:val="nil"/>
              <w:left w:val="nil"/>
              <w:bottom w:val="single" w:sz="8" w:space="0" w:color="auto"/>
              <w:right w:val="single" w:sz="8" w:space="0" w:color="auto"/>
            </w:tcBorders>
            <w:shd w:val="clear" w:color="000000" w:fill="FFFFFF"/>
            <w:noWrap/>
            <w:vAlign w:val="center"/>
            <w:hideMark/>
          </w:tcPr>
          <w:p w14:paraId="123811A9"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20%</w:t>
            </w:r>
          </w:p>
        </w:tc>
      </w:tr>
      <w:tr w:rsidR="008406A1" w:rsidRPr="008406A1" w14:paraId="275BE64A"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00A82A57"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xml:space="preserve">Juzgado Violencia Doméstica III Circ. Jud. San José </w:t>
            </w:r>
          </w:p>
        </w:tc>
        <w:tc>
          <w:tcPr>
            <w:tcW w:w="409" w:type="pct"/>
            <w:tcBorders>
              <w:top w:val="nil"/>
              <w:left w:val="nil"/>
              <w:bottom w:val="single" w:sz="8" w:space="0" w:color="auto"/>
              <w:right w:val="single" w:sz="8" w:space="0" w:color="auto"/>
            </w:tcBorders>
            <w:shd w:val="clear" w:color="auto" w:fill="auto"/>
            <w:noWrap/>
            <w:vAlign w:val="center"/>
            <w:hideMark/>
          </w:tcPr>
          <w:p w14:paraId="4E6CFC88"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617</w:t>
            </w:r>
          </w:p>
        </w:tc>
        <w:tc>
          <w:tcPr>
            <w:tcW w:w="513" w:type="pct"/>
            <w:tcBorders>
              <w:top w:val="nil"/>
              <w:left w:val="nil"/>
              <w:bottom w:val="single" w:sz="8" w:space="0" w:color="auto"/>
              <w:right w:val="single" w:sz="8" w:space="0" w:color="auto"/>
            </w:tcBorders>
            <w:shd w:val="clear" w:color="auto" w:fill="auto"/>
            <w:noWrap/>
            <w:vAlign w:val="center"/>
            <w:hideMark/>
          </w:tcPr>
          <w:p w14:paraId="4620DEB3"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152</w:t>
            </w:r>
          </w:p>
        </w:tc>
        <w:tc>
          <w:tcPr>
            <w:tcW w:w="409" w:type="pct"/>
            <w:tcBorders>
              <w:top w:val="nil"/>
              <w:left w:val="nil"/>
              <w:bottom w:val="single" w:sz="8" w:space="0" w:color="auto"/>
              <w:right w:val="single" w:sz="8" w:space="0" w:color="auto"/>
            </w:tcBorders>
            <w:shd w:val="clear" w:color="auto" w:fill="auto"/>
            <w:noWrap/>
            <w:vAlign w:val="center"/>
            <w:hideMark/>
          </w:tcPr>
          <w:p w14:paraId="760C508A"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553</w:t>
            </w:r>
          </w:p>
        </w:tc>
        <w:tc>
          <w:tcPr>
            <w:tcW w:w="409" w:type="pct"/>
            <w:tcBorders>
              <w:top w:val="nil"/>
              <w:left w:val="nil"/>
              <w:bottom w:val="single" w:sz="8" w:space="0" w:color="auto"/>
              <w:right w:val="single" w:sz="8" w:space="0" w:color="auto"/>
            </w:tcBorders>
            <w:shd w:val="clear" w:color="auto" w:fill="auto"/>
            <w:noWrap/>
            <w:vAlign w:val="center"/>
            <w:hideMark/>
          </w:tcPr>
          <w:p w14:paraId="517AC454"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513</w:t>
            </w:r>
          </w:p>
        </w:tc>
        <w:tc>
          <w:tcPr>
            <w:tcW w:w="409" w:type="pct"/>
            <w:tcBorders>
              <w:top w:val="nil"/>
              <w:left w:val="nil"/>
              <w:bottom w:val="single" w:sz="8" w:space="0" w:color="auto"/>
              <w:right w:val="single" w:sz="8" w:space="0" w:color="auto"/>
            </w:tcBorders>
            <w:shd w:val="clear" w:color="auto" w:fill="auto"/>
            <w:noWrap/>
            <w:vAlign w:val="center"/>
            <w:hideMark/>
          </w:tcPr>
          <w:p w14:paraId="6DCAB0A4"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13E77386"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31479D8B"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1835</w:t>
            </w:r>
          </w:p>
        </w:tc>
        <w:tc>
          <w:tcPr>
            <w:tcW w:w="807" w:type="pct"/>
            <w:tcBorders>
              <w:top w:val="nil"/>
              <w:left w:val="nil"/>
              <w:bottom w:val="single" w:sz="8" w:space="0" w:color="auto"/>
              <w:right w:val="single" w:sz="8" w:space="0" w:color="auto"/>
            </w:tcBorders>
            <w:shd w:val="clear" w:color="000000" w:fill="FFFFFF"/>
            <w:noWrap/>
            <w:vAlign w:val="center"/>
            <w:hideMark/>
          </w:tcPr>
          <w:p w14:paraId="2373AA60"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28%</w:t>
            </w:r>
          </w:p>
        </w:tc>
      </w:tr>
      <w:tr w:rsidR="008406A1" w:rsidRPr="008406A1" w14:paraId="766B20E4"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0B9E6E51"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I Circ. Jud. Alajuela</w:t>
            </w:r>
          </w:p>
        </w:tc>
        <w:tc>
          <w:tcPr>
            <w:tcW w:w="409" w:type="pct"/>
            <w:tcBorders>
              <w:top w:val="nil"/>
              <w:left w:val="nil"/>
              <w:bottom w:val="single" w:sz="8" w:space="0" w:color="auto"/>
              <w:right w:val="single" w:sz="8" w:space="0" w:color="auto"/>
            </w:tcBorders>
            <w:shd w:val="clear" w:color="auto" w:fill="auto"/>
            <w:noWrap/>
            <w:vAlign w:val="center"/>
            <w:hideMark/>
          </w:tcPr>
          <w:p w14:paraId="57FACD33"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1141</w:t>
            </w:r>
          </w:p>
        </w:tc>
        <w:tc>
          <w:tcPr>
            <w:tcW w:w="513" w:type="pct"/>
            <w:tcBorders>
              <w:top w:val="nil"/>
              <w:left w:val="nil"/>
              <w:bottom w:val="single" w:sz="8" w:space="0" w:color="auto"/>
              <w:right w:val="single" w:sz="8" w:space="0" w:color="auto"/>
            </w:tcBorders>
            <w:shd w:val="clear" w:color="auto" w:fill="auto"/>
            <w:noWrap/>
            <w:vAlign w:val="center"/>
            <w:hideMark/>
          </w:tcPr>
          <w:p w14:paraId="4B9F0B1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30</w:t>
            </w:r>
          </w:p>
        </w:tc>
        <w:tc>
          <w:tcPr>
            <w:tcW w:w="409" w:type="pct"/>
            <w:tcBorders>
              <w:top w:val="nil"/>
              <w:left w:val="nil"/>
              <w:bottom w:val="single" w:sz="8" w:space="0" w:color="auto"/>
              <w:right w:val="single" w:sz="8" w:space="0" w:color="auto"/>
            </w:tcBorders>
            <w:shd w:val="clear" w:color="auto" w:fill="auto"/>
            <w:noWrap/>
            <w:vAlign w:val="center"/>
            <w:hideMark/>
          </w:tcPr>
          <w:p w14:paraId="2F78A0CF"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172</w:t>
            </w:r>
          </w:p>
        </w:tc>
        <w:tc>
          <w:tcPr>
            <w:tcW w:w="409" w:type="pct"/>
            <w:tcBorders>
              <w:top w:val="nil"/>
              <w:left w:val="nil"/>
              <w:bottom w:val="single" w:sz="8" w:space="0" w:color="auto"/>
              <w:right w:val="single" w:sz="8" w:space="0" w:color="auto"/>
            </w:tcBorders>
            <w:shd w:val="clear" w:color="auto" w:fill="auto"/>
            <w:noWrap/>
            <w:vAlign w:val="center"/>
            <w:hideMark/>
          </w:tcPr>
          <w:p w14:paraId="41BDF4EC"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1207</w:t>
            </w:r>
          </w:p>
        </w:tc>
        <w:tc>
          <w:tcPr>
            <w:tcW w:w="409" w:type="pct"/>
            <w:tcBorders>
              <w:top w:val="nil"/>
              <w:left w:val="nil"/>
              <w:bottom w:val="single" w:sz="8" w:space="0" w:color="auto"/>
              <w:right w:val="single" w:sz="8" w:space="0" w:color="auto"/>
            </w:tcBorders>
            <w:shd w:val="clear" w:color="auto" w:fill="auto"/>
            <w:noWrap/>
            <w:vAlign w:val="center"/>
            <w:hideMark/>
          </w:tcPr>
          <w:p w14:paraId="2F69E5C4"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0CA0567D"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7E22BB6B"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2550</w:t>
            </w:r>
          </w:p>
        </w:tc>
        <w:tc>
          <w:tcPr>
            <w:tcW w:w="807" w:type="pct"/>
            <w:tcBorders>
              <w:top w:val="nil"/>
              <w:left w:val="nil"/>
              <w:bottom w:val="single" w:sz="8" w:space="0" w:color="auto"/>
              <w:right w:val="single" w:sz="8" w:space="0" w:color="auto"/>
            </w:tcBorders>
            <w:shd w:val="clear" w:color="000000" w:fill="FFFFFF"/>
            <w:noWrap/>
            <w:vAlign w:val="center"/>
            <w:hideMark/>
          </w:tcPr>
          <w:p w14:paraId="157CF90D"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47%</w:t>
            </w:r>
          </w:p>
        </w:tc>
      </w:tr>
      <w:tr w:rsidR="008406A1" w:rsidRPr="008406A1" w14:paraId="7D274210"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06D9BB60" w14:textId="77777777"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Juzgado Violencia Doméstica II Circ. Jud. San José</w:t>
            </w:r>
          </w:p>
        </w:tc>
        <w:tc>
          <w:tcPr>
            <w:tcW w:w="409" w:type="pct"/>
            <w:tcBorders>
              <w:top w:val="nil"/>
              <w:left w:val="nil"/>
              <w:bottom w:val="single" w:sz="8" w:space="0" w:color="auto"/>
              <w:right w:val="single" w:sz="8" w:space="0" w:color="auto"/>
            </w:tcBorders>
            <w:shd w:val="clear" w:color="auto" w:fill="auto"/>
            <w:noWrap/>
            <w:vAlign w:val="center"/>
            <w:hideMark/>
          </w:tcPr>
          <w:p w14:paraId="69F5FEC1"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2647</w:t>
            </w:r>
          </w:p>
        </w:tc>
        <w:tc>
          <w:tcPr>
            <w:tcW w:w="513" w:type="pct"/>
            <w:tcBorders>
              <w:top w:val="nil"/>
              <w:left w:val="nil"/>
              <w:bottom w:val="single" w:sz="8" w:space="0" w:color="auto"/>
              <w:right w:val="single" w:sz="8" w:space="0" w:color="auto"/>
            </w:tcBorders>
            <w:shd w:val="clear" w:color="auto" w:fill="auto"/>
            <w:noWrap/>
            <w:vAlign w:val="center"/>
            <w:hideMark/>
          </w:tcPr>
          <w:p w14:paraId="1D3B2AC0"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42</w:t>
            </w:r>
          </w:p>
        </w:tc>
        <w:tc>
          <w:tcPr>
            <w:tcW w:w="409" w:type="pct"/>
            <w:tcBorders>
              <w:top w:val="nil"/>
              <w:left w:val="nil"/>
              <w:bottom w:val="single" w:sz="8" w:space="0" w:color="auto"/>
              <w:right w:val="single" w:sz="8" w:space="0" w:color="auto"/>
            </w:tcBorders>
            <w:shd w:val="clear" w:color="auto" w:fill="auto"/>
            <w:noWrap/>
            <w:vAlign w:val="center"/>
            <w:hideMark/>
          </w:tcPr>
          <w:p w14:paraId="01E3CC2A"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1066</w:t>
            </w:r>
          </w:p>
        </w:tc>
        <w:tc>
          <w:tcPr>
            <w:tcW w:w="409" w:type="pct"/>
            <w:tcBorders>
              <w:top w:val="nil"/>
              <w:left w:val="nil"/>
              <w:bottom w:val="single" w:sz="8" w:space="0" w:color="auto"/>
              <w:right w:val="single" w:sz="8" w:space="0" w:color="auto"/>
            </w:tcBorders>
            <w:shd w:val="clear" w:color="auto" w:fill="auto"/>
            <w:noWrap/>
            <w:vAlign w:val="center"/>
            <w:hideMark/>
          </w:tcPr>
          <w:p w14:paraId="1B1C1484"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1097</w:t>
            </w:r>
          </w:p>
        </w:tc>
        <w:tc>
          <w:tcPr>
            <w:tcW w:w="409" w:type="pct"/>
            <w:tcBorders>
              <w:top w:val="nil"/>
              <w:left w:val="nil"/>
              <w:bottom w:val="single" w:sz="8" w:space="0" w:color="auto"/>
              <w:right w:val="single" w:sz="8" w:space="0" w:color="auto"/>
            </w:tcBorders>
            <w:shd w:val="clear" w:color="auto" w:fill="auto"/>
            <w:noWrap/>
            <w:vAlign w:val="center"/>
            <w:hideMark/>
          </w:tcPr>
          <w:p w14:paraId="1F4BDAB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3C121890"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44</w:t>
            </w:r>
          </w:p>
        </w:tc>
        <w:tc>
          <w:tcPr>
            <w:tcW w:w="409" w:type="pct"/>
            <w:tcBorders>
              <w:top w:val="nil"/>
              <w:left w:val="nil"/>
              <w:bottom w:val="single" w:sz="8" w:space="0" w:color="auto"/>
              <w:right w:val="single" w:sz="8" w:space="0" w:color="auto"/>
            </w:tcBorders>
            <w:shd w:val="clear" w:color="000000" w:fill="FFFFFF"/>
            <w:noWrap/>
            <w:vAlign w:val="center"/>
            <w:hideMark/>
          </w:tcPr>
          <w:p w14:paraId="1D4518BE"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4896</w:t>
            </w:r>
          </w:p>
        </w:tc>
        <w:tc>
          <w:tcPr>
            <w:tcW w:w="807" w:type="pct"/>
            <w:tcBorders>
              <w:top w:val="nil"/>
              <w:left w:val="nil"/>
              <w:bottom w:val="single" w:sz="8" w:space="0" w:color="auto"/>
              <w:right w:val="single" w:sz="8" w:space="0" w:color="auto"/>
            </w:tcBorders>
            <w:shd w:val="clear" w:color="000000" w:fill="FFFFFF"/>
            <w:noWrap/>
            <w:vAlign w:val="center"/>
            <w:hideMark/>
          </w:tcPr>
          <w:p w14:paraId="7ED2EEFC"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22%</w:t>
            </w:r>
          </w:p>
        </w:tc>
      </w:tr>
      <w:tr w:rsidR="008406A1" w:rsidRPr="008406A1" w14:paraId="4B677F44" w14:textId="77777777" w:rsidTr="008406A1">
        <w:trPr>
          <w:trHeight w:val="600"/>
        </w:trPr>
        <w:tc>
          <w:tcPr>
            <w:tcW w:w="1224" w:type="pct"/>
            <w:tcBorders>
              <w:top w:val="nil"/>
              <w:left w:val="single" w:sz="8" w:space="0" w:color="auto"/>
              <w:bottom w:val="single" w:sz="8" w:space="0" w:color="auto"/>
              <w:right w:val="single" w:sz="8" w:space="0" w:color="auto"/>
            </w:tcBorders>
            <w:shd w:val="clear" w:color="auto" w:fill="auto"/>
            <w:vAlign w:val="center"/>
            <w:hideMark/>
          </w:tcPr>
          <w:p w14:paraId="661E5E37" w14:textId="365B0006" w:rsidR="008406A1" w:rsidRPr="008406A1" w:rsidRDefault="008406A1" w:rsidP="001D0C10">
            <w:pPr>
              <w:spacing w:after="0" w:line="240" w:lineRule="auto"/>
              <w:jc w:val="both"/>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xml:space="preserve">Juzgado Violencia Doméstica II Circ. Jud. </w:t>
            </w:r>
            <w:r w:rsidR="00E85731" w:rsidRPr="008406A1">
              <w:rPr>
                <w:rFonts w:ascii="Book Antiqua" w:eastAsia="Times New Roman" w:hAnsi="Book Antiqua" w:cs="Arial"/>
                <w:color w:val="000000"/>
                <w:lang w:eastAsia="es-CR"/>
              </w:rPr>
              <w:t>D</w:t>
            </w:r>
            <w:r w:rsidRPr="008406A1">
              <w:rPr>
                <w:rFonts w:ascii="Book Antiqua" w:eastAsia="Times New Roman" w:hAnsi="Book Antiqua" w:cs="Arial"/>
                <w:color w:val="000000"/>
                <w:lang w:eastAsia="es-CR"/>
              </w:rPr>
              <w:t xml:space="preserve">e la Zona Atlántica </w:t>
            </w:r>
          </w:p>
        </w:tc>
        <w:tc>
          <w:tcPr>
            <w:tcW w:w="409" w:type="pct"/>
            <w:tcBorders>
              <w:top w:val="nil"/>
              <w:left w:val="nil"/>
              <w:bottom w:val="single" w:sz="8" w:space="0" w:color="auto"/>
              <w:right w:val="single" w:sz="8" w:space="0" w:color="auto"/>
            </w:tcBorders>
            <w:shd w:val="clear" w:color="auto" w:fill="auto"/>
            <w:noWrap/>
            <w:vAlign w:val="center"/>
            <w:hideMark/>
          </w:tcPr>
          <w:p w14:paraId="36114E4E"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403</w:t>
            </w:r>
          </w:p>
        </w:tc>
        <w:tc>
          <w:tcPr>
            <w:tcW w:w="513" w:type="pct"/>
            <w:tcBorders>
              <w:top w:val="nil"/>
              <w:left w:val="nil"/>
              <w:bottom w:val="single" w:sz="8" w:space="0" w:color="auto"/>
              <w:right w:val="single" w:sz="8" w:space="0" w:color="auto"/>
            </w:tcBorders>
            <w:shd w:val="clear" w:color="auto" w:fill="auto"/>
            <w:noWrap/>
            <w:vAlign w:val="center"/>
            <w:hideMark/>
          </w:tcPr>
          <w:p w14:paraId="50F5D682"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023320B5"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415</w:t>
            </w:r>
          </w:p>
        </w:tc>
        <w:tc>
          <w:tcPr>
            <w:tcW w:w="409" w:type="pct"/>
            <w:tcBorders>
              <w:top w:val="nil"/>
              <w:left w:val="nil"/>
              <w:bottom w:val="single" w:sz="8" w:space="0" w:color="auto"/>
              <w:right w:val="single" w:sz="8" w:space="0" w:color="auto"/>
            </w:tcBorders>
            <w:shd w:val="clear" w:color="auto" w:fill="auto"/>
            <w:noWrap/>
            <w:vAlign w:val="center"/>
            <w:hideMark/>
          </w:tcPr>
          <w:p w14:paraId="7E7A6D4F"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25</w:t>
            </w:r>
          </w:p>
        </w:tc>
        <w:tc>
          <w:tcPr>
            <w:tcW w:w="409" w:type="pct"/>
            <w:tcBorders>
              <w:top w:val="nil"/>
              <w:left w:val="nil"/>
              <w:bottom w:val="single" w:sz="8" w:space="0" w:color="auto"/>
              <w:right w:val="single" w:sz="8" w:space="0" w:color="auto"/>
            </w:tcBorders>
            <w:shd w:val="clear" w:color="auto" w:fill="auto"/>
            <w:noWrap/>
            <w:vAlign w:val="center"/>
            <w:hideMark/>
          </w:tcPr>
          <w:p w14:paraId="39C05A53"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Calibri"/>
                <w:color w:val="000000"/>
                <w:lang w:eastAsia="es-CR"/>
              </w:rPr>
              <w:t> </w:t>
            </w:r>
          </w:p>
        </w:tc>
        <w:tc>
          <w:tcPr>
            <w:tcW w:w="409" w:type="pct"/>
            <w:tcBorders>
              <w:top w:val="nil"/>
              <w:left w:val="nil"/>
              <w:bottom w:val="single" w:sz="8" w:space="0" w:color="auto"/>
              <w:right w:val="single" w:sz="8" w:space="0" w:color="auto"/>
            </w:tcBorders>
            <w:shd w:val="clear" w:color="auto" w:fill="auto"/>
            <w:noWrap/>
            <w:vAlign w:val="center"/>
            <w:hideMark/>
          </w:tcPr>
          <w:p w14:paraId="2355FED7" w14:textId="77777777" w:rsidR="008406A1" w:rsidRPr="008406A1" w:rsidRDefault="008406A1" w:rsidP="008406A1">
            <w:pPr>
              <w:spacing w:after="0" w:line="240" w:lineRule="auto"/>
              <w:jc w:val="center"/>
              <w:rPr>
                <w:rFonts w:ascii="Book Antiqua" w:eastAsia="Times New Roman" w:hAnsi="Book Antiqua" w:cs="Calibri"/>
                <w:color w:val="000000"/>
                <w:lang w:eastAsia="es-CR"/>
              </w:rPr>
            </w:pPr>
            <w:r w:rsidRPr="008406A1">
              <w:rPr>
                <w:rFonts w:ascii="Book Antiqua" w:eastAsia="Times New Roman" w:hAnsi="Book Antiqua" w:cs="Arial"/>
                <w:color w:val="000000"/>
                <w:lang w:eastAsia="es-CR"/>
              </w:rPr>
              <w:t> </w:t>
            </w:r>
          </w:p>
        </w:tc>
        <w:tc>
          <w:tcPr>
            <w:tcW w:w="409" w:type="pct"/>
            <w:tcBorders>
              <w:top w:val="nil"/>
              <w:left w:val="nil"/>
              <w:bottom w:val="single" w:sz="8" w:space="0" w:color="auto"/>
              <w:right w:val="single" w:sz="8" w:space="0" w:color="auto"/>
            </w:tcBorders>
            <w:shd w:val="clear" w:color="000000" w:fill="FFFFFF"/>
            <w:noWrap/>
            <w:vAlign w:val="center"/>
            <w:hideMark/>
          </w:tcPr>
          <w:p w14:paraId="351E4C08"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843</w:t>
            </w:r>
          </w:p>
        </w:tc>
        <w:tc>
          <w:tcPr>
            <w:tcW w:w="807" w:type="pct"/>
            <w:tcBorders>
              <w:top w:val="nil"/>
              <w:left w:val="nil"/>
              <w:bottom w:val="single" w:sz="8" w:space="0" w:color="auto"/>
              <w:right w:val="single" w:sz="8" w:space="0" w:color="auto"/>
            </w:tcBorders>
            <w:shd w:val="clear" w:color="000000" w:fill="FFFFFF"/>
            <w:noWrap/>
            <w:vAlign w:val="center"/>
            <w:hideMark/>
          </w:tcPr>
          <w:p w14:paraId="6657A526" w14:textId="77777777" w:rsidR="008406A1" w:rsidRPr="008406A1" w:rsidRDefault="008406A1" w:rsidP="008406A1">
            <w:pPr>
              <w:spacing w:after="0" w:line="240" w:lineRule="auto"/>
              <w:jc w:val="center"/>
              <w:rPr>
                <w:rFonts w:ascii="Book Antiqua" w:eastAsia="Times New Roman" w:hAnsi="Book Antiqua" w:cs="Calibri"/>
                <w:color w:val="333333"/>
                <w:lang w:eastAsia="es-CR"/>
              </w:rPr>
            </w:pPr>
            <w:r w:rsidRPr="008406A1">
              <w:rPr>
                <w:rFonts w:ascii="Book Antiqua" w:eastAsia="Times New Roman" w:hAnsi="Book Antiqua" w:cs="Arial"/>
                <w:color w:val="333333"/>
                <w:lang w:eastAsia="es-CR"/>
              </w:rPr>
              <w:t>3%</w:t>
            </w:r>
          </w:p>
        </w:tc>
      </w:tr>
      <w:tr w:rsidR="008406A1" w:rsidRPr="008406A1" w14:paraId="5668F478" w14:textId="77777777" w:rsidTr="008406A1">
        <w:trPr>
          <w:trHeight w:val="300"/>
        </w:trPr>
        <w:tc>
          <w:tcPr>
            <w:tcW w:w="1224" w:type="pct"/>
            <w:tcBorders>
              <w:top w:val="nil"/>
              <w:left w:val="single" w:sz="8" w:space="0" w:color="auto"/>
              <w:bottom w:val="single" w:sz="8" w:space="0" w:color="auto"/>
              <w:right w:val="single" w:sz="8" w:space="0" w:color="auto"/>
            </w:tcBorders>
            <w:shd w:val="clear" w:color="000000" w:fill="808080"/>
            <w:noWrap/>
            <w:vAlign w:val="center"/>
            <w:hideMark/>
          </w:tcPr>
          <w:p w14:paraId="5C8A3316" w14:textId="77777777" w:rsidR="008406A1" w:rsidRPr="008406A1" w:rsidRDefault="008406A1" w:rsidP="001D0C10">
            <w:pPr>
              <w:spacing w:after="0" w:line="240" w:lineRule="auto"/>
              <w:jc w:val="both"/>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Total</w:t>
            </w:r>
          </w:p>
        </w:tc>
        <w:tc>
          <w:tcPr>
            <w:tcW w:w="409" w:type="pct"/>
            <w:tcBorders>
              <w:top w:val="nil"/>
              <w:left w:val="nil"/>
              <w:bottom w:val="single" w:sz="8" w:space="0" w:color="auto"/>
              <w:right w:val="single" w:sz="8" w:space="0" w:color="auto"/>
            </w:tcBorders>
            <w:shd w:val="clear" w:color="000000" w:fill="808080"/>
            <w:noWrap/>
            <w:vAlign w:val="center"/>
            <w:hideMark/>
          </w:tcPr>
          <w:p w14:paraId="3CD6B599"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8727</w:t>
            </w:r>
          </w:p>
        </w:tc>
        <w:tc>
          <w:tcPr>
            <w:tcW w:w="513" w:type="pct"/>
            <w:tcBorders>
              <w:top w:val="nil"/>
              <w:left w:val="nil"/>
              <w:bottom w:val="single" w:sz="8" w:space="0" w:color="auto"/>
              <w:right w:val="single" w:sz="8" w:space="0" w:color="auto"/>
            </w:tcBorders>
            <w:shd w:val="clear" w:color="000000" w:fill="808080"/>
            <w:noWrap/>
            <w:vAlign w:val="center"/>
            <w:hideMark/>
          </w:tcPr>
          <w:p w14:paraId="140189EC"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386</w:t>
            </w:r>
          </w:p>
        </w:tc>
        <w:tc>
          <w:tcPr>
            <w:tcW w:w="409" w:type="pct"/>
            <w:tcBorders>
              <w:top w:val="nil"/>
              <w:left w:val="nil"/>
              <w:bottom w:val="single" w:sz="8" w:space="0" w:color="auto"/>
              <w:right w:val="single" w:sz="8" w:space="0" w:color="auto"/>
            </w:tcBorders>
            <w:shd w:val="clear" w:color="000000" w:fill="808080"/>
            <w:noWrap/>
            <w:vAlign w:val="center"/>
            <w:hideMark/>
          </w:tcPr>
          <w:p w14:paraId="1A14E653"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2779</w:t>
            </w:r>
          </w:p>
        </w:tc>
        <w:tc>
          <w:tcPr>
            <w:tcW w:w="409" w:type="pct"/>
            <w:tcBorders>
              <w:top w:val="nil"/>
              <w:left w:val="nil"/>
              <w:bottom w:val="single" w:sz="8" w:space="0" w:color="auto"/>
              <w:right w:val="single" w:sz="8" w:space="0" w:color="auto"/>
            </w:tcBorders>
            <w:shd w:val="clear" w:color="000000" w:fill="808080"/>
            <w:noWrap/>
            <w:vAlign w:val="center"/>
            <w:hideMark/>
          </w:tcPr>
          <w:p w14:paraId="2ED4AB7C"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8349</w:t>
            </w:r>
          </w:p>
        </w:tc>
        <w:tc>
          <w:tcPr>
            <w:tcW w:w="409" w:type="pct"/>
            <w:tcBorders>
              <w:top w:val="nil"/>
              <w:left w:val="nil"/>
              <w:bottom w:val="single" w:sz="8" w:space="0" w:color="auto"/>
              <w:right w:val="single" w:sz="8" w:space="0" w:color="auto"/>
            </w:tcBorders>
            <w:shd w:val="clear" w:color="000000" w:fill="808080"/>
            <w:noWrap/>
            <w:vAlign w:val="center"/>
            <w:hideMark/>
          </w:tcPr>
          <w:p w14:paraId="2FC389C4"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1</w:t>
            </w:r>
          </w:p>
        </w:tc>
        <w:tc>
          <w:tcPr>
            <w:tcW w:w="409" w:type="pct"/>
            <w:tcBorders>
              <w:top w:val="nil"/>
              <w:left w:val="nil"/>
              <w:bottom w:val="single" w:sz="8" w:space="0" w:color="auto"/>
              <w:right w:val="single" w:sz="8" w:space="0" w:color="auto"/>
            </w:tcBorders>
            <w:shd w:val="clear" w:color="000000" w:fill="808080"/>
            <w:noWrap/>
            <w:vAlign w:val="center"/>
            <w:hideMark/>
          </w:tcPr>
          <w:p w14:paraId="7B88F63F"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121</w:t>
            </w:r>
          </w:p>
        </w:tc>
        <w:tc>
          <w:tcPr>
            <w:tcW w:w="409" w:type="pct"/>
            <w:tcBorders>
              <w:top w:val="nil"/>
              <w:left w:val="nil"/>
              <w:bottom w:val="single" w:sz="8" w:space="0" w:color="auto"/>
              <w:right w:val="single" w:sz="8" w:space="0" w:color="auto"/>
            </w:tcBorders>
            <w:shd w:val="clear" w:color="000000" w:fill="808080"/>
            <w:noWrap/>
            <w:vAlign w:val="center"/>
            <w:hideMark/>
          </w:tcPr>
          <w:p w14:paraId="505BCB1E"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20363</w:t>
            </w:r>
          </w:p>
        </w:tc>
        <w:tc>
          <w:tcPr>
            <w:tcW w:w="807" w:type="pct"/>
            <w:tcBorders>
              <w:top w:val="nil"/>
              <w:left w:val="nil"/>
              <w:bottom w:val="single" w:sz="8" w:space="0" w:color="auto"/>
              <w:right w:val="single" w:sz="8" w:space="0" w:color="auto"/>
            </w:tcBorders>
            <w:shd w:val="clear" w:color="000000" w:fill="808080"/>
            <w:noWrap/>
            <w:vAlign w:val="bottom"/>
            <w:hideMark/>
          </w:tcPr>
          <w:p w14:paraId="6C8C1E07" w14:textId="77777777" w:rsidR="008406A1" w:rsidRPr="008406A1" w:rsidRDefault="008406A1" w:rsidP="008406A1">
            <w:pPr>
              <w:spacing w:after="0" w:line="240" w:lineRule="auto"/>
              <w:rPr>
                <w:rFonts w:ascii="Calibri" w:eastAsia="Times New Roman" w:hAnsi="Calibri" w:cs="Calibri"/>
                <w:color w:val="000000"/>
                <w:lang w:eastAsia="es-CR"/>
              </w:rPr>
            </w:pPr>
            <w:r w:rsidRPr="008406A1">
              <w:rPr>
                <w:rFonts w:ascii="Calibri" w:eastAsia="Times New Roman" w:hAnsi="Calibri" w:cs="Calibri"/>
                <w:color w:val="000000"/>
                <w:lang w:eastAsia="es-CR"/>
              </w:rPr>
              <w:t> </w:t>
            </w:r>
          </w:p>
        </w:tc>
      </w:tr>
      <w:tr w:rsidR="008406A1" w:rsidRPr="008406A1" w14:paraId="6A75206A" w14:textId="77777777" w:rsidTr="008406A1">
        <w:trPr>
          <w:trHeight w:val="300"/>
        </w:trPr>
        <w:tc>
          <w:tcPr>
            <w:tcW w:w="1224" w:type="pct"/>
            <w:tcBorders>
              <w:top w:val="nil"/>
              <w:left w:val="single" w:sz="8" w:space="0" w:color="auto"/>
              <w:bottom w:val="single" w:sz="8" w:space="0" w:color="auto"/>
              <w:right w:val="single" w:sz="8" w:space="0" w:color="auto"/>
            </w:tcBorders>
            <w:shd w:val="clear" w:color="000000" w:fill="808080"/>
            <w:noWrap/>
            <w:vAlign w:val="center"/>
            <w:hideMark/>
          </w:tcPr>
          <w:p w14:paraId="1377783D" w14:textId="77777777" w:rsidR="008406A1" w:rsidRPr="008406A1" w:rsidRDefault="008406A1" w:rsidP="001D0C10">
            <w:pPr>
              <w:spacing w:after="0" w:line="240" w:lineRule="auto"/>
              <w:jc w:val="both"/>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Promedio</w:t>
            </w:r>
          </w:p>
        </w:tc>
        <w:tc>
          <w:tcPr>
            <w:tcW w:w="409" w:type="pct"/>
            <w:tcBorders>
              <w:top w:val="nil"/>
              <w:left w:val="nil"/>
              <w:bottom w:val="single" w:sz="8" w:space="0" w:color="auto"/>
              <w:right w:val="single" w:sz="8" w:space="0" w:color="auto"/>
            </w:tcBorders>
            <w:shd w:val="clear" w:color="000000" w:fill="808080"/>
            <w:noWrap/>
            <w:vAlign w:val="center"/>
            <w:hideMark/>
          </w:tcPr>
          <w:p w14:paraId="694C6B10"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513" w:type="pct"/>
            <w:tcBorders>
              <w:top w:val="nil"/>
              <w:left w:val="nil"/>
              <w:bottom w:val="single" w:sz="8" w:space="0" w:color="auto"/>
              <w:right w:val="single" w:sz="8" w:space="0" w:color="auto"/>
            </w:tcBorders>
            <w:shd w:val="clear" w:color="000000" w:fill="808080"/>
            <w:noWrap/>
            <w:vAlign w:val="center"/>
            <w:hideMark/>
          </w:tcPr>
          <w:p w14:paraId="33B439C7"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409" w:type="pct"/>
            <w:tcBorders>
              <w:top w:val="nil"/>
              <w:left w:val="nil"/>
              <w:bottom w:val="single" w:sz="8" w:space="0" w:color="auto"/>
              <w:right w:val="single" w:sz="8" w:space="0" w:color="auto"/>
            </w:tcBorders>
            <w:shd w:val="clear" w:color="000000" w:fill="808080"/>
            <w:noWrap/>
            <w:vAlign w:val="center"/>
            <w:hideMark/>
          </w:tcPr>
          <w:p w14:paraId="24194F87"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409" w:type="pct"/>
            <w:tcBorders>
              <w:top w:val="nil"/>
              <w:left w:val="nil"/>
              <w:bottom w:val="single" w:sz="8" w:space="0" w:color="auto"/>
              <w:right w:val="single" w:sz="8" w:space="0" w:color="auto"/>
            </w:tcBorders>
            <w:shd w:val="clear" w:color="000000" w:fill="808080"/>
            <w:noWrap/>
            <w:vAlign w:val="center"/>
            <w:hideMark/>
          </w:tcPr>
          <w:p w14:paraId="7A0CA569"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409" w:type="pct"/>
            <w:tcBorders>
              <w:top w:val="nil"/>
              <w:left w:val="nil"/>
              <w:bottom w:val="single" w:sz="8" w:space="0" w:color="auto"/>
              <w:right w:val="single" w:sz="8" w:space="0" w:color="auto"/>
            </w:tcBorders>
            <w:shd w:val="clear" w:color="000000" w:fill="808080"/>
            <w:noWrap/>
            <w:vAlign w:val="center"/>
            <w:hideMark/>
          </w:tcPr>
          <w:p w14:paraId="5232B643"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409" w:type="pct"/>
            <w:tcBorders>
              <w:top w:val="nil"/>
              <w:left w:val="nil"/>
              <w:bottom w:val="single" w:sz="8" w:space="0" w:color="auto"/>
              <w:right w:val="single" w:sz="8" w:space="0" w:color="auto"/>
            </w:tcBorders>
            <w:shd w:val="clear" w:color="000000" w:fill="808080"/>
            <w:noWrap/>
            <w:vAlign w:val="center"/>
            <w:hideMark/>
          </w:tcPr>
          <w:p w14:paraId="7E8711C3"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409" w:type="pct"/>
            <w:tcBorders>
              <w:top w:val="nil"/>
              <w:left w:val="nil"/>
              <w:bottom w:val="single" w:sz="8" w:space="0" w:color="auto"/>
              <w:right w:val="single" w:sz="8" w:space="0" w:color="auto"/>
            </w:tcBorders>
            <w:shd w:val="clear" w:color="000000" w:fill="808080"/>
            <w:noWrap/>
            <w:vAlign w:val="center"/>
            <w:hideMark/>
          </w:tcPr>
          <w:p w14:paraId="1EC1557C"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 </w:t>
            </w:r>
          </w:p>
        </w:tc>
        <w:tc>
          <w:tcPr>
            <w:tcW w:w="807" w:type="pct"/>
            <w:tcBorders>
              <w:top w:val="nil"/>
              <w:left w:val="nil"/>
              <w:bottom w:val="single" w:sz="8" w:space="0" w:color="auto"/>
              <w:right w:val="single" w:sz="8" w:space="0" w:color="auto"/>
            </w:tcBorders>
            <w:shd w:val="clear" w:color="000000" w:fill="808080"/>
            <w:noWrap/>
            <w:vAlign w:val="center"/>
            <w:hideMark/>
          </w:tcPr>
          <w:p w14:paraId="79F94265" w14:textId="77777777" w:rsidR="008406A1" w:rsidRPr="008406A1" w:rsidRDefault="008406A1" w:rsidP="008406A1">
            <w:pPr>
              <w:spacing w:after="0" w:line="240" w:lineRule="auto"/>
              <w:jc w:val="center"/>
              <w:rPr>
                <w:rFonts w:ascii="Book Antiqua" w:eastAsia="Times New Roman" w:hAnsi="Book Antiqua" w:cs="Calibri"/>
                <w:b/>
                <w:bCs/>
                <w:color w:val="FFFFFF"/>
                <w:lang w:eastAsia="es-CR"/>
              </w:rPr>
            </w:pPr>
            <w:r w:rsidRPr="008406A1">
              <w:rPr>
                <w:rFonts w:ascii="Book Antiqua" w:eastAsia="Times New Roman" w:hAnsi="Book Antiqua" w:cs="Calibri"/>
                <w:b/>
                <w:bCs/>
                <w:color w:val="FFFFFF"/>
                <w:lang w:eastAsia="es-CR"/>
              </w:rPr>
              <w:t>48%</w:t>
            </w:r>
          </w:p>
        </w:tc>
      </w:tr>
    </w:tbl>
    <w:p w14:paraId="22882C01" w14:textId="1BD6389B" w:rsidR="00F75CD7" w:rsidRPr="008406A1" w:rsidRDefault="008406A1" w:rsidP="00A65874">
      <w:pPr>
        <w:rPr>
          <w:rFonts w:ascii="Book Antiqua" w:hAnsi="Book Antiqua"/>
          <w:i/>
          <w:iCs/>
          <w:lang w:val="es-ES"/>
        </w:rPr>
      </w:pPr>
      <w:r w:rsidRPr="008406A1">
        <w:rPr>
          <w:rFonts w:ascii="Book Antiqua" w:hAnsi="Book Antiqua"/>
          <w:i/>
          <w:iCs/>
          <w:lang w:val="es-ES"/>
        </w:rPr>
        <w:t xml:space="preserve">Fuente: Subproceso de Modernización Institucional, con base a la información del SIGMA, reporte circulante final </w:t>
      </w:r>
      <w:r>
        <w:rPr>
          <w:rFonts w:ascii="Book Antiqua" w:hAnsi="Book Antiqua"/>
          <w:i/>
          <w:iCs/>
          <w:lang w:val="es-ES"/>
        </w:rPr>
        <w:t>diciembre</w:t>
      </w:r>
      <w:r w:rsidRPr="008406A1">
        <w:rPr>
          <w:rFonts w:ascii="Book Antiqua" w:hAnsi="Book Antiqua"/>
          <w:i/>
          <w:iCs/>
          <w:lang w:val="es-ES"/>
        </w:rPr>
        <w:t xml:space="preserve"> 2021.</w:t>
      </w:r>
    </w:p>
    <w:p w14:paraId="7718A6EE" w14:textId="36F3F908" w:rsidR="00B80439" w:rsidRDefault="00B80439" w:rsidP="00B80439">
      <w:pPr>
        <w:spacing w:after="0" w:line="276" w:lineRule="auto"/>
        <w:jc w:val="both"/>
        <w:rPr>
          <w:rFonts w:ascii="Book Antiqua" w:eastAsia="Calibri" w:hAnsi="Book Antiqua" w:cs="Arial"/>
          <w:sz w:val="24"/>
          <w:szCs w:val="24"/>
        </w:rPr>
      </w:pPr>
    </w:p>
    <w:p w14:paraId="4286869D" w14:textId="083759E9" w:rsidR="00B80439" w:rsidRP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 xml:space="preserve">La información anterior permite inferir que la mayoría de los Despachos mantiene desactualizadas las fases de los procesos que se encuentran en el circulante, ya que; que </w:t>
      </w:r>
      <w:r w:rsidRPr="00F00003">
        <w:rPr>
          <w:rFonts w:ascii="Book Antiqua" w:eastAsia="Calibri" w:hAnsi="Book Antiqua" w:cs="Arial"/>
          <w:sz w:val="24"/>
          <w:szCs w:val="24"/>
        </w:rPr>
        <w:t xml:space="preserve">sólo </w:t>
      </w:r>
      <w:r w:rsidR="00F00003" w:rsidRPr="00F00003">
        <w:rPr>
          <w:rFonts w:ascii="Book Antiqua" w:eastAsia="Calibri" w:hAnsi="Book Antiqua" w:cs="Arial"/>
          <w:sz w:val="24"/>
          <w:szCs w:val="24"/>
        </w:rPr>
        <w:t>6</w:t>
      </w:r>
      <w:r w:rsidRPr="00F00003">
        <w:rPr>
          <w:rFonts w:ascii="Book Antiqua" w:eastAsia="Calibri" w:hAnsi="Book Antiqua" w:cs="Arial"/>
          <w:sz w:val="24"/>
          <w:szCs w:val="24"/>
        </w:rPr>
        <w:t xml:space="preserve"> de los juzgados presentan más del 50% del circulante en etapa de seguimiento</w:t>
      </w:r>
      <w:r w:rsidRPr="00B80439">
        <w:rPr>
          <w:rFonts w:ascii="Book Antiqua" w:eastAsia="Calibri" w:hAnsi="Book Antiqua" w:cs="Arial"/>
          <w:sz w:val="24"/>
          <w:szCs w:val="24"/>
        </w:rPr>
        <w:t xml:space="preserve"> y gran parte de los juzgados predomina el circulante en la etapa de </w:t>
      </w:r>
      <w:r w:rsidRPr="00B80439">
        <w:rPr>
          <w:rFonts w:ascii="Book Antiqua" w:eastAsia="Calibri" w:hAnsi="Book Antiqua" w:cs="Arial"/>
          <w:sz w:val="24"/>
          <w:szCs w:val="24"/>
        </w:rPr>
        <w:lastRenderedPageBreak/>
        <w:t xml:space="preserve">“Demanda”, lo que implicaría que para esa cantidad de expedientes aún no se recibe el acta de notificación del presunto agresor; para ejemplificar se resalta la situación del Juzgado de  Violencia Doméstica II Circuito Judicial de San José que presenta </w:t>
      </w:r>
      <w:r w:rsidR="0064277D">
        <w:rPr>
          <w:rFonts w:ascii="Book Antiqua" w:eastAsia="Calibri" w:hAnsi="Book Antiqua" w:cs="Arial"/>
          <w:sz w:val="24"/>
          <w:szCs w:val="24"/>
        </w:rPr>
        <w:t xml:space="preserve">     </w:t>
      </w:r>
      <w:r w:rsidRPr="00B80439">
        <w:rPr>
          <w:rFonts w:ascii="Book Antiqua" w:eastAsia="Calibri" w:hAnsi="Book Antiqua" w:cs="Arial"/>
          <w:sz w:val="24"/>
          <w:szCs w:val="24"/>
        </w:rPr>
        <w:t>2</w:t>
      </w:r>
      <w:r w:rsidR="0064277D">
        <w:rPr>
          <w:rFonts w:ascii="Book Antiqua" w:eastAsia="Calibri" w:hAnsi="Book Antiqua" w:cs="Arial"/>
          <w:sz w:val="24"/>
          <w:szCs w:val="24"/>
        </w:rPr>
        <w:t xml:space="preserve"> </w:t>
      </w:r>
      <w:r w:rsidRPr="00B80439">
        <w:rPr>
          <w:rFonts w:ascii="Book Antiqua" w:eastAsia="Calibri" w:hAnsi="Book Antiqua" w:cs="Arial"/>
          <w:sz w:val="24"/>
          <w:szCs w:val="24"/>
        </w:rPr>
        <w:t>6</w:t>
      </w:r>
      <w:r w:rsidR="0064277D">
        <w:rPr>
          <w:rFonts w:ascii="Book Antiqua" w:eastAsia="Calibri" w:hAnsi="Book Antiqua" w:cs="Arial"/>
          <w:sz w:val="24"/>
          <w:szCs w:val="24"/>
        </w:rPr>
        <w:t>47</w:t>
      </w:r>
      <w:r w:rsidRPr="00B80439">
        <w:rPr>
          <w:rFonts w:ascii="Book Antiqua" w:eastAsia="Calibri" w:hAnsi="Book Antiqua" w:cs="Arial"/>
          <w:sz w:val="24"/>
          <w:szCs w:val="24"/>
        </w:rPr>
        <w:t xml:space="preserve"> expedientes en fase de demanda y presenta una </w:t>
      </w:r>
      <w:r w:rsidRPr="00E67193">
        <w:rPr>
          <w:rFonts w:ascii="Book Antiqua" w:eastAsia="Calibri" w:hAnsi="Book Antiqua" w:cs="Arial"/>
          <w:sz w:val="24"/>
          <w:szCs w:val="24"/>
        </w:rPr>
        <w:t>entrada promedio de 4</w:t>
      </w:r>
      <w:r w:rsidR="00E67193" w:rsidRPr="00E67193">
        <w:rPr>
          <w:rFonts w:ascii="Book Antiqua" w:eastAsia="Calibri" w:hAnsi="Book Antiqua" w:cs="Arial"/>
          <w:sz w:val="24"/>
          <w:szCs w:val="24"/>
        </w:rPr>
        <w:t>84</w:t>
      </w:r>
      <w:r w:rsidRPr="00E67193">
        <w:rPr>
          <w:rFonts w:ascii="Book Antiqua" w:eastAsia="Calibri" w:hAnsi="Book Antiqua" w:cs="Arial"/>
          <w:sz w:val="24"/>
          <w:szCs w:val="24"/>
        </w:rPr>
        <w:t xml:space="preserve"> casos al mes, lo que implicaría que al menos tiene la entrada de más de 5 meses en etapa de demanda, situación que no es coincidente con lo expedito del proceso</w:t>
      </w:r>
      <w:r w:rsidRPr="00B80439">
        <w:rPr>
          <w:rFonts w:ascii="Book Antiqua" w:eastAsia="Calibri" w:hAnsi="Book Antiqua" w:cs="Arial"/>
          <w:sz w:val="24"/>
          <w:szCs w:val="24"/>
        </w:rPr>
        <w:t xml:space="preserve">. </w:t>
      </w:r>
    </w:p>
    <w:p w14:paraId="3DE71AB7" w14:textId="77777777" w:rsidR="00B80439" w:rsidRPr="00B80439" w:rsidRDefault="00B80439" w:rsidP="00B80439">
      <w:pPr>
        <w:spacing w:after="0" w:line="276" w:lineRule="auto"/>
        <w:jc w:val="both"/>
        <w:rPr>
          <w:rFonts w:ascii="Book Antiqua" w:eastAsia="Calibri" w:hAnsi="Book Antiqua" w:cs="Arial"/>
          <w:sz w:val="24"/>
          <w:szCs w:val="24"/>
        </w:rPr>
      </w:pPr>
    </w:p>
    <w:p w14:paraId="48A587E4" w14:textId="668B072E" w:rsid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 xml:space="preserve">Resalta también el Juzgado de Violencia Doméstica del Segundo Circuito Judicial de la Zona Atlántica, que al finalizar </w:t>
      </w:r>
      <w:r w:rsidR="0064277D">
        <w:rPr>
          <w:rFonts w:ascii="Book Antiqua" w:eastAsia="Calibri" w:hAnsi="Book Antiqua" w:cs="Arial"/>
          <w:sz w:val="24"/>
          <w:szCs w:val="24"/>
        </w:rPr>
        <w:t>diciembre</w:t>
      </w:r>
      <w:r w:rsidRPr="00B80439">
        <w:rPr>
          <w:rFonts w:ascii="Book Antiqua" w:eastAsia="Calibri" w:hAnsi="Book Antiqua" w:cs="Arial"/>
          <w:sz w:val="24"/>
          <w:szCs w:val="24"/>
        </w:rPr>
        <w:t xml:space="preserve"> reporta </w:t>
      </w:r>
      <w:r w:rsidR="00E67193">
        <w:rPr>
          <w:rFonts w:ascii="Book Antiqua" w:eastAsia="Calibri" w:hAnsi="Book Antiqua" w:cs="Arial"/>
          <w:sz w:val="24"/>
          <w:szCs w:val="24"/>
        </w:rPr>
        <w:t xml:space="preserve">25 </w:t>
      </w:r>
      <w:r w:rsidRPr="00B80439">
        <w:rPr>
          <w:rFonts w:ascii="Book Antiqua" w:eastAsia="Calibri" w:hAnsi="Book Antiqua" w:cs="Arial"/>
          <w:sz w:val="24"/>
          <w:szCs w:val="24"/>
        </w:rPr>
        <w:t>asuntos en fase de seguimiento</w:t>
      </w:r>
      <w:r w:rsidR="0064277D">
        <w:rPr>
          <w:rFonts w:ascii="Book Antiqua" w:eastAsia="Calibri" w:hAnsi="Book Antiqua" w:cs="Arial"/>
          <w:sz w:val="24"/>
          <w:szCs w:val="24"/>
        </w:rPr>
        <w:t>.</w:t>
      </w:r>
    </w:p>
    <w:p w14:paraId="7E9F4A72" w14:textId="5AFB7B4C" w:rsidR="00EB6A55" w:rsidRDefault="00EB6A55" w:rsidP="00B80439">
      <w:pPr>
        <w:spacing w:after="0" w:line="276" w:lineRule="auto"/>
        <w:jc w:val="both"/>
        <w:rPr>
          <w:rFonts w:ascii="Book Antiqua" w:eastAsia="Calibri" w:hAnsi="Book Antiqua" w:cs="Arial"/>
          <w:sz w:val="24"/>
          <w:szCs w:val="24"/>
        </w:rPr>
      </w:pPr>
    </w:p>
    <w:p w14:paraId="0B50CF14" w14:textId="04387FE1" w:rsid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Lo anterior recalca la necesidad de genera</w:t>
      </w:r>
      <w:r>
        <w:rPr>
          <w:rFonts w:ascii="Book Antiqua" w:eastAsia="Calibri" w:hAnsi="Book Antiqua" w:cs="Arial"/>
          <w:sz w:val="24"/>
          <w:szCs w:val="24"/>
        </w:rPr>
        <w:t>r</w:t>
      </w:r>
      <w:r w:rsidRPr="00B80439">
        <w:rPr>
          <w:rFonts w:ascii="Book Antiqua" w:eastAsia="Calibri" w:hAnsi="Book Antiqua" w:cs="Arial"/>
          <w:sz w:val="24"/>
          <w:szCs w:val="24"/>
        </w:rPr>
        <w:t xml:space="preserve"> una actualización de las fases del circulante de los despachos, que se fortalezca la línea institucional sobre el procedimiento en la etapa se seguimiento, así como un monitoreo proactivo de la situación de los Despachos de Violencia Doméstica. Lo indicado sería lo esencial para lograr realizar un análisis real de la carga de trabajo de estos despachos y definir la necesidad de recurso humano.</w:t>
      </w:r>
    </w:p>
    <w:p w14:paraId="73564617" w14:textId="77777777" w:rsidR="001D5DE6" w:rsidRPr="00B80439" w:rsidRDefault="001D5DE6" w:rsidP="00B80439">
      <w:pPr>
        <w:spacing w:after="0" w:line="276" w:lineRule="auto"/>
        <w:jc w:val="both"/>
        <w:rPr>
          <w:rFonts w:ascii="Book Antiqua" w:eastAsia="Calibri" w:hAnsi="Book Antiqua" w:cs="Arial"/>
          <w:sz w:val="24"/>
          <w:szCs w:val="24"/>
        </w:rPr>
      </w:pPr>
    </w:p>
    <w:p w14:paraId="6727B91E" w14:textId="4499B1EE" w:rsidR="004F2EC7" w:rsidRDefault="00EB6A55" w:rsidP="00B80439">
      <w:pPr>
        <w:spacing w:after="0" w:line="276" w:lineRule="auto"/>
        <w:jc w:val="both"/>
        <w:rPr>
          <w:rFonts w:ascii="Book Antiqua" w:eastAsia="Calibri" w:hAnsi="Book Antiqua" w:cs="Arial"/>
          <w:sz w:val="24"/>
          <w:szCs w:val="24"/>
        </w:rPr>
      </w:pPr>
      <w:r w:rsidRPr="001D0C10">
        <w:rPr>
          <w:rFonts w:ascii="Book Antiqua" w:eastAsia="Calibri" w:hAnsi="Book Antiqua" w:cs="Arial"/>
          <w:b/>
          <w:bCs/>
          <w:sz w:val="24"/>
          <w:szCs w:val="24"/>
        </w:rPr>
        <w:t>Para efectos de contar con una mayor claridad de cuales asuntos deben estar en cada fase y de los cambios, se tomaron 2 medidas:</w:t>
      </w:r>
      <w:r>
        <w:rPr>
          <w:rFonts w:ascii="Book Antiqua" w:eastAsia="Calibri" w:hAnsi="Book Antiqua" w:cs="Arial"/>
          <w:sz w:val="24"/>
          <w:szCs w:val="24"/>
        </w:rPr>
        <w:t xml:space="preserve"> </w:t>
      </w:r>
    </w:p>
    <w:p w14:paraId="574BDF3C" w14:textId="77777777" w:rsidR="00F37FEE" w:rsidRDefault="00F37FEE" w:rsidP="00B80439">
      <w:pPr>
        <w:spacing w:after="0" w:line="276" w:lineRule="auto"/>
        <w:jc w:val="both"/>
        <w:rPr>
          <w:rFonts w:ascii="Book Antiqua" w:eastAsia="Calibri" w:hAnsi="Book Antiqua" w:cs="Arial"/>
          <w:sz w:val="24"/>
          <w:szCs w:val="24"/>
        </w:rPr>
      </w:pPr>
    </w:p>
    <w:p w14:paraId="7E43FC2F" w14:textId="3ED85233" w:rsidR="004F2EC7" w:rsidRDefault="00EB6A55" w:rsidP="0090609F">
      <w:pPr>
        <w:pStyle w:val="Prrafodelista"/>
        <w:numPr>
          <w:ilvl w:val="0"/>
          <w:numId w:val="28"/>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La Dirección de Planificación le remitió a la Comisión Permanente para el Seguimiento de la Atención y Prevención de la Violencia Intrafamiliar, una propuesta de circular para aclarar las fases en esta materia y cuando deben darse los cambios, esta circular ya fue aprobada por la </w:t>
      </w:r>
      <w:r w:rsidR="004F2EC7">
        <w:rPr>
          <w:rFonts w:ascii="Book Antiqua" w:eastAsia="Calibri" w:hAnsi="Book Antiqua" w:cs="Arial"/>
          <w:sz w:val="24"/>
          <w:szCs w:val="24"/>
        </w:rPr>
        <w:t>y r</w:t>
      </w:r>
      <w:r w:rsidRPr="001D0C10">
        <w:rPr>
          <w:rFonts w:ascii="Book Antiqua" w:eastAsia="Calibri" w:hAnsi="Book Antiqua" w:cs="Arial"/>
          <w:sz w:val="24"/>
          <w:szCs w:val="24"/>
        </w:rPr>
        <w:t>emitida al Consejo Superior</w:t>
      </w:r>
      <w:r w:rsidR="004F2EC7">
        <w:rPr>
          <w:rFonts w:ascii="Book Antiqua" w:eastAsia="Calibri" w:hAnsi="Book Antiqua" w:cs="Arial"/>
          <w:sz w:val="24"/>
          <w:szCs w:val="24"/>
        </w:rPr>
        <w:t xml:space="preserve"> mediante oficio </w:t>
      </w:r>
      <w:r w:rsidR="008879F8" w:rsidRPr="008879F8">
        <w:rPr>
          <w:rFonts w:ascii="Book Antiqua" w:eastAsia="Calibri" w:hAnsi="Book Antiqua" w:cs="Arial"/>
          <w:sz w:val="24"/>
          <w:szCs w:val="24"/>
        </w:rPr>
        <w:t>06-CVI-2022</w:t>
      </w:r>
      <w:r w:rsidR="008879F8">
        <w:rPr>
          <w:rFonts w:ascii="Book Antiqua" w:eastAsia="Calibri" w:hAnsi="Book Antiqua" w:cs="Arial"/>
          <w:sz w:val="24"/>
          <w:szCs w:val="24"/>
        </w:rPr>
        <w:t xml:space="preserve"> el 7 de marzo 2022. Se está a la espera de la aprobación por parte del Consejo Superior y comunicación de la circular.  </w:t>
      </w:r>
    </w:p>
    <w:p w14:paraId="3624F40E" w14:textId="73D94BA8" w:rsidR="00B80439" w:rsidRPr="001D0C10" w:rsidRDefault="00EB6A55" w:rsidP="0090609F">
      <w:pPr>
        <w:pStyle w:val="Prrafodelista"/>
        <w:numPr>
          <w:ilvl w:val="0"/>
          <w:numId w:val="28"/>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 Además en reuniones de </w:t>
      </w:r>
      <w:r w:rsidR="00A3607B" w:rsidRPr="001D0C10">
        <w:rPr>
          <w:rFonts w:ascii="Book Antiqua" w:eastAsia="Calibri" w:hAnsi="Book Antiqua" w:cs="Arial"/>
          <w:sz w:val="24"/>
          <w:szCs w:val="24"/>
        </w:rPr>
        <w:t>e</w:t>
      </w:r>
      <w:r w:rsidRPr="001D0C10">
        <w:rPr>
          <w:rFonts w:ascii="Book Antiqua" w:eastAsia="Calibri" w:hAnsi="Book Antiqua" w:cs="Arial"/>
          <w:sz w:val="24"/>
          <w:szCs w:val="24"/>
        </w:rPr>
        <w:t>quipo interdisciplinario</w:t>
      </w:r>
      <w:r w:rsidR="008879F8">
        <w:rPr>
          <w:rFonts w:ascii="Book Antiqua" w:eastAsia="Calibri" w:hAnsi="Book Antiqua" w:cs="Arial"/>
          <w:sz w:val="24"/>
          <w:szCs w:val="24"/>
        </w:rPr>
        <w:t xml:space="preserve"> como parte del Proyecto de implementación del CPF, </w:t>
      </w:r>
      <w:r w:rsidRPr="001D0C10">
        <w:rPr>
          <w:rFonts w:ascii="Book Antiqua" w:eastAsia="Calibri" w:hAnsi="Book Antiqua" w:cs="Arial"/>
          <w:sz w:val="24"/>
          <w:szCs w:val="24"/>
        </w:rPr>
        <w:t>la Dirección de Planificación da seguimiento al proyecto</w:t>
      </w:r>
      <w:r w:rsidR="008879F8">
        <w:rPr>
          <w:rFonts w:ascii="Book Antiqua" w:eastAsia="Calibri" w:hAnsi="Book Antiqua" w:cs="Arial"/>
          <w:sz w:val="24"/>
          <w:szCs w:val="24"/>
        </w:rPr>
        <w:t xml:space="preserve"> y </w:t>
      </w:r>
      <w:r w:rsidRPr="001D0C10">
        <w:rPr>
          <w:rFonts w:ascii="Book Antiqua" w:eastAsia="Calibri" w:hAnsi="Book Antiqua" w:cs="Arial"/>
          <w:sz w:val="24"/>
          <w:szCs w:val="24"/>
        </w:rPr>
        <w:t xml:space="preserve">coordinó </w:t>
      </w:r>
      <w:r w:rsidR="008879F8">
        <w:rPr>
          <w:rFonts w:ascii="Book Antiqua" w:eastAsia="Calibri" w:hAnsi="Book Antiqua" w:cs="Arial"/>
          <w:sz w:val="24"/>
          <w:szCs w:val="24"/>
        </w:rPr>
        <w:t xml:space="preserve">con </w:t>
      </w:r>
      <w:r w:rsidRPr="001D0C10">
        <w:rPr>
          <w:rFonts w:ascii="Book Antiqua" w:eastAsia="Calibri" w:hAnsi="Book Antiqua" w:cs="Arial"/>
          <w:sz w:val="24"/>
          <w:szCs w:val="24"/>
        </w:rPr>
        <w:t xml:space="preserve">DTI </w:t>
      </w:r>
      <w:r w:rsidR="008879F8">
        <w:rPr>
          <w:rFonts w:ascii="Book Antiqua" w:eastAsia="Calibri" w:hAnsi="Book Antiqua" w:cs="Arial"/>
          <w:sz w:val="24"/>
          <w:szCs w:val="24"/>
        </w:rPr>
        <w:t xml:space="preserve">para que </w:t>
      </w:r>
      <w:r w:rsidRPr="001D0C10">
        <w:rPr>
          <w:rFonts w:ascii="Book Antiqua" w:eastAsia="Calibri" w:hAnsi="Book Antiqua" w:cs="Arial"/>
          <w:sz w:val="24"/>
          <w:szCs w:val="24"/>
        </w:rPr>
        <w:t>configure las plantillas y que el cambio de fase o estado se realice de forma automática</w:t>
      </w:r>
      <w:r w:rsidR="008879F8">
        <w:rPr>
          <w:rFonts w:ascii="Book Antiqua" w:eastAsia="Calibri" w:hAnsi="Book Antiqua" w:cs="Arial"/>
          <w:sz w:val="24"/>
          <w:szCs w:val="24"/>
        </w:rPr>
        <w:t xml:space="preserve">, tanto en formatos actuales como las plantillas a partir de la entrada en vigencia de la Ley 9747. </w:t>
      </w:r>
      <w:r w:rsidRPr="001D0C10">
        <w:rPr>
          <w:rFonts w:ascii="Book Antiqua" w:eastAsia="Calibri" w:hAnsi="Book Antiqua" w:cs="Arial"/>
          <w:sz w:val="24"/>
          <w:szCs w:val="24"/>
        </w:rPr>
        <w:t xml:space="preserve"> </w:t>
      </w:r>
    </w:p>
    <w:p w14:paraId="70F6D6A0" w14:textId="77777777" w:rsidR="00EB6A55" w:rsidRPr="00B80439" w:rsidRDefault="00EB6A55" w:rsidP="00B80439">
      <w:pPr>
        <w:spacing w:after="0" w:line="276" w:lineRule="auto"/>
        <w:jc w:val="both"/>
        <w:rPr>
          <w:rFonts w:ascii="Book Antiqua" w:eastAsia="Calibri" w:hAnsi="Book Antiqua" w:cs="Arial"/>
          <w:sz w:val="24"/>
          <w:szCs w:val="24"/>
        </w:rPr>
      </w:pPr>
    </w:p>
    <w:p w14:paraId="42B382FF" w14:textId="77777777" w:rsidR="00B80439" w:rsidRP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lastRenderedPageBreak/>
        <w:t>Con la finalidad de contar con información verás sobre el desempeño de los despachos se monitorearán por medio de SIGMA las siguientes variables:</w:t>
      </w:r>
    </w:p>
    <w:p w14:paraId="71EBFF09"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Entrada de casos</w:t>
      </w:r>
    </w:p>
    <w:p w14:paraId="05A4005F"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Casos terminados</w:t>
      </w:r>
    </w:p>
    <w:p w14:paraId="7FAEF8FA"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Cantidad de circulante</w:t>
      </w:r>
    </w:p>
    <w:p w14:paraId="76927F0F"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Distribución del circulante entre las fases</w:t>
      </w:r>
    </w:p>
    <w:p w14:paraId="6D21668C"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Cantidad de resoluciones de fondo dictadas</w:t>
      </w:r>
    </w:p>
    <w:p w14:paraId="3567EBB1" w14:textId="77777777" w:rsidR="00B80439" w:rsidRPr="00B80439" w:rsidRDefault="00B80439" w:rsidP="0090609F">
      <w:pPr>
        <w:numPr>
          <w:ilvl w:val="0"/>
          <w:numId w:val="29"/>
        </w:numPr>
        <w:spacing w:after="0" w:line="276" w:lineRule="auto"/>
        <w:ind w:left="0" w:firstLine="0"/>
        <w:contextualSpacing/>
        <w:jc w:val="both"/>
        <w:rPr>
          <w:rFonts w:ascii="Book Antiqua" w:eastAsia="Calibri" w:hAnsi="Book Antiqua" w:cs="Arial"/>
          <w:sz w:val="24"/>
          <w:szCs w:val="24"/>
          <w:lang w:eastAsia="es-CR"/>
        </w:rPr>
      </w:pPr>
      <w:r w:rsidRPr="00B80439">
        <w:rPr>
          <w:rFonts w:ascii="Book Antiqua" w:eastAsia="Calibri" w:hAnsi="Book Antiqua" w:cs="Arial"/>
          <w:sz w:val="24"/>
          <w:szCs w:val="24"/>
          <w:lang w:eastAsia="es-CR"/>
        </w:rPr>
        <w:t>Cantidad de audiencias realizadas, no realizadas y pendientes de recepción de pruebas y de seguimiento.</w:t>
      </w:r>
    </w:p>
    <w:p w14:paraId="6EC9AF41" w14:textId="77777777" w:rsidR="00B80439" w:rsidRPr="00B80439" w:rsidRDefault="00B80439" w:rsidP="00B80439">
      <w:pPr>
        <w:spacing w:after="0" w:line="276" w:lineRule="auto"/>
        <w:jc w:val="both"/>
        <w:rPr>
          <w:rFonts w:ascii="Book Antiqua" w:eastAsia="Calibri" w:hAnsi="Book Antiqua" w:cs="Arial"/>
          <w:sz w:val="24"/>
          <w:szCs w:val="24"/>
        </w:rPr>
      </w:pPr>
    </w:p>
    <w:p w14:paraId="4A55352B" w14:textId="415C78C0" w:rsidR="00B80439" w:rsidRP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 xml:space="preserve">En el caso de los despachos </w:t>
      </w:r>
      <w:r w:rsidRPr="001D0C10">
        <w:rPr>
          <w:rFonts w:ascii="Book Antiqua" w:eastAsia="Calibri" w:hAnsi="Book Antiqua" w:cs="Arial"/>
          <w:i/>
          <w:iCs/>
          <w:sz w:val="24"/>
          <w:szCs w:val="24"/>
        </w:rPr>
        <w:t>mixtos</w:t>
      </w:r>
      <w:r w:rsidRPr="00B80439">
        <w:rPr>
          <w:rFonts w:ascii="Book Antiqua" w:eastAsia="Calibri" w:hAnsi="Book Antiqua" w:cs="Arial"/>
          <w:sz w:val="24"/>
          <w:szCs w:val="24"/>
        </w:rPr>
        <w:t xml:space="preserve"> que atienden dentro de sus materias Violencia Doméstica, no se tiene planeada </w:t>
      </w:r>
      <w:r w:rsidR="00EB6A55">
        <w:rPr>
          <w:rFonts w:ascii="Book Antiqua" w:eastAsia="Calibri" w:hAnsi="Book Antiqua" w:cs="Arial"/>
          <w:sz w:val="24"/>
          <w:szCs w:val="24"/>
        </w:rPr>
        <w:t xml:space="preserve">para 2022-2023 </w:t>
      </w:r>
      <w:r w:rsidRPr="00B80439">
        <w:rPr>
          <w:rFonts w:ascii="Book Antiqua" w:eastAsia="Calibri" w:hAnsi="Book Antiqua" w:cs="Arial"/>
          <w:sz w:val="24"/>
          <w:szCs w:val="24"/>
        </w:rPr>
        <w:t>la modificación en las estructuras de trabajo o la inclusión de nuevo recurso humano, esto ya que durante los abordajes realizados por la Dirección de Planificación para las materias de Trabajo y Civil, se realizaron los estudios pertinentes y se incluyeron las necesidades en los respectivos informes de presupuesto de estas materias</w:t>
      </w:r>
      <w:r w:rsidR="00EB6A55">
        <w:rPr>
          <w:rFonts w:ascii="Book Antiqua" w:eastAsia="Calibri" w:hAnsi="Book Antiqua" w:cs="Arial"/>
          <w:sz w:val="24"/>
          <w:szCs w:val="24"/>
        </w:rPr>
        <w:t xml:space="preserve">; salvo los cambios que se requieran </w:t>
      </w:r>
      <w:r w:rsidR="008703A1">
        <w:rPr>
          <w:rFonts w:ascii="Book Antiqua" w:eastAsia="Calibri" w:hAnsi="Book Antiqua" w:cs="Arial"/>
          <w:sz w:val="24"/>
          <w:szCs w:val="24"/>
        </w:rPr>
        <w:t>p</w:t>
      </w:r>
      <w:r w:rsidR="00EB6A55">
        <w:rPr>
          <w:rFonts w:ascii="Book Antiqua" w:eastAsia="Calibri" w:hAnsi="Book Antiqua" w:cs="Arial"/>
          <w:sz w:val="24"/>
          <w:szCs w:val="24"/>
        </w:rPr>
        <w:t>ara estandarizar la materia a partir del resultado del informe de oficina modelo de Juzgado de Violencia Doméstica</w:t>
      </w:r>
    </w:p>
    <w:p w14:paraId="41E58378" w14:textId="77777777" w:rsidR="00B80439" w:rsidRPr="00B80439" w:rsidRDefault="00B80439" w:rsidP="00B80439">
      <w:pPr>
        <w:spacing w:after="0" w:line="276" w:lineRule="auto"/>
        <w:jc w:val="both"/>
        <w:rPr>
          <w:rFonts w:ascii="Book Antiqua" w:eastAsia="Calibri" w:hAnsi="Book Antiqua" w:cs="Arial"/>
          <w:sz w:val="24"/>
          <w:szCs w:val="24"/>
        </w:rPr>
      </w:pPr>
    </w:p>
    <w:p w14:paraId="1CF16C10" w14:textId="0CA053D4" w:rsidR="00B80439" w:rsidRPr="00B80439" w:rsidRDefault="00B80439" w:rsidP="00B80439">
      <w:pPr>
        <w:spacing w:after="0" w:line="276" w:lineRule="auto"/>
        <w:jc w:val="both"/>
        <w:rPr>
          <w:rFonts w:ascii="Book Antiqua" w:eastAsia="Calibri" w:hAnsi="Book Antiqua" w:cs="Arial"/>
          <w:sz w:val="24"/>
          <w:szCs w:val="24"/>
        </w:rPr>
      </w:pPr>
      <w:r w:rsidRPr="00B80439">
        <w:rPr>
          <w:rFonts w:ascii="Book Antiqua" w:eastAsia="Calibri" w:hAnsi="Book Antiqua" w:cs="Arial"/>
          <w:sz w:val="24"/>
          <w:szCs w:val="24"/>
        </w:rPr>
        <w:t xml:space="preserve">Durante el </w:t>
      </w:r>
      <w:r w:rsidR="004C4C40">
        <w:rPr>
          <w:rFonts w:ascii="Book Antiqua" w:eastAsia="Calibri" w:hAnsi="Book Antiqua" w:cs="Arial"/>
          <w:sz w:val="24"/>
          <w:szCs w:val="24"/>
        </w:rPr>
        <w:t>2022</w:t>
      </w:r>
      <w:r w:rsidRPr="00B80439">
        <w:rPr>
          <w:rFonts w:ascii="Book Antiqua" w:eastAsia="Calibri" w:hAnsi="Book Antiqua" w:cs="Arial"/>
          <w:sz w:val="24"/>
          <w:szCs w:val="24"/>
        </w:rPr>
        <w:t xml:space="preserve"> se espera realizar un abordaje en los 12 Juzgados de Violencia Doméstica Especializados, donde se ejecutarán las siguientes tareas:</w:t>
      </w:r>
    </w:p>
    <w:p w14:paraId="74CB50A4" w14:textId="77777777" w:rsidR="00B80439" w:rsidRPr="00B80439" w:rsidRDefault="00B80439" w:rsidP="00B80439">
      <w:pPr>
        <w:spacing w:after="0" w:line="276" w:lineRule="auto"/>
        <w:jc w:val="both"/>
        <w:rPr>
          <w:rFonts w:ascii="Book Antiqua" w:eastAsia="Calibri" w:hAnsi="Book Antiqua" w:cs="Arial"/>
          <w:sz w:val="24"/>
          <w:szCs w:val="24"/>
        </w:rPr>
      </w:pPr>
    </w:p>
    <w:p w14:paraId="2E9B91D8" w14:textId="04F4F023" w:rsidR="00130CC7" w:rsidRDefault="00130CC7"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 xml:space="preserve">Diseño de un formulario </w:t>
      </w:r>
      <w:r w:rsidR="00AE54BC">
        <w:rPr>
          <w:rFonts w:ascii="Book Antiqua" w:eastAsia="Calibri" w:hAnsi="Book Antiqua" w:cs="Arial"/>
          <w:sz w:val="24"/>
          <w:szCs w:val="24"/>
        </w:rPr>
        <w:t>para la construcción conjunta con personal juzgador del modelo de tramitación de violencia doméstica</w:t>
      </w:r>
    </w:p>
    <w:p w14:paraId="63420C44" w14:textId="1A5A56F2" w:rsidR="00AE54BC" w:rsidRDefault="00AE54BC"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Aplicación del formulario del 100% de los despachos</w:t>
      </w:r>
    </w:p>
    <w:p w14:paraId="4D1D8D73" w14:textId="5785C94E" w:rsidR="00AE54BC" w:rsidRDefault="00AE54BC"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Sistematización de la información</w:t>
      </w:r>
      <w:r w:rsidR="005002C0">
        <w:rPr>
          <w:rFonts w:ascii="Book Antiqua" w:eastAsia="Calibri" w:hAnsi="Book Antiqua" w:cs="Arial"/>
          <w:sz w:val="24"/>
          <w:szCs w:val="24"/>
        </w:rPr>
        <w:t xml:space="preserve"> de los formularios</w:t>
      </w:r>
    </w:p>
    <w:p w14:paraId="0E8FE480" w14:textId="6F8C587A" w:rsidR="005002C0" w:rsidRDefault="007C14A1"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Talleres de cocreación</w:t>
      </w:r>
      <w:r w:rsidR="004C4C40">
        <w:rPr>
          <w:rFonts w:ascii="Book Antiqua" w:eastAsia="Calibri" w:hAnsi="Book Antiqua" w:cs="Arial"/>
          <w:sz w:val="24"/>
          <w:szCs w:val="24"/>
        </w:rPr>
        <w:t xml:space="preserve"> para definir buenas prácticas, estructura ideal, entre otros.</w:t>
      </w:r>
    </w:p>
    <w:p w14:paraId="0DFDA320" w14:textId="4C13B96B" w:rsidR="007C14A1" w:rsidRDefault="007C14A1"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 xml:space="preserve">Definición de </w:t>
      </w:r>
      <w:r w:rsidR="00A435AD">
        <w:rPr>
          <w:rFonts w:ascii="Book Antiqua" w:eastAsia="Calibri" w:hAnsi="Book Antiqua" w:cs="Arial"/>
          <w:sz w:val="24"/>
          <w:szCs w:val="24"/>
        </w:rPr>
        <w:t>características de un despacho modelo</w:t>
      </w:r>
    </w:p>
    <w:p w14:paraId="135FAEF8" w14:textId="3C7C0A39" w:rsidR="00A435AD" w:rsidRDefault="00A435AD"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 xml:space="preserve">Aplicación de instrumentos </w:t>
      </w:r>
      <w:r w:rsidR="006C4450">
        <w:rPr>
          <w:rFonts w:ascii="Book Antiqua" w:eastAsia="Calibri" w:hAnsi="Book Antiqua" w:cs="Arial"/>
          <w:sz w:val="24"/>
          <w:szCs w:val="24"/>
        </w:rPr>
        <w:t>de captura de datos cuantitativos</w:t>
      </w:r>
    </w:p>
    <w:p w14:paraId="25CFC08F" w14:textId="5688480B" w:rsidR="00AE54BC" w:rsidRDefault="006C4450"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Pr>
          <w:rFonts w:ascii="Book Antiqua" w:eastAsia="Calibri" w:hAnsi="Book Antiqua" w:cs="Arial"/>
          <w:sz w:val="24"/>
          <w:szCs w:val="24"/>
        </w:rPr>
        <w:t>Visitas a los despachos</w:t>
      </w:r>
    </w:p>
    <w:p w14:paraId="069A80C2"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Análisis de la estructura organizacional y funcional.</w:t>
      </w:r>
    </w:p>
    <w:p w14:paraId="704A4979"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Análisis de la distribución de la carga de trabajo, desde el reparto inicial de casos como de la carga asignada actualmente por cada persona involucrada en el equipo (entrada y circulante).</w:t>
      </w:r>
    </w:p>
    <w:p w14:paraId="6CF18D3B"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lastRenderedPageBreak/>
        <w:t xml:space="preserve">Definición del diseño del reparto de causas nuevas para la implementación o ajuste de la herramienta de reparto automático de casos, así como diseño de herramienta de reparto en Excel, en los casos que corresponda. </w:t>
      </w:r>
    </w:p>
    <w:p w14:paraId="09C40E64" w14:textId="741FCF74"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Implementación de la herramienta de pase a fallo en el Escritorio Virtual e implementación de</w:t>
      </w:r>
      <w:r w:rsidR="0064277D">
        <w:rPr>
          <w:rFonts w:ascii="Book Antiqua" w:eastAsia="Calibri" w:hAnsi="Book Antiqua" w:cs="Arial"/>
          <w:sz w:val="24"/>
          <w:szCs w:val="24"/>
        </w:rPr>
        <w:t>l</w:t>
      </w:r>
      <w:r w:rsidRPr="00B80439">
        <w:rPr>
          <w:rFonts w:ascii="Book Antiqua" w:eastAsia="Calibri" w:hAnsi="Book Antiqua" w:cs="Arial"/>
          <w:sz w:val="24"/>
          <w:szCs w:val="24"/>
        </w:rPr>
        <w:t xml:space="preserve"> libro de pase a fallo según los lineamientos establecidos. </w:t>
      </w:r>
    </w:p>
    <w:p w14:paraId="4168D2D7"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 xml:space="preserve">Conformación del Equipo de Mejora en el Despacho. </w:t>
      </w:r>
    </w:p>
    <w:p w14:paraId="6D6D6B01"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 xml:space="preserve">Implementación del Modelo de Sostenibilidad en cada uno de los despachos involucrados. </w:t>
      </w:r>
    </w:p>
    <w:p w14:paraId="19AEEA98" w14:textId="77777777" w:rsidR="00B80439" w:rsidRPr="00B80439" w:rsidRDefault="00B80439"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B80439">
        <w:rPr>
          <w:rFonts w:ascii="Book Antiqua" w:eastAsia="Calibri" w:hAnsi="Book Antiqua" w:cs="Arial"/>
          <w:sz w:val="24"/>
          <w:szCs w:val="24"/>
        </w:rPr>
        <w:t>Capacitación e implementación de los Indicadores de Gestión.</w:t>
      </w:r>
    </w:p>
    <w:p w14:paraId="321F3374" w14:textId="1EEFC960" w:rsidR="00F75CD7" w:rsidRDefault="00F75CD7" w:rsidP="00A65874">
      <w:pPr>
        <w:rPr>
          <w:lang w:val="es-ES"/>
        </w:rPr>
      </w:pPr>
    </w:p>
    <w:p w14:paraId="2067A50A" w14:textId="5A58F1B9" w:rsidR="00036F7A" w:rsidRDefault="00036F7A" w:rsidP="00661A24">
      <w:pPr>
        <w:pStyle w:val="Ttulo1"/>
        <w:numPr>
          <w:ilvl w:val="0"/>
          <w:numId w:val="44"/>
        </w:numPr>
        <w:spacing w:line="276" w:lineRule="auto"/>
      </w:pPr>
      <w:r w:rsidRPr="007D0A7F">
        <w:t xml:space="preserve">Información </w:t>
      </w:r>
      <w:r>
        <w:t>r</w:t>
      </w:r>
      <w:r w:rsidRPr="007D0A7F">
        <w:t xml:space="preserve">elevante materia </w:t>
      </w:r>
      <w:r w:rsidRPr="00C353F1">
        <w:t>de Pensiones Alimentarias</w:t>
      </w:r>
    </w:p>
    <w:p w14:paraId="76257640" w14:textId="77777777" w:rsidR="00661A24" w:rsidRPr="00661A24" w:rsidRDefault="00661A24" w:rsidP="00661A24">
      <w:pPr>
        <w:pStyle w:val="Prrafodelista"/>
        <w:keepNext/>
        <w:keepLines/>
        <w:numPr>
          <w:ilvl w:val="0"/>
          <w:numId w:val="1"/>
        </w:numPr>
        <w:pBdr>
          <w:top w:val="single" w:sz="2" w:space="1" w:color="1F3864" w:themeColor="accent1" w:themeShade="80"/>
          <w:left w:val="single" w:sz="2" w:space="4" w:color="1F3864" w:themeColor="accent1" w:themeShade="80"/>
          <w:bottom w:val="single" w:sz="2" w:space="1" w:color="1F3864" w:themeColor="accent1" w:themeShade="80"/>
          <w:right w:val="single" w:sz="2" w:space="4" w:color="1F3864" w:themeColor="accent1" w:themeShade="80"/>
        </w:pBdr>
        <w:shd w:val="clear" w:color="auto" w:fill="2F86BB"/>
        <w:spacing w:before="240" w:after="240" w:line="240" w:lineRule="auto"/>
        <w:contextualSpacing w:val="0"/>
        <w:jc w:val="both"/>
        <w:outlineLvl w:val="0"/>
        <w:rPr>
          <w:rFonts w:ascii="Book Antiqua" w:eastAsiaTheme="majorEastAsia" w:hAnsi="Book Antiqua" w:cstheme="majorBidi"/>
          <w:b/>
          <w:vanish/>
          <w:color w:val="FFFFFF" w:themeColor="background1"/>
          <w:sz w:val="24"/>
          <w:szCs w:val="32"/>
          <w:lang w:val="es-ES"/>
        </w:rPr>
      </w:pPr>
    </w:p>
    <w:p w14:paraId="46679535" w14:textId="731E8D73" w:rsidR="008A5896" w:rsidRPr="0033070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t>Situación de los Juzgados de Pensiones Alimentarias (especializados y mi</w:t>
      </w:r>
      <w:r w:rsidR="00226EC7" w:rsidRPr="00330700">
        <w:rPr>
          <w:rFonts w:ascii="Book Antiqua" w:eastAsiaTheme="majorEastAsia" w:hAnsi="Book Antiqua" w:cstheme="majorBidi"/>
          <w:b/>
          <w:color w:val="1F3864" w:themeColor="accent1" w:themeShade="80"/>
          <w:sz w:val="24"/>
          <w:lang w:val="es-ES"/>
        </w:rPr>
        <w:t>x</w:t>
      </w:r>
      <w:r w:rsidRPr="00330700">
        <w:rPr>
          <w:rFonts w:ascii="Book Antiqua" w:eastAsiaTheme="majorEastAsia" w:hAnsi="Book Antiqua" w:cstheme="majorBidi"/>
          <w:b/>
          <w:color w:val="1F3864" w:themeColor="accent1" w:themeShade="80"/>
          <w:sz w:val="24"/>
          <w:lang w:val="es-ES"/>
        </w:rPr>
        <w:t>tos)</w:t>
      </w:r>
    </w:p>
    <w:p w14:paraId="4EF6051C" w14:textId="77777777" w:rsidR="00CA58D9" w:rsidRDefault="00CA58D9" w:rsidP="00036F7A">
      <w:pPr>
        <w:spacing w:after="0" w:line="276" w:lineRule="auto"/>
        <w:jc w:val="both"/>
        <w:rPr>
          <w:rFonts w:ascii="Book Antiqua" w:eastAsia="Calibri" w:hAnsi="Book Antiqua" w:cs="Arial"/>
          <w:sz w:val="24"/>
          <w:szCs w:val="24"/>
        </w:rPr>
      </w:pPr>
    </w:p>
    <w:p w14:paraId="22AED799" w14:textId="44CB868F" w:rsidR="00036F7A" w:rsidRPr="00036F7A" w:rsidRDefault="00036F7A" w:rsidP="00036F7A">
      <w:pPr>
        <w:spacing w:after="0" w:line="276" w:lineRule="auto"/>
        <w:jc w:val="both"/>
        <w:rPr>
          <w:rFonts w:ascii="Book Antiqua" w:eastAsia="Calibri" w:hAnsi="Book Antiqua" w:cs="Arial"/>
          <w:sz w:val="24"/>
          <w:szCs w:val="24"/>
        </w:rPr>
      </w:pPr>
      <w:r w:rsidRPr="00036F7A">
        <w:rPr>
          <w:rFonts w:ascii="Book Antiqua" w:eastAsia="Calibri" w:hAnsi="Book Antiqua" w:cs="Arial"/>
          <w:sz w:val="24"/>
          <w:szCs w:val="24"/>
        </w:rPr>
        <w:t>El Código Procesal de Familia establece la derogación de la Ley 7654 del 19 de diciembre de 1996 (la actual Ley de Pensiones Alimentarias). La materia de Pensiones Alimentarias es atendida actualmente en el Poder Judicial bajo tres modalidades: juzgados especializados, juzgados que operan bajo la Plataforma Integrada de Servicios de Atención a las Víctimas (PISAV) y juzgados mixtos.</w:t>
      </w:r>
    </w:p>
    <w:p w14:paraId="2891CF17" w14:textId="77777777" w:rsidR="00036F7A" w:rsidRPr="00036F7A" w:rsidRDefault="00036F7A" w:rsidP="00036F7A">
      <w:pPr>
        <w:spacing w:after="0" w:line="276" w:lineRule="auto"/>
        <w:jc w:val="both"/>
        <w:rPr>
          <w:rFonts w:ascii="Book Antiqua" w:eastAsia="Calibri" w:hAnsi="Book Antiqua" w:cs="Arial"/>
          <w:sz w:val="24"/>
          <w:szCs w:val="24"/>
        </w:rPr>
      </w:pPr>
    </w:p>
    <w:p w14:paraId="142E8CEA" w14:textId="4FA70B17" w:rsidR="004C4C40" w:rsidRDefault="00036F7A" w:rsidP="00036F7A">
      <w:pPr>
        <w:spacing w:after="0" w:line="276" w:lineRule="auto"/>
        <w:jc w:val="both"/>
        <w:rPr>
          <w:rFonts w:ascii="Book Antiqua" w:eastAsia="Calibri" w:hAnsi="Book Antiqua" w:cs="Arial"/>
          <w:sz w:val="24"/>
          <w:szCs w:val="24"/>
        </w:rPr>
      </w:pPr>
      <w:r w:rsidRPr="00036F7A">
        <w:rPr>
          <w:rFonts w:ascii="Book Antiqua" w:eastAsia="Calibri" w:hAnsi="Book Antiqua" w:cs="Arial"/>
          <w:sz w:val="24"/>
          <w:szCs w:val="24"/>
        </w:rPr>
        <w:t xml:space="preserve">Debido a que no hay cambios o inclusión de nuevas funciones a los Juzgados que atienden la materia de Pensiones Alimentarias, no se registraría un impacto significativo con el CPF, </w:t>
      </w:r>
      <w:r w:rsidR="004C4C40">
        <w:rPr>
          <w:rFonts w:ascii="Book Antiqua" w:eastAsia="Calibri" w:hAnsi="Book Antiqua" w:cs="Arial"/>
          <w:sz w:val="24"/>
          <w:szCs w:val="24"/>
        </w:rPr>
        <w:t>salvo el cambio a nivel procesal para fijación de la cuantía como una sentencia anticipada. Como parte de los estudios complementarios al proyecto, en el primer semestre 2022 se efectuará el análisis de impacto de la norma en la estructura de las oficinas especializadas por el modelo oral-electrónico con el que trabajan</w:t>
      </w:r>
      <w:r w:rsidR="00FF3D65">
        <w:rPr>
          <w:rFonts w:ascii="Book Antiqua" w:eastAsia="Calibri" w:hAnsi="Book Antiqua" w:cs="Arial"/>
          <w:sz w:val="24"/>
          <w:szCs w:val="24"/>
        </w:rPr>
        <w:t xml:space="preserve"> (referencia interna 2146-2021)</w:t>
      </w:r>
      <w:r w:rsidR="004C4C40">
        <w:rPr>
          <w:rFonts w:ascii="Book Antiqua" w:eastAsia="Calibri" w:hAnsi="Book Antiqua" w:cs="Arial"/>
          <w:sz w:val="24"/>
          <w:szCs w:val="24"/>
        </w:rPr>
        <w:t xml:space="preserve">. </w:t>
      </w:r>
    </w:p>
    <w:p w14:paraId="5BE87A51" w14:textId="77777777" w:rsidR="001D5DE6" w:rsidRDefault="001D5DE6" w:rsidP="00036F7A">
      <w:pPr>
        <w:spacing w:after="0" w:line="276" w:lineRule="auto"/>
        <w:jc w:val="both"/>
        <w:rPr>
          <w:rFonts w:ascii="Book Antiqua" w:eastAsia="Calibri" w:hAnsi="Book Antiqua" w:cs="Arial"/>
          <w:sz w:val="24"/>
          <w:szCs w:val="24"/>
        </w:rPr>
      </w:pPr>
    </w:p>
    <w:p w14:paraId="7CC27C45" w14:textId="254BEB17" w:rsidR="00036F7A" w:rsidRPr="00036F7A" w:rsidRDefault="004C4C40" w:rsidP="00036F7A">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En el siguiente apartado </w:t>
      </w:r>
      <w:r w:rsidR="00036F7A" w:rsidRPr="00036F7A">
        <w:rPr>
          <w:rFonts w:ascii="Book Antiqua" w:eastAsia="Calibri" w:hAnsi="Book Antiqua" w:cs="Arial"/>
          <w:sz w:val="24"/>
          <w:szCs w:val="24"/>
        </w:rPr>
        <w:t>se analizará la situación actual de los juzgados de Pensiones Alimentarias para identificar si se necesita asignar puestos específicos de Jueza o Juez y de Técnica o Técnico Judicial en cada uno de esos despachos judiciales.</w:t>
      </w:r>
    </w:p>
    <w:p w14:paraId="4C2657E1" w14:textId="77777777" w:rsidR="00036F7A" w:rsidRPr="00036F7A" w:rsidRDefault="00036F7A" w:rsidP="00036F7A">
      <w:pPr>
        <w:spacing w:after="0" w:line="276" w:lineRule="auto"/>
        <w:jc w:val="both"/>
        <w:rPr>
          <w:rFonts w:ascii="Book Antiqua" w:eastAsia="Calibri" w:hAnsi="Book Antiqua" w:cs="Arial"/>
          <w:sz w:val="24"/>
          <w:szCs w:val="24"/>
        </w:rPr>
      </w:pPr>
    </w:p>
    <w:p w14:paraId="76063378" w14:textId="4736C994" w:rsidR="00036F7A" w:rsidRPr="00036F7A" w:rsidRDefault="00036F7A" w:rsidP="00036F7A">
      <w:pPr>
        <w:spacing w:after="0" w:line="276" w:lineRule="auto"/>
        <w:jc w:val="both"/>
        <w:rPr>
          <w:rFonts w:ascii="Book Antiqua" w:eastAsia="Calibri" w:hAnsi="Book Antiqua" w:cs="Arial"/>
          <w:sz w:val="24"/>
          <w:szCs w:val="24"/>
        </w:rPr>
      </w:pPr>
      <w:r w:rsidRPr="00036F7A">
        <w:rPr>
          <w:rFonts w:ascii="Book Antiqua" w:eastAsia="Calibri" w:hAnsi="Book Antiqua" w:cs="Arial"/>
          <w:sz w:val="24"/>
          <w:szCs w:val="24"/>
        </w:rPr>
        <w:t>La Institución realiz</w:t>
      </w:r>
      <w:r w:rsidR="004C4C40">
        <w:rPr>
          <w:rFonts w:ascii="Book Antiqua" w:eastAsia="Calibri" w:hAnsi="Book Antiqua" w:cs="Arial"/>
          <w:sz w:val="24"/>
          <w:szCs w:val="24"/>
        </w:rPr>
        <w:t>ó</w:t>
      </w:r>
      <w:r w:rsidRPr="00036F7A">
        <w:rPr>
          <w:rFonts w:ascii="Book Antiqua" w:eastAsia="Calibri" w:hAnsi="Book Antiqua" w:cs="Arial"/>
          <w:sz w:val="24"/>
          <w:szCs w:val="24"/>
        </w:rPr>
        <w:t xml:space="preserve"> esfuerzos importantes en la implementación del Modelo Oral-Electrónico en los Juzgados Especializados en Pensiones Alimentari</w:t>
      </w:r>
      <w:r w:rsidR="004156C3">
        <w:rPr>
          <w:rFonts w:ascii="Book Antiqua" w:eastAsia="Calibri" w:hAnsi="Book Antiqua" w:cs="Arial"/>
          <w:sz w:val="24"/>
          <w:szCs w:val="24"/>
        </w:rPr>
        <w:t>as</w:t>
      </w:r>
      <w:r w:rsidRPr="00036F7A">
        <w:rPr>
          <w:rFonts w:ascii="Book Antiqua" w:eastAsia="Calibri" w:hAnsi="Book Antiqua" w:cs="Arial"/>
          <w:sz w:val="24"/>
          <w:szCs w:val="24"/>
        </w:rPr>
        <w:t xml:space="preserve">, iniciativa que </w:t>
      </w:r>
      <w:r w:rsidRPr="00036F7A">
        <w:rPr>
          <w:rFonts w:ascii="Book Antiqua" w:eastAsia="Calibri" w:hAnsi="Book Antiqua" w:cs="Arial"/>
          <w:sz w:val="24"/>
          <w:szCs w:val="24"/>
        </w:rPr>
        <w:lastRenderedPageBreak/>
        <w:t>implic</w:t>
      </w:r>
      <w:r w:rsidR="004C4C40">
        <w:rPr>
          <w:rFonts w:ascii="Book Antiqua" w:eastAsia="Calibri" w:hAnsi="Book Antiqua" w:cs="Arial"/>
          <w:sz w:val="24"/>
          <w:szCs w:val="24"/>
        </w:rPr>
        <w:t>ó</w:t>
      </w:r>
      <w:r w:rsidRPr="00036F7A">
        <w:rPr>
          <w:rFonts w:ascii="Book Antiqua" w:eastAsia="Calibri" w:hAnsi="Book Antiqua" w:cs="Arial"/>
          <w:sz w:val="24"/>
          <w:szCs w:val="24"/>
        </w:rPr>
        <w:t xml:space="preserve"> el trámite electrónico de los expedientes, la implementación de un esquema de audiencias tempranas, indicadores de gestión, asignación personas juzgadoras conciliadoras, fondo y trámite, asignación de personal en las manifestaciones, entre otros lineamientos. Adicionalmente, dicho modelo </w:t>
      </w:r>
      <w:r w:rsidR="004C4C40" w:rsidRPr="00036F7A">
        <w:rPr>
          <w:rFonts w:ascii="Book Antiqua" w:eastAsia="Calibri" w:hAnsi="Book Antiqua" w:cs="Arial"/>
          <w:sz w:val="24"/>
          <w:szCs w:val="24"/>
        </w:rPr>
        <w:t>busc</w:t>
      </w:r>
      <w:r w:rsidR="004C4C40">
        <w:rPr>
          <w:rFonts w:ascii="Book Antiqua" w:eastAsia="Calibri" w:hAnsi="Book Antiqua" w:cs="Arial"/>
          <w:sz w:val="24"/>
          <w:szCs w:val="24"/>
        </w:rPr>
        <w:t>ó</w:t>
      </w:r>
      <w:r w:rsidR="004C4C40" w:rsidRPr="00036F7A">
        <w:rPr>
          <w:rFonts w:ascii="Book Antiqua" w:eastAsia="Calibri" w:hAnsi="Book Antiqua" w:cs="Arial"/>
          <w:sz w:val="24"/>
          <w:szCs w:val="24"/>
        </w:rPr>
        <w:t xml:space="preserve"> especializar</w:t>
      </w:r>
      <w:r w:rsidRPr="00036F7A">
        <w:rPr>
          <w:rFonts w:ascii="Book Antiqua" w:eastAsia="Calibri" w:hAnsi="Book Antiqua" w:cs="Arial"/>
          <w:sz w:val="24"/>
          <w:szCs w:val="24"/>
        </w:rPr>
        <w:t xml:space="preserve"> la mayor cantidad de despachos posibles, conforme la carga de trabajo y el presupuesto que asigna a través de los años</w:t>
      </w:r>
      <w:r w:rsidRPr="00464E4E">
        <w:rPr>
          <w:rFonts w:ascii="Book Antiqua" w:eastAsia="Calibri" w:hAnsi="Book Antiqua" w:cs="Arial"/>
          <w:sz w:val="24"/>
          <w:szCs w:val="24"/>
        </w:rPr>
        <w:t xml:space="preserve">. A </w:t>
      </w:r>
      <w:r w:rsidR="004C4C40">
        <w:rPr>
          <w:rFonts w:ascii="Book Antiqua" w:eastAsia="Calibri" w:hAnsi="Book Antiqua" w:cs="Arial"/>
          <w:sz w:val="24"/>
          <w:szCs w:val="24"/>
        </w:rPr>
        <w:t>marzo</w:t>
      </w:r>
      <w:r w:rsidR="004C4C40" w:rsidRPr="00464E4E">
        <w:rPr>
          <w:rFonts w:ascii="Book Antiqua" w:eastAsia="Calibri" w:hAnsi="Book Antiqua" w:cs="Arial"/>
          <w:sz w:val="24"/>
          <w:szCs w:val="24"/>
        </w:rPr>
        <w:t xml:space="preserve"> </w:t>
      </w:r>
      <w:r w:rsidRPr="00464E4E">
        <w:rPr>
          <w:rFonts w:ascii="Book Antiqua" w:eastAsia="Calibri" w:hAnsi="Book Antiqua" w:cs="Arial"/>
          <w:sz w:val="24"/>
          <w:szCs w:val="24"/>
        </w:rPr>
        <w:t>de 202</w:t>
      </w:r>
      <w:r w:rsidR="004C4C40">
        <w:rPr>
          <w:rFonts w:ascii="Book Antiqua" w:eastAsia="Calibri" w:hAnsi="Book Antiqua" w:cs="Arial"/>
          <w:sz w:val="24"/>
          <w:szCs w:val="24"/>
        </w:rPr>
        <w:t>1</w:t>
      </w:r>
      <w:r w:rsidRPr="00464E4E">
        <w:rPr>
          <w:rFonts w:ascii="Book Antiqua" w:eastAsia="Calibri" w:hAnsi="Book Antiqua" w:cs="Arial"/>
          <w:sz w:val="24"/>
          <w:szCs w:val="24"/>
        </w:rPr>
        <w:t>, los despachos especializados en Pensiones (salvo Nicoya</w:t>
      </w:r>
      <w:r w:rsidR="004C4C40">
        <w:rPr>
          <w:rFonts w:ascii="Book Antiqua" w:eastAsia="Calibri" w:hAnsi="Book Antiqua" w:cs="Arial"/>
          <w:sz w:val="24"/>
          <w:szCs w:val="24"/>
        </w:rPr>
        <w:t>)</w:t>
      </w:r>
      <w:r w:rsidRPr="00464E4E">
        <w:rPr>
          <w:rFonts w:ascii="Book Antiqua" w:eastAsia="Calibri" w:hAnsi="Book Antiqua" w:cs="Arial"/>
          <w:sz w:val="24"/>
          <w:szCs w:val="24"/>
        </w:rPr>
        <w:t xml:space="preserve"> trabajan</w:t>
      </w:r>
      <w:r w:rsidRPr="00036F7A">
        <w:rPr>
          <w:rFonts w:ascii="Book Antiqua" w:eastAsia="Calibri" w:hAnsi="Book Antiqua" w:cs="Arial"/>
          <w:sz w:val="24"/>
          <w:szCs w:val="24"/>
        </w:rPr>
        <w:t xml:space="preserve"> con una estructura con personal juzgador de conciliación, de trámite y de fondo. </w:t>
      </w:r>
      <w:r w:rsidR="00DF7B76">
        <w:rPr>
          <w:rFonts w:ascii="Book Antiqua" w:eastAsia="Calibri" w:hAnsi="Book Antiqua" w:cs="Arial"/>
          <w:sz w:val="24"/>
          <w:szCs w:val="24"/>
        </w:rPr>
        <w:t xml:space="preserve">En Sarapiquí se están implementando los cambios para adaptarlo a este modelo, oficio de la Dirección de Planificación 110-PLA-MI-2022.  </w:t>
      </w:r>
    </w:p>
    <w:p w14:paraId="6C0835B2" w14:textId="1200DAC4" w:rsidR="008A5896" w:rsidRDefault="008A5896" w:rsidP="00036F7A">
      <w:pPr>
        <w:spacing w:after="0" w:line="276" w:lineRule="auto"/>
        <w:jc w:val="both"/>
        <w:rPr>
          <w:rFonts w:ascii="Book Antiqua" w:eastAsia="Calibri" w:hAnsi="Book Antiqua" w:cs="Arial"/>
          <w:sz w:val="24"/>
          <w:szCs w:val="24"/>
        </w:rPr>
      </w:pPr>
    </w:p>
    <w:p w14:paraId="1F633AE0" w14:textId="4EBDE784" w:rsidR="008A5896" w:rsidRPr="0033070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t>Modelo de Juzg</w:t>
      </w:r>
      <w:r w:rsidR="008A5896" w:rsidRPr="00330700">
        <w:rPr>
          <w:rFonts w:ascii="Book Antiqua" w:eastAsiaTheme="majorEastAsia" w:hAnsi="Book Antiqua" w:cstheme="majorBidi"/>
          <w:b/>
          <w:color w:val="1F3864" w:themeColor="accent1" w:themeShade="80"/>
          <w:sz w:val="24"/>
          <w:lang w:val="es-ES"/>
        </w:rPr>
        <w:t>a</w:t>
      </w:r>
      <w:r w:rsidRPr="00330700">
        <w:rPr>
          <w:rFonts w:ascii="Book Antiqua" w:eastAsiaTheme="majorEastAsia" w:hAnsi="Book Antiqua" w:cstheme="majorBidi"/>
          <w:b/>
          <w:color w:val="1F3864" w:themeColor="accent1" w:themeShade="80"/>
          <w:sz w:val="24"/>
          <w:lang w:val="es-ES"/>
        </w:rPr>
        <w:t>do de Pensiones Alimentarias-estructuras</w:t>
      </w:r>
    </w:p>
    <w:p w14:paraId="45D53BD6" w14:textId="77777777" w:rsidR="008A5896" w:rsidRPr="00036F7A" w:rsidRDefault="008A5896" w:rsidP="007E153E">
      <w:pPr>
        <w:spacing w:after="0" w:line="276" w:lineRule="auto"/>
        <w:jc w:val="both"/>
        <w:rPr>
          <w:rFonts w:ascii="Book Antiqua" w:eastAsia="Calibri" w:hAnsi="Book Antiqua" w:cs="Arial"/>
          <w:sz w:val="24"/>
          <w:szCs w:val="24"/>
        </w:rPr>
      </w:pPr>
    </w:p>
    <w:p w14:paraId="1F479190" w14:textId="1BFFD253" w:rsidR="00036F7A" w:rsidRDefault="00036F7A" w:rsidP="007E153E">
      <w:pPr>
        <w:jc w:val="both"/>
        <w:rPr>
          <w:rFonts w:ascii="Book Antiqua" w:eastAsia="Calibri" w:hAnsi="Book Antiqua" w:cs="Arial"/>
          <w:sz w:val="24"/>
          <w:szCs w:val="24"/>
        </w:rPr>
      </w:pPr>
      <w:r w:rsidRPr="00036F7A">
        <w:rPr>
          <w:rFonts w:ascii="Book Antiqua" w:eastAsia="Calibri" w:hAnsi="Book Antiqua" w:cs="Arial"/>
          <w:sz w:val="24"/>
          <w:szCs w:val="24"/>
        </w:rPr>
        <w:t xml:space="preserve">Los despachos especializados en la materia de Pensiones Alimentarias cuentan con una estructura funcional similar, con al menos 3 técnicas o técnicos judiciales por cada Jueza o </w:t>
      </w:r>
      <w:r w:rsidR="004156C3">
        <w:rPr>
          <w:rFonts w:ascii="Book Antiqua" w:eastAsia="Calibri" w:hAnsi="Book Antiqua" w:cs="Arial"/>
          <w:sz w:val="24"/>
          <w:szCs w:val="24"/>
        </w:rPr>
        <w:t>J</w:t>
      </w:r>
      <w:r w:rsidRPr="00036F7A">
        <w:rPr>
          <w:rFonts w:ascii="Book Antiqua" w:eastAsia="Calibri" w:hAnsi="Book Antiqua" w:cs="Arial"/>
          <w:sz w:val="24"/>
          <w:szCs w:val="24"/>
        </w:rPr>
        <w:t>uez en los despachos, y un coordinador judicial</w:t>
      </w:r>
      <w:r>
        <w:rPr>
          <w:rFonts w:ascii="Book Antiqua" w:eastAsia="Calibri" w:hAnsi="Book Antiqua" w:cs="Arial"/>
          <w:sz w:val="24"/>
          <w:szCs w:val="24"/>
        </w:rPr>
        <w:t>.</w:t>
      </w:r>
    </w:p>
    <w:p w14:paraId="720384BB" w14:textId="77777777" w:rsidR="00036F7A" w:rsidRDefault="00036F7A" w:rsidP="00A65874">
      <w:pPr>
        <w:rPr>
          <w:rFonts w:ascii="Book Antiqua" w:eastAsia="Calibri" w:hAnsi="Book Antiqua" w:cs="Arial"/>
          <w:sz w:val="24"/>
          <w:szCs w:val="24"/>
        </w:rPr>
      </w:pPr>
    </w:p>
    <w:p w14:paraId="3A30FAF6" w14:textId="4A0CF4F6" w:rsidR="00036F7A" w:rsidRPr="00036F7A" w:rsidRDefault="00036F7A" w:rsidP="00036F7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6F7A">
        <w:rPr>
          <w:rFonts w:ascii="Book Antiqua" w:eastAsia="Calibri" w:hAnsi="Book Antiqua" w:cs="Arial"/>
          <w:b/>
          <w:bCs/>
          <w:color w:val="1F497D"/>
          <w:szCs w:val="24"/>
          <w:lang w:val="es-ES" w:eastAsia="es-ES"/>
        </w:rPr>
        <w:t xml:space="preserve">Cuadro </w:t>
      </w:r>
      <w:r w:rsidRPr="00036F7A">
        <w:rPr>
          <w:rFonts w:ascii="Book Antiqua" w:eastAsia="Calibri" w:hAnsi="Book Antiqua" w:cs="Arial"/>
          <w:b/>
          <w:bCs/>
          <w:color w:val="1F497D"/>
          <w:szCs w:val="24"/>
          <w:lang w:val="es-ES" w:eastAsia="es-ES"/>
        </w:rPr>
        <w:fldChar w:fldCharType="begin"/>
      </w:r>
      <w:r w:rsidRPr="00036F7A">
        <w:rPr>
          <w:rFonts w:ascii="Book Antiqua" w:eastAsia="Calibri" w:hAnsi="Book Antiqua" w:cs="Arial"/>
          <w:b/>
          <w:bCs/>
          <w:color w:val="1F497D"/>
          <w:szCs w:val="24"/>
          <w:lang w:val="es-ES" w:eastAsia="es-ES"/>
        </w:rPr>
        <w:instrText xml:space="preserve"> SEQ Cuadro \* ARABIC </w:instrText>
      </w:r>
      <w:r w:rsidRPr="00036F7A">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71</w:t>
      </w:r>
      <w:r w:rsidRPr="00036F7A">
        <w:rPr>
          <w:rFonts w:ascii="Book Antiqua" w:eastAsia="Calibri" w:hAnsi="Book Antiqua" w:cs="Arial"/>
          <w:b/>
          <w:bCs/>
          <w:color w:val="1F497D"/>
          <w:szCs w:val="24"/>
          <w:lang w:val="es-ES" w:eastAsia="es-ES"/>
        </w:rPr>
        <w:fldChar w:fldCharType="end"/>
      </w:r>
      <w:r w:rsidRPr="00036F7A">
        <w:rPr>
          <w:rFonts w:ascii="Book Antiqua" w:eastAsia="Calibri" w:hAnsi="Book Antiqua" w:cs="Arial"/>
          <w:b/>
          <w:bCs/>
          <w:color w:val="1F497D"/>
          <w:szCs w:val="24"/>
          <w:lang w:val="es-ES" w:eastAsia="es-ES"/>
        </w:rPr>
        <w:t xml:space="preserve"> </w:t>
      </w:r>
    </w:p>
    <w:p w14:paraId="0418755B" w14:textId="77777777" w:rsidR="00036F7A" w:rsidRPr="00036F7A" w:rsidRDefault="00036F7A" w:rsidP="00036F7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6F7A">
        <w:rPr>
          <w:rFonts w:ascii="Book Antiqua" w:eastAsia="Calibri" w:hAnsi="Book Antiqua" w:cs="Arial"/>
          <w:b/>
          <w:bCs/>
          <w:color w:val="1F497D"/>
          <w:szCs w:val="24"/>
          <w:lang w:val="es-ES" w:eastAsia="es-ES"/>
        </w:rPr>
        <w:t xml:space="preserve">Cantidad de personas en los juzgados </w:t>
      </w:r>
    </w:p>
    <w:p w14:paraId="395ACA33" w14:textId="77777777" w:rsidR="00036F7A" w:rsidRPr="00036F7A" w:rsidRDefault="00036F7A" w:rsidP="00036F7A">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36F7A">
        <w:rPr>
          <w:rFonts w:ascii="Book Antiqua" w:eastAsia="Calibri" w:hAnsi="Book Antiqua" w:cs="Arial"/>
          <w:b/>
          <w:bCs/>
          <w:color w:val="1F497D"/>
          <w:szCs w:val="24"/>
          <w:lang w:val="es-ES" w:eastAsia="es-ES"/>
        </w:rPr>
        <w:t>especializados de materia de Pensiones Alimentarias</w:t>
      </w:r>
    </w:p>
    <w:tbl>
      <w:tblPr>
        <w:tblW w:w="8673" w:type="dxa"/>
        <w:jc w:val="center"/>
        <w:tblLayout w:type="fixed"/>
        <w:tblCellMar>
          <w:left w:w="70" w:type="dxa"/>
          <w:right w:w="70" w:type="dxa"/>
        </w:tblCellMar>
        <w:tblLook w:val="04A0" w:firstRow="1" w:lastRow="0" w:firstColumn="1" w:lastColumn="0" w:noHBand="0" w:noVBand="1"/>
      </w:tblPr>
      <w:tblGrid>
        <w:gridCol w:w="3685"/>
        <w:gridCol w:w="1247"/>
        <w:gridCol w:w="1247"/>
        <w:gridCol w:w="1247"/>
        <w:gridCol w:w="1247"/>
      </w:tblGrid>
      <w:tr w:rsidR="00036F7A" w:rsidRPr="00036F7A" w14:paraId="3C241922" w14:textId="77777777" w:rsidTr="00306313">
        <w:trPr>
          <w:trHeight w:val="540"/>
          <w:tblHeader/>
          <w:jc w:val="center"/>
        </w:trPr>
        <w:tc>
          <w:tcPr>
            <w:tcW w:w="368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7FE0FE6"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Despacho</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18B4DCF9"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Jueza o Juez</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6D8DFDF1"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Coordinadoras o Coordinadores judiciales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7B53FD4F"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Técnicas o Técnicos Judiciales totales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6029BC27"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Auxiliar de Servicios Generales</w:t>
            </w:r>
          </w:p>
        </w:tc>
      </w:tr>
      <w:tr w:rsidR="00036F7A" w:rsidRPr="00036F7A" w14:paraId="641A2E5A"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4FE4F595"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Cartago</w:t>
            </w:r>
          </w:p>
        </w:tc>
        <w:tc>
          <w:tcPr>
            <w:tcW w:w="1247" w:type="dxa"/>
            <w:tcBorders>
              <w:top w:val="nil"/>
              <w:left w:val="nil"/>
              <w:bottom w:val="single" w:sz="4" w:space="0" w:color="auto"/>
              <w:right w:val="single" w:sz="4" w:space="0" w:color="auto"/>
            </w:tcBorders>
            <w:shd w:val="clear" w:color="auto" w:fill="auto"/>
            <w:noWrap/>
            <w:vAlign w:val="center"/>
            <w:hideMark/>
          </w:tcPr>
          <w:p w14:paraId="1DAE32DE"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3EE22B0B"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059A07E9"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14</w:t>
            </w:r>
          </w:p>
        </w:tc>
        <w:tc>
          <w:tcPr>
            <w:tcW w:w="1247" w:type="dxa"/>
            <w:tcBorders>
              <w:top w:val="nil"/>
              <w:left w:val="nil"/>
              <w:bottom w:val="single" w:sz="4" w:space="0" w:color="auto"/>
              <w:right w:val="single" w:sz="4" w:space="0" w:color="auto"/>
            </w:tcBorders>
            <w:shd w:val="clear" w:color="auto" w:fill="auto"/>
            <w:vAlign w:val="center"/>
          </w:tcPr>
          <w:p w14:paraId="012E30FE"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7778C254"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000000" w:fill="FFFFFF"/>
            <w:noWrap/>
            <w:vAlign w:val="center"/>
            <w:hideMark/>
          </w:tcPr>
          <w:p w14:paraId="5B7127BC"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Heredia</w:t>
            </w:r>
          </w:p>
        </w:tc>
        <w:tc>
          <w:tcPr>
            <w:tcW w:w="1247" w:type="dxa"/>
            <w:tcBorders>
              <w:top w:val="nil"/>
              <w:left w:val="nil"/>
              <w:bottom w:val="single" w:sz="4" w:space="0" w:color="auto"/>
              <w:right w:val="single" w:sz="4" w:space="0" w:color="auto"/>
            </w:tcBorders>
            <w:shd w:val="clear" w:color="auto" w:fill="auto"/>
            <w:noWrap/>
            <w:vAlign w:val="center"/>
            <w:hideMark/>
          </w:tcPr>
          <w:p w14:paraId="1F0E31F6"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7E9F7BF6"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47638527"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15</w:t>
            </w:r>
          </w:p>
        </w:tc>
        <w:tc>
          <w:tcPr>
            <w:tcW w:w="1247" w:type="dxa"/>
            <w:tcBorders>
              <w:top w:val="nil"/>
              <w:left w:val="nil"/>
              <w:bottom w:val="single" w:sz="4" w:space="0" w:color="auto"/>
              <w:right w:val="single" w:sz="4" w:space="0" w:color="auto"/>
            </w:tcBorders>
            <w:shd w:val="clear" w:color="auto" w:fill="auto"/>
            <w:vAlign w:val="center"/>
          </w:tcPr>
          <w:p w14:paraId="4FF7FB83"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6B4A0FB8"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EC40660"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 xml:space="preserve">Juzgado Pensiones Alimentarias I Circ. Jud. Alajuela </w:t>
            </w:r>
          </w:p>
        </w:tc>
        <w:tc>
          <w:tcPr>
            <w:tcW w:w="1247" w:type="dxa"/>
            <w:tcBorders>
              <w:top w:val="nil"/>
              <w:left w:val="nil"/>
              <w:bottom w:val="single" w:sz="4" w:space="0" w:color="auto"/>
              <w:right w:val="single" w:sz="4" w:space="0" w:color="auto"/>
            </w:tcBorders>
            <w:shd w:val="clear" w:color="auto" w:fill="auto"/>
            <w:noWrap/>
            <w:vAlign w:val="center"/>
            <w:hideMark/>
          </w:tcPr>
          <w:p w14:paraId="7135866F"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6</w:t>
            </w:r>
          </w:p>
        </w:tc>
        <w:tc>
          <w:tcPr>
            <w:tcW w:w="1247" w:type="dxa"/>
            <w:tcBorders>
              <w:top w:val="nil"/>
              <w:left w:val="nil"/>
              <w:bottom w:val="single" w:sz="4" w:space="0" w:color="auto"/>
              <w:right w:val="single" w:sz="4" w:space="0" w:color="auto"/>
            </w:tcBorders>
            <w:shd w:val="clear" w:color="auto" w:fill="auto"/>
            <w:vAlign w:val="center"/>
            <w:hideMark/>
          </w:tcPr>
          <w:p w14:paraId="2D735061"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BDF5D0D"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16</w:t>
            </w:r>
          </w:p>
        </w:tc>
        <w:tc>
          <w:tcPr>
            <w:tcW w:w="1247" w:type="dxa"/>
            <w:tcBorders>
              <w:top w:val="nil"/>
              <w:left w:val="nil"/>
              <w:bottom w:val="single" w:sz="4" w:space="0" w:color="auto"/>
              <w:right w:val="single" w:sz="4" w:space="0" w:color="auto"/>
            </w:tcBorders>
            <w:shd w:val="clear" w:color="auto" w:fill="auto"/>
            <w:vAlign w:val="center"/>
          </w:tcPr>
          <w:p w14:paraId="03017DF7"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0B723918"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349FF62"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 xml:space="preserve">Juzgado Pensiones Alimentarias I Circ. Jud. San José </w:t>
            </w:r>
          </w:p>
        </w:tc>
        <w:tc>
          <w:tcPr>
            <w:tcW w:w="1247" w:type="dxa"/>
            <w:tcBorders>
              <w:top w:val="nil"/>
              <w:left w:val="nil"/>
              <w:bottom w:val="single" w:sz="4" w:space="0" w:color="auto"/>
              <w:right w:val="single" w:sz="4" w:space="0" w:color="auto"/>
            </w:tcBorders>
            <w:shd w:val="clear" w:color="auto" w:fill="auto"/>
            <w:noWrap/>
            <w:vAlign w:val="center"/>
            <w:hideMark/>
          </w:tcPr>
          <w:p w14:paraId="18D70E9F"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4</w:t>
            </w:r>
          </w:p>
        </w:tc>
        <w:tc>
          <w:tcPr>
            <w:tcW w:w="1247" w:type="dxa"/>
            <w:tcBorders>
              <w:top w:val="nil"/>
              <w:left w:val="nil"/>
              <w:bottom w:val="single" w:sz="4" w:space="0" w:color="auto"/>
              <w:right w:val="single" w:sz="4" w:space="0" w:color="auto"/>
            </w:tcBorders>
            <w:shd w:val="clear" w:color="auto" w:fill="auto"/>
            <w:vAlign w:val="center"/>
            <w:hideMark/>
          </w:tcPr>
          <w:p w14:paraId="0D58B033"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E6C3E1D"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13</w:t>
            </w:r>
          </w:p>
        </w:tc>
        <w:tc>
          <w:tcPr>
            <w:tcW w:w="1247" w:type="dxa"/>
            <w:tcBorders>
              <w:top w:val="nil"/>
              <w:left w:val="nil"/>
              <w:bottom w:val="single" w:sz="4" w:space="0" w:color="auto"/>
              <w:right w:val="single" w:sz="4" w:space="0" w:color="auto"/>
            </w:tcBorders>
            <w:shd w:val="clear" w:color="auto" w:fill="auto"/>
            <w:vAlign w:val="center"/>
            <w:hideMark/>
          </w:tcPr>
          <w:p w14:paraId="3997B11B"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r>
      <w:tr w:rsidR="00036F7A" w:rsidRPr="00036F7A" w14:paraId="045767BE"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80510DB"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 xml:space="preserve">Juzgado Pensiones Alimentarias I Circ. Jud. Zona Atlántica (Limón) </w:t>
            </w:r>
          </w:p>
        </w:tc>
        <w:tc>
          <w:tcPr>
            <w:tcW w:w="1247" w:type="dxa"/>
            <w:tcBorders>
              <w:top w:val="nil"/>
              <w:left w:val="nil"/>
              <w:bottom w:val="single" w:sz="4" w:space="0" w:color="auto"/>
              <w:right w:val="single" w:sz="4" w:space="0" w:color="auto"/>
            </w:tcBorders>
            <w:shd w:val="clear" w:color="auto" w:fill="auto"/>
            <w:noWrap/>
            <w:vAlign w:val="center"/>
            <w:hideMark/>
          </w:tcPr>
          <w:p w14:paraId="356471CF"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696EDA47"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5CB8CBF4"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11</w:t>
            </w:r>
          </w:p>
        </w:tc>
        <w:tc>
          <w:tcPr>
            <w:tcW w:w="1247" w:type="dxa"/>
            <w:tcBorders>
              <w:top w:val="nil"/>
              <w:left w:val="nil"/>
              <w:bottom w:val="single" w:sz="4" w:space="0" w:color="auto"/>
              <w:right w:val="single" w:sz="4" w:space="0" w:color="auto"/>
            </w:tcBorders>
            <w:shd w:val="clear" w:color="auto" w:fill="auto"/>
            <w:vAlign w:val="center"/>
          </w:tcPr>
          <w:p w14:paraId="38753AA4"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38DF38E3"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2833A669"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lastRenderedPageBreak/>
              <w:t>Juzgado Pensiones Alimentarias I Circ. Jud. Zona Sur (Pérez Zeledón)</w:t>
            </w:r>
          </w:p>
        </w:tc>
        <w:tc>
          <w:tcPr>
            <w:tcW w:w="1247" w:type="dxa"/>
            <w:tcBorders>
              <w:top w:val="nil"/>
              <w:left w:val="nil"/>
              <w:bottom w:val="single" w:sz="4" w:space="0" w:color="auto"/>
              <w:right w:val="single" w:sz="4" w:space="0" w:color="auto"/>
            </w:tcBorders>
            <w:shd w:val="clear" w:color="auto" w:fill="auto"/>
            <w:noWrap/>
            <w:vAlign w:val="center"/>
            <w:hideMark/>
          </w:tcPr>
          <w:p w14:paraId="6083E16F"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3E6C509E"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5C5D8973"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9</w:t>
            </w:r>
          </w:p>
        </w:tc>
        <w:tc>
          <w:tcPr>
            <w:tcW w:w="1247" w:type="dxa"/>
            <w:tcBorders>
              <w:top w:val="nil"/>
              <w:left w:val="nil"/>
              <w:bottom w:val="single" w:sz="4" w:space="0" w:color="auto"/>
              <w:right w:val="single" w:sz="4" w:space="0" w:color="auto"/>
            </w:tcBorders>
            <w:shd w:val="clear" w:color="auto" w:fill="auto"/>
            <w:vAlign w:val="center"/>
          </w:tcPr>
          <w:p w14:paraId="0B6EE8A2"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r>
      <w:tr w:rsidR="00036F7A" w:rsidRPr="00036F7A" w14:paraId="70F22EFC"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696327B"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II Circ. Jud. San José (Goicoechea)*</w:t>
            </w:r>
          </w:p>
        </w:tc>
        <w:tc>
          <w:tcPr>
            <w:tcW w:w="1247" w:type="dxa"/>
            <w:tcBorders>
              <w:top w:val="nil"/>
              <w:left w:val="nil"/>
              <w:bottom w:val="single" w:sz="4" w:space="0" w:color="auto"/>
              <w:right w:val="single" w:sz="4" w:space="0" w:color="auto"/>
            </w:tcBorders>
            <w:shd w:val="clear" w:color="auto" w:fill="auto"/>
            <w:noWrap/>
            <w:vAlign w:val="center"/>
            <w:hideMark/>
          </w:tcPr>
          <w:p w14:paraId="2B1B869B"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12</w:t>
            </w:r>
          </w:p>
        </w:tc>
        <w:tc>
          <w:tcPr>
            <w:tcW w:w="1247" w:type="dxa"/>
            <w:tcBorders>
              <w:top w:val="nil"/>
              <w:left w:val="nil"/>
              <w:bottom w:val="single" w:sz="4" w:space="0" w:color="auto"/>
              <w:right w:val="single" w:sz="4" w:space="0" w:color="auto"/>
            </w:tcBorders>
            <w:shd w:val="clear" w:color="auto" w:fill="auto"/>
            <w:vAlign w:val="center"/>
            <w:hideMark/>
          </w:tcPr>
          <w:p w14:paraId="5A07ADB1"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2</w:t>
            </w:r>
          </w:p>
        </w:tc>
        <w:tc>
          <w:tcPr>
            <w:tcW w:w="1247" w:type="dxa"/>
            <w:tcBorders>
              <w:top w:val="nil"/>
              <w:left w:val="nil"/>
              <w:bottom w:val="single" w:sz="4" w:space="0" w:color="auto"/>
              <w:right w:val="single" w:sz="4" w:space="0" w:color="auto"/>
            </w:tcBorders>
            <w:shd w:val="clear" w:color="auto" w:fill="auto"/>
            <w:vAlign w:val="center"/>
            <w:hideMark/>
          </w:tcPr>
          <w:p w14:paraId="739F40C8"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27</w:t>
            </w:r>
          </w:p>
        </w:tc>
        <w:tc>
          <w:tcPr>
            <w:tcW w:w="1247" w:type="dxa"/>
            <w:tcBorders>
              <w:top w:val="nil"/>
              <w:left w:val="nil"/>
              <w:bottom w:val="single" w:sz="4" w:space="0" w:color="auto"/>
              <w:right w:val="single" w:sz="4" w:space="0" w:color="auto"/>
            </w:tcBorders>
            <w:shd w:val="clear" w:color="auto" w:fill="auto"/>
            <w:vAlign w:val="center"/>
          </w:tcPr>
          <w:p w14:paraId="3F851E8F"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792D522E"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6016DFD"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II Circ. Jud. Zona Atlántica (Pococí)</w:t>
            </w:r>
          </w:p>
        </w:tc>
        <w:tc>
          <w:tcPr>
            <w:tcW w:w="1247" w:type="dxa"/>
            <w:tcBorders>
              <w:top w:val="nil"/>
              <w:left w:val="nil"/>
              <w:bottom w:val="single" w:sz="4" w:space="0" w:color="auto"/>
              <w:right w:val="single" w:sz="4" w:space="0" w:color="auto"/>
            </w:tcBorders>
            <w:shd w:val="clear" w:color="auto" w:fill="auto"/>
            <w:noWrap/>
            <w:vAlign w:val="center"/>
            <w:hideMark/>
          </w:tcPr>
          <w:p w14:paraId="4FE540E0"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8F6B388"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52404D"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11</w:t>
            </w:r>
          </w:p>
        </w:tc>
        <w:tc>
          <w:tcPr>
            <w:tcW w:w="1247" w:type="dxa"/>
            <w:tcBorders>
              <w:top w:val="nil"/>
              <w:left w:val="nil"/>
              <w:bottom w:val="single" w:sz="4" w:space="0" w:color="auto"/>
              <w:right w:val="single" w:sz="4" w:space="0" w:color="auto"/>
            </w:tcBorders>
            <w:shd w:val="clear" w:color="auto" w:fill="auto"/>
            <w:vAlign w:val="center"/>
          </w:tcPr>
          <w:p w14:paraId="3D797FEC"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4164EE0A"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5AB6998F"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III Circ. Jud. San José (Desamparados)</w:t>
            </w:r>
          </w:p>
        </w:tc>
        <w:tc>
          <w:tcPr>
            <w:tcW w:w="1247" w:type="dxa"/>
            <w:tcBorders>
              <w:top w:val="nil"/>
              <w:left w:val="nil"/>
              <w:bottom w:val="single" w:sz="4" w:space="0" w:color="auto"/>
              <w:right w:val="single" w:sz="4" w:space="0" w:color="auto"/>
            </w:tcBorders>
            <w:shd w:val="clear" w:color="auto" w:fill="auto"/>
            <w:noWrap/>
            <w:vAlign w:val="center"/>
            <w:hideMark/>
          </w:tcPr>
          <w:p w14:paraId="2A2DDDB0"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3C9E8181"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7DB002A"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19</w:t>
            </w:r>
          </w:p>
        </w:tc>
        <w:tc>
          <w:tcPr>
            <w:tcW w:w="1247" w:type="dxa"/>
            <w:tcBorders>
              <w:top w:val="nil"/>
              <w:left w:val="nil"/>
              <w:bottom w:val="single" w:sz="4" w:space="0" w:color="auto"/>
              <w:right w:val="single" w:sz="4" w:space="0" w:color="auto"/>
            </w:tcBorders>
            <w:shd w:val="clear" w:color="auto" w:fill="auto"/>
            <w:vAlign w:val="center"/>
          </w:tcPr>
          <w:p w14:paraId="17A21DFB"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065EC3C4" w14:textId="77777777" w:rsidTr="00306313">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580CD6E3" w14:textId="7777777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Puntarenas</w:t>
            </w:r>
          </w:p>
        </w:tc>
        <w:tc>
          <w:tcPr>
            <w:tcW w:w="1247" w:type="dxa"/>
            <w:tcBorders>
              <w:top w:val="nil"/>
              <w:left w:val="nil"/>
              <w:bottom w:val="single" w:sz="4" w:space="0" w:color="auto"/>
              <w:right w:val="single" w:sz="4" w:space="0" w:color="auto"/>
            </w:tcBorders>
            <w:shd w:val="clear" w:color="auto" w:fill="auto"/>
            <w:noWrap/>
            <w:vAlign w:val="center"/>
            <w:hideMark/>
          </w:tcPr>
          <w:p w14:paraId="7F9CB9D2"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3A91BB0E"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03C1D50B"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10</w:t>
            </w:r>
          </w:p>
        </w:tc>
        <w:tc>
          <w:tcPr>
            <w:tcW w:w="1247" w:type="dxa"/>
            <w:tcBorders>
              <w:top w:val="nil"/>
              <w:left w:val="nil"/>
              <w:bottom w:val="single" w:sz="4" w:space="0" w:color="auto"/>
              <w:right w:val="single" w:sz="4" w:space="0" w:color="auto"/>
            </w:tcBorders>
            <w:shd w:val="clear" w:color="auto" w:fill="auto"/>
            <w:vAlign w:val="center"/>
            <w:hideMark/>
          </w:tcPr>
          <w:p w14:paraId="3E16A904"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r>
      <w:tr w:rsidR="00036F7A" w:rsidRPr="00036F7A" w14:paraId="44E0BD74" w14:textId="77777777" w:rsidTr="00306313">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7C88EA5A" w14:textId="018FE797"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Sarapiquí</w:t>
            </w:r>
            <w:r w:rsidR="004156C3">
              <w:rPr>
                <w:rFonts w:ascii="Book Antiqua" w:eastAsia="Times New Roman" w:hAnsi="Book Antiqua" w:cs="Times New Roman"/>
                <w:color w:val="000000"/>
                <w:lang w:val="es-ES" w:eastAsia="es-ES"/>
              </w:rPr>
              <w:t>**</w:t>
            </w:r>
          </w:p>
        </w:tc>
        <w:tc>
          <w:tcPr>
            <w:tcW w:w="1247" w:type="dxa"/>
            <w:tcBorders>
              <w:top w:val="nil"/>
              <w:left w:val="nil"/>
              <w:bottom w:val="single" w:sz="4" w:space="0" w:color="auto"/>
              <w:right w:val="single" w:sz="4" w:space="0" w:color="auto"/>
            </w:tcBorders>
            <w:shd w:val="clear" w:color="auto" w:fill="auto"/>
            <w:noWrap/>
            <w:vAlign w:val="center"/>
            <w:hideMark/>
          </w:tcPr>
          <w:p w14:paraId="2B9368B8"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51253595"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856DB2"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68CE13F6"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r>
      <w:tr w:rsidR="00036F7A" w:rsidRPr="00036F7A" w14:paraId="458575FF" w14:textId="77777777" w:rsidTr="00306313">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tcPr>
          <w:p w14:paraId="7CD0D2FE" w14:textId="18B65BFB" w:rsidR="00036F7A" w:rsidRPr="00036F7A" w:rsidRDefault="00036F7A" w:rsidP="00036F7A">
            <w:pPr>
              <w:spacing w:after="0" w:line="276" w:lineRule="auto"/>
              <w:jc w:val="both"/>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Juzgado Pensiones Alimentarias Nicoya**</w:t>
            </w:r>
            <w:r w:rsidR="004908ED">
              <w:rPr>
                <w:rFonts w:ascii="Book Antiqua" w:eastAsia="Times New Roman" w:hAnsi="Book Antiqua" w:cs="Times New Roman"/>
                <w:color w:val="000000"/>
                <w:lang w:val="es-ES" w:eastAsia="es-ES"/>
              </w:rPr>
              <w:t>*</w:t>
            </w:r>
          </w:p>
        </w:tc>
        <w:tc>
          <w:tcPr>
            <w:tcW w:w="1247" w:type="dxa"/>
            <w:tcBorders>
              <w:top w:val="nil"/>
              <w:left w:val="nil"/>
              <w:bottom w:val="single" w:sz="4" w:space="0" w:color="auto"/>
              <w:right w:val="single" w:sz="4" w:space="0" w:color="auto"/>
            </w:tcBorders>
            <w:shd w:val="clear" w:color="auto" w:fill="auto"/>
            <w:noWrap/>
            <w:vAlign w:val="center"/>
          </w:tcPr>
          <w:p w14:paraId="723B61E4"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2</w:t>
            </w:r>
          </w:p>
        </w:tc>
        <w:tc>
          <w:tcPr>
            <w:tcW w:w="1247" w:type="dxa"/>
            <w:tcBorders>
              <w:top w:val="nil"/>
              <w:left w:val="nil"/>
              <w:bottom w:val="single" w:sz="4" w:space="0" w:color="auto"/>
              <w:right w:val="single" w:sz="4" w:space="0" w:color="auto"/>
            </w:tcBorders>
            <w:shd w:val="clear" w:color="auto" w:fill="auto"/>
            <w:vAlign w:val="center"/>
          </w:tcPr>
          <w:p w14:paraId="6B275F56"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tcPr>
          <w:p w14:paraId="60815BA7"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r w:rsidRPr="00036F7A">
              <w:rPr>
                <w:rFonts w:ascii="Book Antiqua" w:eastAsia="Times New Roman" w:hAnsi="Book Antiqua" w:cs="Times New Roman"/>
                <w:color w:val="000000"/>
                <w:lang w:val="es-ES" w:eastAsia="es-ES"/>
              </w:rPr>
              <w:t>4</w:t>
            </w:r>
          </w:p>
        </w:tc>
        <w:tc>
          <w:tcPr>
            <w:tcW w:w="1247" w:type="dxa"/>
            <w:tcBorders>
              <w:top w:val="nil"/>
              <w:left w:val="nil"/>
              <w:bottom w:val="single" w:sz="4" w:space="0" w:color="auto"/>
              <w:right w:val="single" w:sz="4" w:space="0" w:color="auto"/>
            </w:tcBorders>
            <w:shd w:val="clear" w:color="auto" w:fill="auto"/>
            <w:vAlign w:val="center"/>
          </w:tcPr>
          <w:p w14:paraId="5DA607C8" w14:textId="77777777" w:rsidR="00036F7A" w:rsidRPr="00036F7A" w:rsidRDefault="00036F7A" w:rsidP="00036F7A">
            <w:pPr>
              <w:spacing w:after="0" w:line="276" w:lineRule="auto"/>
              <w:jc w:val="center"/>
              <w:rPr>
                <w:rFonts w:ascii="Book Antiqua" w:eastAsia="Times New Roman" w:hAnsi="Book Antiqua" w:cs="Times New Roman"/>
                <w:color w:val="000000"/>
                <w:lang w:val="es-ES" w:eastAsia="es-ES"/>
              </w:rPr>
            </w:pPr>
          </w:p>
        </w:tc>
      </w:tr>
      <w:tr w:rsidR="00036F7A" w:rsidRPr="00036F7A" w14:paraId="3E93360C" w14:textId="77777777" w:rsidTr="00306313">
        <w:trPr>
          <w:trHeight w:val="330"/>
          <w:jc w:val="center"/>
        </w:trPr>
        <w:tc>
          <w:tcPr>
            <w:tcW w:w="3685" w:type="dxa"/>
            <w:tcBorders>
              <w:top w:val="nil"/>
              <w:left w:val="single" w:sz="4" w:space="0" w:color="auto"/>
              <w:bottom w:val="single" w:sz="4" w:space="0" w:color="auto"/>
              <w:right w:val="single" w:sz="4" w:space="0" w:color="auto"/>
            </w:tcBorders>
            <w:shd w:val="clear" w:color="000000" w:fill="808080"/>
            <w:noWrap/>
            <w:vAlign w:val="center"/>
            <w:hideMark/>
          </w:tcPr>
          <w:p w14:paraId="2C0C9885" w14:textId="77777777" w:rsidR="00036F7A" w:rsidRPr="00036F7A" w:rsidRDefault="00036F7A" w:rsidP="00036F7A">
            <w:pPr>
              <w:spacing w:after="0" w:line="276" w:lineRule="auto"/>
              <w:jc w:val="right"/>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Total general</w:t>
            </w:r>
          </w:p>
        </w:tc>
        <w:tc>
          <w:tcPr>
            <w:tcW w:w="1247" w:type="dxa"/>
            <w:tcBorders>
              <w:top w:val="nil"/>
              <w:left w:val="nil"/>
              <w:bottom w:val="single" w:sz="4" w:space="0" w:color="auto"/>
              <w:right w:val="single" w:sz="4" w:space="0" w:color="auto"/>
            </w:tcBorders>
            <w:shd w:val="clear" w:color="000000" w:fill="808080"/>
            <w:noWrap/>
            <w:vAlign w:val="center"/>
            <w:hideMark/>
          </w:tcPr>
          <w:p w14:paraId="7A43FAD5"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52</w:t>
            </w:r>
          </w:p>
        </w:tc>
        <w:tc>
          <w:tcPr>
            <w:tcW w:w="1247" w:type="dxa"/>
            <w:tcBorders>
              <w:top w:val="nil"/>
              <w:left w:val="nil"/>
              <w:bottom w:val="single" w:sz="4" w:space="0" w:color="auto"/>
              <w:right w:val="single" w:sz="4" w:space="0" w:color="auto"/>
            </w:tcBorders>
            <w:shd w:val="clear" w:color="000000" w:fill="808080"/>
            <w:noWrap/>
            <w:vAlign w:val="center"/>
            <w:hideMark/>
          </w:tcPr>
          <w:p w14:paraId="1CFAB963"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13</w:t>
            </w:r>
          </w:p>
        </w:tc>
        <w:tc>
          <w:tcPr>
            <w:tcW w:w="1247" w:type="dxa"/>
            <w:tcBorders>
              <w:top w:val="nil"/>
              <w:left w:val="nil"/>
              <w:bottom w:val="single" w:sz="4" w:space="0" w:color="auto"/>
              <w:right w:val="single" w:sz="4" w:space="0" w:color="auto"/>
            </w:tcBorders>
            <w:shd w:val="clear" w:color="000000" w:fill="808080"/>
            <w:noWrap/>
            <w:vAlign w:val="center"/>
            <w:hideMark/>
          </w:tcPr>
          <w:p w14:paraId="59A6D61E"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152</w:t>
            </w:r>
          </w:p>
        </w:tc>
        <w:tc>
          <w:tcPr>
            <w:tcW w:w="1247" w:type="dxa"/>
            <w:tcBorders>
              <w:top w:val="nil"/>
              <w:left w:val="nil"/>
              <w:bottom w:val="single" w:sz="4" w:space="0" w:color="auto"/>
              <w:right w:val="single" w:sz="4" w:space="0" w:color="auto"/>
            </w:tcBorders>
            <w:shd w:val="clear" w:color="000000" w:fill="808080"/>
            <w:noWrap/>
            <w:vAlign w:val="center"/>
            <w:hideMark/>
          </w:tcPr>
          <w:p w14:paraId="70711DDA" w14:textId="77777777" w:rsidR="00036F7A" w:rsidRPr="00036F7A" w:rsidRDefault="00036F7A" w:rsidP="00036F7A">
            <w:pPr>
              <w:spacing w:after="0" w:line="276" w:lineRule="auto"/>
              <w:jc w:val="center"/>
              <w:rPr>
                <w:rFonts w:ascii="Book Antiqua" w:eastAsia="Times New Roman" w:hAnsi="Book Antiqua" w:cs="Times New Roman"/>
                <w:b/>
                <w:bCs/>
                <w:color w:val="FFFFFF"/>
                <w:lang w:val="es-ES" w:eastAsia="es-ES"/>
              </w:rPr>
            </w:pPr>
            <w:r w:rsidRPr="00036F7A">
              <w:rPr>
                <w:rFonts w:ascii="Book Antiqua" w:eastAsia="Times New Roman" w:hAnsi="Book Antiqua" w:cs="Times New Roman"/>
                <w:b/>
                <w:bCs/>
                <w:color w:val="FFFFFF"/>
                <w:lang w:val="es-ES" w:eastAsia="es-ES"/>
              </w:rPr>
              <w:t>4</w:t>
            </w:r>
          </w:p>
        </w:tc>
      </w:tr>
    </w:tbl>
    <w:p w14:paraId="185DCE29" w14:textId="492C0DC5" w:rsidR="00036F7A" w:rsidRPr="00036F7A" w:rsidRDefault="00CA58D9" w:rsidP="00036F7A">
      <w:pPr>
        <w:rPr>
          <w:rFonts w:ascii="Book Antiqua" w:hAnsi="Book Antiqua"/>
          <w:i/>
          <w:iCs/>
          <w:lang w:val="es-ES"/>
        </w:rPr>
      </w:pPr>
      <w:r>
        <w:rPr>
          <w:rFonts w:ascii="Book Antiqua" w:hAnsi="Book Antiqua"/>
          <w:i/>
          <w:iCs/>
          <w:lang w:val="es-ES"/>
        </w:rPr>
        <w:t xml:space="preserve"> </w:t>
      </w:r>
      <w:r w:rsidR="00036F7A" w:rsidRPr="00036F7A">
        <w:rPr>
          <w:rFonts w:ascii="Book Antiqua" w:hAnsi="Book Antiqua"/>
          <w:i/>
          <w:iCs/>
          <w:lang w:val="es-ES"/>
        </w:rPr>
        <w:t>Fuente: Modernización Institucional</w:t>
      </w:r>
      <w:r w:rsidR="00036F7A">
        <w:rPr>
          <w:rFonts w:ascii="Book Antiqua" w:hAnsi="Book Antiqua"/>
          <w:i/>
          <w:iCs/>
          <w:lang w:val="es-ES"/>
        </w:rPr>
        <w:t xml:space="preserve"> con</w:t>
      </w:r>
      <w:r w:rsidR="00036F7A" w:rsidRPr="00036F7A">
        <w:rPr>
          <w:rFonts w:ascii="Book Antiqua" w:hAnsi="Book Antiqua"/>
          <w:i/>
          <w:iCs/>
          <w:lang w:val="es-ES"/>
        </w:rPr>
        <w:t xml:space="preserve"> base a la relación de puestos del </w:t>
      </w:r>
      <w:r w:rsidR="00036F7A" w:rsidRPr="00464E4E">
        <w:rPr>
          <w:rFonts w:ascii="Book Antiqua" w:hAnsi="Book Antiqua"/>
          <w:i/>
          <w:iCs/>
          <w:lang w:val="es-ES"/>
        </w:rPr>
        <w:t>2020.</w:t>
      </w:r>
    </w:p>
    <w:p w14:paraId="61BABACE" w14:textId="7F176891" w:rsidR="00036F7A" w:rsidRPr="00036F7A" w:rsidRDefault="00036F7A" w:rsidP="00036F7A">
      <w:pPr>
        <w:rPr>
          <w:rFonts w:ascii="Book Antiqua" w:hAnsi="Book Antiqua"/>
          <w:i/>
          <w:iCs/>
          <w:lang w:val="es-ES"/>
        </w:rPr>
      </w:pPr>
      <w:r w:rsidRPr="00036F7A">
        <w:rPr>
          <w:rFonts w:ascii="Book Antiqua" w:hAnsi="Book Antiqua"/>
          <w:i/>
          <w:iCs/>
          <w:lang w:val="es-ES"/>
        </w:rPr>
        <w:t xml:space="preserve">Nota *: El Juzgado de PA del II CJ San José, cuenta desde el 2011 con una plaza adicional de Jueza o Juez del </w:t>
      </w:r>
      <w:r w:rsidR="00672F59">
        <w:rPr>
          <w:rFonts w:ascii="Book Antiqua" w:hAnsi="Book Antiqua"/>
          <w:i/>
          <w:iCs/>
          <w:lang w:val="es-ES"/>
        </w:rPr>
        <w:t>Centro de Conciliaciones</w:t>
      </w:r>
      <w:r w:rsidRPr="00036F7A">
        <w:rPr>
          <w:rFonts w:ascii="Book Antiqua" w:hAnsi="Book Antiqua"/>
          <w:i/>
          <w:iCs/>
          <w:lang w:val="es-ES"/>
        </w:rPr>
        <w:t>, para un total de 13 recursos de persona juzgadora</w:t>
      </w:r>
      <w:r w:rsidR="00672F59">
        <w:rPr>
          <w:rFonts w:ascii="Book Antiqua" w:hAnsi="Book Antiqua"/>
          <w:i/>
          <w:iCs/>
          <w:lang w:val="es-ES"/>
        </w:rPr>
        <w:t>. Referencia interna 1683-2021.</w:t>
      </w:r>
    </w:p>
    <w:p w14:paraId="3AE3C239" w14:textId="401385BA" w:rsidR="00036F7A" w:rsidRPr="00036F7A" w:rsidRDefault="00036F7A" w:rsidP="001D0C10">
      <w:pPr>
        <w:jc w:val="both"/>
        <w:rPr>
          <w:rFonts w:ascii="Book Antiqua" w:hAnsi="Book Antiqua"/>
          <w:i/>
          <w:iCs/>
          <w:lang w:val="es-ES"/>
        </w:rPr>
      </w:pPr>
      <w:r w:rsidRPr="00036F7A">
        <w:rPr>
          <w:rFonts w:ascii="Book Antiqua" w:hAnsi="Book Antiqua"/>
          <w:i/>
          <w:iCs/>
          <w:lang w:val="es-ES"/>
        </w:rPr>
        <w:t>Nota **: La plaza es compartida con el Juzgado Contravencional de Sarapiquí.  Solo permanece una audiencia en el sitio, quien debe realizar las funciones a fines a su puesto, por no contar con servicios de limpieza en la zona</w:t>
      </w:r>
      <w:r w:rsidR="00A46B83">
        <w:rPr>
          <w:rFonts w:ascii="Book Antiqua" w:hAnsi="Book Antiqua"/>
          <w:i/>
          <w:iCs/>
          <w:lang w:val="es-ES"/>
        </w:rPr>
        <w:t xml:space="preserve">, pero ya la Dirección ejecutiva </w:t>
      </w:r>
      <w:r w:rsidR="00160230">
        <w:rPr>
          <w:rFonts w:ascii="Book Antiqua" w:hAnsi="Book Antiqua"/>
          <w:i/>
          <w:iCs/>
          <w:lang w:val="es-ES"/>
        </w:rPr>
        <w:t>está</w:t>
      </w:r>
      <w:r w:rsidR="00A46B83">
        <w:rPr>
          <w:rFonts w:ascii="Book Antiqua" w:hAnsi="Book Antiqua"/>
          <w:i/>
          <w:iCs/>
          <w:lang w:val="es-ES"/>
        </w:rPr>
        <w:t xml:space="preserve"> en proceso de contratación </w:t>
      </w:r>
      <w:r w:rsidR="00DA5C24">
        <w:rPr>
          <w:rFonts w:ascii="Book Antiqua" w:hAnsi="Book Antiqua"/>
          <w:i/>
          <w:iCs/>
          <w:lang w:val="es-ES"/>
        </w:rPr>
        <w:t>d</w:t>
      </w:r>
      <w:r w:rsidR="00A46B83">
        <w:rPr>
          <w:rFonts w:ascii="Book Antiqua" w:hAnsi="Book Antiqua"/>
          <w:i/>
          <w:iCs/>
          <w:lang w:val="es-ES"/>
        </w:rPr>
        <w:t>el servicio privado</w:t>
      </w:r>
      <w:r w:rsidRPr="00036F7A">
        <w:rPr>
          <w:rFonts w:ascii="Book Antiqua" w:hAnsi="Book Antiqua"/>
          <w:i/>
          <w:iCs/>
          <w:lang w:val="es-ES"/>
        </w:rPr>
        <w:t>.</w:t>
      </w:r>
      <w:r w:rsidR="00A46B83" w:rsidRPr="00A46B83">
        <w:rPr>
          <w:rFonts w:ascii="Book Antiqua" w:hAnsi="Book Antiqua"/>
          <w:i/>
          <w:iCs/>
          <w:lang w:val="es-ES"/>
        </w:rPr>
        <w:t xml:space="preserve"> </w:t>
      </w:r>
      <w:r w:rsidR="00A46B83">
        <w:rPr>
          <w:rFonts w:ascii="Book Antiqua" w:hAnsi="Book Antiqua"/>
          <w:i/>
          <w:iCs/>
          <w:lang w:val="es-ES"/>
        </w:rPr>
        <w:t xml:space="preserve">Esta plaza se recomienda reasignar a Técnico Judicial. Implementación pendiente-Informe 110-PLA-MI-2022.  </w:t>
      </w:r>
    </w:p>
    <w:p w14:paraId="0EFC5685" w14:textId="01ED949E" w:rsidR="004156C3" w:rsidRPr="00036F7A" w:rsidRDefault="004156C3" w:rsidP="004156C3">
      <w:pPr>
        <w:rPr>
          <w:rFonts w:ascii="Book Antiqua" w:hAnsi="Book Antiqua"/>
          <w:i/>
          <w:iCs/>
          <w:lang w:val="es-ES"/>
        </w:rPr>
      </w:pPr>
      <w:r w:rsidRPr="00036F7A">
        <w:rPr>
          <w:rFonts w:ascii="Book Antiqua" w:hAnsi="Book Antiqua"/>
          <w:i/>
          <w:iCs/>
          <w:lang w:val="es-ES"/>
        </w:rPr>
        <w:t>Nota*</w:t>
      </w:r>
      <w:r>
        <w:rPr>
          <w:rFonts w:ascii="Book Antiqua" w:hAnsi="Book Antiqua"/>
          <w:i/>
          <w:iCs/>
          <w:lang w:val="es-ES"/>
        </w:rPr>
        <w:t>*</w:t>
      </w:r>
      <w:r w:rsidRPr="00036F7A">
        <w:rPr>
          <w:rFonts w:ascii="Book Antiqua" w:hAnsi="Book Antiqua"/>
          <w:i/>
          <w:iCs/>
          <w:lang w:val="es-ES"/>
        </w:rPr>
        <w:t xml:space="preserve">*: Juzgado especializado a partir del acuerdo del Consejo Superior en sesión 34-19 celebrada el 19 de agosto de 2019, Artículo XIX, se incluye la información estadística del </w:t>
      </w:r>
      <w:r w:rsidRPr="004908ED">
        <w:rPr>
          <w:rFonts w:ascii="Book Antiqua" w:hAnsi="Book Antiqua"/>
          <w:i/>
          <w:iCs/>
          <w:lang w:val="es-ES"/>
        </w:rPr>
        <w:t>2019.</w:t>
      </w:r>
      <w:r w:rsidRPr="00036F7A">
        <w:rPr>
          <w:rFonts w:ascii="Book Antiqua" w:hAnsi="Book Antiqua"/>
          <w:i/>
          <w:iCs/>
          <w:lang w:val="es-ES"/>
        </w:rPr>
        <w:t xml:space="preserve"> </w:t>
      </w:r>
      <w:r w:rsidR="00A46B83">
        <w:rPr>
          <w:rFonts w:ascii="Book Antiqua" w:hAnsi="Book Antiqua"/>
          <w:i/>
          <w:iCs/>
          <w:lang w:val="es-ES"/>
        </w:rPr>
        <w:t xml:space="preserve">Oficio en revisión de la Coordinación. </w:t>
      </w:r>
    </w:p>
    <w:p w14:paraId="06FF6D2A" w14:textId="1727CC14" w:rsidR="008A5896" w:rsidRDefault="008A5896" w:rsidP="00036F7A">
      <w:pPr>
        <w:rPr>
          <w:lang w:val="es-ES"/>
        </w:rPr>
      </w:pPr>
    </w:p>
    <w:p w14:paraId="6CCCC838" w14:textId="77777777" w:rsidR="00330700" w:rsidRDefault="00330700" w:rsidP="00036F7A">
      <w:pPr>
        <w:rPr>
          <w:lang w:val="es-ES"/>
        </w:rPr>
      </w:pPr>
    </w:p>
    <w:p w14:paraId="2AA15649" w14:textId="77777777" w:rsidR="00330700" w:rsidRDefault="00330700" w:rsidP="00036F7A">
      <w:pPr>
        <w:rPr>
          <w:lang w:val="es-ES"/>
        </w:rPr>
      </w:pPr>
    </w:p>
    <w:p w14:paraId="112C33E9" w14:textId="04F71F80" w:rsidR="008A5896" w:rsidRPr="0033070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lastRenderedPageBreak/>
        <w:t>Proceso de Tramitación General</w:t>
      </w:r>
    </w:p>
    <w:p w14:paraId="693E53F5" w14:textId="77777777" w:rsidR="00330700" w:rsidRDefault="00330700" w:rsidP="00330700">
      <w:pPr>
        <w:spacing w:after="0" w:line="276" w:lineRule="auto"/>
        <w:jc w:val="both"/>
        <w:rPr>
          <w:rFonts w:ascii="Book Antiqua" w:eastAsia="Calibri" w:hAnsi="Book Antiqua" w:cs="Arial"/>
          <w:b/>
          <w:bCs/>
          <w:sz w:val="24"/>
          <w:szCs w:val="24"/>
        </w:rPr>
      </w:pPr>
    </w:p>
    <w:p w14:paraId="693F09FD" w14:textId="293B7683" w:rsidR="00005309" w:rsidRPr="00330700" w:rsidRDefault="00005309" w:rsidP="00330700">
      <w:pPr>
        <w:spacing w:after="0" w:line="276" w:lineRule="auto"/>
        <w:jc w:val="both"/>
        <w:rPr>
          <w:rFonts w:ascii="Book Antiqua" w:eastAsia="Calibri" w:hAnsi="Book Antiqua" w:cs="Arial"/>
          <w:b/>
          <w:bCs/>
          <w:sz w:val="24"/>
          <w:szCs w:val="24"/>
        </w:rPr>
      </w:pPr>
      <w:r w:rsidRPr="00330700">
        <w:rPr>
          <w:rFonts w:ascii="Book Antiqua" w:eastAsia="Calibri" w:hAnsi="Book Antiqua" w:cs="Arial"/>
          <w:b/>
          <w:bCs/>
          <w:sz w:val="24"/>
          <w:szCs w:val="24"/>
        </w:rPr>
        <w:t xml:space="preserve">Duración de los procesos Pensiones Alimentarias </w:t>
      </w:r>
    </w:p>
    <w:p w14:paraId="429AB5BE" w14:textId="77777777" w:rsidR="00835544" w:rsidRPr="00835544" w:rsidRDefault="00835544" w:rsidP="00835544">
      <w:pPr>
        <w:spacing w:after="0" w:line="276" w:lineRule="auto"/>
        <w:jc w:val="both"/>
        <w:rPr>
          <w:rFonts w:ascii="Book Antiqua" w:eastAsia="Calibri" w:hAnsi="Book Antiqua" w:cs="Arial"/>
          <w:b/>
          <w:bCs/>
          <w:i/>
          <w:iCs/>
          <w:sz w:val="24"/>
          <w:szCs w:val="24"/>
        </w:rPr>
      </w:pPr>
    </w:p>
    <w:p w14:paraId="29843650" w14:textId="26F36AFA"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En atención a la recomendación 4.4 el informe DFOE-PG-0098 (2683)-2020, relacionado con el informe DFOE-PG-IF-00002-2020 de la Contraloría General de la República, la Dirección de Planificación emitió el oficio 1212-PLA-EV-2020 aprobado por el Consejo Superior en sesión 82-2020 celebrada el 20 de agosto del 2020, artículo XLI; donde se establecen las duraciones según rango legal y según el criterio experto del Juez Gestor en materia de Pensiones Alimentarias. </w:t>
      </w:r>
    </w:p>
    <w:p w14:paraId="50245FD9" w14:textId="3E105D8B"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Adicionalmente, se diagraman los principales procesos en materia de </w:t>
      </w:r>
      <w:r w:rsidR="00D35C60">
        <w:rPr>
          <w:rFonts w:ascii="Book Antiqua" w:eastAsia="Calibri" w:hAnsi="Book Antiqua" w:cs="Arial"/>
          <w:sz w:val="24"/>
          <w:szCs w:val="24"/>
        </w:rPr>
        <w:t>Pensiones Alimentarias</w:t>
      </w:r>
      <w:r w:rsidRPr="00835544">
        <w:rPr>
          <w:rFonts w:ascii="Book Antiqua" w:eastAsia="Calibri" w:hAnsi="Book Antiqua" w:cs="Arial"/>
          <w:sz w:val="24"/>
          <w:szCs w:val="24"/>
        </w:rPr>
        <w:t xml:space="preserve"> con el apoyo del Lic. Cristian Martínez Hernández, Juez Gestor de Familia del Centro de Apoyo, Coordinación y Mejoramiento de la Función Jurisdiccional con la duración por tarea (</w:t>
      </w:r>
      <w:r w:rsidRPr="004908ED">
        <w:rPr>
          <w:rFonts w:ascii="Book Antiqua" w:eastAsia="Calibri" w:hAnsi="Book Antiqua" w:cs="Arial"/>
          <w:b/>
          <w:bCs/>
          <w:i/>
          <w:iCs/>
          <w:sz w:val="24"/>
          <w:szCs w:val="24"/>
        </w:rPr>
        <w:t>anexo 1</w:t>
      </w:r>
      <w:r w:rsidR="00EB4BCD">
        <w:rPr>
          <w:rFonts w:ascii="Book Antiqua" w:eastAsia="Calibri" w:hAnsi="Book Antiqua" w:cs="Arial"/>
          <w:b/>
          <w:bCs/>
          <w:i/>
          <w:iCs/>
          <w:sz w:val="24"/>
          <w:szCs w:val="24"/>
        </w:rPr>
        <w:t>9</w:t>
      </w:r>
      <w:r w:rsidRPr="004908ED">
        <w:rPr>
          <w:rFonts w:ascii="Book Antiqua" w:eastAsia="Calibri" w:hAnsi="Book Antiqua" w:cs="Arial"/>
          <w:sz w:val="24"/>
          <w:szCs w:val="24"/>
        </w:rPr>
        <w:t>).</w:t>
      </w:r>
      <w:r w:rsidRPr="00835544">
        <w:rPr>
          <w:rFonts w:ascii="Book Antiqua" w:eastAsia="Calibri" w:hAnsi="Book Antiqua" w:cs="Arial"/>
          <w:sz w:val="24"/>
          <w:szCs w:val="24"/>
        </w:rPr>
        <w:t xml:space="preserve"> </w:t>
      </w:r>
    </w:p>
    <w:p w14:paraId="1E7DD7EF" w14:textId="77777777" w:rsidR="00835544" w:rsidRPr="00835544" w:rsidRDefault="00835544" w:rsidP="00835544">
      <w:pPr>
        <w:spacing w:after="0" w:line="276" w:lineRule="auto"/>
        <w:jc w:val="both"/>
        <w:rPr>
          <w:rFonts w:ascii="Book Antiqua" w:eastAsia="Calibri" w:hAnsi="Book Antiqua" w:cs="Arial"/>
          <w:sz w:val="24"/>
          <w:szCs w:val="24"/>
        </w:rPr>
      </w:pPr>
    </w:p>
    <w:p w14:paraId="73FD3F58" w14:textId="5E481E1D" w:rsidR="00005309" w:rsidRPr="00330700" w:rsidRDefault="00005309" w:rsidP="00330700">
      <w:pPr>
        <w:spacing w:after="0" w:line="276" w:lineRule="auto"/>
        <w:jc w:val="both"/>
        <w:rPr>
          <w:rFonts w:ascii="Book Antiqua" w:eastAsia="Calibri" w:hAnsi="Book Antiqua" w:cs="Arial"/>
          <w:b/>
          <w:bCs/>
          <w:sz w:val="24"/>
          <w:szCs w:val="24"/>
        </w:rPr>
      </w:pPr>
      <w:r w:rsidRPr="00330700">
        <w:rPr>
          <w:rFonts w:ascii="Book Antiqua" w:eastAsia="Calibri" w:hAnsi="Book Antiqua" w:cs="Arial"/>
          <w:b/>
          <w:bCs/>
          <w:sz w:val="24"/>
          <w:szCs w:val="24"/>
        </w:rPr>
        <w:t>Reparto de los procesos Pensiones Alimentarias</w:t>
      </w:r>
    </w:p>
    <w:p w14:paraId="71D8F322" w14:textId="77777777" w:rsidR="00835544" w:rsidRPr="00835544" w:rsidRDefault="00835544" w:rsidP="00835544">
      <w:pPr>
        <w:spacing w:after="0" w:line="276" w:lineRule="auto"/>
        <w:jc w:val="both"/>
        <w:rPr>
          <w:rFonts w:ascii="Book Antiqua" w:eastAsia="Calibri" w:hAnsi="Book Antiqua" w:cs="Arial"/>
          <w:b/>
          <w:bCs/>
          <w:i/>
          <w:iCs/>
          <w:sz w:val="24"/>
          <w:szCs w:val="24"/>
        </w:rPr>
      </w:pPr>
    </w:p>
    <w:p w14:paraId="2AF4499A" w14:textId="5D950115"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En atención a la recomendación 4.6 de la Contraloría General de la República, se </w:t>
      </w:r>
      <w:r w:rsidRPr="004908ED">
        <w:rPr>
          <w:rFonts w:ascii="Book Antiqua" w:eastAsia="Calibri" w:hAnsi="Book Antiqua" w:cs="Arial"/>
          <w:sz w:val="24"/>
          <w:szCs w:val="24"/>
        </w:rPr>
        <w:t>progra</w:t>
      </w:r>
      <w:r w:rsidR="004908ED" w:rsidRPr="004908ED">
        <w:rPr>
          <w:rFonts w:ascii="Book Antiqua" w:eastAsia="Calibri" w:hAnsi="Book Antiqua" w:cs="Arial"/>
          <w:sz w:val="24"/>
          <w:szCs w:val="24"/>
        </w:rPr>
        <w:t xml:space="preserve">mó </w:t>
      </w:r>
      <w:r w:rsidRPr="004908ED">
        <w:rPr>
          <w:rFonts w:ascii="Book Antiqua" w:eastAsia="Calibri" w:hAnsi="Book Antiqua" w:cs="Arial"/>
          <w:sz w:val="24"/>
          <w:szCs w:val="24"/>
        </w:rPr>
        <w:t>la configuración del reparto automático en los Juzgados de Pensiones Alimentarias a nivel nacional por “clase de asunto”.</w:t>
      </w:r>
      <w:r w:rsidRPr="00835544">
        <w:rPr>
          <w:rFonts w:ascii="Book Antiqua" w:eastAsia="Calibri" w:hAnsi="Book Antiqua" w:cs="Arial"/>
          <w:sz w:val="24"/>
          <w:szCs w:val="24"/>
        </w:rPr>
        <w:t xml:space="preserve"> Considerando también la estructura funcional de los despachos en el caso de los especializados, en donde se tendrá una primera asignación para la audiencia temprana y después para su tramitación respectiva.</w:t>
      </w:r>
    </w:p>
    <w:p w14:paraId="1FBB6D3A" w14:textId="77777777" w:rsidR="00835544" w:rsidRDefault="00835544" w:rsidP="00835544">
      <w:pPr>
        <w:spacing w:after="0" w:line="276" w:lineRule="auto"/>
        <w:jc w:val="both"/>
        <w:rPr>
          <w:rFonts w:ascii="Book Antiqua" w:eastAsia="Calibri" w:hAnsi="Book Antiqua" w:cs="Arial"/>
          <w:sz w:val="24"/>
          <w:szCs w:val="24"/>
        </w:rPr>
      </w:pPr>
    </w:p>
    <w:p w14:paraId="0C4D9E51" w14:textId="04183695" w:rsid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Sin embargo, a partir de 2022 con la entrada en vigencia de la Ley y la creación de nuevos procedimientos en Violencia Doméstica, se coordinará con la Dirección de Tecnología de la Información para la aplicación del reparto por “</w:t>
      </w:r>
      <w:r w:rsidRPr="00835544">
        <w:rPr>
          <w:rFonts w:ascii="Book Antiqua" w:eastAsia="Calibri" w:hAnsi="Book Antiqua" w:cs="Arial"/>
          <w:b/>
          <w:bCs/>
          <w:i/>
          <w:iCs/>
          <w:sz w:val="24"/>
          <w:szCs w:val="24"/>
        </w:rPr>
        <w:t>procedimiento.</w:t>
      </w:r>
      <w:r w:rsidRPr="00835544">
        <w:rPr>
          <w:rFonts w:ascii="Book Antiqua" w:eastAsia="Calibri" w:hAnsi="Book Antiqua" w:cs="Arial"/>
          <w:sz w:val="24"/>
          <w:szCs w:val="24"/>
        </w:rPr>
        <w:t xml:space="preserve">”.  </w:t>
      </w:r>
    </w:p>
    <w:p w14:paraId="2FF2AA07" w14:textId="77777777" w:rsidR="00EC3391" w:rsidRPr="00835544" w:rsidRDefault="00EC3391" w:rsidP="00835544">
      <w:pPr>
        <w:spacing w:after="0" w:line="276" w:lineRule="auto"/>
        <w:jc w:val="both"/>
        <w:rPr>
          <w:rFonts w:ascii="Book Antiqua" w:eastAsia="Calibri" w:hAnsi="Book Antiqua" w:cs="Arial"/>
          <w:sz w:val="24"/>
          <w:szCs w:val="24"/>
        </w:rPr>
      </w:pPr>
    </w:p>
    <w:p w14:paraId="18BF3915" w14:textId="77777777"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Cabe mencionar que actualmente se está coordinando por parte de la Dirección de Planificación con la Dirección de Tecnología de la Información una mejora al “</w:t>
      </w:r>
      <w:r w:rsidRPr="00835544">
        <w:rPr>
          <w:rFonts w:ascii="Book Antiqua" w:eastAsia="Calibri" w:hAnsi="Book Antiqua" w:cs="Arial"/>
          <w:i/>
          <w:iCs/>
          <w:sz w:val="24"/>
          <w:szCs w:val="24"/>
        </w:rPr>
        <w:t>reparto por procedimiento”</w:t>
      </w:r>
      <w:r w:rsidRPr="00835544">
        <w:rPr>
          <w:rFonts w:ascii="Book Antiqua" w:eastAsia="Calibri" w:hAnsi="Book Antiqua" w:cs="Arial"/>
          <w:sz w:val="24"/>
          <w:szCs w:val="24"/>
        </w:rPr>
        <w:t xml:space="preserve"> (para que los reentrados no ingresen al rol de reparto o variaciones por cambios de procedimientos posteriores.</w:t>
      </w:r>
    </w:p>
    <w:p w14:paraId="7AFDA22F" w14:textId="77777777"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 </w:t>
      </w:r>
    </w:p>
    <w:p w14:paraId="6F43D0D2" w14:textId="5A148CBB"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lastRenderedPageBreak/>
        <w:t>El requerimiento de mejora fue presentado por la Gestora en materia Civil la Licenciada Adriana Sequeira Muñoz y la Dirección de Planificación mediante correo electrónico del 15 de diciembre de 2020 (</w:t>
      </w:r>
      <w:r w:rsidRPr="00B366F3">
        <w:rPr>
          <w:rFonts w:ascii="Book Antiqua" w:eastAsia="Calibri" w:hAnsi="Book Antiqua" w:cs="Arial"/>
          <w:b/>
          <w:bCs/>
          <w:i/>
          <w:iCs/>
          <w:sz w:val="24"/>
          <w:szCs w:val="24"/>
        </w:rPr>
        <w:t xml:space="preserve">anexo </w:t>
      </w:r>
      <w:r w:rsidR="00B366F3" w:rsidRPr="00B366F3">
        <w:rPr>
          <w:rFonts w:ascii="Book Antiqua" w:eastAsia="Calibri" w:hAnsi="Book Antiqua" w:cs="Arial"/>
          <w:b/>
          <w:bCs/>
          <w:i/>
          <w:iCs/>
          <w:sz w:val="24"/>
          <w:szCs w:val="24"/>
        </w:rPr>
        <w:t>5</w:t>
      </w:r>
      <w:r w:rsidRPr="00B366F3">
        <w:rPr>
          <w:rFonts w:ascii="Book Antiqua" w:eastAsia="Calibri" w:hAnsi="Book Antiqua" w:cs="Arial"/>
          <w:sz w:val="24"/>
          <w:szCs w:val="24"/>
        </w:rPr>
        <w:t>).</w:t>
      </w:r>
    </w:p>
    <w:p w14:paraId="7D9054A8" w14:textId="250CA266" w:rsidR="00835544" w:rsidRDefault="00835544" w:rsidP="00036F7A">
      <w:pPr>
        <w:rPr>
          <w:lang w:val="es-ES"/>
        </w:rPr>
      </w:pPr>
    </w:p>
    <w:p w14:paraId="09770885" w14:textId="77777777" w:rsidR="00835544" w:rsidRPr="00835544" w:rsidRDefault="00835544" w:rsidP="00835544">
      <w:pPr>
        <w:spacing w:after="0" w:line="276" w:lineRule="auto"/>
        <w:jc w:val="both"/>
        <w:rPr>
          <w:rFonts w:ascii="Book Antiqua" w:eastAsia="Calibri" w:hAnsi="Book Antiqua" w:cs="Arial"/>
          <w:i/>
          <w:iCs/>
          <w:sz w:val="24"/>
          <w:szCs w:val="24"/>
        </w:rPr>
      </w:pPr>
      <w:r w:rsidRPr="00835544">
        <w:rPr>
          <w:rFonts w:ascii="Book Antiqua" w:eastAsia="Calibri" w:hAnsi="Book Antiqua" w:cs="Arial"/>
          <w:sz w:val="24"/>
          <w:szCs w:val="24"/>
        </w:rPr>
        <w:t>Lo anterior, una vez se cuente con la mejora correspondiente y considerando lo acordado por la Comisión de Familia, Niñez y Adolescencia, oficio 80-JVA-2020, sesión del 01 de diciembre del presente año, artículo IV</w:t>
      </w:r>
      <w:r w:rsidRPr="00835544">
        <w:rPr>
          <w:rFonts w:ascii="Book Antiqua" w:eastAsia="Calibri" w:hAnsi="Book Antiqua" w:cs="Arial"/>
          <w:b/>
          <w:bCs/>
          <w:sz w:val="24"/>
          <w:szCs w:val="24"/>
        </w:rPr>
        <w:t xml:space="preserve"> (</w:t>
      </w:r>
      <w:r w:rsidRPr="00835544">
        <w:rPr>
          <w:rFonts w:ascii="Book Antiqua" w:eastAsia="Calibri" w:hAnsi="Book Antiqua" w:cs="Arial"/>
          <w:i/>
          <w:iCs/>
          <w:sz w:val="24"/>
          <w:szCs w:val="24"/>
        </w:rPr>
        <w:t>referencia interna</w:t>
      </w:r>
      <w:r w:rsidRPr="00835544">
        <w:rPr>
          <w:rFonts w:ascii="Book Antiqua" w:eastAsia="Calibri" w:hAnsi="Book Antiqua" w:cs="Arial"/>
          <w:b/>
          <w:bCs/>
          <w:i/>
          <w:iCs/>
          <w:sz w:val="24"/>
          <w:szCs w:val="24"/>
        </w:rPr>
        <w:t xml:space="preserve"> 2154-2020 y 196-2021).</w:t>
      </w:r>
    </w:p>
    <w:p w14:paraId="368E79D5" w14:textId="77777777" w:rsidR="00835544" w:rsidRPr="00835544" w:rsidRDefault="00835544" w:rsidP="00835544">
      <w:pPr>
        <w:spacing w:after="0" w:line="276" w:lineRule="auto"/>
        <w:jc w:val="both"/>
        <w:rPr>
          <w:rFonts w:ascii="Times New Roman" w:eastAsia="Calibri" w:hAnsi="Times New Roman" w:cs="Times New Roman"/>
        </w:rPr>
      </w:pPr>
    </w:p>
    <w:p w14:paraId="12E4BDF8" w14:textId="77777777" w:rsidR="00835544" w:rsidRPr="00835544" w:rsidRDefault="00835544" w:rsidP="00835544">
      <w:pPr>
        <w:spacing w:after="0" w:line="276" w:lineRule="auto"/>
        <w:jc w:val="both"/>
        <w:rPr>
          <w:rFonts w:ascii="Times New Roman" w:eastAsia="Calibri" w:hAnsi="Times New Roman" w:cs="Times New Roman"/>
        </w:rPr>
      </w:pPr>
    </w:p>
    <w:p w14:paraId="6C58818C" w14:textId="77777777" w:rsidR="00835544" w:rsidRPr="00835544" w:rsidRDefault="00835544" w:rsidP="00835544">
      <w:pPr>
        <w:spacing w:after="0" w:line="276" w:lineRule="auto"/>
        <w:ind w:left="567" w:right="616"/>
        <w:jc w:val="both"/>
        <w:rPr>
          <w:rFonts w:ascii="Book Antiqua" w:eastAsia="Calibri" w:hAnsi="Book Antiqua" w:cs="Times New Roman"/>
          <w:i/>
          <w:iCs/>
          <w:sz w:val="24"/>
          <w:szCs w:val="24"/>
        </w:rPr>
      </w:pPr>
      <w:r w:rsidRPr="00835544">
        <w:rPr>
          <w:rFonts w:ascii="Book Antiqua" w:eastAsia="Calibri" w:hAnsi="Book Antiqua" w:cs="Times New Roman"/>
          <w:b/>
          <w:bCs/>
          <w:i/>
          <w:iCs/>
          <w:sz w:val="24"/>
          <w:szCs w:val="24"/>
        </w:rPr>
        <w:t>“Se acuerda:  1)</w:t>
      </w:r>
      <w:r w:rsidRPr="00835544">
        <w:rPr>
          <w:rFonts w:ascii="Book Antiqua" w:eastAsia="Calibri" w:hAnsi="Book Antiqua" w:cs="Times New Roman"/>
          <w:i/>
          <w:iCs/>
          <w:sz w:val="24"/>
          <w:szCs w:val="24"/>
        </w:rPr>
        <w:t xml:space="preserve"> Avalar el acuerdo de la mayoría de los juzgadores y las juzgadoras de Pensiones Alimentarias, para que la distribución de las cargas de trabajo en los procesos de modificación de la cuota alimentaria se realice por tipo de procedimiento, de manera tal que se aplique para todos los despachos del país. </w:t>
      </w:r>
      <w:r w:rsidRPr="00835544">
        <w:rPr>
          <w:rFonts w:ascii="Book Antiqua" w:eastAsia="Calibri" w:hAnsi="Book Antiqua" w:cs="Times New Roman"/>
          <w:b/>
          <w:bCs/>
          <w:i/>
          <w:iCs/>
          <w:sz w:val="24"/>
          <w:szCs w:val="24"/>
        </w:rPr>
        <w:t>2)</w:t>
      </w:r>
      <w:r w:rsidRPr="00835544">
        <w:rPr>
          <w:rFonts w:ascii="Book Antiqua" w:eastAsia="Calibri" w:hAnsi="Book Antiqua" w:cs="Times New Roman"/>
          <w:i/>
          <w:iCs/>
          <w:sz w:val="24"/>
          <w:szCs w:val="24"/>
        </w:rPr>
        <w:t xml:space="preserve"> Solicitar al Consejo Superior que autorice a los Departamentos de Planificación y de Tecnología de la Información para que se proceda al trámite correspondiente para ejecutar esa propuesta y que la misma sea evaluada cada año, para determinar así si se cumple el objetivo propuesto.</w:t>
      </w:r>
    </w:p>
    <w:p w14:paraId="1A6EC961" w14:textId="77777777" w:rsidR="00835544" w:rsidRPr="00835544" w:rsidRDefault="00835544" w:rsidP="00835544">
      <w:pPr>
        <w:spacing w:after="0" w:line="276" w:lineRule="auto"/>
        <w:ind w:left="567" w:right="616"/>
        <w:jc w:val="both"/>
        <w:rPr>
          <w:rFonts w:ascii="Book Antiqua" w:eastAsia="Calibri" w:hAnsi="Book Antiqua" w:cs="Times New Roman"/>
          <w:i/>
          <w:iCs/>
          <w:sz w:val="24"/>
          <w:szCs w:val="24"/>
        </w:rPr>
      </w:pPr>
    </w:p>
    <w:p w14:paraId="273048E9" w14:textId="77777777" w:rsidR="00835544" w:rsidRPr="00835544" w:rsidRDefault="00835544" w:rsidP="00835544">
      <w:pPr>
        <w:spacing w:after="0" w:line="276" w:lineRule="auto"/>
        <w:ind w:left="567" w:right="616"/>
        <w:jc w:val="both"/>
        <w:rPr>
          <w:rFonts w:ascii="Book Antiqua" w:eastAsia="Calibri" w:hAnsi="Book Antiqua" w:cs="Times New Roman"/>
          <w:i/>
          <w:iCs/>
          <w:sz w:val="24"/>
          <w:szCs w:val="24"/>
        </w:rPr>
      </w:pPr>
      <w:r w:rsidRPr="00835544">
        <w:rPr>
          <w:rFonts w:ascii="Book Antiqua" w:eastAsia="Calibri" w:hAnsi="Book Antiqua" w:cs="Times New Roman"/>
          <w:i/>
          <w:iCs/>
          <w:sz w:val="24"/>
          <w:szCs w:val="24"/>
        </w:rPr>
        <w:t>Se tiene como acuerdo firme.”.</w:t>
      </w:r>
    </w:p>
    <w:p w14:paraId="0269CEBE" w14:textId="77777777" w:rsidR="00835544" w:rsidRPr="00835544" w:rsidRDefault="00835544" w:rsidP="00835544">
      <w:pPr>
        <w:spacing w:after="0" w:line="276" w:lineRule="auto"/>
        <w:jc w:val="both"/>
        <w:rPr>
          <w:rFonts w:ascii="Book Antiqua" w:eastAsia="Calibri" w:hAnsi="Book Antiqua" w:cs="Arial"/>
          <w:sz w:val="24"/>
          <w:szCs w:val="24"/>
        </w:rPr>
      </w:pPr>
    </w:p>
    <w:p w14:paraId="302CF610" w14:textId="77777777"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También, el acuerdo del Consejo Superior en sesión 120-2020 celebrada el 17 de diciembre de 2020, artículo XXXIII donde acordó:</w:t>
      </w:r>
    </w:p>
    <w:p w14:paraId="47E88FA4" w14:textId="77777777" w:rsidR="00835544" w:rsidRPr="00835544" w:rsidRDefault="00835544" w:rsidP="00835544">
      <w:pPr>
        <w:spacing w:after="0" w:line="276" w:lineRule="auto"/>
        <w:jc w:val="both"/>
        <w:rPr>
          <w:rFonts w:ascii="Book Antiqua" w:eastAsia="Calibri" w:hAnsi="Book Antiqua" w:cs="Arial"/>
          <w:sz w:val="24"/>
          <w:szCs w:val="24"/>
        </w:rPr>
      </w:pPr>
    </w:p>
    <w:p w14:paraId="3FDB7087" w14:textId="77777777" w:rsidR="00835544" w:rsidRPr="00835544" w:rsidRDefault="00835544" w:rsidP="00835544">
      <w:pPr>
        <w:spacing w:after="0" w:line="240" w:lineRule="auto"/>
        <w:ind w:left="567" w:right="616"/>
        <w:jc w:val="both"/>
        <w:rPr>
          <w:rFonts w:ascii="Times New Roman" w:eastAsia="Calibri" w:hAnsi="Times New Roman" w:cs="Arial"/>
          <w:i/>
          <w:iCs/>
          <w:sz w:val="24"/>
          <w:szCs w:val="24"/>
          <w:lang w:eastAsia="es-CR"/>
        </w:rPr>
      </w:pPr>
      <w:r w:rsidRPr="00835544">
        <w:rPr>
          <w:rFonts w:ascii="Book Antiqua" w:eastAsia="Calibri" w:hAnsi="Book Antiqua" w:cs="Arial"/>
          <w:b/>
          <w:bCs/>
          <w:i/>
          <w:iCs/>
          <w:sz w:val="24"/>
          <w:szCs w:val="24"/>
          <w:lang w:eastAsia="es-CR"/>
        </w:rPr>
        <w:t>“Se acordó:</w:t>
      </w:r>
      <w:r w:rsidRPr="00835544">
        <w:rPr>
          <w:rFonts w:ascii="Book Antiqua" w:eastAsia="Calibri" w:hAnsi="Book Antiqua" w:cs="Arial"/>
          <w:i/>
          <w:iCs/>
          <w:sz w:val="24"/>
          <w:szCs w:val="24"/>
          <w:lang w:eastAsia="es-CR"/>
        </w:rPr>
        <w:t xml:space="preserve"> Tomar nota del acuerdo de la Comisión de la Jurisdicción de Familia, Niñez y Adolescencia, en </w:t>
      </w:r>
      <w:r w:rsidRPr="00835544">
        <w:rPr>
          <w:rFonts w:ascii="Book Antiqua" w:eastAsia="Calibri" w:hAnsi="Book Antiqua" w:cs="Arial"/>
          <w:i/>
          <w:iCs/>
          <w:sz w:val="24"/>
          <w:szCs w:val="24"/>
        </w:rPr>
        <w:t>sesión virtual, celebrada por sus integrantes el día 01 de diciembre del 2020, artículo IV</w:t>
      </w:r>
      <w:r w:rsidRPr="00835544">
        <w:rPr>
          <w:rFonts w:ascii="Book Antiqua" w:eastAsia="Calibri" w:hAnsi="Book Antiqua" w:cs="Arial"/>
          <w:i/>
          <w:iCs/>
          <w:sz w:val="24"/>
          <w:szCs w:val="24"/>
          <w:lang w:eastAsia="es-CR"/>
        </w:rPr>
        <w:t xml:space="preserve"> y hacerlo de conocimiento de la Dirección de Planificación para su valoración.</w:t>
      </w:r>
      <w:r w:rsidRPr="00835544">
        <w:rPr>
          <w:rFonts w:ascii="Book Antiqua" w:eastAsia="Calibri" w:hAnsi="Book Antiqua" w:cs="Arial"/>
          <w:b/>
          <w:bCs/>
          <w:i/>
          <w:iCs/>
          <w:sz w:val="24"/>
          <w:szCs w:val="24"/>
          <w:lang w:val="es-ES"/>
        </w:rPr>
        <w:t>”.</w:t>
      </w:r>
    </w:p>
    <w:p w14:paraId="6078BEBC" w14:textId="77777777" w:rsidR="00835544" w:rsidRPr="00835544" w:rsidRDefault="00835544" w:rsidP="00835544">
      <w:pPr>
        <w:spacing w:after="0" w:line="276" w:lineRule="auto"/>
        <w:jc w:val="both"/>
        <w:rPr>
          <w:rFonts w:ascii="Book Antiqua" w:eastAsia="Calibri" w:hAnsi="Book Antiqua" w:cs="Arial"/>
          <w:sz w:val="28"/>
          <w:szCs w:val="28"/>
        </w:rPr>
      </w:pPr>
    </w:p>
    <w:p w14:paraId="133A2E62" w14:textId="77777777" w:rsidR="00835544" w:rsidRPr="00835544" w:rsidRDefault="00835544" w:rsidP="00835544">
      <w:pPr>
        <w:spacing w:after="0" w:line="276" w:lineRule="auto"/>
        <w:jc w:val="both"/>
        <w:rPr>
          <w:rFonts w:ascii="Book Antiqua" w:eastAsia="Calibri" w:hAnsi="Book Antiqua" w:cs="Arial"/>
          <w:sz w:val="24"/>
          <w:szCs w:val="24"/>
        </w:rPr>
      </w:pPr>
      <w:r w:rsidRPr="00835544">
        <w:rPr>
          <w:rFonts w:ascii="Book Antiqua" w:eastAsia="Calibri" w:hAnsi="Book Antiqua" w:cs="Arial"/>
          <w:sz w:val="24"/>
          <w:szCs w:val="24"/>
        </w:rPr>
        <w:t xml:space="preserve">Y las manifestaciones de la Dirección de Tecnología de la Información mediante oficios 215 y 235-DTI-2021 (referencia interna </w:t>
      </w:r>
      <w:r w:rsidRPr="00835544">
        <w:rPr>
          <w:rFonts w:ascii="Book Antiqua" w:eastAsia="Calibri" w:hAnsi="Book Antiqua" w:cs="Arial"/>
          <w:b/>
          <w:bCs/>
          <w:i/>
          <w:iCs/>
          <w:sz w:val="24"/>
          <w:szCs w:val="24"/>
        </w:rPr>
        <w:t>240-2021</w:t>
      </w:r>
      <w:r w:rsidRPr="00835544">
        <w:rPr>
          <w:rFonts w:ascii="Book Antiqua" w:eastAsia="Calibri" w:hAnsi="Book Antiqua" w:cs="Arial"/>
          <w:sz w:val="24"/>
          <w:szCs w:val="24"/>
        </w:rPr>
        <w:t xml:space="preserve">). </w:t>
      </w:r>
    </w:p>
    <w:p w14:paraId="70BEF626" w14:textId="5DCAA867" w:rsidR="00835544" w:rsidRDefault="00835544" w:rsidP="00036F7A">
      <w:pPr>
        <w:rPr>
          <w:lang w:val="es-ES"/>
        </w:rPr>
      </w:pPr>
    </w:p>
    <w:p w14:paraId="42AB6BC8" w14:textId="7E3979C3" w:rsidR="00FC140B" w:rsidRDefault="00FC140B" w:rsidP="00036F7A">
      <w:pPr>
        <w:rPr>
          <w:lang w:val="es-ES"/>
        </w:rPr>
      </w:pPr>
    </w:p>
    <w:p w14:paraId="7E0133BC" w14:textId="77777777" w:rsidR="00330700" w:rsidRDefault="00330700" w:rsidP="00036F7A">
      <w:pPr>
        <w:rPr>
          <w:lang w:val="es-ES"/>
        </w:rPr>
      </w:pPr>
    </w:p>
    <w:p w14:paraId="572EC8D3" w14:textId="33C59757" w:rsidR="008A5896" w:rsidRPr="0033070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lastRenderedPageBreak/>
        <w:t>Estructura Organizacional y Funciones</w:t>
      </w:r>
    </w:p>
    <w:p w14:paraId="790CE1A5" w14:textId="77777777" w:rsidR="00330700" w:rsidRDefault="00330700" w:rsidP="00406E38">
      <w:pPr>
        <w:spacing w:after="0" w:line="276" w:lineRule="auto"/>
        <w:jc w:val="both"/>
        <w:rPr>
          <w:rFonts w:ascii="Book Antiqua" w:eastAsia="Calibri" w:hAnsi="Book Antiqua" w:cs="Arial"/>
          <w:sz w:val="24"/>
          <w:szCs w:val="24"/>
        </w:rPr>
      </w:pPr>
    </w:p>
    <w:p w14:paraId="10B52CB8" w14:textId="3E4BB288" w:rsidR="00406E38" w:rsidRPr="00406E38" w:rsidRDefault="00406E38" w:rsidP="00406E38">
      <w:pPr>
        <w:spacing w:after="0" w:line="276" w:lineRule="auto"/>
        <w:jc w:val="both"/>
        <w:rPr>
          <w:rFonts w:ascii="Book Antiqua" w:eastAsia="Calibri" w:hAnsi="Book Antiqua" w:cs="Arial"/>
          <w:sz w:val="24"/>
          <w:szCs w:val="24"/>
        </w:rPr>
      </w:pPr>
      <w:r w:rsidRPr="00406E38">
        <w:rPr>
          <w:rFonts w:ascii="Book Antiqua" w:eastAsia="Calibri" w:hAnsi="Book Antiqua" w:cs="Arial"/>
          <w:sz w:val="24"/>
          <w:szCs w:val="24"/>
        </w:rPr>
        <w:t xml:space="preserve">Como parte de la atención a las recomendaciones de la Contraloría General de la República, se realizó una revisión y propuestas de modificación cuando corresponda de las estructuras de trabajo de todas las oficinas competentes en materia de Pensiones Alimentarias a nivel nacional. </w:t>
      </w:r>
    </w:p>
    <w:p w14:paraId="11814F96" w14:textId="77777777" w:rsidR="00406E38" w:rsidRPr="00406E38" w:rsidRDefault="00406E38" w:rsidP="00406E38">
      <w:pPr>
        <w:spacing w:after="0" w:line="276" w:lineRule="auto"/>
        <w:jc w:val="both"/>
        <w:rPr>
          <w:rFonts w:ascii="Book Antiqua" w:eastAsia="Calibri" w:hAnsi="Book Antiqua" w:cs="Arial"/>
          <w:sz w:val="24"/>
          <w:szCs w:val="24"/>
        </w:rPr>
      </w:pPr>
    </w:p>
    <w:p w14:paraId="28D6DE92" w14:textId="6167B4F4" w:rsidR="00406E38" w:rsidRDefault="00406E38" w:rsidP="00406E38">
      <w:pPr>
        <w:spacing w:after="0" w:line="276" w:lineRule="auto"/>
        <w:jc w:val="both"/>
        <w:rPr>
          <w:rFonts w:ascii="Book Antiqua" w:eastAsia="Calibri" w:hAnsi="Book Antiqua" w:cs="Arial"/>
          <w:sz w:val="24"/>
          <w:szCs w:val="24"/>
        </w:rPr>
      </w:pPr>
      <w:r w:rsidRPr="00406E38">
        <w:rPr>
          <w:rFonts w:ascii="Book Antiqua" w:eastAsia="Calibri" w:hAnsi="Book Antiqua" w:cs="Arial"/>
          <w:sz w:val="24"/>
          <w:szCs w:val="24"/>
        </w:rPr>
        <w:t>En el siguiente cuadro se adjunta un resumen de los oficios remitidos por la Dirección de Planificación</w:t>
      </w:r>
      <w:r>
        <w:rPr>
          <w:rFonts w:ascii="Book Antiqua" w:eastAsia="Calibri" w:hAnsi="Book Antiqua" w:cs="Arial"/>
          <w:sz w:val="24"/>
          <w:szCs w:val="24"/>
        </w:rPr>
        <w:t xml:space="preserve"> los cuales cuentan </w:t>
      </w:r>
      <w:r w:rsidRPr="00406E38">
        <w:rPr>
          <w:rFonts w:ascii="Book Antiqua" w:eastAsia="Calibri" w:hAnsi="Book Antiqua" w:cs="Arial"/>
          <w:sz w:val="24"/>
          <w:szCs w:val="24"/>
        </w:rPr>
        <w:t xml:space="preserve">con la aprobación de parte del Consejo Superior del Poder Judicial. </w:t>
      </w:r>
    </w:p>
    <w:p w14:paraId="6295D85E" w14:textId="299A8549" w:rsidR="00B366F3" w:rsidRDefault="00B366F3" w:rsidP="00406E38">
      <w:pPr>
        <w:spacing w:after="0" w:line="276" w:lineRule="auto"/>
        <w:jc w:val="both"/>
        <w:rPr>
          <w:rFonts w:ascii="Book Antiqua" w:eastAsia="Calibri" w:hAnsi="Book Antiqua" w:cs="Arial"/>
          <w:sz w:val="24"/>
          <w:szCs w:val="24"/>
        </w:rPr>
      </w:pPr>
    </w:p>
    <w:p w14:paraId="27F81404" w14:textId="7324B6C4" w:rsidR="00B366F3" w:rsidRDefault="00B366F3" w:rsidP="00406E38">
      <w:pPr>
        <w:spacing w:after="0" w:line="276" w:lineRule="auto"/>
        <w:jc w:val="both"/>
        <w:rPr>
          <w:rFonts w:ascii="Book Antiqua" w:eastAsia="Calibri" w:hAnsi="Book Antiqua" w:cs="Arial"/>
          <w:sz w:val="24"/>
          <w:szCs w:val="24"/>
        </w:rPr>
      </w:pPr>
    </w:p>
    <w:p w14:paraId="623D5730" w14:textId="4737253F" w:rsidR="00406E38" w:rsidRPr="00406E38" w:rsidRDefault="00406E38" w:rsidP="00406E3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406E38">
        <w:rPr>
          <w:rFonts w:ascii="Book Antiqua" w:eastAsia="Calibri" w:hAnsi="Book Antiqua" w:cs="Arial"/>
          <w:b/>
          <w:bCs/>
          <w:color w:val="1F497D"/>
          <w:szCs w:val="24"/>
          <w:lang w:val="es-ES" w:eastAsia="es-ES"/>
        </w:rPr>
        <w:t xml:space="preserve">Cuadro </w:t>
      </w:r>
      <w:r w:rsidRPr="00406E38">
        <w:rPr>
          <w:rFonts w:ascii="Book Antiqua" w:eastAsia="Calibri" w:hAnsi="Book Antiqua" w:cs="Arial"/>
          <w:b/>
          <w:bCs/>
          <w:color w:val="1F497D"/>
          <w:szCs w:val="24"/>
          <w:lang w:val="es-ES" w:eastAsia="es-ES"/>
        </w:rPr>
        <w:fldChar w:fldCharType="begin"/>
      </w:r>
      <w:r w:rsidRPr="00406E38">
        <w:rPr>
          <w:rFonts w:ascii="Book Antiqua" w:eastAsia="Calibri" w:hAnsi="Book Antiqua" w:cs="Arial"/>
          <w:b/>
          <w:bCs/>
          <w:color w:val="1F497D"/>
          <w:szCs w:val="24"/>
          <w:lang w:val="es-ES" w:eastAsia="es-ES"/>
        </w:rPr>
        <w:instrText xml:space="preserve"> SEQ Cuadro \* ARABIC </w:instrText>
      </w:r>
      <w:r w:rsidRPr="00406E38">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72</w:t>
      </w:r>
      <w:r w:rsidRPr="00406E38">
        <w:rPr>
          <w:rFonts w:ascii="Book Antiqua" w:eastAsia="Calibri" w:hAnsi="Book Antiqua" w:cs="Arial"/>
          <w:b/>
          <w:bCs/>
          <w:color w:val="1F497D"/>
          <w:szCs w:val="24"/>
          <w:lang w:val="es-ES" w:eastAsia="es-ES"/>
        </w:rPr>
        <w:fldChar w:fldCharType="end"/>
      </w:r>
    </w:p>
    <w:p w14:paraId="6646C3CC" w14:textId="678AC1B0" w:rsidR="00406E38" w:rsidRPr="00406E38" w:rsidRDefault="00406E38" w:rsidP="00406E38">
      <w:pPr>
        <w:spacing w:after="0" w:line="240" w:lineRule="auto"/>
        <w:jc w:val="center"/>
        <w:rPr>
          <w:rFonts w:ascii="Book Antiqua" w:eastAsia="Calibri" w:hAnsi="Book Antiqua" w:cs="Arial"/>
          <w:b/>
          <w:bCs/>
          <w:color w:val="1F497D"/>
          <w:szCs w:val="24"/>
          <w:lang w:val="es-ES" w:eastAsia="es-ES"/>
        </w:rPr>
      </w:pPr>
      <w:r w:rsidRPr="00406E38">
        <w:rPr>
          <w:rFonts w:ascii="Book Antiqua" w:eastAsia="Calibri" w:hAnsi="Book Antiqua" w:cs="Arial"/>
          <w:b/>
          <w:bCs/>
          <w:color w:val="1F497D"/>
          <w:szCs w:val="24"/>
          <w:lang w:val="es-ES" w:eastAsia="es-ES"/>
        </w:rPr>
        <w:t>Resumen de oficios preliminares, definitivos y acuerdos del CS sobre las estructuras de los Juzgados competentes en Pensiones Alimentarias a nivel nacional</w:t>
      </w:r>
    </w:p>
    <w:tbl>
      <w:tblPr>
        <w:tblW w:w="10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27"/>
        <w:gridCol w:w="2508"/>
        <w:gridCol w:w="2541"/>
      </w:tblGrid>
      <w:tr w:rsidR="00406E38" w:rsidRPr="00406E38" w14:paraId="6DEF089F" w14:textId="77777777" w:rsidTr="00406E38">
        <w:trPr>
          <w:trHeight w:val="900"/>
          <w:jc w:val="center"/>
        </w:trPr>
        <w:tc>
          <w:tcPr>
            <w:tcW w:w="3119" w:type="dxa"/>
            <w:shd w:val="clear" w:color="auto" w:fill="1F497D"/>
            <w:vAlign w:val="center"/>
          </w:tcPr>
          <w:p w14:paraId="54327F75" w14:textId="77777777" w:rsidR="00406E38" w:rsidRPr="00406E38" w:rsidRDefault="00406E38" w:rsidP="00406E38">
            <w:pPr>
              <w:spacing w:after="0" w:line="240" w:lineRule="auto"/>
              <w:jc w:val="center"/>
              <w:rPr>
                <w:rFonts w:ascii="Book Antiqua" w:eastAsia="Times New Roman" w:hAnsi="Book Antiqua" w:cs="Arial"/>
                <w:color w:val="FFFFFF"/>
                <w:lang w:eastAsia="es-CR"/>
              </w:rPr>
            </w:pPr>
            <w:r w:rsidRPr="00406E38">
              <w:rPr>
                <w:rFonts w:ascii="Book Antiqua" w:eastAsia="Times New Roman" w:hAnsi="Book Antiqua" w:cs="Arial"/>
                <w:b/>
                <w:bCs/>
                <w:color w:val="FFFFFF"/>
                <w:lang w:eastAsia="es-CR"/>
              </w:rPr>
              <w:t>Nombre del Despacho</w:t>
            </w:r>
          </w:p>
        </w:tc>
        <w:tc>
          <w:tcPr>
            <w:tcW w:w="2627" w:type="dxa"/>
            <w:shd w:val="clear" w:color="auto" w:fill="1F497D"/>
            <w:vAlign w:val="center"/>
          </w:tcPr>
          <w:p w14:paraId="30509DD9" w14:textId="5C1A43C3" w:rsidR="00406E38" w:rsidRPr="00406E38" w:rsidRDefault="00406E38" w:rsidP="00406E38">
            <w:pPr>
              <w:spacing w:after="0" w:line="240" w:lineRule="auto"/>
              <w:jc w:val="center"/>
              <w:rPr>
                <w:rFonts w:ascii="Book Antiqua" w:eastAsia="Times New Roman" w:hAnsi="Book Antiqua" w:cs="Arial"/>
                <w:b/>
                <w:bCs/>
                <w:color w:val="FFFFFF"/>
                <w:lang w:eastAsia="es-CR"/>
              </w:rPr>
            </w:pPr>
            <w:r w:rsidRPr="00406E38">
              <w:rPr>
                <w:rFonts w:ascii="Book Antiqua" w:eastAsia="Times New Roman" w:hAnsi="Book Antiqua" w:cs="Arial"/>
                <w:b/>
                <w:bCs/>
                <w:color w:val="FFFFFF"/>
                <w:lang w:eastAsia="es-CR"/>
              </w:rPr>
              <w:t>Oficio preliminar remitido por la D</w:t>
            </w:r>
            <w:r>
              <w:rPr>
                <w:rFonts w:ascii="Book Antiqua" w:eastAsia="Times New Roman" w:hAnsi="Book Antiqua" w:cs="Arial"/>
                <w:b/>
                <w:bCs/>
                <w:color w:val="FFFFFF"/>
                <w:lang w:eastAsia="es-CR"/>
              </w:rPr>
              <w:t>irección</w:t>
            </w:r>
            <w:r w:rsidRPr="00406E38">
              <w:rPr>
                <w:rFonts w:ascii="Book Antiqua" w:eastAsia="Times New Roman" w:hAnsi="Book Antiqua" w:cs="Arial"/>
                <w:b/>
                <w:bCs/>
                <w:color w:val="FFFFFF"/>
                <w:lang w:eastAsia="es-CR"/>
              </w:rPr>
              <w:t xml:space="preserve"> de Planificación</w:t>
            </w:r>
          </w:p>
        </w:tc>
        <w:tc>
          <w:tcPr>
            <w:tcW w:w="2508" w:type="dxa"/>
            <w:shd w:val="clear" w:color="auto" w:fill="1F497D"/>
            <w:vAlign w:val="center"/>
          </w:tcPr>
          <w:p w14:paraId="1FC4485A" w14:textId="77777777" w:rsidR="00406E38" w:rsidRPr="00406E38" w:rsidRDefault="00406E38" w:rsidP="00406E38">
            <w:pPr>
              <w:spacing w:after="0" w:line="240" w:lineRule="auto"/>
              <w:jc w:val="center"/>
              <w:rPr>
                <w:rFonts w:ascii="Book Antiqua" w:eastAsia="Times New Roman" w:hAnsi="Book Antiqua" w:cs="Arial"/>
                <w:b/>
                <w:bCs/>
                <w:color w:val="FFFFFF"/>
                <w:lang w:eastAsia="es-CR"/>
              </w:rPr>
            </w:pPr>
            <w:r w:rsidRPr="00406E38">
              <w:rPr>
                <w:rFonts w:ascii="Book Antiqua" w:eastAsia="Times New Roman" w:hAnsi="Book Antiqua" w:cs="Arial"/>
                <w:b/>
                <w:bCs/>
                <w:color w:val="FFFFFF"/>
                <w:lang w:eastAsia="es-CR"/>
              </w:rPr>
              <w:t>Oficio Definitivo</w:t>
            </w:r>
          </w:p>
        </w:tc>
        <w:tc>
          <w:tcPr>
            <w:tcW w:w="2541" w:type="dxa"/>
            <w:shd w:val="clear" w:color="auto" w:fill="1F497D"/>
            <w:vAlign w:val="center"/>
          </w:tcPr>
          <w:p w14:paraId="48187937" w14:textId="77777777" w:rsidR="00406E38" w:rsidRPr="00406E38" w:rsidRDefault="00406E38" w:rsidP="008879F8">
            <w:pPr>
              <w:spacing w:after="0" w:line="240" w:lineRule="auto"/>
              <w:jc w:val="center"/>
              <w:rPr>
                <w:rFonts w:ascii="Book Antiqua" w:eastAsia="Times New Roman" w:hAnsi="Book Antiqua" w:cs="Arial"/>
                <w:b/>
                <w:bCs/>
                <w:color w:val="FFFFFF"/>
                <w:lang w:eastAsia="es-CR"/>
              </w:rPr>
            </w:pPr>
            <w:r w:rsidRPr="00406E38">
              <w:rPr>
                <w:rFonts w:ascii="Book Antiqua" w:eastAsia="Times New Roman" w:hAnsi="Book Antiqua" w:cs="Arial"/>
                <w:b/>
                <w:bCs/>
                <w:color w:val="FFFFFF"/>
                <w:lang w:eastAsia="es-CR"/>
              </w:rPr>
              <w:t>Acuerdo del Consejo Superior</w:t>
            </w:r>
          </w:p>
        </w:tc>
      </w:tr>
      <w:tr w:rsidR="00406E38" w:rsidRPr="00406E38" w14:paraId="6A0B0923" w14:textId="77777777" w:rsidTr="00306313">
        <w:trPr>
          <w:trHeight w:val="555"/>
          <w:jc w:val="center"/>
        </w:trPr>
        <w:tc>
          <w:tcPr>
            <w:tcW w:w="3119" w:type="dxa"/>
            <w:shd w:val="clear" w:color="auto" w:fill="auto"/>
            <w:vAlign w:val="center"/>
            <w:hideMark/>
          </w:tcPr>
          <w:p w14:paraId="062AAD3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Pensiones Alimentarias Puntarenas </w:t>
            </w:r>
          </w:p>
        </w:tc>
        <w:tc>
          <w:tcPr>
            <w:tcW w:w="2627" w:type="dxa"/>
            <w:shd w:val="clear" w:color="auto" w:fill="auto"/>
            <w:vAlign w:val="center"/>
            <w:hideMark/>
          </w:tcPr>
          <w:p w14:paraId="2E437E0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1709-PLA-2020</w:t>
            </w:r>
          </w:p>
        </w:tc>
        <w:tc>
          <w:tcPr>
            <w:tcW w:w="2508" w:type="dxa"/>
            <w:shd w:val="clear" w:color="auto" w:fill="auto"/>
            <w:vAlign w:val="center"/>
            <w:hideMark/>
          </w:tcPr>
          <w:p w14:paraId="6E46C01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1844-PLA-EV-20</w:t>
            </w:r>
          </w:p>
        </w:tc>
        <w:tc>
          <w:tcPr>
            <w:tcW w:w="2541" w:type="dxa"/>
            <w:shd w:val="clear" w:color="auto" w:fill="auto"/>
            <w:vAlign w:val="center"/>
            <w:hideMark/>
          </w:tcPr>
          <w:p w14:paraId="2B43FB43"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117-2020 del 8-12-2020, artículo XXXIII</w:t>
            </w:r>
          </w:p>
        </w:tc>
      </w:tr>
      <w:tr w:rsidR="00406E38" w:rsidRPr="00406E38" w14:paraId="7D6F7920" w14:textId="77777777" w:rsidTr="00306313">
        <w:trPr>
          <w:trHeight w:val="828"/>
          <w:jc w:val="center"/>
        </w:trPr>
        <w:tc>
          <w:tcPr>
            <w:tcW w:w="3119" w:type="dxa"/>
            <w:shd w:val="clear" w:color="auto" w:fill="auto"/>
            <w:vAlign w:val="center"/>
            <w:hideMark/>
          </w:tcPr>
          <w:p w14:paraId="446A6EB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Pensiones Alimentarias I Circ. Jud. Alajuela </w:t>
            </w:r>
          </w:p>
        </w:tc>
        <w:tc>
          <w:tcPr>
            <w:tcW w:w="2627" w:type="dxa"/>
            <w:shd w:val="clear" w:color="auto" w:fill="auto"/>
            <w:vAlign w:val="center"/>
            <w:hideMark/>
          </w:tcPr>
          <w:p w14:paraId="422624A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1748-PLA-EV-2020</w:t>
            </w:r>
          </w:p>
        </w:tc>
        <w:tc>
          <w:tcPr>
            <w:tcW w:w="2508" w:type="dxa"/>
            <w:shd w:val="clear" w:color="auto" w:fill="auto"/>
            <w:vAlign w:val="center"/>
            <w:hideMark/>
          </w:tcPr>
          <w:p w14:paraId="4C58905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61-PLA-EV-2021</w:t>
            </w:r>
          </w:p>
        </w:tc>
        <w:tc>
          <w:tcPr>
            <w:tcW w:w="2541" w:type="dxa"/>
            <w:shd w:val="clear" w:color="auto" w:fill="auto"/>
            <w:vAlign w:val="center"/>
            <w:hideMark/>
          </w:tcPr>
          <w:p w14:paraId="7CA5BDCE" w14:textId="1BED2E99" w:rsidR="00406E38" w:rsidRPr="00406E38" w:rsidRDefault="007A2659" w:rsidP="001D0C10">
            <w:pPr>
              <w:spacing w:after="0" w:line="240" w:lineRule="auto"/>
              <w:jc w:val="both"/>
              <w:rPr>
                <w:rFonts w:ascii="Book Antiqua" w:eastAsia="Times New Roman" w:hAnsi="Book Antiqua" w:cs="Arial"/>
                <w:color w:val="000000"/>
                <w:lang w:eastAsia="es-CR"/>
              </w:rPr>
            </w:pPr>
            <w:r w:rsidRPr="007A2659">
              <w:rPr>
                <w:rFonts w:ascii="Book Antiqua" w:eastAsia="Times New Roman" w:hAnsi="Book Antiqua" w:cs="Arial"/>
                <w:color w:val="000000"/>
                <w:lang w:eastAsia="es-CR"/>
              </w:rPr>
              <w:t>S</w:t>
            </w:r>
            <w:r>
              <w:rPr>
                <w:rFonts w:ascii="Book Antiqua" w:eastAsia="Times New Roman" w:hAnsi="Book Antiqua" w:cs="Arial"/>
                <w:color w:val="000000"/>
                <w:lang w:eastAsia="es-CR"/>
              </w:rPr>
              <w:t>esión</w:t>
            </w:r>
            <w:r w:rsidRPr="007A2659">
              <w:rPr>
                <w:rFonts w:ascii="Book Antiqua" w:eastAsia="Times New Roman" w:hAnsi="Book Antiqua" w:cs="Arial"/>
                <w:color w:val="000000"/>
                <w:lang w:eastAsia="es-CR"/>
              </w:rPr>
              <w:t xml:space="preserve"> 10-</w:t>
            </w:r>
            <w:r>
              <w:rPr>
                <w:rFonts w:ascii="Book Antiqua" w:eastAsia="Times New Roman" w:hAnsi="Book Antiqua" w:cs="Arial"/>
                <w:color w:val="000000"/>
                <w:lang w:eastAsia="es-CR"/>
              </w:rPr>
              <w:t>20</w:t>
            </w:r>
            <w:r w:rsidRPr="007A2659">
              <w:rPr>
                <w:rFonts w:ascii="Book Antiqua" w:eastAsia="Times New Roman" w:hAnsi="Book Antiqua" w:cs="Arial"/>
                <w:color w:val="000000"/>
                <w:lang w:eastAsia="es-CR"/>
              </w:rPr>
              <w:t>21</w:t>
            </w:r>
            <w:r>
              <w:rPr>
                <w:rFonts w:ascii="Book Antiqua" w:eastAsia="Times New Roman" w:hAnsi="Book Antiqua" w:cs="Arial"/>
                <w:color w:val="000000"/>
                <w:lang w:eastAsia="es-CR"/>
              </w:rPr>
              <w:t xml:space="preserve"> del </w:t>
            </w:r>
            <w:r w:rsidRPr="007A2659">
              <w:rPr>
                <w:rFonts w:ascii="Book Antiqua" w:eastAsia="Times New Roman" w:hAnsi="Book Antiqua" w:cs="Arial"/>
                <w:color w:val="000000"/>
                <w:lang w:eastAsia="es-CR"/>
              </w:rPr>
              <w:t>04</w:t>
            </w:r>
            <w:r>
              <w:rPr>
                <w:rFonts w:ascii="Book Antiqua" w:eastAsia="Times New Roman" w:hAnsi="Book Antiqua" w:cs="Arial"/>
                <w:color w:val="000000"/>
                <w:lang w:eastAsia="es-CR"/>
              </w:rPr>
              <w:t>-</w:t>
            </w:r>
            <w:r w:rsidRPr="007A2659">
              <w:rPr>
                <w:rFonts w:ascii="Book Antiqua" w:eastAsia="Times New Roman" w:hAnsi="Book Antiqua" w:cs="Arial"/>
                <w:color w:val="000000"/>
                <w:lang w:eastAsia="es-CR"/>
              </w:rPr>
              <w:t>02</w:t>
            </w:r>
            <w:r>
              <w:rPr>
                <w:rFonts w:ascii="Book Antiqua" w:eastAsia="Times New Roman" w:hAnsi="Book Antiqua" w:cs="Arial"/>
                <w:color w:val="000000"/>
                <w:lang w:eastAsia="es-CR"/>
              </w:rPr>
              <w:t>-20</w:t>
            </w:r>
            <w:r w:rsidRPr="007A2659">
              <w:rPr>
                <w:rFonts w:ascii="Book Antiqua" w:eastAsia="Times New Roman" w:hAnsi="Book Antiqua" w:cs="Arial"/>
                <w:color w:val="000000"/>
                <w:lang w:eastAsia="es-CR"/>
              </w:rPr>
              <w:t>21</w:t>
            </w:r>
            <w:r>
              <w:rPr>
                <w:rFonts w:ascii="Book Antiqua" w:eastAsia="Times New Roman" w:hAnsi="Book Antiqua" w:cs="Arial"/>
                <w:color w:val="000000"/>
                <w:lang w:eastAsia="es-CR"/>
              </w:rPr>
              <w:t>, artículo</w:t>
            </w:r>
            <w:r w:rsidRPr="007A2659">
              <w:rPr>
                <w:rFonts w:ascii="Book Antiqua" w:eastAsia="Times New Roman" w:hAnsi="Book Antiqua" w:cs="Arial"/>
                <w:color w:val="000000"/>
                <w:lang w:eastAsia="es-CR"/>
              </w:rPr>
              <w:t xml:space="preserve"> </w:t>
            </w:r>
            <w:r>
              <w:rPr>
                <w:rFonts w:ascii="Book Antiqua" w:eastAsia="Times New Roman" w:hAnsi="Book Antiqua" w:cs="Arial"/>
                <w:color w:val="000000"/>
                <w:lang w:eastAsia="es-CR"/>
              </w:rPr>
              <w:t>LI</w:t>
            </w:r>
            <w:r w:rsidRPr="007A2659">
              <w:rPr>
                <w:rFonts w:ascii="Book Antiqua" w:eastAsia="Times New Roman" w:hAnsi="Book Antiqua" w:cs="Arial"/>
                <w:color w:val="000000"/>
                <w:lang w:eastAsia="es-CR"/>
              </w:rPr>
              <w:t>II</w:t>
            </w:r>
            <w:r w:rsidR="00406E38" w:rsidRPr="00406E38">
              <w:rPr>
                <w:rFonts w:ascii="Book Antiqua" w:eastAsia="Times New Roman" w:hAnsi="Book Antiqua" w:cs="Arial"/>
                <w:color w:val="000000"/>
                <w:lang w:eastAsia="es-CR"/>
              </w:rPr>
              <w:t> </w:t>
            </w:r>
          </w:p>
        </w:tc>
      </w:tr>
      <w:tr w:rsidR="00406E38" w:rsidRPr="00406E38" w14:paraId="221E8C29" w14:textId="77777777" w:rsidTr="00306313">
        <w:trPr>
          <w:trHeight w:val="471"/>
          <w:jc w:val="center"/>
        </w:trPr>
        <w:tc>
          <w:tcPr>
            <w:tcW w:w="3119" w:type="dxa"/>
            <w:shd w:val="clear" w:color="auto" w:fill="auto"/>
            <w:vAlign w:val="center"/>
            <w:hideMark/>
          </w:tcPr>
          <w:p w14:paraId="3886B30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Pensiones Alimentarias I Circ. Jud. Zona Atlántica (Limón) </w:t>
            </w:r>
          </w:p>
        </w:tc>
        <w:tc>
          <w:tcPr>
            <w:tcW w:w="2627" w:type="dxa"/>
            <w:shd w:val="clear" w:color="auto" w:fill="auto"/>
            <w:vAlign w:val="center"/>
            <w:hideMark/>
          </w:tcPr>
          <w:p w14:paraId="228F6E8F"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1758-PLA-MI-2020</w:t>
            </w:r>
          </w:p>
        </w:tc>
        <w:tc>
          <w:tcPr>
            <w:tcW w:w="2508" w:type="dxa"/>
            <w:shd w:val="clear" w:color="auto" w:fill="auto"/>
            <w:vAlign w:val="center"/>
            <w:hideMark/>
          </w:tcPr>
          <w:p w14:paraId="73913B5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174-PLA-MI-2021</w:t>
            </w:r>
          </w:p>
        </w:tc>
        <w:tc>
          <w:tcPr>
            <w:tcW w:w="2541" w:type="dxa"/>
            <w:shd w:val="clear" w:color="auto" w:fill="auto"/>
            <w:vAlign w:val="center"/>
            <w:hideMark/>
          </w:tcPr>
          <w:p w14:paraId="259D6453" w14:textId="5F4AE0B9" w:rsidR="00406E38" w:rsidRPr="00406E38" w:rsidRDefault="007A2659"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Pr="007A2659">
              <w:rPr>
                <w:rFonts w:ascii="Book Antiqua" w:eastAsia="Times New Roman" w:hAnsi="Book Antiqua" w:cs="Arial"/>
                <w:color w:val="000000"/>
                <w:lang w:eastAsia="es-CR"/>
              </w:rPr>
              <w:t>014-2021</w:t>
            </w:r>
            <w:r>
              <w:rPr>
                <w:rFonts w:ascii="Book Antiqua" w:eastAsia="Times New Roman" w:hAnsi="Book Antiqua" w:cs="Arial"/>
                <w:color w:val="000000"/>
                <w:lang w:eastAsia="es-CR"/>
              </w:rPr>
              <w:t xml:space="preserve"> del </w:t>
            </w:r>
            <w:r w:rsidRPr="007A2659">
              <w:rPr>
                <w:rFonts w:ascii="Book Antiqua" w:eastAsia="Times New Roman" w:hAnsi="Book Antiqua" w:cs="Arial"/>
                <w:color w:val="000000"/>
                <w:lang w:eastAsia="es-CR"/>
              </w:rPr>
              <w:t>18</w:t>
            </w:r>
            <w:r>
              <w:rPr>
                <w:rFonts w:ascii="Book Antiqua" w:eastAsia="Times New Roman" w:hAnsi="Book Antiqua" w:cs="Arial"/>
                <w:color w:val="000000"/>
                <w:lang w:eastAsia="es-CR"/>
              </w:rPr>
              <w:t>-02-</w:t>
            </w:r>
            <w:r w:rsidRPr="007A2659">
              <w:rPr>
                <w:rFonts w:ascii="Book Antiqua" w:eastAsia="Times New Roman" w:hAnsi="Book Antiqua" w:cs="Arial"/>
                <w:color w:val="000000"/>
                <w:lang w:eastAsia="es-CR"/>
              </w:rPr>
              <w:t>2021</w:t>
            </w:r>
            <w:r>
              <w:rPr>
                <w:rFonts w:ascii="Book Antiqua" w:eastAsia="Times New Roman" w:hAnsi="Book Antiqua" w:cs="Arial"/>
                <w:color w:val="000000"/>
                <w:lang w:eastAsia="es-CR"/>
              </w:rPr>
              <w:t xml:space="preserve">, artículo </w:t>
            </w:r>
            <w:r w:rsidRPr="007A2659">
              <w:rPr>
                <w:rFonts w:ascii="Book Antiqua" w:eastAsia="Times New Roman" w:hAnsi="Book Antiqua" w:cs="Arial"/>
                <w:color w:val="000000"/>
                <w:lang w:eastAsia="es-CR"/>
              </w:rPr>
              <w:t>XLV</w:t>
            </w:r>
            <w:r w:rsidR="00406E38" w:rsidRPr="00406E38">
              <w:rPr>
                <w:rFonts w:ascii="Book Antiqua" w:eastAsia="Times New Roman" w:hAnsi="Book Antiqua" w:cs="Arial"/>
                <w:color w:val="000000"/>
                <w:lang w:eastAsia="es-CR"/>
              </w:rPr>
              <w:t> </w:t>
            </w:r>
          </w:p>
        </w:tc>
      </w:tr>
      <w:tr w:rsidR="00406E38" w:rsidRPr="00406E38" w14:paraId="014C8D80" w14:textId="77777777" w:rsidTr="00306313">
        <w:trPr>
          <w:trHeight w:val="450"/>
          <w:jc w:val="center"/>
        </w:trPr>
        <w:tc>
          <w:tcPr>
            <w:tcW w:w="3119" w:type="dxa"/>
            <w:shd w:val="clear" w:color="auto" w:fill="auto"/>
            <w:vAlign w:val="center"/>
            <w:hideMark/>
          </w:tcPr>
          <w:p w14:paraId="08F3C9B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de Pensiones Alimentarias de Heredia </w:t>
            </w:r>
          </w:p>
        </w:tc>
        <w:tc>
          <w:tcPr>
            <w:tcW w:w="2627" w:type="dxa"/>
            <w:shd w:val="clear" w:color="auto" w:fill="auto"/>
            <w:vAlign w:val="center"/>
            <w:hideMark/>
          </w:tcPr>
          <w:p w14:paraId="0B8EAD5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1752-PLA-EV-2020</w:t>
            </w:r>
          </w:p>
        </w:tc>
        <w:tc>
          <w:tcPr>
            <w:tcW w:w="2508" w:type="dxa"/>
            <w:shd w:val="clear" w:color="auto" w:fill="auto"/>
            <w:vAlign w:val="center"/>
            <w:hideMark/>
          </w:tcPr>
          <w:p w14:paraId="7B9C314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1884-PLA-EV-2020</w:t>
            </w:r>
          </w:p>
        </w:tc>
        <w:tc>
          <w:tcPr>
            <w:tcW w:w="2541" w:type="dxa"/>
            <w:shd w:val="clear" w:color="auto" w:fill="auto"/>
            <w:vAlign w:val="center"/>
            <w:hideMark/>
          </w:tcPr>
          <w:p w14:paraId="321C433F"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15-12-2020, artículo LIV</w:t>
            </w:r>
          </w:p>
        </w:tc>
      </w:tr>
      <w:tr w:rsidR="00406E38" w:rsidRPr="00406E38" w14:paraId="6748B262" w14:textId="77777777" w:rsidTr="00306313">
        <w:trPr>
          <w:trHeight w:val="927"/>
          <w:jc w:val="center"/>
        </w:trPr>
        <w:tc>
          <w:tcPr>
            <w:tcW w:w="3119" w:type="dxa"/>
            <w:shd w:val="clear" w:color="auto" w:fill="auto"/>
            <w:vAlign w:val="center"/>
            <w:hideMark/>
          </w:tcPr>
          <w:p w14:paraId="70DD112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y Pensiones Alimentarias I Circ. Jud. Guanacaste (Liberia)</w:t>
            </w:r>
          </w:p>
        </w:tc>
        <w:tc>
          <w:tcPr>
            <w:tcW w:w="2627" w:type="dxa"/>
            <w:shd w:val="clear" w:color="auto" w:fill="auto"/>
            <w:vAlign w:val="center"/>
            <w:hideMark/>
          </w:tcPr>
          <w:p w14:paraId="6BE82B6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1679-PLA-EV-2020</w:t>
            </w:r>
          </w:p>
        </w:tc>
        <w:tc>
          <w:tcPr>
            <w:tcW w:w="2508" w:type="dxa"/>
            <w:shd w:val="clear" w:color="auto" w:fill="auto"/>
            <w:vAlign w:val="center"/>
            <w:hideMark/>
          </w:tcPr>
          <w:p w14:paraId="44D7291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1980-PLA-EV-2020</w:t>
            </w:r>
          </w:p>
        </w:tc>
        <w:tc>
          <w:tcPr>
            <w:tcW w:w="2541" w:type="dxa"/>
            <w:shd w:val="clear" w:color="auto" w:fill="auto"/>
            <w:vAlign w:val="center"/>
            <w:hideMark/>
          </w:tcPr>
          <w:p w14:paraId="0D5093F4"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17-12-2020, artículo LXIX</w:t>
            </w:r>
          </w:p>
        </w:tc>
      </w:tr>
      <w:tr w:rsidR="00406E38" w:rsidRPr="00406E38" w14:paraId="10FC957D" w14:textId="77777777" w:rsidTr="00306313">
        <w:trPr>
          <w:trHeight w:val="828"/>
          <w:jc w:val="center"/>
        </w:trPr>
        <w:tc>
          <w:tcPr>
            <w:tcW w:w="3119" w:type="dxa"/>
            <w:shd w:val="clear" w:color="auto" w:fill="auto"/>
            <w:vAlign w:val="center"/>
            <w:hideMark/>
          </w:tcPr>
          <w:p w14:paraId="6AF0430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Alimentarias II Circ. Jud. Zona Atlántica (Pococí)</w:t>
            </w:r>
          </w:p>
        </w:tc>
        <w:tc>
          <w:tcPr>
            <w:tcW w:w="2627" w:type="dxa"/>
            <w:shd w:val="clear" w:color="auto" w:fill="auto"/>
            <w:vAlign w:val="center"/>
            <w:hideMark/>
          </w:tcPr>
          <w:p w14:paraId="1E482CD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1756-PLA-EV-2020</w:t>
            </w:r>
          </w:p>
        </w:tc>
        <w:tc>
          <w:tcPr>
            <w:tcW w:w="2508" w:type="dxa"/>
            <w:shd w:val="clear" w:color="auto" w:fill="auto"/>
            <w:vAlign w:val="center"/>
            <w:hideMark/>
          </w:tcPr>
          <w:p w14:paraId="51EC670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53-PLA-EV2021</w:t>
            </w:r>
          </w:p>
        </w:tc>
        <w:tc>
          <w:tcPr>
            <w:tcW w:w="2541" w:type="dxa"/>
            <w:shd w:val="clear" w:color="auto" w:fill="auto"/>
            <w:vAlign w:val="center"/>
            <w:hideMark/>
          </w:tcPr>
          <w:p w14:paraId="75386EB9" w14:textId="3FC3466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w:t>
            </w:r>
            <w:r w:rsidR="00CA4B3C">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2-21, artículo XXXVII</w:t>
            </w:r>
          </w:p>
        </w:tc>
      </w:tr>
      <w:tr w:rsidR="00406E38" w:rsidRPr="00406E38" w14:paraId="36E3DEF4" w14:textId="77777777" w:rsidTr="00306313">
        <w:trPr>
          <w:trHeight w:val="651"/>
          <w:jc w:val="center"/>
        </w:trPr>
        <w:tc>
          <w:tcPr>
            <w:tcW w:w="3119" w:type="dxa"/>
            <w:shd w:val="clear" w:color="auto" w:fill="auto"/>
            <w:vAlign w:val="center"/>
            <w:hideMark/>
          </w:tcPr>
          <w:p w14:paraId="44FF8DA3"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Alimentarias I Circ. Jud. Zona Sur (Pérez Zeledón)</w:t>
            </w:r>
          </w:p>
        </w:tc>
        <w:tc>
          <w:tcPr>
            <w:tcW w:w="2627" w:type="dxa"/>
            <w:shd w:val="clear" w:color="auto" w:fill="auto"/>
            <w:vAlign w:val="center"/>
            <w:hideMark/>
          </w:tcPr>
          <w:p w14:paraId="1AE98D0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1750-PLA-EV-2020</w:t>
            </w:r>
          </w:p>
        </w:tc>
        <w:tc>
          <w:tcPr>
            <w:tcW w:w="2508" w:type="dxa"/>
            <w:shd w:val="clear" w:color="auto" w:fill="auto"/>
            <w:vAlign w:val="center"/>
            <w:hideMark/>
          </w:tcPr>
          <w:p w14:paraId="0CD3B46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51-PLA-EV-2021</w:t>
            </w:r>
          </w:p>
        </w:tc>
        <w:tc>
          <w:tcPr>
            <w:tcW w:w="2541" w:type="dxa"/>
            <w:shd w:val="clear" w:color="auto" w:fill="auto"/>
            <w:vAlign w:val="center"/>
            <w:hideMark/>
          </w:tcPr>
          <w:p w14:paraId="30BBFCF4"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2-2-21, artículo XXXII</w:t>
            </w:r>
          </w:p>
        </w:tc>
      </w:tr>
      <w:tr w:rsidR="00406E38" w:rsidRPr="00406E38" w14:paraId="0C956842" w14:textId="77777777" w:rsidTr="00306313">
        <w:trPr>
          <w:trHeight w:val="450"/>
          <w:jc w:val="center"/>
        </w:trPr>
        <w:tc>
          <w:tcPr>
            <w:tcW w:w="3119" w:type="dxa"/>
            <w:shd w:val="clear" w:color="auto" w:fill="auto"/>
            <w:vAlign w:val="center"/>
            <w:hideMark/>
          </w:tcPr>
          <w:p w14:paraId="5EED06F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y Violencia Doméstica Escazú</w:t>
            </w:r>
          </w:p>
        </w:tc>
        <w:tc>
          <w:tcPr>
            <w:tcW w:w="2627" w:type="dxa"/>
            <w:shd w:val="clear" w:color="auto" w:fill="auto"/>
            <w:vAlign w:val="center"/>
            <w:hideMark/>
          </w:tcPr>
          <w:p w14:paraId="463100C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1757-PLA-MI-2020</w:t>
            </w:r>
          </w:p>
        </w:tc>
        <w:tc>
          <w:tcPr>
            <w:tcW w:w="2508" w:type="dxa"/>
            <w:shd w:val="clear" w:color="auto" w:fill="auto"/>
            <w:vAlign w:val="center"/>
            <w:hideMark/>
          </w:tcPr>
          <w:p w14:paraId="60F7C455"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1849-PLA-MI-2020</w:t>
            </w:r>
          </w:p>
        </w:tc>
        <w:tc>
          <w:tcPr>
            <w:tcW w:w="2541" w:type="dxa"/>
            <w:shd w:val="clear" w:color="auto" w:fill="auto"/>
            <w:vAlign w:val="center"/>
            <w:hideMark/>
          </w:tcPr>
          <w:p w14:paraId="1C33DC41" w14:textId="5FE6D600" w:rsidR="00406E38" w:rsidRPr="00406E38" w:rsidRDefault="002757F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w:t>
            </w:r>
            <w:r w:rsidRPr="002757F8">
              <w:rPr>
                <w:rFonts w:ascii="Book Antiqua" w:eastAsia="Times New Roman" w:hAnsi="Book Antiqua" w:cs="Arial"/>
                <w:color w:val="000000"/>
                <w:lang w:eastAsia="es-CR"/>
              </w:rPr>
              <w:t xml:space="preserve">esión 115-2020 </w:t>
            </w:r>
            <w:r>
              <w:rPr>
                <w:rFonts w:ascii="Book Antiqua" w:eastAsia="Times New Roman" w:hAnsi="Book Antiqua" w:cs="Arial"/>
                <w:color w:val="000000"/>
                <w:lang w:eastAsia="es-CR"/>
              </w:rPr>
              <w:t xml:space="preserve">del </w:t>
            </w:r>
            <w:r w:rsidRPr="002757F8">
              <w:rPr>
                <w:rFonts w:ascii="Book Antiqua" w:eastAsia="Times New Roman" w:hAnsi="Book Antiqua" w:cs="Arial"/>
                <w:color w:val="000000"/>
                <w:lang w:eastAsia="es-CR"/>
              </w:rPr>
              <w:t>01</w:t>
            </w:r>
            <w:r>
              <w:rPr>
                <w:rFonts w:ascii="Book Antiqua" w:eastAsia="Times New Roman" w:hAnsi="Book Antiqua" w:cs="Arial"/>
                <w:color w:val="000000"/>
                <w:lang w:eastAsia="es-CR"/>
              </w:rPr>
              <w:t>-12-</w:t>
            </w:r>
            <w:r w:rsidRPr="002757F8">
              <w:rPr>
                <w:rFonts w:ascii="Book Antiqua" w:eastAsia="Times New Roman" w:hAnsi="Book Antiqua" w:cs="Arial"/>
                <w:color w:val="000000"/>
                <w:lang w:eastAsia="es-CR"/>
              </w:rPr>
              <w:t xml:space="preserve">2020, </w:t>
            </w:r>
            <w:r>
              <w:rPr>
                <w:rFonts w:ascii="Book Antiqua" w:eastAsia="Times New Roman" w:hAnsi="Book Antiqua" w:cs="Arial"/>
                <w:color w:val="000000"/>
                <w:lang w:eastAsia="es-CR"/>
              </w:rPr>
              <w:t>artículo</w:t>
            </w:r>
            <w:r w:rsidRPr="002757F8">
              <w:rPr>
                <w:rFonts w:ascii="Book Antiqua" w:eastAsia="Times New Roman" w:hAnsi="Book Antiqua" w:cs="Arial"/>
                <w:color w:val="000000"/>
                <w:lang w:eastAsia="es-CR"/>
              </w:rPr>
              <w:t xml:space="preserve"> L</w:t>
            </w:r>
            <w:r w:rsidR="00406E38" w:rsidRPr="00406E38">
              <w:rPr>
                <w:rFonts w:ascii="Book Antiqua" w:eastAsia="Times New Roman" w:hAnsi="Book Antiqua" w:cs="Arial"/>
                <w:color w:val="000000"/>
                <w:lang w:eastAsia="es-CR"/>
              </w:rPr>
              <w:t> </w:t>
            </w:r>
          </w:p>
        </w:tc>
      </w:tr>
      <w:tr w:rsidR="00406E38" w:rsidRPr="00406E38" w14:paraId="7426F85B" w14:textId="77777777" w:rsidTr="00306313">
        <w:trPr>
          <w:trHeight w:val="828"/>
          <w:jc w:val="center"/>
        </w:trPr>
        <w:tc>
          <w:tcPr>
            <w:tcW w:w="3119" w:type="dxa"/>
            <w:shd w:val="clear" w:color="auto" w:fill="auto"/>
            <w:vAlign w:val="center"/>
            <w:hideMark/>
          </w:tcPr>
          <w:p w14:paraId="5ACD59C2"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lastRenderedPageBreak/>
              <w:t xml:space="preserve">Juzgado Pensiones Alimentarias I Circ. Jud. San José </w:t>
            </w:r>
          </w:p>
        </w:tc>
        <w:tc>
          <w:tcPr>
            <w:tcW w:w="2627" w:type="dxa"/>
            <w:shd w:val="clear" w:color="auto" w:fill="auto"/>
            <w:vAlign w:val="center"/>
            <w:hideMark/>
          </w:tcPr>
          <w:p w14:paraId="12F940A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1760-PLA-EV-2020</w:t>
            </w:r>
          </w:p>
        </w:tc>
        <w:tc>
          <w:tcPr>
            <w:tcW w:w="2508" w:type="dxa"/>
            <w:shd w:val="clear" w:color="auto" w:fill="auto"/>
            <w:vAlign w:val="center"/>
            <w:hideMark/>
          </w:tcPr>
          <w:p w14:paraId="7F31B342"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1987-PLA-EV-2020</w:t>
            </w:r>
          </w:p>
        </w:tc>
        <w:tc>
          <w:tcPr>
            <w:tcW w:w="2541" w:type="dxa"/>
            <w:shd w:val="clear" w:color="auto" w:fill="auto"/>
            <w:vAlign w:val="center"/>
            <w:hideMark/>
          </w:tcPr>
          <w:p w14:paraId="30B6E975"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17-12-2020, artículo LXVI</w:t>
            </w:r>
          </w:p>
        </w:tc>
      </w:tr>
      <w:tr w:rsidR="00406E38" w:rsidRPr="00406E38" w14:paraId="5B66BC97" w14:textId="77777777" w:rsidTr="00306313">
        <w:trPr>
          <w:trHeight w:val="828"/>
          <w:jc w:val="center"/>
        </w:trPr>
        <w:tc>
          <w:tcPr>
            <w:tcW w:w="3119" w:type="dxa"/>
            <w:shd w:val="clear" w:color="auto" w:fill="auto"/>
            <w:vAlign w:val="center"/>
            <w:hideMark/>
          </w:tcPr>
          <w:p w14:paraId="1612A682"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de Pensiones Alimentarias y Violencia Doméstica de Siquirres</w:t>
            </w:r>
          </w:p>
        </w:tc>
        <w:tc>
          <w:tcPr>
            <w:tcW w:w="2627" w:type="dxa"/>
            <w:shd w:val="clear" w:color="auto" w:fill="auto"/>
            <w:noWrap/>
            <w:vAlign w:val="center"/>
            <w:hideMark/>
          </w:tcPr>
          <w:p w14:paraId="648A8EFC"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1747-PLA-EV-2020</w:t>
            </w:r>
          </w:p>
        </w:tc>
        <w:tc>
          <w:tcPr>
            <w:tcW w:w="2508" w:type="dxa"/>
            <w:shd w:val="clear" w:color="auto" w:fill="auto"/>
            <w:vAlign w:val="center"/>
            <w:hideMark/>
          </w:tcPr>
          <w:p w14:paraId="329C3782" w14:textId="25316C09" w:rsidR="00406E38" w:rsidRPr="00406E38" w:rsidRDefault="00CA4B3C" w:rsidP="00406E38">
            <w:pPr>
              <w:spacing w:after="0" w:line="240" w:lineRule="auto"/>
              <w:jc w:val="center"/>
              <w:rPr>
                <w:rFonts w:ascii="Book Antiqua" w:eastAsia="Times New Roman" w:hAnsi="Book Antiqua" w:cs="Arial"/>
                <w:color w:val="000000"/>
                <w:lang w:eastAsia="es-CR"/>
              </w:rPr>
            </w:pPr>
            <w:r w:rsidRPr="00CA4B3C">
              <w:rPr>
                <w:rFonts w:ascii="Book Antiqua" w:eastAsia="Times New Roman" w:hAnsi="Book Antiqua" w:cs="Arial"/>
                <w:color w:val="000000"/>
                <w:lang w:eastAsia="es-CR"/>
              </w:rPr>
              <w:t>272-PLA-EV-2021</w:t>
            </w:r>
            <w:r w:rsidR="00406E38" w:rsidRPr="00406E38">
              <w:rPr>
                <w:rFonts w:ascii="Book Antiqua" w:eastAsia="Times New Roman" w:hAnsi="Book Antiqua" w:cs="Arial"/>
                <w:color w:val="000000"/>
                <w:lang w:eastAsia="es-CR"/>
              </w:rPr>
              <w:t> </w:t>
            </w:r>
          </w:p>
        </w:tc>
        <w:tc>
          <w:tcPr>
            <w:tcW w:w="2541" w:type="dxa"/>
            <w:shd w:val="clear" w:color="auto" w:fill="auto"/>
            <w:vAlign w:val="center"/>
            <w:hideMark/>
          </w:tcPr>
          <w:p w14:paraId="2E0A4786" w14:textId="46838CF4"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CA4B3C" w:rsidRPr="00CA4B3C">
              <w:rPr>
                <w:rFonts w:ascii="Book Antiqua" w:eastAsia="Times New Roman" w:hAnsi="Book Antiqua" w:cs="Arial"/>
                <w:color w:val="000000"/>
                <w:lang w:eastAsia="es-CR"/>
              </w:rPr>
              <w:t>S</w:t>
            </w:r>
            <w:r w:rsidR="00CA4B3C">
              <w:rPr>
                <w:rFonts w:ascii="Book Antiqua" w:eastAsia="Times New Roman" w:hAnsi="Book Antiqua" w:cs="Arial"/>
                <w:color w:val="000000"/>
                <w:lang w:eastAsia="es-CR"/>
              </w:rPr>
              <w:t>esión</w:t>
            </w:r>
            <w:r w:rsidR="00CA4B3C" w:rsidRPr="00CA4B3C">
              <w:rPr>
                <w:rFonts w:ascii="Book Antiqua" w:eastAsia="Times New Roman" w:hAnsi="Book Antiqua" w:cs="Arial"/>
                <w:color w:val="000000"/>
                <w:lang w:eastAsia="es-CR"/>
              </w:rPr>
              <w:t xml:space="preserve"> 22-</w:t>
            </w:r>
            <w:r w:rsidR="00CA4B3C">
              <w:rPr>
                <w:rFonts w:ascii="Book Antiqua" w:eastAsia="Times New Roman" w:hAnsi="Book Antiqua" w:cs="Arial"/>
                <w:color w:val="000000"/>
                <w:lang w:eastAsia="es-CR"/>
              </w:rPr>
              <w:t>20</w:t>
            </w:r>
            <w:r w:rsidR="00CA4B3C" w:rsidRPr="00CA4B3C">
              <w:rPr>
                <w:rFonts w:ascii="Book Antiqua" w:eastAsia="Times New Roman" w:hAnsi="Book Antiqua" w:cs="Arial"/>
                <w:color w:val="000000"/>
                <w:lang w:eastAsia="es-CR"/>
              </w:rPr>
              <w:t>21</w:t>
            </w:r>
            <w:r w:rsidR="00CA4B3C">
              <w:rPr>
                <w:rFonts w:ascii="Book Antiqua" w:eastAsia="Times New Roman" w:hAnsi="Book Antiqua" w:cs="Arial"/>
                <w:color w:val="000000"/>
                <w:lang w:eastAsia="es-CR"/>
              </w:rPr>
              <w:t xml:space="preserve"> del </w:t>
            </w:r>
            <w:r w:rsidR="00CA4B3C" w:rsidRPr="00CA4B3C">
              <w:rPr>
                <w:rFonts w:ascii="Book Antiqua" w:eastAsia="Times New Roman" w:hAnsi="Book Antiqua" w:cs="Arial"/>
                <w:color w:val="000000"/>
                <w:lang w:eastAsia="es-CR"/>
              </w:rPr>
              <w:t>16</w:t>
            </w:r>
            <w:r w:rsidR="00CA4B3C">
              <w:rPr>
                <w:rFonts w:ascii="Book Antiqua" w:eastAsia="Times New Roman" w:hAnsi="Book Antiqua" w:cs="Arial"/>
                <w:color w:val="000000"/>
                <w:lang w:eastAsia="es-CR"/>
              </w:rPr>
              <w:t>-</w:t>
            </w:r>
            <w:r w:rsidR="00CA4B3C" w:rsidRPr="00CA4B3C">
              <w:rPr>
                <w:rFonts w:ascii="Book Antiqua" w:eastAsia="Times New Roman" w:hAnsi="Book Antiqua" w:cs="Arial"/>
                <w:color w:val="000000"/>
                <w:lang w:eastAsia="es-CR"/>
              </w:rPr>
              <w:t>03</w:t>
            </w:r>
            <w:r w:rsidR="00CA4B3C">
              <w:rPr>
                <w:rFonts w:ascii="Book Antiqua" w:eastAsia="Times New Roman" w:hAnsi="Book Antiqua" w:cs="Arial"/>
                <w:color w:val="000000"/>
                <w:lang w:eastAsia="es-CR"/>
              </w:rPr>
              <w:t>-20</w:t>
            </w:r>
            <w:r w:rsidR="00CA4B3C" w:rsidRPr="00CA4B3C">
              <w:rPr>
                <w:rFonts w:ascii="Book Antiqua" w:eastAsia="Times New Roman" w:hAnsi="Book Antiqua" w:cs="Arial"/>
                <w:color w:val="000000"/>
                <w:lang w:eastAsia="es-CR"/>
              </w:rPr>
              <w:t>21</w:t>
            </w:r>
            <w:r w:rsidR="00CA4B3C">
              <w:rPr>
                <w:rFonts w:ascii="Book Antiqua" w:eastAsia="Times New Roman" w:hAnsi="Book Antiqua" w:cs="Arial"/>
                <w:color w:val="000000"/>
                <w:lang w:eastAsia="es-CR"/>
              </w:rPr>
              <w:t>,</w:t>
            </w:r>
            <w:r w:rsidR="00CA4B3C" w:rsidRPr="00CA4B3C">
              <w:rPr>
                <w:rFonts w:ascii="Book Antiqua" w:eastAsia="Times New Roman" w:hAnsi="Book Antiqua" w:cs="Arial"/>
                <w:color w:val="000000"/>
                <w:lang w:eastAsia="es-CR"/>
              </w:rPr>
              <w:t xml:space="preserve"> </w:t>
            </w:r>
            <w:r w:rsidR="00CA4B3C">
              <w:rPr>
                <w:rFonts w:ascii="Book Antiqua" w:eastAsia="Times New Roman" w:hAnsi="Book Antiqua" w:cs="Arial"/>
                <w:color w:val="000000"/>
                <w:lang w:eastAsia="es-CR"/>
              </w:rPr>
              <w:t>artículo</w:t>
            </w:r>
            <w:r w:rsidR="00CA4B3C" w:rsidRPr="00CA4B3C">
              <w:rPr>
                <w:rFonts w:ascii="Book Antiqua" w:eastAsia="Times New Roman" w:hAnsi="Book Antiqua" w:cs="Arial"/>
                <w:color w:val="000000"/>
                <w:lang w:eastAsia="es-CR"/>
              </w:rPr>
              <w:t xml:space="preserve"> XXXIII</w:t>
            </w:r>
          </w:p>
        </w:tc>
      </w:tr>
      <w:tr w:rsidR="00406E38" w:rsidRPr="00406E38" w14:paraId="617A184C" w14:textId="77777777" w:rsidTr="00306313">
        <w:trPr>
          <w:trHeight w:val="450"/>
          <w:jc w:val="center"/>
        </w:trPr>
        <w:tc>
          <w:tcPr>
            <w:tcW w:w="3119" w:type="dxa"/>
            <w:shd w:val="clear" w:color="auto" w:fill="auto"/>
            <w:vAlign w:val="center"/>
            <w:hideMark/>
          </w:tcPr>
          <w:p w14:paraId="0F5DCFB0"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Alimentarias III Circ. Jud. San José (Desamparados)</w:t>
            </w:r>
          </w:p>
        </w:tc>
        <w:tc>
          <w:tcPr>
            <w:tcW w:w="2627" w:type="dxa"/>
            <w:shd w:val="clear" w:color="auto" w:fill="auto"/>
            <w:vAlign w:val="center"/>
            <w:hideMark/>
          </w:tcPr>
          <w:p w14:paraId="1CF55CD2"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1761-PLA-MI-2020</w:t>
            </w:r>
          </w:p>
        </w:tc>
        <w:tc>
          <w:tcPr>
            <w:tcW w:w="2508" w:type="dxa"/>
            <w:shd w:val="clear" w:color="auto" w:fill="auto"/>
            <w:vAlign w:val="center"/>
            <w:hideMark/>
          </w:tcPr>
          <w:p w14:paraId="0BF69B84"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 xml:space="preserve"> 97-PLA-EV-2021</w:t>
            </w:r>
          </w:p>
        </w:tc>
        <w:tc>
          <w:tcPr>
            <w:tcW w:w="2541" w:type="dxa"/>
            <w:shd w:val="clear" w:color="auto" w:fill="auto"/>
            <w:vAlign w:val="center"/>
            <w:hideMark/>
          </w:tcPr>
          <w:p w14:paraId="0EB8C569" w14:textId="525D45C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A2659">
              <w:rPr>
                <w:rFonts w:ascii="Book Antiqua" w:eastAsia="Times New Roman" w:hAnsi="Book Antiqua" w:cs="Arial"/>
                <w:color w:val="000000"/>
                <w:lang w:eastAsia="es-CR"/>
              </w:rPr>
              <w:t xml:space="preserve">Sesión </w:t>
            </w:r>
            <w:r w:rsidR="007A2659" w:rsidRPr="007A2659">
              <w:rPr>
                <w:rFonts w:ascii="Book Antiqua" w:eastAsia="Times New Roman" w:hAnsi="Book Antiqua" w:cs="Arial"/>
                <w:color w:val="000000"/>
                <w:lang w:eastAsia="es-CR"/>
              </w:rPr>
              <w:t>009-2021</w:t>
            </w:r>
            <w:r w:rsidR="007A2659">
              <w:rPr>
                <w:rFonts w:ascii="Book Antiqua" w:eastAsia="Times New Roman" w:hAnsi="Book Antiqua" w:cs="Arial"/>
                <w:color w:val="000000"/>
                <w:lang w:eastAsia="es-CR"/>
              </w:rPr>
              <w:t xml:space="preserve"> del </w:t>
            </w:r>
            <w:r w:rsidR="007A2659" w:rsidRPr="007A2659">
              <w:rPr>
                <w:rFonts w:ascii="Book Antiqua" w:eastAsia="Times New Roman" w:hAnsi="Book Antiqua" w:cs="Arial"/>
                <w:color w:val="000000"/>
                <w:lang w:eastAsia="es-CR"/>
              </w:rPr>
              <w:t>02</w:t>
            </w:r>
            <w:r w:rsidR="007A2659">
              <w:rPr>
                <w:rFonts w:ascii="Book Antiqua" w:eastAsia="Times New Roman" w:hAnsi="Book Antiqua" w:cs="Arial"/>
                <w:color w:val="000000"/>
                <w:lang w:eastAsia="es-CR"/>
              </w:rPr>
              <w:t>-02-</w:t>
            </w:r>
            <w:r w:rsidR="007A2659" w:rsidRPr="007A2659">
              <w:rPr>
                <w:rFonts w:ascii="Book Antiqua" w:eastAsia="Times New Roman" w:hAnsi="Book Antiqua" w:cs="Arial"/>
                <w:color w:val="000000"/>
                <w:lang w:eastAsia="es-CR"/>
              </w:rPr>
              <w:t>2021</w:t>
            </w:r>
            <w:r w:rsidR="007A2659">
              <w:rPr>
                <w:rFonts w:ascii="Book Antiqua" w:eastAsia="Times New Roman" w:hAnsi="Book Antiqua" w:cs="Arial"/>
                <w:color w:val="000000"/>
                <w:lang w:eastAsia="es-CR"/>
              </w:rPr>
              <w:t xml:space="preserve">, artículo </w:t>
            </w:r>
            <w:r w:rsidR="007A2659" w:rsidRPr="007A2659">
              <w:rPr>
                <w:rFonts w:ascii="Book Antiqua" w:eastAsia="Times New Roman" w:hAnsi="Book Antiqua" w:cs="Arial"/>
                <w:color w:val="000000"/>
                <w:lang w:eastAsia="es-CR"/>
              </w:rPr>
              <w:t>XXXV</w:t>
            </w:r>
          </w:p>
        </w:tc>
      </w:tr>
      <w:tr w:rsidR="00406E38" w:rsidRPr="00406E38" w14:paraId="5D0FE2A3" w14:textId="77777777" w:rsidTr="00306313">
        <w:trPr>
          <w:trHeight w:val="590"/>
          <w:jc w:val="center"/>
        </w:trPr>
        <w:tc>
          <w:tcPr>
            <w:tcW w:w="3119" w:type="dxa"/>
            <w:shd w:val="clear" w:color="auto" w:fill="auto"/>
            <w:vAlign w:val="center"/>
            <w:hideMark/>
          </w:tcPr>
          <w:p w14:paraId="2402FC92"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Alimentarias II Circ. Jud. San José (Goicoechea) /Turno Extraordinario</w:t>
            </w:r>
          </w:p>
        </w:tc>
        <w:tc>
          <w:tcPr>
            <w:tcW w:w="2627" w:type="dxa"/>
            <w:shd w:val="clear" w:color="auto" w:fill="auto"/>
            <w:vAlign w:val="center"/>
            <w:hideMark/>
          </w:tcPr>
          <w:p w14:paraId="21A0222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1744-PLA-EV-2020</w:t>
            </w:r>
          </w:p>
        </w:tc>
        <w:tc>
          <w:tcPr>
            <w:tcW w:w="2508" w:type="dxa"/>
            <w:shd w:val="clear" w:color="auto" w:fill="auto"/>
            <w:vAlign w:val="center"/>
            <w:hideMark/>
          </w:tcPr>
          <w:p w14:paraId="174B76C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194-PLA-MI-2021</w:t>
            </w:r>
          </w:p>
        </w:tc>
        <w:tc>
          <w:tcPr>
            <w:tcW w:w="2541" w:type="dxa"/>
            <w:shd w:val="clear" w:color="auto" w:fill="auto"/>
            <w:vAlign w:val="center"/>
            <w:hideMark/>
          </w:tcPr>
          <w:p w14:paraId="4518A21C" w14:textId="5BBC586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16-2021 del 25-</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21,</w:t>
            </w:r>
            <w:r w:rsidR="007F3528">
              <w:rPr>
                <w:rFonts w:ascii="Book Antiqua" w:eastAsia="Times New Roman" w:hAnsi="Book Antiqua" w:cs="Arial"/>
                <w:color w:val="000000"/>
                <w:lang w:eastAsia="es-CR"/>
              </w:rPr>
              <w:t xml:space="preserve"> artículo</w:t>
            </w:r>
            <w:r w:rsidRPr="00406E38">
              <w:rPr>
                <w:rFonts w:ascii="Book Antiqua" w:eastAsia="Times New Roman" w:hAnsi="Book Antiqua" w:cs="Arial"/>
                <w:color w:val="000000"/>
                <w:lang w:eastAsia="es-CR"/>
              </w:rPr>
              <w:t xml:space="preserve"> LIII</w:t>
            </w:r>
          </w:p>
        </w:tc>
      </w:tr>
      <w:tr w:rsidR="00406E38" w:rsidRPr="00406E38" w14:paraId="111136DE" w14:textId="77777777" w:rsidTr="00306313">
        <w:trPr>
          <w:trHeight w:val="771"/>
          <w:jc w:val="center"/>
        </w:trPr>
        <w:tc>
          <w:tcPr>
            <w:tcW w:w="3119" w:type="dxa"/>
            <w:shd w:val="clear" w:color="auto" w:fill="auto"/>
            <w:vAlign w:val="center"/>
            <w:hideMark/>
          </w:tcPr>
          <w:p w14:paraId="4576789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y de Pensiones Alimentarias II Circuito Alajuela (San Carlos) </w:t>
            </w:r>
          </w:p>
        </w:tc>
        <w:tc>
          <w:tcPr>
            <w:tcW w:w="2627" w:type="dxa"/>
            <w:shd w:val="clear" w:color="auto" w:fill="auto"/>
            <w:vAlign w:val="center"/>
            <w:hideMark/>
          </w:tcPr>
          <w:p w14:paraId="6CFCBF2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1721-PLA-EV-2020</w:t>
            </w:r>
          </w:p>
        </w:tc>
        <w:tc>
          <w:tcPr>
            <w:tcW w:w="2508" w:type="dxa"/>
            <w:shd w:val="clear" w:color="auto" w:fill="auto"/>
            <w:vAlign w:val="center"/>
            <w:hideMark/>
          </w:tcPr>
          <w:p w14:paraId="373DF88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59-PLA-EV-2021</w:t>
            </w:r>
          </w:p>
        </w:tc>
        <w:tc>
          <w:tcPr>
            <w:tcW w:w="2541" w:type="dxa"/>
            <w:shd w:val="clear" w:color="auto" w:fill="auto"/>
            <w:vAlign w:val="center"/>
            <w:hideMark/>
          </w:tcPr>
          <w:p w14:paraId="5F74709E" w14:textId="4CF597AA"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w:t>
            </w:r>
          </w:p>
        </w:tc>
      </w:tr>
      <w:tr w:rsidR="00406E38" w:rsidRPr="00406E38" w14:paraId="6D539618" w14:textId="77777777" w:rsidTr="00306313">
        <w:trPr>
          <w:trHeight w:val="450"/>
          <w:jc w:val="center"/>
        </w:trPr>
        <w:tc>
          <w:tcPr>
            <w:tcW w:w="3119" w:type="dxa"/>
            <w:shd w:val="clear" w:color="auto" w:fill="auto"/>
            <w:vAlign w:val="center"/>
            <w:hideMark/>
          </w:tcPr>
          <w:p w14:paraId="5C72917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de Pensiones Alimentarias de Cartago </w:t>
            </w:r>
          </w:p>
        </w:tc>
        <w:tc>
          <w:tcPr>
            <w:tcW w:w="2627" w:type="dxa"/>
            <w:shd w:val="clear" w:color="auto" w:fill="auto"/>
            <w:vAlign w:val="center"/>
            <w:hideMark/>
          </w:tcPr>
          <w:p w14:paraId="3243E35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1773-PLA-EV-2020</w:t>
            </w:r>
          </w:p>
        </w:tc>
        <w:tc>
          <w:tcPr>
            <w:tcW w:w="2508" w:type="dxa"/>
            <w:shd w:val="clear" w:color="auto" w:fill="auto"/>
            <w:vAlign w:val="center"/>
            <w:hideMark/>
          </w:tcPr>
          <w:p w14:paraId="717466C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1861-PLA-EV-2020</w:t>
            </w:r>
          </w:p>
        </w:tc>
        <w:tc>
          <w:tcPr>
            <w:tcW w:w="2541" w:type="dxa"/>
            <w:shd w:val="clear" w:color="auto" w:fill="auto"/>
            <w:vAlign w:val="center"/>
            <w:hideMark/>
          </w:tcPr>
          <w:p w14:paraId="1997BDA8" w14:textId="6161513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116-2020 del 3-12-2020,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XXXVII</w:t>
            </w:r>
          </w:p>
        </w:tc>
      </w:tr>
      <w:tr w:rsidR="00406E38" w:rsidRPr="00406E38" w14:paraId="6EBE430B" w14:textId="77777777" w:rsidTr="00306313">
        <w:trPr>
          <w:trHeight w:val="590"/>
          <w:jc w:val="center"/>
        </w:trPr>
        <w:tc>
          <w:tcPr>
            <w:tcW w:w="3119" w:type="dxa"/>
            <w:shd w:val="clear" w:color="auto" w:fill="auto"/>
            <w:vAlign w:val="center"/>
            <w:hideMark/>
          </w:tcPr>
          <w:p w14:paraId="3AB1FC2C"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Poás</w:t>
            </w:r>
          </w:p>
        </w:tc>
        <w:tc>
          <w:tcPr>
            <w:tcW w:w="2627" w:type="dxa"/>
            <w:shd w:val="clear" w:color="auto" w:fill="auto"/>
            <w:vAlign w:val="center"/>
            <w:hideMark/>
          </w:tcPr>
          <w:p w14:paraId="5923FBB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1702-PLA-EV-2020</w:t>
            </w:r>
          </w:p>
        </w:tc>
        <w:tc>
          <w:tcPr>
            <w:tcW w:w="2508" w:type="dxa"/>
            <w:shd w:val="clear" w:color="auto" w:fill="auto"/>
            <w:vAlign w:val="center"/>
            <w:hideMark/>
          </w:tcPr>
          <w:p w14:paraId="547CDCF2"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1989-PLA-EV-2020</w:t>
            </w:r>
          </w:p>
        </w:tc>
        <w:tc>
          <w:tcPr>
            <w:tcW w:w="2541" w:type="dxa"/>
            <w:shd w:val="clear" w:color="auto" w:fill="auto"/>
            <w:vAlign w:val="center"/>
            <w:hideMark/>
          </w:tcPr>
          <w:p w14:paraId="5535099A" w14:textId="06D698C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01-</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21 del 5-</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1-</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XXXII </w:t>
            </w:r>
          </w:p>
        </w:tc>
      </w:tr>
      <w:tr w:rsidR="00406E38" w:rsidRPr="00406E38" w14:paraId="005B5BBC" w14:textId="77777777" w:rsidTr="00306313">
        <w:trPr>
          <w:trHeight w:val="450"/>
          <w:jc w:val="center"/>
        </w:trPr>
        <w:tc>
          <w:tcPr>
            <w:tcW w:w="3119" w:type="dxa"/>
            <w:shd w:val="clear" w:color="auto" w:fill="auto"/>
            <w:vAlign w:val="center"/>
            <w:hideMark/>
          </w:tcPr>
          <w:p w14:paraId="141EDEA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y Violencia Doméstica de Flores (PISAV)</w:t>
            </w:r>
          </w:p>
        </w:tc>
        <w:tc>
          <w:tcPr>
            <w:tcW w:w="2627" w:type="dxa"/>
            <w:shd w:val="clear" w:color="auto" w:fill="auto"/>
            <w:vAlign w:val="center"/>
            <w:hideMark/>
          </w:tcPr>
          <w:p w14:paraId="7F4F940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1810-PLA-EV-2020</w:t>
            </w:r>
          </w:p>
        </w:tc>
        <w:tc>
          <w:tcPr>
            <w:tcW w:w="2508" w:type="dxa"/>
            <w:shd w:val="clear" w:color="auto" w:fill="auto"/>
            <w:vAlign w:val="center"/>
            <w:hideMark/>
          </w:tcPr>
          <w:p w14:paraId="2AEF1D66" w14:textId="7ED0C8D9"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A2659" w:rsidRPr="007A2659">
              <w:rPr>
                <w:rFonts w:ascii="Book Antiqua" w:eastAsia="Times New Roman" w:hAnsi="Book Antiqua" w:cs="Arial"/>
                <w:color w:val="000000"/>
                <w:lang w:eastAsia="es-CR"/>
              </w:rPr>
              <w:t>545-PLA-EV-2021</w:t>
            </w:r>
          </w:p>
        </w:tc>
        <w:tc>
          <w:tcPr>
            <w:tcW w:w="2541" w:type="dxa"/>
            <w:shd w:val="clear" w:color="auto" w:fill="auto"/>
            <w:vAlign w:val="center"/>
            <w:hideMark/>
          </w:tcPr>
          <w:p w14:paraId="32479CE9" w14:textId="0548977F" w:rsidR="00406E38" w:rsidRPr="00406E38" w:rsidRDefault="007A2659" w:rsidP="001D0C10">
            <w:pPr>
              <w:spacing w:after="0" w:line="240" w:lineRule="auto"/>
              <w:jc w:val="both"/>
              <w:rPr>
                <w:rFonts w:ascii="Book Antiqua" w:eastAsia="Times New Roman" w:hAnsi="Book Antiqua" w:cs="Arial"/>
                <w:color w:val="000000"/>
                <w:lang w:eastAsia="es-CR"/>
              </w:rPr>
            </w:pPr>
            <w:r w:rsidRPr="007A2659">
              <w:rPr>
                <w:rFonts w:ascii="Book Antiqua" w:eastAsia="Times New Roman" w:hAnsi="Book Antiqua" w:cs="Arial"/>
                <w:color w:val="000000"/>
                <w:lang w:eastAsia="es-CR"/>
              </w:rPr>
              <w:t>Sesión 43-2021</w:t>
            </w:r>
            <w:r>
              <w:rPr>
                <w:rFonts w:ascii="Book Antiqua" w:eastAsia="Times New Roman" w:hAnsi="Book Antiqua" w:cs="Arial"/>
                <w:color w:val="000000"/>
                <w:lang w:eastAsia="es-CR"/>
              </w:rPr>
              <w:t xml:space="preserve"> </w:t>
            </w:r>
            <w:r w:rsidRPr="007A2659">
              <w:rPr>
                <w:rFonts w:ascii="Book Antiqua" w:eastAsia="Times New Roman" w:hAnsi="Book Antiqua" w:cs="Arial"/>
                <w:color w:val="000000"/>
                <w:lang w:eastAsia="es-CR"/>
              </w:rPr>
              <w:t>del 25</w:t>
            </w:r>
            <w:r>
              <w:rPr>
                <w:rFonts w:ascii="Book Antiqua" w:eastAsia="Times New Roman" w:hAnsi="Book Antiqua" w:cs="Arial"/>
                <w:color w:val="000000"/>
                <w:lang w:eastAsia="es-CR"/>
              </w:rPr>
              <w:t>-05-</w:t>
            </w:r>
            <w:r w:rsidRPr="007A2659">
              <w:rPr>
                <w:rFonts w:ascii="Book Antiqua" w:eastAsia="Times New Roman" w:hAnsi="Book Antiqua" w:cs="Arial"/>
                <w:color w:val="000000"/>
                <w:lang w:eastAsia="es-CR"/>
              </w:rPr>
              <w:t>2021, artículo XXXI</w:t>
            </w:r>
            <w:r w:rsidR="00406E38" w:rsidRPr="00406E38">
              <w:rPr>
                <w:rFonts w:ascii="Book Antiqua" w:eastAsia="Times New Roman" w:hAnsi="Book Antiqua" w:cs="Arial"/>
                <w:color w:val="000000"/>
                <w:lang w:eastAsia="es-CR"/>
              </w:rPr>
              <w:t> </w:t>
            </w:r>
          </w:p>
        </w:tc>
      </w:tr>
      <w:tr w:rsidR="00406E38" w:rsidRPr="00406E38" w14:paraId="270F2DBA" w14:textId="77777777" w:rsidTr="00306313">
        <w:trPr>
          <w:trHeight w:val="828"/>
          <w:jc w:val="center"/>
        </w:trPr>
        <w:tc>
          <w:tcPr>
            <w:tcW w:w="3119" w:type="dxa"/>
            <w:shd w:val="clear" w:color="auto" w:fill="auto"/>
            <w:vAlign w:val="center"/>
            <w:hideMark/>
          </w:tcPr>
          <w:p w14:paraId="4BDADA8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y Violencia Doméstica Pavas (PISAV)</w:t>
            </w:r>
          </w:p>
        </w:tc>
        <w:tc>
          <w:tcPr>
            <w:tcW w:w="2627" w:type="dxa"/>
            <w:shd w:val="clear" w:color="auto" w:fill="auto"/>
            <w:vAlign w:val="center"/>
            <w:hideMark/>
          </w:tcPr>
          <w:p w14:paraId="25FED68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1759-PLA-EV-20</w:t>
            </w:r>
          </w:p>
        </w:tc>
        <w:tc>
          <w:tcPr>
            <w:tcW w:w="2508" w:type="dxa"/>
            <w:shd w:val="clear" w:color="auto" w:fill="auto"/>
            <w:vAlign w:val="center"/>
            <w:hideMark/>
          </w:tcPr>
          <w:p w14:paraId="3C78943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15-PLA-EV-2021</w:t>
            </w:r>
          </w:p>
        </w:tc>
        <w:tc>
          <w:tcPr>
            <w:tcW w:w="2541" w:type="dxa"/>
            <w:shd w:val="clear" w:color="auto" w:fill="auto"/>
            <w:vAlign w:val="center"/>
            <w:hideMark/>
          </w:tcPr>
          <w:p w14:paraId="78DBE5E3" w14:textId="1015D4E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7-2021 del 26-</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1-</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XLVI</w:t>
            </w:r>
          </w:p>
        </w:tc>
      </w:tr>
      <w:tr w:rsidR="00406E38" w:rsidRPr="00406E38" w14:paraId="23603B79" w14:textId="77777777" w:rsidTr="00306313">
        <w:trPr>
          <w:trHeight w:val="312"/>
          <w:jc w:val="center"/>
        </w:trPr>
        <w:tc>
          <w:tcPr>
            <w:tcW w:w="3119" w:type="dxa"/>
            <w:shd w:val="clear" w:color="auto" w:fill="auto"/>
            <w:vAlign w:val="center"/>
            <w:hideMark/>
          </w:tcPr>
          <w:p w14:paraId="0C5A0094"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Buenos Aires</w:t>
            </w:r>
          </w:p>
        </w:tc>
        <w:tc>
          <w:tcPr>
            <w:tcW w:w="2627" w:type="dxa"/>
            <w:shd w:val="clear" w:color="auto" w:fill="auto"/>
            <w:vAlign w:val="center"/>
            <w:hideMark/>
          </w:tcPr>
          <w:p w14:paraId="73D4F69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1681-PLA-EV-2020</w:t>
            </w:r>
          </w:p>
        </w:tc>
        <w:tc>
          <w:tcPr>
            <w:tcW w:w="2508" w:type="dxa"/>
            <w:shd w:val="clear" w:color="auto" w:fill="auto"/>
            <w:vAlign w:val="center"/>
            <w:hideMark/>
          </w:tcPr>
          <w:p w14:paraId="4C05145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76-PLA-EV-2021</w:t>
            </w:r>
          </w:p>
        </w:tc>
        <w:tc>
          <w:tcPr>
            <w:tcW w:w="2541" w:type="dxa"/>
            <w:shd w:val="clear" w:color="auto" w:fill="auto"/>
            <w:vAlign w:val="center"/>
            <w:hideMark/>
          </w:tcPr>
          <w:p w14:paraId="79EA0F77" w14:textId="3321118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F352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LI</w:t>
            </w:r>
          </w:p>
        </w:tc>
      </w:tr>
      <w:tr w:rsidR="00406E38" w:rsidRPr="00406E38" w14:paraId="5D48FFB0" w14:textId="77777777" w:rsidTr="00306313">
        <w:trPr>
          <w:trHeight w:val="450"/>
          <w:jc w:val="center"/>
        </w:trPr>
        <w:tc>
          <w:tcPr>
            <w:tcW w:w="3119" w:type="dxa"/>
            <w:shd w:val="clear" w:color="auto" w:fill="auto"/>
            <w:vAlign w:val="center"/>
            <w:hideMark/>
          </w:tcPr>
          <w:p w14:paraId="3DD6528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Santa Ana </w:t>
            </w:r>
          </w:p>
        </w:tc>
        <w:tc>
          <w:tcPr>
            <w:tcW w:w="2627" w:type="dxa"/>
            <w:shd w:val="clear" w:color="auto" w:fill="auto"/>
            <w:vAlign w:val="center"/>
            <w:hideMark/>
          </w:tcPr>
          <w:p w14:paraId="62288FAE"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1667-PLA-MI-2020</w:t>
            </w:r>
          </w:p>
        </w:tc>
        <w:tc>
          <w:tcPr>
            <w:tcW w:w="2508" w:type="dxa"/>
            <w:shd w:val="clear" w:color="auto" w:fill="auto"/>
            <w:vAlign w:val="center"/>
            <w:hideMark/>
          </w:tcPr>
          <w:p w14:paraId="491CFE7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1852-PLA-MI-2020</w:t>
            </w:r>
          </w:p>
        </w:tc>
        <w:tc>
          <w:tcPr>
            <w:tcW w:w="2541" w:type="dxa"/>
            <w:shd w:val="clear" w:color="auto" w:fill="auto"/>
            <w:vAlign w:val="center"/>
            <w:hideMark/>
          </w:tcPr>
          <w:p w14:paraId="785B2FE3" w14:textId="365567B6"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XLIX</w:t>
            </w:r>
          </w:p>
        </w:tc>
      </w:tr>
      <w:tr w:rsidR="00406E38" w:rsidRPr="00406E38" w14:paraId="6F6FA79E" w14:textId="77777777" w:rsidTr="00306313">
        <w:trPr>
          <w:trHeight w:val="450"/>
          <w:jc w:val="center"/>
        </w:trPr>
        <w:tc>
          <w:tcPr>
            <w:tcW w:w="3119" w:type="dxa"/>
            <w:shd w:val="clear" w:color="auto" w:fill="auto"/>
            <w:vAlign w:val="center"/>
            <w:hideMark/>
          </w:tcPr>
          <w:p w14:paraId="5485F640"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Valverde Vega</w:t>
            </w:r>
          </w:p>
        </w:tc>
        <w:tc>
          <w:tcPr>
            <w:tcW w:w="2627" w:type="dxa"/>
            <w:shd w:val="clear" w:color="auto" w:fill="auto"/>
            <w:vAlign w:val="center"/>
            <w:hideMark/>
          </w:tcPr>
          <w:p w14:paraId="3244E3FF"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1676-PLA-MI-2020</w:t>
            </w:r>
          </w:p>
        </w:tc>
        <w:tc>
          <w:tcPr>
            <w:tcW w:w="2508" w:type="dxa"/>
            <w:shd w:val="clear" w:color="auto" w:fill="auto"/>
            <w:vAlign w:val="center"/>
            <w:hideMark/>
          </w:tcPr>
          <w:p w14:paraId="17EB72F3"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1850-PLA-MI-2020</w:t>
            </w:r>
          </w:p>
        </w:tc>
        <w:tc>
          <w:tcPr>
            <w:tcW w:w="2541" w:type="dxa"/>
            <w:shd w:val="clear" w:color="auto" w:fill="auto"/>
            <w:vAlign w:val="center"/>
            <w:hideMark/>
          </w:tcPr>
          <w:p w14:paraId="3EA5886E" w14:textId="655EDD8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118-2020, del 10-12-</w:t>
            </w:r>
            <w:r w:rsidR="007F352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F352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w:t>
            </w:r>
          </w:p>
        </w:tc>
      </w:tr>
      <w:tr w:rsidR="00406E38" w:rsidRPr="00406E38" w14:paraId="75E83BA1" w14:textId="77777777" w:rsidTr="00306313">
        <w:trPr>
          <w:trHeight w:val="450"/>
          <w:jc w:val="center"/>
        </w:trPr>
        <w:tc>
          <w:tcPr>
            <w:tcW w:w="3119" w:type="dxa"/>
            <w:shd w:val="clear" w:color="auto" w:fill="auto"/>
            <w:vAlign w:val="center"/>
            <w:hideMark/>
          </w:tcPr>
          <w:p w14:paraId="297E596D"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Atenas</w:t>
            </w:r>
          </w:p>
        </w:tc>
        <w:tc>
          <w:tcPr>
            <w:tcW w:w="2627" w:type="dxa"/>
            <w:shd w:val="clear" w:color="auto" w:fill="auto"/>
            <w:vAlign w:val="center"/>
            <w:hideMark/>
          </w:tcPr>
          <w:p w14:paraId="6F397C5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1834-PLA-MI-2020</w:t>
            </w:r>
          </w:p>
        </w:tc>
        <w:tc>
          <w:tcPr>
            <w:tcW w:w="2508" w:type="dxa"/>
            <w:shd w:val="clear" w:color="auto" w:fill="auto"/>
            <w:vAlign w:val="center"/>
            <w:hideMark/>
          </w:tcPr>
          <w:p w14:paraId="0B641C55"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 xml:space="preserve"> 75-PLA-EV-2021</w:t>
            </w:r>
          </w:p>
        </w:tc>
        <w:tc>
          <w:tcPr>
            <w:tcW w:w="2541" w:type="dxa"/>
            <w:shd w:val="clear" w:color="auto" w:fill="auto"/>
            <w:vAlign w:val="center"/>
            <w:hideMark/>
          </w:tcPr>
          <w:p w14:paraId="1A9F8CC6" w14:textId="315F31C5" w:rsidR="00406E38" w:rsidRPr="00406E38" w:rsidRDefault="007F352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Pr="007F3528">
              <w:rPr>
                <w:rFonts w:ascii="Book Antiqua" w:eastAsia="Times New Roman" w:hAnsi="Book Antiqua" w:cs="Arial"/>
                <w:color w:val="000000"/>
                <w:lang w:eastAsia="es-CR"/>
              </w:rPr>
              <w:t xml:space="preserve">010-2021 </w:t>
            </w:r>
            <w:r>
              <w:rPr>
                <w:rFonts w:ascii="Book Antiqua" w:eastAsia="Times New Roman" w:hAnsi="Book Antiqua" w:cs="Arial"/>
                <w:color w:val="000000"/>
                <w:lang w:eastAsia="es-CR"/>
              </w:rPr>
              <w:t xml:space="preserve">del </w:t>
            </w:r>
            <w:r w:rsidRPr="007F3528">
              <w:rPr>
                <w:rFonts w:ascii="Book Antiqua" w:eastAsia="Times New Roman" w:hAnsi="Book Antiqua" w:cs="Arial"/>
                <w:color w:val="000000"/>
                <w:lang w:eastAsia="es-CR"/>
              </w:rPr>
              <w:t>04</w:t>
            </w:r>
            <w:r>
              <w:rPr>
                <w:rFonts w:ascii="Book Antiqua" w:eastAsia="Times New Roman" w:hAnsi="Book Antiqua" w:cs="Arial"/>
                <w:color w:val="000000"/>
                <w:lang w:eastAsia="es-CR"/>
              </w:rPr>
              <w:t>-02-</w:t>
            </w:r>
            <w:r w:rsidRPr="007F3528">
              <w:rPr>
                <w:rFonts w:ascii="Book Antiqua" w:eastAsia="Times New Roman" w:hAnsi="Book Antiqua" w:cs="Arial"/>
                <w:color w:val="000000"/>
                <w:lang w:eastAsia="es-CR"/>
              </w:rPr>
              <w:t>2021</w:t>
            </w:r>
            <w:r>
              <w:rPr>
                <w:rFonts w:ascii="Book Antiqua" w:eastAsia="Times New Roman" w:hAnsi="Book Antiqua" w:cs="Arial"/>
                <w:color w:val="000000"/>
                <w:lang w:eastAsia="es-CR"/>
              </w:rPr>
              <w:t>, artículo</w:t>
            </w:r>
            <w:r w:rsidRPr="007F3528">
              <w:rPr>
                <w:rFonts w:ascii="Book Antiqua" w:eastAsia="Times New Roman" w:hAnsi="Book Antiqua" w:cs="Arial"/>
                <w:color w:val="000000"/>
                <w:lang w:eastAsia="es-CR"/>
              </w:rPr>
              <w:t xml:space="preserve"> LII</w:t>
            </w:r>
            <w:r w:rsidR="00406E38" w:rsidRPr="00406E38">
              <w:rPr>
                <w:rFonts w:ascii="Book Antiqua" w:eastAsia="Times New Roman" w:hAnsi="Book Antiqua" w:cs="Arial"/>
                <w:color w:val="000000"/>
                <w:lang w:eastAsia="es-CR"/>
              </w:rPr>
              <w:t> </w:t>
            </w:r>
          </w:p>
        </w:tc>
      </w:tr>
      <w:tr w:rsidR="00406E38" w:rsidRPr="00406E38" w14:paraId="362A8436" w14:textId="77777777" w:rsidTr="00306313">
        <w:trPr>
          <w:trHeight w:val="450"/>
          <w:jc w:val="center"/>
        </w:trPr>
        <w:tc>
          <w:tcPr>
            <w:tcW w:w="3119" w:type="dxa"/>
            <w:shd w:val="clear" w:color="auto" w:fill="auto"/>
            <w:vAlign w:val="center"/>
            <w:hideMark/>
          </w:tcPr>
          <w:p w14:paraId="69447610"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Naranjo</w:t>
            </w:r>
          </w:p>
        </w:tc>
        <w:tc>
          <w:tcPr>
            <w:tcW w:w="2627" w:type="dxa"/>
            <w:shd w:val="clear" w:color="auto" w:fill="auto"/>
            <w:vAlign w:val="center"/>
            <w:hideMark/>
          </w:tcPr>
          <w:p w14:paraId="0272374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1680-PLA-MI-2020</w:t>
            </w:r>
          </w:p>
        </w:tc>
        <w:tc>
          <w:tcPr>
            <w:tcW w:w="2508" w:type="dxa"/>
            <w:shd w:val="clear" w:color="auto" w:fill="auto"/>
            <w:vAlign w:val="center"/>
            <w:hideMark/>
          </w:tcPr>
          <w:p w14:paraId="72BF751C"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1865-PLA-MI-2020</w:t>
            </w:r>
          </w:p>
        </w:tc>
        <w:tc>
          <w:tcPr>
            <w:tcW w:w="2541" w:type="dxa"/>
            <w:shd w:val="clear" w:color="auto" w:fill="auto"/>
            <w:vAlign w:val="center"/>
            <w:hideMark/>
          </w:tcPr>
          <w:p w14:paraId="35FC969B" w14:textId="415366D4"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w:t>
            </w:r>
            <w:r w:rsidR="00732B4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XLVII</w:t>
            </w:r>
          </w:p>
        </w:tc>
      </w:tr>
      <w:tr w:rsidR="00406E38" w:rsidRPr="00406E38" w14:paraId="27A64D68" w14:textId="77777777" w:rsidTr="00306313">
        <w:trPr>
          <w:trHeight w:val="450"/>
          <w:jc w:val="center"/>
        </w:trPr>
        <w:tc>
          <w:tcPr>
            <w:tcW w:w="3119" w:type="dxa"/>
            <w:shd w:val="clear" w:color="auto" w:fill="auto"/>
            <w:vAlign w:val="center"/>
            <w:hideMark/>
          </w:tcPr>
          <w:p w14:paraId="181EE58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Palmares</w:t>
            </w:r>
          </w:p>
        </w:tc>
        <w:tc>
          <w:tcPr>
            <w:tcW w:w="2627" w:type="dxa"/>
            <w:shd w:val="clear" w:color="auto" w:fill="auto"/>
            <w:vAlign w:val="center"/>
            <w:hideMark/>
          </w:tcPr>
          <w:p w14:paraId="74586B0B"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1662-PLA-MI-2020</w:t>
            </w:r>
          </w:p>
        </w:tc>
        <w:tc>
          <w:tcPr>
            <w:tcW w:w="2508" w:type="dxa"/>
            <w:shd w:val="clear" w:color="auto" w:fill="auto"/>
            <w:vAlign w:val="center"/>
            <w:hideMark/>
          </w:tcPr>
          <w:p w14:paraId="7F0F80A0"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1883-PLA-EV-2020</w:t>
            </w:r>
          </w:p>
        </w:tc>
        <w:tc>
          <w:tcPr>
            <w:tcW w:w="2541" w:type="dxa"/>
            <w:shd w:val="clear" w:color="auto" w:fill="auto"/>
            <w:vAlign w:val="center"/>
            <w:hideMark/>
          </w:tcPr>
          <w:p w14:paraId="10C66F3E" w14:textId="401A05A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w:t>
            </w:r>
            <w:r w:rsidR="00732B4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w:t>
            </w:r>
          </w:p>
        </w:tc>
      </w:tr>
      <w:tr w:rsidR="00406E38" w:rsidRPr="00406E38" w14:paraId="30A47D80" w14:textId="77777777" w:rsidTr="00306313">
        <w:trPr>
          <w:trHeight w:val="651"/>
          <w:jc w:val="center"/>
        </w:trPr>
        <w:tc>
          <w:tcPr>
            <w:tcW w:w="3119" w:type="dxa"/>
            <w:shd w:val="clear" w:color="auto" w:fill="auto"/>
            <w:vAlign w:val="center"/>
            <w:hideMark/>
          </w:tcPr>
          <w:p w14:paraId="31F444E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Puriscal</w:t>
            </w:r>
          </w:p>
        </w:tc>
        <w:tc>
          <w:tcPr>
            <w:tcW w:w="2627" w:type="dxa"/>
            <w:shd w:val="clear" w:color="auto" w:fill="auto"/>
            <w:vAlign w:val="center"/>
            <w:hideMark/>
          </w:tcPr>
          <w:p w14:paraId="03034B2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                                                                                                                       1669-PLA-EV-2020</w:t>
            </w:r>
          </w:p>
        </w:tc>
        <w:tc>
          <w:tcPr>
            <w:tcW w:w="2508" w:type="dxa"/>
            <w:shd w:val="clear" w:color="auto" w:fill="auto"/>
            <w:vAlign w:val="center"/>
            <w:hideMark/>
          </w:tcPr>
          <w:p w14:paraId="3065C6D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1889-PLA-EV-2020</w:t>
            </w:r>
          </w:p>
        </w:tc>
        <w:tc>
          <w:tcPr>
            <w:tcW w:w="2541" w:type="dxa"/>
            <w:shd w:val="clear" w:color="auto" w:fill="auto"/>
            <w:vAlign w:val="center"/>
            <w:hideMark/>
          </w:tcPr>
          <w:p w14:paraId="4B8B0DFD"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15-12-2020, artículo XLVI</w:t>
            </w:r>
          </w:p>
        </w:tc>
      </w:tr>
      <w:tr w:rsidR="00406E38" w:rsidRPr="00406E38" w14:paraId="0FBF0FD3" w14:textId="77777777" w:rsidTr="00306313">
        <w:trPr>
          <w:trHeight w:val="450"/>
          <w:jc w:val="center"/>
        </w:trPr>
        <w:tc>
          <w:tcPr>
            <w:tcW w:w="3119" w:type="dxa"/>
            <w:shd w:val="clear" w:color="auto" w:fill="auto"/>
            <w:vAlign w:val="center"/>
            <w:hideMark/>
          </w:tcPr>
          <w:p w14:paraId="316F622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Jiménez</w:t>
            </w:r>
          </w:p>
        </w:tc>
        <w:tc>
          <w:tcPr>
            <w:tcW w:w="2627" w:type="dxa"/>
            <w:shd w:val="clear" w:color="auto" w:fill="auto"/>
            <w:vAlign w:val="center"/>
            <w:hideMark/>
          </w:tcPr>
          <w:p w14:paraId="1914628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1723-PLA-EV-2020</w:t>
            </w:r>
          </w:p>
        </w:tc>
        <w:tc>
          <w:tcPr>
            <w:tcW w:w="2508" w:type="dxa"/>
            <w:shd w:val="clear" w:color="auto" w:fill="auto"/>
            <w:vAlign w:val="center"/>
            <w:hideMark/>
          </w:tcPr>
          <w:p w14:paraId="3E14CD6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1855-PLA-EV-2020</w:t>
            </w:r>
          </w:p>
        </w:tc>
        <w:tc>
          <w:tcPr>
            <w:tcW w:w="2541" w:type="dxa"/>
            <w:shd w:val="clear" w:color="auto" w:fill="auto"/>
            <w:vAlign w:val="center"/>
            <w:hideMark/>
          </w:tcPr>
          <w:p w14:paraId="3F17D123" w14:textId="15ED6D5F"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115-2020, del 1-12-</w:t>
            </w:r>
            <w:r w:rsidR="00732B4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XLIX</w:t>
            </w:r>
          </w:p>
        </w:tc>
      </w:tr>
      <w:tr w:rsidR="00406E38" w:rsidRPr="00406E38" w14:paraId="4C862FA6" w14:textId="77777777" w:rsidTr="00306313">
        <w:trPr>
          <w:trHeight w:val="731"/>
          <w:jc w:val="center"/>
        </w:trPr>
        <w:tc>
          <w:tcPr>
            <w:tcW w:w="3119" w:type="dxa"/>
            <w:shd w:val="clear" w:color="auto" w:fill="auto"/>
            <w:vAlign w:val="center"/>
            <w:hideMark/>
          </w:tcPr>
          <w:p w14:paraId="2FCEB88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lastRenderedPageBreak/>
              <w:t>Juzgado Contravencional Quepos</w:t>
            </w:r>
          </w:p>
        </w:tc>
        <w:tc>
          <w:tcPr>
            <w:tcW w:w="2627" w:type="dxa"/>
            <w:shd w:val="clear" w:color="auto" w:fill="auto"/>
            <w:vAlign w:val="center"/>
            <w:hideMark/>
          </w:tcPr>
          <w:p w14:paraId="288A6A6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1677-PLA-EV-2020</w:t>
            </w:r>
          </w:p>
        </w:tc>
        <w:tc>
          <w:tcPr>
            <w:tcW w:w="2508" w:type="dxa"/>
            <w:shd w:val="clear" w:color="auto" w:fill="auto"/>
            <w:vAlign w:val="center"/>
            <w:hideMark/>
          </w:tcPr>
          <w:p w14:paraId="6120332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1979-PLA-EV-2020</w:t>
            </w:r>
          </w:p>
        </w:tc>
        <w:tc>
          <w:tcPr>
            <w:tcW w:w="2541" w:type="dxa"/>
            <w:shd w:val="clear" w:color="auto" w:fill="auto"/>
            <w:vAlign w:val="center"/>
            <w:hideMark/>
          </w:tcPr>
          <w:p w14:paraId="2B573B2E" w14:textId="03C701E3"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w:t>
            </w:r>
            <w:r w:rsidR="00732B4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XLIX</w:t>
            </w:r>
          </w:p>
        </w:tc>
      </w:tr>
      <w:tr w:rsidR="00406E38" w:rsidRPr="00406E38" w14:paraId="6D0CFDEB" w14:textId="77777777" w:rsidTr="00306313">
        <w:trPr>
          <w:trHeight w:val="450"/>
          <w:jc w:val="center"/>
        </w:trPr>
        <w:tc>
          <w:tcPr>
            <w:tcW w:w="3119" w:type="dxa"/>
            <w:shd w:val="clear" w:color="auto" w:fill="auto"/>
            <w:vAlign w:val="center"/>
            <w:hideMark/>
          </w:tcPr>
          <w:p w14:paraId="52DEC84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Hojancha</w:t>
            </w:r>
          </w:p>
        </w:tc>
        <w:tc>
          <w:tcPr>
            <w:tcW w:w="2627" w:type="dxa"/>
            <w:shd w:val="clear" w:color="auto" w:fill="auto"/>
            <w:vAlign w:val="center"/>
            <w:hideMark/>
          </w:tcPr>
          <w:p w14:paraId="47B5FE8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1722-PLA-EV-2020</w:t>
            </w:r>
          </w:p>
        </w:tc>
        <w:tc>
          <w:tcPr>
            <w:tcW w:w="2508" w:type="dxa"/>
            <w:shd w:val="clear" w:color="auto" w:fill="auto"/>
            <w:vAlign w:val="center"/>
            <w:hideMark/>
          </w:tcPr>
          <w:p w14:paraId="2BF20D0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1845-PLA-EV-2020</w:t>
            </w:r>
          </w:p>
        </w:tc>
        <w:tc>
          <w:tcPr>
            <w:tcW w:w="2541" w:type="dxa"/>
            <w:shd w:val="clear" w:color="auto" w:fill="auto"/>
            <w:vAlign w:val="center"/>
            <w:hideMark/>
          </w:tcPr>
          <w:p w14:paraId="7FEAC824" w14:textId="6CBA5F8E"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116-2020 del 3-12-2020,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XXXVIII</w:t>
            </w:r>
          </w:p>
        </w:tc>
      </w:tr>
      <w:tr w:rsidR="00406E38" w:rsidRPr="00406E38" w14:paraId="4DCC8BC8" w14:textId="77777777" w:rsidTr="00306313">
        <w:trPr>
          <w:trHeight w:val="450"/>
          <w:jc w:val="center"/>
        </w:trPr>
        <w:tc>
          <w:tcPr>
            <w:tcW w:w="3119" w:type="dxa"/>
            <w:shd w:val="clear" w:color="auto" w:fill="auto"/>
            <w:vAlign w:val="center"/>
            <w:hideMark/>
          </w:tcPr>
          <w:p w14:paraId="26760F7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Alvarado</w:t>
            </w:r>
          </w:p>
        </w:tc>
        <w:tc>
          <w:tcPr>
            <w:tcW w:w="2627" w:type="dxa"/>
            <w:shd w:val="clear" w:color="auto" w:fill="auto"/>
            <w:vAlign w:val="center"/>
            <w:hideMark/>
          </w:tcPr>
          <w:p w14:paraId="1A3D16A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1726-PLA-EV-2020</w:t>
            </w:r>
          </w:p>
        </w:tc>
        <w:tc>
          <w:tcPr>
            <w:tcW w:w="2508" w:type="dxa"/>
            <w:shd w:val="clear" w:color="auto" w:fill="auto"/>
            <w:vAlign w:val="center"/>
            <w:hideMark/>
          </w:tcPr>
          <w:p w14:paraId="349A381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1876-PLA-EV-2020</w:t>
            </w:r>
          </w:p>
        </w:tc>
        <w:tc>
          <w:tcPr>
            <w:tcW w:w="2541" w:type="dxa"/>
            <w:shd w:val="clear" w:color="auto" w:fill="auto"/>
            <w:vAlign w:val="center"/>
            <w:hideMark/>
          </w:tcPr>
          <w:p w14:paraId="1B66B222"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118-2020 del 10-12-2020, artículo LVI</w:t>
            </w:r>
          </w:p>
        </w:tc>
      </w:tr>
      <w:tr w:rsidR="00406E38" w:rsidRPr="00406E38" w14:paraId="514F4DDB" w14:textId="77777777" w:rsidTr="00306313">
        <w:trPr>
          <w:trHeight w:val="828"/>
          <w:jc w:val="center"/>
        </w:trPr>
        <w:tc>
          <w:tcPr>
            <w:tcW w:w="3119" w:type="dxa"/>
            <w:shd w:val="clear" w:color="auto" w:fill="auto"/>
            <w:vAlign w:val="center"/>
            <w:hideMark/>
          </w:tcPr>
          <w:p w14:paraId="3B1B51CC"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Hatillo</w:t>
            </w:r>
          </w:p>
        </w:tc>
        <w:tc>
          <w:tcPr>
            <w:tcW w:w="2627" w:type="dxa"/>
            <w:shd w:val="clear" w:color="auto" w:fill="auto"/>
            <w:vAlign w:val="center"/>
            <w:hideMark/>
          </w:tcPr>
          <w:p w14:paraId="221DC64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1685-PLA-EV-2020</w:t>
            </w:r>
          </w:p>
        </w:tc>
        <w:tc>
          <w:tcPr>
            <w:tcW w:w="2508" w:type="dxa"/>
            <w:shd w:val="clear" w:color="auto" w:fill="auto"/>
            <w:vAlign w:val="center"/>
            <w:hideMark/>
          </w:tcPr>
          <w:p w14:paraId="6B4CF42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1882-PLA-EV-2020</w:t>
            </w:r>
          </w:p>
        </w:tc>
        <w:tc>
          <w:tcPr>
            <w:tcW w:w="2541" w:type="dxa"/>
            <w:shd w:val="clear" w:color="auto" w:fill="auto"/>
            <w:vAlign w:val="center"/>
            <w:hideMark/>
          </w:tcPr>
          <w:p w14:paraId="023F4BE5"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15-12-2020, artículo LVI</w:t>
            </w:r>
          </w:p>
        </w:tc>
      </w:tr>
      <w:tr w:rsidR="00406E38" w:rsidRPr="00406E38" w14:paraId="2D80E7D7" w14:textId="77777777" w:rsidTr="00306313">
        <w:trPr>
          <w:trHeight w:val="300"/>
          <w:jc w:val="center"/>
        </w:trPr>
        <w:tc>
          <w:tcPr>
            <w:tcW w:w="3119" w:type="dxa"/>
            <w:shd w:val="clear" w:color="auto" w:fill="auto"/>
            <w:vAlign w:val="center"/>
            <w:hideMark/>
          </w:tcPr>
          <w:p w14:paraId="6A6AB734"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San Sebastián</w:t>
            </w:r>
          </w:p>
        </w:tc>
        <w:tc>
          <w:tcPr>
            <w:tcW w:w="2627" w:type="dxa"/>
            <w:shd w:val="clear" w:color="auto" w:fill="auto"/>
            <w:vAlign w:val="center"/>
            <w:hideMark/>
          </w:tcPr>
          <w:p w14:paraId="1B034545"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1736-PLA-MI-2020</w:t>
            </w:r>
          </w:p>
        </w:tc>
        <w:tc>
          <w:tcPr>
            <w:tcW w:w="2508" w:type="dxa"/>
            <w:shd w:val="clear" w:color="auto" w:fill="auto"/>
            <w:vAlign w:val="center"/>
            <w:hideMark/>
          </w:tcPr>
          <w:p w14:paraId="678539D0" w14:textId="16BFA0A7" w:rsidR="00406E38" w:rsidRPr="00406E38" w:rsidRDefault="00732B48" w:rsidP="00406E38">
            <w:pPr>
              <w:spacing w:after="0" w:line="240" w:lineRule="auto"/>
              <w:jc w:val="center"/>
              <w:rPr>
                <w:rFonts w:ascii="Book Antiqua" w:eastAsia="Times New Roman" w:hAnsi="Book Antiqua" w:cs="Arial"/>
                <w:color w:val="000000"/>
                <w:lang w:eastAsia="es-CR"/>
              </w:rPr>
            </w:pPr>
            <w:r w:rsidRPr="00732B48">
              <w:rPr>
                <w:rFonts w:ascii="Book Antiqua" w:eastAsia="Times New Roman" w:hAnsi="Book Antiqua" w:cs="Arial"/>
                <w:color w:val="000000"/>
                <w:lang w:eastAsia="es-CR"/>
              </w:rPr>
              <w:t>419-PLA-MI-2021</w:t>
            </w:r>
            <w:r w:rsidR="00406E38" w:rsidRPr="00406E38">
              <w:rPr>
                <w:rFonts w:ascii="Book Antiqua" w:eastAsia="Times New Roman" w:hAnsi="Book Antiqua" w:cs="Arial"/>
                <w:color w:val="000000"/>
                <w:lang w:eastAsia="es-CR"/>
              </w:rPr>
              <w:t> </w:t>
            </w:r>
          </w:p>
        </w:tc>
        <w:tc>
          <w:tcPr>
            <w:tcW w:w="2541" w:type="dxa"/>
            <w:shd w:val="clear" w:color="auto" w:fill="auto"/>
            <w:vAlign w:val="center"/>
            <w:hideMark/>
          </w:tcPr>
          <w:p w14:paraId="7D07C0EB" w14:textId="0197A7B1" w:rsidR="00406E38" w:rsidRPr="00406E38" w:rsidRDefault="00732B4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w:t>
            </w:r>
            <w:r w:rsidRPr="00732B48">
              <w:rPr>
                <w:rFonts w:ascii="Book Antiqua" w:eastAsia="Times New Roman" w:hAnsi="Book Antiqua" w:cs="Arial"/>
                <w:color w:val="000000"/>
                <w:lang w:eastAsia="es-CR"/>
              </w:rPr>
              <w:t xml:space="preserve">esión 33-2021 </w:t>
            </w:r>
            <w:r>
              <w:rPr>
                <w:rFonts w:ascii="Book Antiqua" w:eastAsia="Times New Roman" w:hAnsi="Book Antiqua" w:cs="Arial"/>
                <w:color w:val="000000"/>
                <w:lang w:eastAsia="es-CR"/>
              </w:rPr>
              <w:t>d</w:t>
            </w:r>
            <w:r w:rsidRPr="00732B48">
              <w:rPr>
                <w:rFonts w:ascii="Book Antiqua" w:eastAsia="Times New Roman" w:hAnsi="Book Antiqua" w:cs="Arial"/>
                <w:color w:val="000000"/>
                <w:lang w:eastAsia="es-CR"/>
              </w:rPr>
              <w:t xml:space="preserve">el 27 </w:t>
            </w:r>
            <w:r>
              <w:rPr>
                <w:rFonts w:ascii="Book Antiqua" w:eastAsia="Times New Roman" w:hAnsi="Book Antiqua" w:cs="Arial"/>
                <w:color w:val="000000"/>
                <w:lang w:eastAsia="es-CR"/>
              </w:rPr>
              <w:t>-04-</w:t>
            </w:r>
            <w:r w:rsidRPr="00732B48">
              <w:rPr>
                <w:rFonts w:ascii="Book Antiqua" w:eastAsia="Times New Roman" w:hAnsi="Book Antiqua" w:cs="Arial"/>
                <w:color w:val="000000"/>
                <w:lang w:eastAsia="es-CR"/>
              </w:rPr>
              <w:t xml:space="preserve">2021, </w:t>
            </w:r>
            <w:r>
              <w:rPr>
                <w:rFonts w:ascii="Book Antiqua" w:eastAsia="Times New Roman" w:hAnsi="Book Antiqua" w:cs="Arial"/>
                <w:color w:val="000000"/>
                <w:lang w:eastAsia="es-CR"/>
              </w:rPr>
              <w:t xml:space="preserve">artículo </w:t>
            </w:r>
            <w:r w:rsidRPr="00732B48">
              <w:rPr>
                <w:rFonts w:ascii="Book Antiqua" w:eastAsia="Times New Roman" w:hAnsi="Book Antiqua" w:cs="Arial"/>
                <w:color w:val="000000"/>
                <w:lang w:eastAsia="es-CR"/>
              </w:rPr>
              <w:t>XXXV</w:t>
            </w:r>
            <w:r w:rsidR="00406E38" w:rsidRPr="00406E38">
              <w:rPr>
                <w:rFonts w:ascii="Book Antiqua" w:eastAsia="Times New Roman" w:hAnsi="Book Antiqua" w:cs="Arial"/>
                <w:color w:val="000000"/>
                <w:lang w:eastAsia="es-CR"/>
              </w:rPr>
              <w:t> </w:t>
            </w:r>
          </w:p>
        </w:tc>
      </w:tr>
      <w:tr w:rsidR="00406E38" w:rsidRPr="00406E38" w14:paraId="6F39111C" w14:textId="77777777" w:rsidTr="00306313">
        <w:trPr>
          <w:trHeight w:val="612"/>
          <w:jc w:val="center"/>
        </w:trPr>
        <w:tc>
          <w:tcPr>
            <w:tcW w:w="3119" w:type="dxa"/>
            <w:shd w:val="clear" w:color="auto" w:fill="auto"/>
            <w:vAlign w:val="center"/>
            <w:hideMark/>
          </w:tcPr>
          <w:p w14:paraId="454AEF4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San Rafael</w:t>
            </w:r>
          </w:p>
        </w:tc>
        <w:tc>
          <w:tcPr>
            <w:tcW w:w="2627" w:type="dxa"/>
            <w:shd w:val="clear" w:color="auto" w:fill="auto"/>
            <w:vAlign w:val="center"/>
            <w:hideMark/>
          </w:tcPr>
          <w:p w14:paraId="66CB791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1727-PLA-EV-2020</w:t>
            </w:r>
          </w:p>
        </w:tc>
        <w:tc>
          <w:tcPr>
            <w:tcW w:w="2508" w:type="dxa"/>
            <w:shd w:val="clear" w:color="auto" w:fill="auto"/>
            <w:vAlign w:val="center"/>
            <w:hideMark/>
          </w:tcPr>
          <w:p w14:paraId="26F288C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1856-PLA-EV-2020</w:t>
            </w:r>
          </w:p>
        </w:tc>
        <w:tc>
          <w:tcPr>
            <w:tcW w:w="2541" w:type="dxa"/>
            <w:shd w:val="clear" w:color="auto" w:fill="auto"/>
            <w:vAlign w:val="center"/>
            <w:hideMark/>
          </w:tcPr>
          <w:p w14:paraId="4176376C"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118-2020 del 10-12-2020, artículo LIX</w:t>
            </w:r>
          </w:p>
        </w:tc>
      </w:tr>
      <w:tr w:rsidR="00406E38" w:rsidRPr="00406E38" w14:paraId="6FD49234" w14:textId="77777777" w:rsidTr="00306313">
        <w:trPr>
          <w:trHeight w:val="624"/>
          <w:jc w:val="center"/>
        </w:trPr>
        <w:tc>
          <w:tcPr>
            <w:tcW w:w="3119" w:type="dxa"/>
            <w:shd w:val="clear" w:color="auto" w:fill="auto"/>
            <w:vAlign w:val="center"/>
            <w:hideMark/>
          </w:tcPr>
          <w:p w14:paraId="7B52481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Alajuelita</w:t>
            </w:r>
          </w:p>
        </w:tc>
        <w:tc>
          <w:tcPr>
            <w:tcW w:w="2627" w:type="dxa"/>
            <w:shd w:val="clear" w:color="auto" w:fill="auto"/>
            <w:vAlign w:val="center"/>
            <w:hideMark/>
          </w:tcPr>
          <w:p w14:paraId="1EA3BFC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1686-PLA-EV-2020</w:t>
            </w:r>
          </w:p>
        </w:tc>
        <w:tc>
          <w:tcPr>
            <w:tcW w:w="2508" w:type="dxa"/>
            <w:shd w:val="clear" w:color="auto" w:fill="auto"/>
            <w:vAlign w:val="center"/>
            <w:hideMark/>
          </w:tcPr>
          <w:p w14:paraId="0B00AB5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1879-PLA-EV-2020</w:t>
            </w:r>
          </w:p>
        </w:tc>
        <w:tc>
          <w:tcPr>
            <w:tcW w:w="2541" w:type="dxa"/>
            <w:shd w:val="clear" w:color="auto" w:fill="auto"/>
            <w:vAlign w:val="center"/>
            <w:hideMark/>
          </w:tcPr>
          <w:p w14:paraId="33B98949"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118-2020 del 10-12-2020, artículo LXII</w:t>
            </w:r>
          </w:p>
        </w:tc>
      </w:tr>
      <w:tr w:rsidR="00406E38" w:rsidRPr="00406E38" w14:paraId="0A222BA0" w14:textId="77777777" w:rsidTr="00306313">
        <w:trPr>
          <w:trHeight w:val="689"/>
          <w:jc w:val="center"/>
        </w:trPr>
        <w:tc>
          <w:tcPr>
            <w:tcW w:w="3119" w:type="dxa"/>
            <w:shd w:val="clear" w:color="auto" w:fill="auto"/>
            <w:vAlign w:val="center"/>
            <w:hideMark/>
          </w:tcPr>
          <w:p w14:paraId="48F9C92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Aserrí</w:t>
            </w:r>
          </w:p>
        </w:tc>
        <w:tc>
          <w:tcPr>
            <w:tcW w:w="2627" w:type="dxa"/>
            <w:shd w:val="clear" w:color="auto" w:fill="auto"/>
            <w:vAlign w:val="center"/>
            <w:hideMark/>
          </w:tcPr>
          <w:p w14:paraId="31A7BFF4"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1738-PLA-MI-2020</w:t>
            </w:r>
          </w:p>
        </w:tc>
        <w:tc>
          <w:tcPr>
            <w:tcW w:w="2508" w:type="dxa"/>
            <w:shd w:val="clear" w:color="auto" w:fill="auto"/>
            <w:vAlign w:val="center"/>
            <w:hideMark/>
          </w:tcPr>
          <w:p w14:paraId="0B7BD01B"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1853-PLA-MI-2020</w:t>
            </w:r>
          </w:p>
        </w:tc>
        <w:tc>
          <w:tcPr>
            <w:tcW w:w="2541" w:type="dxa"/>
            <w:shd w:val="clear" w:color="auto" w:fill="auto"/>
            <w:vAlign w:val="center"/>
            <w:hideMark/>
          </w:tcPr>
          <w:p w14:paraId="27EB54D5" w14:textId="1F46A37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32B48">
              <w:rPr>
                <w:rFonts w:ascii="Book Antiqua" w:eastAsia="Times New Roman" w:hAnsi="Book Antiqua" w:cs="Arial"/>
                <w:color w:val="000000"/>
                <w:lang w:eastAsia="es-CR"/>
              </w:rPr>
              <w:t>S</w:t>
            </w:r>
            <w:r w:rsidR="00732B48" w:rsidRPr="00732B48">
              <w:rPr>
                <w:rFonts w:ascii="Book Antiqua" w:eastAsia="Times New Roman" w:hAnsi="Book Antiqua" w:cs="Arial"/>
                <w:color w:val="000000"/>
                <w:lang w:eastAsia="es-CR"/>
              </w:rPr>
              <w:t xml:space="preserve">esión 118-2020 </w:t>
            </w:r>
            <w:r w:rsidR="00732B48">
              <w:rPr>
                <w:rFonts w:ascii="Book Antiqua" w:eastAsia="Times New Roman" w:hAnsi="Book Antiqua" w:cs="Arial"/>
                <w:color w:val="000000"/>
                <w:lang w:eastAsia="es-CR"/>
              </w:rPr>
              <w:t>d</w:t>
            </w:r>
            <w:r w:rsidR="00732B48" w:rsidRPr="00732B48">
              <w:rPr>
                <w:rFonts w:ascii="Book Antiqua" w:eastAsia="Times New Roman" w:hAnsi="Book Antiqua" w:cs="Arial"/>
                <w:color w:val="000000"/>
                <w:lang w:eastAsia="es-CR"/>
              </w:rPr>
              <w:t>el 10</w:t>
            </w:r>
            <w:r w:rsidR="00732B48">
              <w:rPr>
                <w:rFonts w:ascii="Book Antiqua" w:eastAsia="Times New Roman" w:hAnsi="Book Antiqua" w:cs="Arial"/>
                <w:color w:val="000000"/>
                <w:lang w:eastAsia="es-CR"/>
              </w:rPr>
              <w:t>-12-</w:t>
            </w:r>
            <w:r w:rsidR="00732B48" w:rsidRPr="00732B48">
              <w:rPr>
                <w:rFonts w:ascii="Book Antiqua" w:eastAsia="Times New Roman" w:hAnsi="Book Antiqua" w:cs="Arial"/>
                <w:color w:val="000000"/>
                <w:lang w:eastAsia="es-CR"/>
              </w:rPr>
              <w:t xml:space="preserve">2020, </w:t>
            </w:r>
            <w:r w:rsidR="00732B48">
              <w:rPr>
                <w:rFonts w:ascii="Book Antiqua" w:eastAsia="Times New Roman" w:hAnsi="Book Antiqua" w:cs="Arial"/>
                <w:color w:val="000000"/>
                <w:lang w:eastAsia="es-CR"/>
              </w:rPr>
              <w:t>artículo</w:t>
            </w:r>
            <w:r w:rsidR="00732B48" w:rsidRPr="00732B48">
              <w:rPr>
                <w:rFonts w:ascii="Book Antiqua" w:eastAsia="Times New Roman" w:hAnsi="Book Antiqua" w:cs="Arial"/>
                <w:color w:val="000000"/>
                <w:lang w:eastAsia="es-CR"/>
              </w:rPr>
              <w:t xml:space="preserve"> LV</w:t>
            </w:r>
          </w:p>
        </w:tc>
      </w:tr>
      <w:tr w:rsidR="00406E38" w:rsidRPr="00406E38" w14:paraId="3325A1CE" w14:textId="77777777" w:rsidTr="00306313">
        <w:trPr>
          <w:trHeight w:val="648"/>
          <w:jc w:val="center"/>
        </w:trPr>
        <w:tc>
          <w:tcPr>
            <w:tcW w:w="3119" w:type="dxa"/>
            <w:shd w:val="clear" w:color="auto" w:fill="auto"/>
            <w:vAlign w:val="center"/>
            <w:hideMark/>
          </w:tcPr>
          <w:p w14:paraId="5BF04E1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Acosta</w:t>
            </w:r>
          </w:p>
        </w:tc>
        <w:tc>
          <w:tcPr>
            <w:tcW w:w="2627" w:type="dxa"/>
            <w:shd w:val="clear" w:color="auto" w:fill="auto"/>
            <w:vAlign w:val="center"/>
            <w:hideMark/>
          </w:tcPr>
          <w:p w14:paraId="2CF0FF08"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1745-PLA-MI-2020</w:t>
            </w:r>
          </w:p>
        </w:tc>
        <w:tc>
          <w:tcPr>
            <w:tcW w:w="2508" w:type="dxa"/>
            <w:shd w:val="clear" w:color="auto" w:fill="auto"/>
            <w:vAlign w:val="center"/>
            <w:hideMark/>
          </w:tcPr>
          <w:p w14:paraId="3474A99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197-PLA-MI-2021 </w:t>
            </w:r>
          </w:p>
        </w:tc>
        <w:tc>
          <w:tcPr>
            <w:tcW w:w="2541" w:type="dxa"/>
            <w:shd w:val="clear" w:color="auto" w:fill="auto"/>
            <w:vAlign w:val="center"/>
            <w:hideMark/>
          </w:tcPr>
          <w:p w14:paraId="7A9B4EA9" w14:textId="40292A3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16-2021 del 25-</w:t>
            </w:r>
            <w:r w:rsidR="00732B4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XLXL</w:t>
            </w:r>
          </w:p>
        </w:tc>
      </w:tr>
      <w:tr w:rsidR="00406E38" w:rsidRPr="00406E38" w14:paraId="1BD9FCC0" w14:textId="77777777" w:rsidTr="00306313">
        <w:trPr>
          <w:trHeight w:val="686"/>
          <w:jc w:val="center"/>
        </w:trPr>
        <w:tc>
          <w:tcPr>
            <w:tcW w:w="3119" w:type="dxa"/>
            <w:shd w:val="clear" w:color="auto" w:fill="auto"/>
            <w:vAlign w:val="center"/>
            <w:hideMark/>
          </w:tcPr>
          <w:p w14:paraId="45BD31C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Upala</w:t>
            </w:r>
          </w:p>
        </w:tc>
        <w:tc>
          <w:tcPr>
            <w:tcW w:w="2627" w:type="dxa"/>
            <w:shd w:val="clear" w:color="auto" w:fill="auto"/>
            <w:vAlign w:val="center"/>
            <w:hideMark/>
          </w:tcPr>
          <w:p w14:paraId="062B864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1675-PLA-EV-2020</w:t>
            </w:r>
          </w:p>
        </w:tc>
        <w:tc>
          <w:tcPr>
            <w:tcW w:w="2508" w:type="dxa"/>
            <w:shd w:val="clear" w:color="auto" w:fill="auto"/>
            <w:vAlign w:val="center"/>
            <w:hideMark/>
          </w:tcPr>
          <w:p w14:paraId="4EC9E86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55-PLA-EV-2021</w:t>
            </w:r>
          </w:p>
        </w:tc>
        <w:tc>
          <w:tcPr>
            <w:tcW w:w="2541" w:type="dxa"/>
            <w:shd w:val="clear" w:color="auto" w:fill="auto"/>
            <w:vAlign w:val="center"/>
            <w:hideMark/>
          </w:tcPr>
          <w:p w14:paraId="32E52570" w14:textId="75E3D32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w:t>
            </w:r>
            <w:r w:rsidR="00732B4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XXXIII</w:t>
            </w:r>
          </w:p>
        </w:tc>
      </w:tr>
      <w:tr w:rsidR="00406E38" w:rsidRPr="00406E38" w14:paraId="5FE9B96D" w14:textId="77777777" w:rsidTr="00306313">
        <w:trPr>
          <w:trHeight w:val="701"/>
          <w:jc w:val="center"/>
        </w:trPr>
        <w:tc>
          <w:tcPr>
            <w:tcW w:w="3119" w:type="dxa"/>
            <w:shd w:val="clear" w:color="auto" w:fill="auto"/>
            <w:vAlign w:val="center"/>
            <w:hideMark/>
          </w:tcPr>
          <w:p w14:paraId="14C21B0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Santo Domingo</w:t>
            </w:r>
          </w:p>
        </w:tc>
        <w:tc>
          <w:tcPr>
            <w:tcW w:w="2627" w:type="dxa"/>
            <w:shd w:val="clear" w:color="auto" w:fill="auto"/>
            <w:vAlign w:val="center"/>
            <w:hideMark/>
          </w:tcPr>
          <w:p w14:paraId="7593CE1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1731-PLA-EV-2020</w:t>
            </w:r>
          </w:p>
        </w:tc>
        <w:tc>
          <w:tcPr>
            <w:tcW w:w="2508" w:type="dxa"/>
            <w:shd w:val="clear" w:color="auto" w:fill="auto"/>
            <w:vAlign w:val="center"/>
            <w:hideMark/>
          </w:tcPr>
          <w:p w14:paraId="4256D79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1858-PLA-EV-2020</w:t>
            </w:r>
          </w:p>
        </w:tc>
        <w:tc>
          <w:tcPr>
            <w:tcW w:w="2541" w:type="dxa"/>
            <w:shd w:val="clear" w:color="auto" w:fill="auto"/>
            <w:vAlign w:val="center"/>
            <w:hideMark/>
          </w:tcPr>
          <w:p w14:paraId="1899D0BE" w14:textId="4214FA7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118-2020 del 10-12-20, </w:t>
            </w:r>
            <w:r w:rsidR="00732B4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w:t>
            </w:r>
          </w:p>
        </w:tc>
      </w:tr>
      <w:tr w:rsidR="00406E38" w:rsidRPr="00406E38" w14:paraId="55CCC057" w14:textId="77777777" w:rsidTr="00306313">
        <w:trPr>
          <w:trHeight w:val="644"/>
          <w:jc w:val="center"/>
        </w:trPr>
        <w:tc>
          <w:tcPr>
            <w:tcW w:w="3119" w:type="dxa"/>
            <w:shd w:val="clear" w:color="auto" w:fill="auto"/>
            <w:vAlign w:val="center"/>
            <w:hideMark/>
          </w:tcPr>
          <w:p w14:paraId="247B717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Grecia</w:t>
            </w:r>
          </w:p>
        </w:tc>
        <w:tc>
          <w:tcPr>
            <w:tcW w:w="2627" w:type="dxa"/>
            <w:shd w:val="clear" w:color="auto" w:fill="auto"/>
            <w:vAlign w:val="center"/>
            <w:hideMark/>
          </w:tcPr>
          <w:p w14:paraId="2EBD17DC"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1790-PLA-MI-2020</w:t>
            </w:r>
          </w:p>
        </w:tc>
        <w:tc>
          <w:tcPr>
            <w:tcW w:w="2508" w:type="dxa"/>
            <w:shd w:val="clear" w:color="auto" w:fill="auto"/>
            <w:vAlign w:val="center"/>
            <w:hideMark/>
          </w:tcPr>
          <w:p w14:paraId="274911C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176-PLA-MI-2021</w:t>
            </w:r>
          </w:p>
        </w:tc>
        <w:tc>
          <w:tcPr>
            <w:tcW w:w="2541" w:type="dxa"/>
            <w:shd w:val="clear" w:color="auto" w:fill="auto"/>
            <w:vAlign w:val="center"/>
            <w:hideMark/>
          </w:tcPr>
          <w:p w14:paraId="393C3512" w14:textId="7FF4106C" w:rsidR="00406E38" w:rsidRPr="00406E38" w:rsidRDefault="00732B48" w:rsidP="001D0C10">
            <w:pPr>
              <w:spacing w:after="0" w:line="240" w:lineRule="auto"/>
              <w:jc w:val="both"/>
              <w:rPr>
                <w:rFonts w:ascii="Book Antiqua" w:eastAsia="Times New Roman" w:hAnsi="Book Antiqua" w:cs="Arial"/>
                <w:color w:val="000000"/>
                <w:lang w:eastAsia="es-CR"/>
              </w:rPr>
            </w:pPr>
            <w:r w:rsidRPr="00732B48">
              <w:rPr>
                <w:rFonts w:ascii="Book Antiqua" w:eastAsia="Times New Roman" w:hAnsi="Book Antiqua" w:cs="Arial"/>
                <w:color w:val="000000"/>
                <w:lang w:eastAsia="es-CR"/>
              </w:rPr>
              <w:t>Sesión 14-</w:t>
            </w:r>
            <w:r>
              <w:rPr>
                <w:rFonts w:ascii="Book Antiqua" w:eastAsia="Times New Roman" w:hAnsi="Book Antiqua" w:cs="Arial"/>
                <w:color w:val="000000"/>
                <w:lang w:eastAsia="es-CR"/>
              </w:rPr>
              <w:t>20</w:t>
            </w:r>
            <w:r w:rsidRPr="00732B48">
              <w:rPr>
                <w:rFonts w:ascii="Book Antiqua" w:eastAsia="Times New Roman" w:hAnsi="Book Antiqua" w:cs="Arial"/>
                <w:color w:val="000000"/>
                <w:lang w:eastAsia="es-CR"/>
              </w:rPr>
              <w:t xml:space="preserve">21 </w:t>
            </w:r>
            <w:r>
              <w:rPr>
                <w:rFonts w:ascii="Book Antiqua" w:eastAsia="Times New Roman" w:hAnsi="Book Antiqua" w:cs="Arial"/>
                <w:color w:val="000000"/>
                <w:lang w:eastAsia="es-CR"/>
              </w:rPr>
              <w:t>d</w:t>
            </w:r>
            <w:r w:rsidRPr="00732B48">
              <w:rPr>
                <w:rFonts w:ascii="Book Antiqua" w:eastAsia="Times New Roman" w:hAnsi="Book Antiqua" w:cs="Arial"/>
                <w:color w:val="000000"/>
                <w:lang w:eastAsia="es-CR"/>
              </w:rPr>
              <w:t>el 28</w:t>
            </w:r>
            <w:r>
              <w:rPr>
                <w:rFonts w:ascii="Book Antiqua" w:eastAsia="Times New Roman" w:hAnsi="Book Antiqua" w:cs="Arial"/>
                <w:color w:val="000000"/>
                <w:lang w:eastAsia="es-CR"/>
              </w:rPr>
              <w:t>-01-20</w:t>
            </w:r>
            <w:r w:rsidRPr="00732B48">
              <w:rPr>
                <w:rFonts w:ascii="Book Antiqua" w:eastAsia="Times New Roman" w:hAnsi="Book Antiqua" w:cs="Arial"/>
                <w:color w:val="000000"/>
                <w:lang w:eastAsia="es-CR"/>
              </w:rPr>
              <w:t>21, artículo XLII</w:t>
            </w:r>
            <w:r w:rsidR="00406E38" w:rsidRPr="00406E38">
              <w:rPr>
                <w:rFonts w:ascii="Book Antiqua" w:eastAsia="Times New Roman" w:hAnsi="Book Antiqua" w:cs="Arial"/>
                <w:color w:val="000000"/>
                <w:lang w:eastAsia="es-CR"/>
              </w:rPr>
              <w:t> </w:t>
            </w:r>
          </w:p>
        </w:tc>
      </w:tr>
      <w:tr w:rsidR="00406E38" w:rsidRPr="00406E38" w14:paraId="3635DA16" w14:textId="77777777" w:rsidTr="00306313">
        <w:trPr>
          <w:trHeight w:val="828"/>
          <w:jc w:val="center"/>
        </w:trPr>
        <w:tc>
          <w:tcPr>
            <w:tcW w:w="3119" w:type="dxa"/>
            <w:shd w:val="clear" w:color="auto" w:fill="auto"/>
            <w:vAlign w:val="center"/>
            <w:hideMark/>
          </w:tcPr>
          <w:p w14:paraId="2AFBAA6A" w14:textId="537E4E54"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 </w:t>
            </w:r>
            <w:r w:rsidR="00E85731" w:rsidRPr="00406E38">
              <w:rPr>
                <w:rFonts w:ascii="Book Antiqua" w:eastAsia="Times New Roman" w:hAnsi="Book Antiqua" w:cs="Arial"/>
                <w:color w:val="000000"/>
                <w:lang w:eastAsia="es-CR"/>
              </w:rPr>
              <w:t>Y</w:t>
            </w:r>
            <w:r w:rsidRPr="00406E38">
              <w:rPr>
                <w:rFonts w:ascii="Book Antiqua" w:eastAsia="Times New Roman" w:hAnsi="Book Antiqua" w:cs="Arial"/>
                <w:color w:val="000000"/>
                <w:lang w:eastAsia="es-CR"/>
              </w:rPr>
              <w:t xml:space="preserve"> Pens. Alimen. III Circ. Jud. Alajuela (San Ramón) </w:t>
            </w:r>
          </w:p>
        </w:tc>
        <w:tc>
          <w:tcPr>
            <w:tcW w:w="2627" w:type="dxa"/>
            <w:shd w:val="clear" w:color="auto" w:fill="auto"/>
            <w:vAlign w:val="center"/>
            <w:hideMark/>
          </w:tcPr>
          <w:p w14:paraId="13C57210"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1755-PLA-MI-2020</w:t>
            </w:r>
          </w:p>
        </w:tc>
        <w:tc>
          <w:tcPr>
            <w:tcW w:w="2508" w:type="dxa"/>
            <w:shd w:val="clear" w:color="auto" w:fill="auto"/>
            <w:vAlign w:val="center"/>
            <w:hideMark/>
          </w:tcPr>
          <w:p w14:paraId="18B58337" w14:textId="00E2F128" w:rsidR="00406E38" w:rsidRPr="00406E38" w:rsidRDefault="00732B48" w:rsidP="00406E38">
            <w:pPr>
              <w:spacing w:after="0" w:line="240" w:lineRule="auto"/>
              <w:jc w:val="center"/>
              <w:rPr>
                <w:rFonts w:ascii="Book Antiqua" w:eastAsia="Times New Roman" w:hAnsi="Book Antiqua" w:cs="Arial"/>
                <w:color w:val="000000"/>
                <w:lang w:eastAsia="es-CR"/>
              </w:rPr>
            </w:pPr>
            <w:r w:rsidRPr="00732B48">
              <w:rPr>
                <w:rFonts w:ascii="Book Antiqua" w:eastAsia="Times New Roman" w:hAnsi="Book Antiqua" w:cs="Arial"/>
                <w:color w:val="000000"/>
                <w:lang w:eastAsia="es-CR"/>
              </w:rPr>
              <w:t>418-PLA-MI-2021</w:t>
            </w:r>
          </w:p>
        </w:tc>
        <w:tc>
          <w:tcPr>
            <w:tcW w:w="2541" w:type="dxa"/>
            <w:shd w:val="clear" w:color="auto" w:fill="auto"/>
            <w:vAlign w:val="center"/>
            <w:hideMark/>
          </w:tcPr>
          <w:p w14:paraId="06779FB0" w14:textId="3A427F2A" w:rsidR="00406E38" w:rsidRPr="00406E38" w:rsidRDefault="00732B4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S</w:t>
            </w:r>
            <w:r w:rsidRPr="00732B48">
              <w:rPr>
                <w:rFonts w:ascii="Book Antiqua" w:eastAsia="Times New Roman" w:hAnsi="Book Antiqua" w:cs="Arial"/>
                <w:color w:val="000000"/>
                <w:lang w:eastAsia="es-CR"/>
              </w:rPr>
              <w:t xml:space="preserve">esión 33-2021 </w:t>
            </w:r>
            <w:r>
              <w:rPr>
                <w:rFonts w:ascii="Book Antiqua" w:eastAsia="Times New Roman" w:hAnsi="Book Antiqua" w:cs="Arial"/>
                <w:color w:val="000000"/>
                <w:lang w:eastAsia="es-CR"/>
              </w:rPr>
              <w:t>d</w:t>
            </w:r>
            <w:r w:rsidRPr="00732B48">
              <w:rPr>
                <w:rFonts w:ascii="Book Antiqua" w:eastAsia="Times New Roman" w:hAnsi="Book Antiqua" w:cs="Arial"/>
                <w:color w:val="000000"/>
                <w:lang w:eastAsia="es-CR"/>
              </w:rPr>
              <w:t>el 27</w:t>
            </w:r>
            <w:r>
              <w:rPr>
                <w:rFonts w:ascii="Book Antiqua" w:eastAsia="Times New Roman" w:hAnsi="Book Antiqua" w:cs="Arial"/>
                <w:color w:val="000000"/>
                <w:lang w:eastAsia="es-CR"/>
              </w:rPr>
              <w:t>-04-</w:t>
            </w:r>
            <w:r w:rsidRPr="00732B48">
              <w:rPr>
                <w:rFonts w:ascii="Book Antiqua" w:eastAsia="Times New Roman" w:hAnsi="Book Antiqua" w:cs="Arial"/>
                <w:color w:val="000000"/>
                <w:lang w:eastAsia="es-CR"/>
              </w:rPr>
              <w:t xml:space="preserve">2021, </w:t>
            </w:r>
            <w:r>
              <w:rPr>
                <w:rFonts w:ascii="Book Antiqua" w:eastAsia="Times New Roman" w:hAnsi="Book Antiqua" w:cs="Arial"/>
                <w:color w:val="000000"/>
                <w:lang w:eastAsia="es-CR"/>
              </w:rPr>
              <w:t xml:space="preserve">artículo </w:t>
            </w:r>
            <w:r w:rsidRPr="00732B48">
              <w:rPr>
                <w:rFonts w:ascii="Book Antiqua" w:eastAsia="Times New Roman" w:hAnsi="Book Antiqua" w:cs="Arial"/>
                <w:color w:val="000000"/>
                <w:lang w:eastAsia="es-CR"/>
              </w:rPr>
              <w:t>XXXVI</w:t>
            </w:r>
            <w:r w:rsidR="00406E38" w:rsidRPr="00406E38">
              <w:rPr>
                <w:rFonts w:ascii="Book Antiqua" w:eastAsia="Times New Roman" w:hAnsi="Book Antiqua" w:cs="Arial"/>
                <w:color w:val="000000"/>
                <w:lang w:eastAsia="es-CR"/>
              </w:rPr>
              <w:t> </w:t>
            </w:r>
          </w:p>
        </w:tc>
      </w:tr>
      <w:tr w:rsidR="00406E38" w:rsidRPr="00406E38" w14:paraId="18481B8E" w14:textId="77777777" w:rsidTr="00306313">
        <w:trPr>
          <w:trHeight w:val="635"/>
          <w:jc w:val="center"/>
        </w:trPr>
        <w:tc>
          <w:tcPr>
            <w:tcW w:w="3119" w:type="dxa"/>
            <w:shd w:val="clear" w:color="auto" w:fill="auto"/>
            <w:vAlign w:val="center"/>
            <w:hideMark/>
          </w:tcPr>
          <w:p w14:paraId="4AFC4BD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Turrialba</w:t>
            </w:r>
          </w:p>
        </w:tc>
        <w:tc>
          <w:tcPr>
            <w:tcW w:w="2627" w:type="dxa"/>
            <w:shd w:val="clear" w:color="auto" w:fill="auto"/>
            <w:vAlign w:val="center"/>
            <w:hideMark/>
          </w:tcPr>
          <w:p w14:paraId="4BF66CB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1735-PLA-EV-2020</w:t>
            </w:r>
          </w:p>
        </w:tc>
        <w:tc>
          <w:tcPr>
            <w:tcW w:w="2508" w:type="dxa"/>
            <w:shd w:val="clear" w:color="auto" w:fill="auto"/>
            <w:vAlign w:val="center"/>
            <w:hideMark/>
          </w:tcPr>
          <w:p w14:paraId="47B6959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1890-PLA-EV-2020</w:t>
            </w:r>
          </w:p>
        </w:tc>
        <w:tc>
          <w:tcPr>
            <w:tcW w:w="2541" w:type="dxa"/>
            <w:shd w:val="clear" w:color="auto" w:fill="auto"/>
            <w:vAlign w:val="center"/>
            <w:hideMark/>
          </w:tcPr>
          <w:p w14:paraId="42963A51"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119-2020 del 15-12-2020, artículo LIII</w:t>
            </w:r>
          </w:p>
        </w:tc>
      </w:tr>
      <w:tr w:rsidR="00406E38" w:rsidRPr="00406E38" w14:paraId="4902E3B0" w14:textId="77777777" w:rsidTr="00306313">
        <w:trPr>
          <w:trHeight w:val="552"/>
          <w:jc w:val="center"/>
        </w:trPr>
        <w:tc>
          <w:tcPr>
            <w:tcW w:w="3119" w:type="dxa"/>
            <w:shd w:val="clear" w:color="auto" w:fill="auto"/>
            <w:vAlign w:val="center"/>
            <w:hideMark/>
          </w:tcPr>
          <w:p w14:paraId="2155E02B" w14:textId="20A05621" w:rsidR="00406E38" w:rsidRPr="00406E38" w:rsidRDefault="00732B4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w:t>
            </w:r>
            <w:r w:rsidR="00406E38" w:rsidRPr="00406E38">
              <w:rPr>
                <w:rFonts w:ascii="Book Antiqua" w:eastAsia="Times New Roman" w:hAnsi="Book Antiqua" w:cs="Arial"/>
                <w:color w:val="000000"/>
                <w:lang w:eastAsia="es-CR"/>
              </w:rPr>
              <w:t>. Alimen. II Circ. Jud. Guanacaste (Nicoya)</w:t>
            </w:r>
          </w:p>
        </w:tc>
        <w:tc>
          <w:tcPr>
            <w:tcW w:w="2627" w:type="dxa"/>
            <w:shd w:val="clear" w:color="auto" w:fill="auto"/>
            <w:vAlign w:val="center"/>
            <w:hideMark/>
          </w:tcPr>
          <w:p w14:paraId="7685935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1754-PLA-EV-2020</w:t>
            </w:r>
          </w:p>
        </w:tc>
        <w:tc>
          <w:tcPr>
            <w:tcW w:w="2508" w:type="dxa"/>
            <w:shd w:val="clear" w:color="auto" w:fill="auto"/>
            <w:vAlign w:val="center"/>
            <w:hideMark/>
          </w:tcPr>
          <w:p w14:paraId="7D72092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60-PLA-EV-2021</w:t>
            </w:r>
          </w:p>
        </w:tc>
        <w:tc>
          <w:tcPr>
            <w:tcW w:w="2541" w:type="dxa"/>
            <w:shd w:val="clear" w:color="auto" w:fill="auto"/>
            <w:vAlign w:val="center"/>
            <w:hideMark/>
          </w:tcPr>
          <w:p w14:paraId="1AD719BB" w14:textId="07AD95F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6-2021 del 21-</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1-2021, artículo XXXIX</w:t>
            </w:r>
          </w:p>
        </w:tc>
      </w:tr>
      <w:tr w:rsidR="00406E38" w:rsidRPr="00406E38" w14:paraId="4A5A61A4" w14:textId="77777777" w:rsidTr="00306313">
        <w:trPr>
          <w:trHeight w:val="728"/>
          <w:jc w:val="center"/>
        </w:trPr>
        <w:tc>
          <w:tcPr>
            <w:tcW w:w="3119" w:type="dxa"/>
            <w:shd w:val="clear" w:color="auto" w:fill="auto"/>
            <w:vAlign w:val="center"/>
            <w:hideMark/>
          </w:tcPr>
          <w:p w14:paraId="0EE5BF1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Parrita</w:t>
            </w:r>
          </w:p>
        </w:tc>
        <w:tc>
          <w:tcPr>
            <w:tcW w:w="2627" w:type="dxa"/>
            <w:shd w:val="clear" w:color="auto" w:fill="auto"/>
            <w:vAlign w:val="center"/>
            <w:hideMark/>
          </w:tcPr>
          <w:p w14:paraId="1EE09B4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1684-PLA-EV-2020</w:t>
            </w:r>
          </w:p>
        </w:tc>
        <w:tc>
          <w:tcPr>
            <w:tcW w:w="2508" w:type="dxa"/>
            <w:shd w:val="clear" w:color="auto" w:fill="auto"/>
            <w:vAlign w:val="center"/>
            <w:hideMark/>
          </w:tcPr>
          <w:p w14:paraId="29B1453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56-PLA-EV-2021</w:t>
            </w:r>
          </w:p>
        </w:tc>
        <w:tc>
          <w:tcPr>
            <w:tcW w:w="2541" w:type="dxa"/>
            <w:shd w:val="clear" w:color="auto" w:fill="auto"/>
            <w:vAlign w:val="center"/>
            <w:hideMark/>
          </w:tcPr>
          <w:p w14:paraId="10B9FE38" w14:textId="025811C0"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XXXIV</w:t>
            </w:r>
          </w:p>
        </w:tc>
      </w:tr>
      <w:tr w:rsidR="00406E38" w:rsidRPr="00406E38" w14:paraId="13093C85" w14:textId="77777777" w:rsidTr="00306313">
        <w:trPr>
          <w:trHeight w:val="561"/>
          <w:jc w:val="center"/>
        </w:trPr>
        <w:tc>
          <w:tcPr>
            <w:tcW w:w="3119" w:type="dxa"/>
            <w:shd w:val="clear" w:color="auto" w:fill="auto"/>
            <w:vAlign w:val="center"/>
            <w:hideMark/>
          </w:tcPr>
          <w:p w14:paraId="0860AC5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y Pensiones Alimentarias Santa Cruz</w:t>
            </w:r>
          </w:p>
        </w:tc>
        <w:tc>
          <w:tcPr>
            <w:tcW w:w="2627" w:type="dxa"/>
            <w:shd w:val="clear" w:color="auto" w:fill="auto"/>
            <w:vAlign w:val="center"/>
            <w:hideMark/>
          </w:tcPr>
          <w:p w14:paraId="7FC1592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1670-PLA-EV-2020</w:t>
            </w:r>
          </w:p>
        </w:tc>
        <w:tc>
          <w:tcPr>
            <w:tcW w:w="2508" w:type="dxa"/>
            <w:shd w:val="clear" w:color="auto" w:fill="auto"/>
            <w:vAlign w:val="center"/>
            <w:hideMark/>
          </w:tcPr>
          <w:p w14:paraId="37871B0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1857-PLA-EV-2020</w:t>
            </w:r>
          </w:p>
        </w:tc>
        <w:tc>
          <w:tcPr>
            <w:tcW w:w="2541" w:type="dxa"/>
            <w:shd w:val="clear" w:color="auto" w:fill="auto"/>
            <w:vAlign w:val="center"/>
            <w:hideMark/>
          </w:tcPr>
          <w:p w14:paraId="55254D09"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116-2020 del 3-12-2020, artículo XXXIV</w:t>
            </w:r>
          </w:p>
        </w:tc>
      </w:tr>
      <w:tr w:rsidR="00406E38" w:rsidRPr="00406E38" w14:paraId="3FC19770" w14:textId="77777777" w:rsidTr="00306313">
        <w:trPr>
          <w:trHeight w:val="863"/>
          <w:jc w:val="center"/>
        </w:trPr>
        <w:tc>
          <w:tcPr>
            <w:tcW w:w="3119" w:type="dxa"/>
            <w:shd w:val="clear" w:color="auto" w:fill="auto"/>
            <w:vAlign w:val="center"/>
            <w:hideMark/>
          </w:tcPr>
          <w:p w14:paraId="6463838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lastRenderedPageBreak/>
              <w:t>Juzgado de Cobro, Menor Cuantía y Contravencional Golfito</w:t>
            </w:r>
          </w:p>
        </w:tc>
        <w:tc>
          <w:tcPr>
            <w:tcW w:w="2627" w:type="dxa"/>
            <w:shd w:val="clear" w:color="auto" w:fill="auto"/>
            <w:vAlign w:val="center"/>
            <w:hideMark/>
          </w:tcPr>
          <w:p w14:paraId="58B970E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1703-PLA-EV-2020</w:t>
            </w:r>
          </w:p>
        </w:tc>
        <w:tc>
          <w:tcPr>
            <w:tcW w:w="2508" w:type="dxa"/>
            <w:shd w:val="clear" w:color="auto" w:fill="auto"/>
            <w:vAlign w:val="center"/>
            <w:hideMark/>
          </w:tcPr>
          <w:p w14:paraId="5D2D948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73-PLA-EV-2021</w:t>
            </w:r>
          </w:p>
        </w:tc>
        <w:tc>
          <w:tcPr>
            <w:tcW w:w="2541" w:type="dxa"/>
            <w:shd w:val="clear" w:color="auto" w:fill="auto"/>
            <w:vAlign w:val="center"/>
            <w:hideMark/>
          </w:tcPr>
          <w:p w14:paraId="38A8D35E" w14:textId="4F762436"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XLVIII</w:t>
            </w:r>
          </w:p>
        </w:tc>
      </w:tr>
      <w:tr w:rsidR="00406E38" w:rsidRPr="00406E38" w14:paraId="1F8CC6C1" w14:textId="77777777" w:rsidTr="00306313">
        <w:trPr>
          <w:trHeight w:val="732"/>
          <w:jc w:val="center"/>
        </w:trPr>
        <w:tc>
          <w:tcPr>
            <w:tcW w:w="3119" w:type="dxa"/>
            <w:shd w:val="clear" w:color="auto" w:fill="auto"/>
            <w:vAlign w:val="center"/>
            <w:hideMark/>
          </w:tcPr>
          <w:p w14:paraId="00DB78C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Osa</w:t>
            </w:r>
          </w:p>
        </w:tc>
        <w:tc>
          <w:tcPr>
            <w:tcW w:w="2627" w:type="dxa"/>
            <w:shd w:val="clear" w:color="auto" w:fill="auto"/>
            <w:vAlign w:val="center"/>
            <w:hideMark/>
          </w:tcPr>
          <w:p w14:paraId="7EB65DD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1737-PLA-EV-2020</w:t>
            </w:r>
          </w:p>
        </w:tc>
        <w:tc>
          <w:tcPr>
            <w:tcW w:w="2508" w:type="dxa"/>
            <w:shd w:val="clear" w:color="auto" w:fill="auto"/>
            <w:vAlign w:val="center"/>
            <w:hideMark/>
          </w:tcPr>
          <w:p w14:paraId="353BB7C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67-PLA-EV-2021</w:t>
            </w:r>
          </w:p>
        </w:tc>
        <w:tc>
          <w:tcPr>
            <w:tcW w:w="2541" w:type="dxa"/>
            <w:shd w:val="clear" w:color="auto" w:fill="auto"/>
            <w:vAlign w:val="center"/>
            <w:hideMark/>
          </w:tcPr>
          <w:p w14:paraId="4F057600" w14:textId="71DD3CE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XLIX</w:t>
            </w:r>
          </w:p>
        </w:tc>
      </w:tr>
      <w:tr w:rsidR="00406E38" w:rsidRPr="00406E38" w14:paraId="3C440D6E" w14:textId="77777777" w:rsidTr="00306313">
        <w:trPr>
          <w:trHeight w:val="312"/>
          <w:jc w:val="center"/>
        </w:trPr>
        <w:tc>
          <w:tcPr>
            <w:tcW w:w="3119" w:type="dxa"/>
            <w:shd w:val="clear" w:color="auto" w:fill="auto"/>
            <w:vAlign w:val="center"/>
            <w:hideMark/>
          </w:tcPr>
          <w:p w14:paraId="76B18B0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II Circ. Jud. Zona Sur (Corredores)</w:t>
            </w:r>
          </w:p>
        </w:tc>
        <w:tc>
          <w:tcPr>
            <w:tcW w:w="2627" w:type="dxa"/>
            <w:shd w:val="clear" w:color="auto" w:fill="auto"/>
            <w:vAlign w:val="center"/>
            <w:hideMark/>
          </w:tcPr>
          <w:p w14:paraId="142FEFE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1688-PLA-EV-2020</w:t>
            </w:r>
          </w:p>
        </w:tc>
        <w:tc>
          <w:tcPr>
            <w:tcW w:w="2508" w:type="dxa"/>
            <w:shd w:val="clear" w:color="auto" w:fill="auto"/>
            <w:vAlign w:val="center"/>
            <w:hideMark/>
          </w:tcPr>
          <w:p w14:paraId="0E14232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68-PLA-EV-2021</w:t>
            </w:r>
          </w:p>
        </w:tc>
        <w:tc>
          <w:tcPr>
            <w:tcW w:w="2541" w:type="dxa"/>
            <w:shd w:val="clear" w:color="auto" w:fill="auto"/>
            <w:vAlign w:val="center"/>
            <w:hideMark/>
          </w:tcPr>
          <w:p w14:paraId="359550A8"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4-2-2021, artículo LVIII</w:t>
            </w:r>
          </w:p>
        </w:tc>
      </w:tr>
      <w:tr w:rsidR="00406E38" w:rsidRPr="00406E38" w14:paraId="316DF73E" w14:textId="77777777" w:rsidTr="00306313">
        <w:trPr>
          <w:trHeight w:val="616"/>
          <w:jc w:val="center"/>
        </w:trPr>
        <w:tc>
          <w:tcPr>
            <w:tcW w:w="3119" w:type="dxa"/>
            <w:shd w:val="clear" w:color="auto" w:fill="auto"/>
            <w:vAlign w:val="center"/>
            <w:hideMark/>
          </w:tcPr>
          <w:p w14:paraId="19C40AFB"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Mora </w:t>
            </w:r>
          </w:p>
        </w:tc>
        <w:tc>
          <w:tcPr>
            <w:tcW w:w="2627" w:type="dxa"/>
            <w:shd w:val="clear" w:color="auto" w:fill="auto"/>
            <w:vAlign w:val="center"/>
            <w:hideMark/>
          </w:tcPr>
          <w:p w14:paraId="10E606B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1687-PLA-EV-2020</w:t>
            </w:r>
          </w:p>
        </w:tc>
        <w:tc>
          <w:tcPr>
            <w:tcW w:w="2508" w:type="dxa"/>
            <w:shd w:val="clear" w:color="auto" w:fill="auto"/>
            <w:vAlign w:val="center"/>
            <w:hideMark/>
          </w:tcPr>
          <w:p w14:paraId="639D6C6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1977-PLA-EV-2020</w:t>
            </w:r>
          </w:p>
        </w:tc>
        <w:tc>
          <w:tcPr>
            <w:tcW w:w="2541" w:type="dxa"/>
            <w:shd w:val="clear" w:color="auto" w:fill="auto"/>
            <w:vAlign w:val="center"/>
            <w:hideMark/>
          </w:tcPr>
          <w:p w14:paraId="2954B344"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 del 17-12-2020, artículo LXX</w:t>
            </w:r>
          </w:p>
        </w:tc>
      </w:tr>
      <w:tr w:rsidR="00406E38" w:rsidRPr="00406E38" w14:paraId="68688A86" w14:textId="77777777" w:rsidTr="00306313">
        <w:trPr>
          <w:trHeight w:val="695"/>
          <w:jc w:val="center"/>
        </w:trPr>
        <w:tc>
          <w:tcPr>
            <w:tcW w:w="3119" w:type="dxa"/>
            <w:shd w:val="clear" w:color="auto" w:fill="auto"/>
            <w:vAlign w:val="center"/>
            <w:hideMark/>
          </w:tcPr>
          <w:p w14:paraId="62B2E08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Turrubares</w:t>
            </w:r>
          </w:p>
        </w:tc>
        <w:tc>
          <w:tcPr>
            <w:tcW w:w="2627" w:type="dxa"/>
            <w:shd w:val="clear" w:color="auto" w:fill="auto"/>
            <w:vAlign w:val="center"/>
            <w:hideMark/>
          </w:tcPr>
          <w:p w14:paraId="035DC26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1719-PLA-EV-2020</w:t>
            </w:r>
          </w:p>
        </w:tc>
        <w:tc>
          <w:tcPr>
            <w:tcW w:w="2508" w:type="dxa"/>
            <w:shd w:val="clear" w:color="auto" w:fill="auto"/>
            <w:vAlign w:val="center"/>
            <w:hideMark/>
          </w:tcPr>
          <w:p w14:paraId="3EF7342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1848-PLA-EV-2020</w:t>
            </w:r>
          </w:p>
        </w:tc>
        <w:tc>
          <w:tcPr>
            <w:tcW w:w="2541" w:type="dxa"/>
            <w:shd w:val="clear" w:color="auto" w:fill="auto"/>
            <w:vAlign w:val="center"/>
            <w:hideMark/>
          </w:tcPr>
          <w:p w14:paraId="2C9843AA"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117-20 del 8-12-2020, artículo XL</w:t>
            </w:r>
          </w:p>
        </w:tc>
      </w:tr>
      <w:tr w:rsidR="00406E38" w:rsidRPr="00406E38" w14:paraId="259064B2" w14:textId="77777777" w:rsidTr="00306313">
        <w:trPr>
          <w:trHeight w:val="828"/>
          <w:jc w:val="center"/>
        </w:trPr>
        <w:tc>
          <w:tcPr>
            <w:tcW w:w="3119" w:type="dxa"/>
            <w:shd w:val="clear" w:color="auto" w:fill="auto"/>
            <w:vAlign w:val="center"/>
            <w:hideMark/>
          </w:tcPr>
          <w:p w14:paraId="0D97389C"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Esparza</w:t>
            </w:r>
          </w:p>
        </w:tc>
        <w:tc>
          <w:tcPr>
            <w:tcW w:w="2627" w:type="dxa"/>
            <w:shd w:val="clear" w:color="auto" w:fill="auto"/>
            <w:vAlign w:val="center"/>
            <w:hideMark/>
          </w:tcPr>
          <w:p w14:paraId="7D636AC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1697-PLA-EV-2020</w:t>
            </w:r>
          </w:p>
        </w:tc>
        <w:tc>
          <w:tcPr>
            <w:tcW w:w="2508" w:type="dxa"/>
            <w:shd w:val="clear" w:color="auto" w:fill="auto"/>
            <w:vAlign w:val="center"/>
            <w:hideMark/>
          </w:tcPr>
          <w:p w14:paraId="6A0501C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65-PLA-EV-2021</w:t>
            </w:r>
          </w:p>
        </w:tc>
        <w:tc>
          <w:tcPr>
            <w:tcW w:w="2541" w:type="dxa"/>
            <w:shd w:val="clear" w:color="auto" w:fill="auto"/>
            <w:vAlign w:val="center"/>
            <w:hideMark/>
          </w:tcPr>
          <w:p w14:paraId="5D2312AD" w14:textId="60E5FB0E"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w:t>
            </w:r>
          </w:p>
        </w:tc>
      </w:tr>
      <w:tr w:rsidR="00406E38" w:rsidRPr="00406E38" w14:paraId="297FAFF7" w14:textId="77777777" w:rsidTr="00306313">
        <w:trPr>
          <w:trHeight w:val="717"/>
          <w:jc w:val="center"/>
        </w:trPr>
        <w:tc>
          <w:tcPr>
            <w:tcW w:w="3119" w:type="dxa"/>
            <w:shd w:val="clear" w:color="auto" w:fill="auto"/>
            <w:vAlign w:val="center"/>
            <w:hideMark/>
          </w:tcPr>
          <w:p w14:paraId="2F73BF1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Montes de Oro</w:t>
            </w:r>
          </w:p>
        </w:tc>
        <w:tc>
          <w:tcPr>
            <w:tcW w:w="2627" w:type="dxa"/>
            <w:shd w:val="clear" w:color="auto" w:fill="auto"/>
            <w:vAlign w:val="center"/>
            <w:hideMark/>
          </w:tcPr>
          <w:p w14:paraId="067647D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1729-PLA-EV-2020</w:t>
            </w:r>
          </w:p>
        </w:tc>
        <w:tc>
          <w:tcPr>
            <w:tcW w:w="2508" w:type="dxa"/>
            <w:shd w:val="clear" w:color="auto" w:fill="auto"/>
            <w:vAlign w:val="center"/>
            <w:hideMark/>
          </w:tcPr>
          <w:p w14:paraId="02AFF52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1851-PLA-EV-2020</w:t>
            </w:r>
          </w:p>
        </w:tc>
        <w:tc>
          <w:tcPr>
            <w:tcW w:w="2541" w:type="dxa"/>
            <w:shd w:val="clear" w:color="auto" w:fill="auto"/>
            <w:vAlign w:val="center"/>
            <w:hideMark/>
          </w:tcPr>
          <w:p w14:paraId="335D9DE9"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115-2020 del 1-12-2020, artículo LII</w:t>
            </w:r>
          </w:p>
        </w:tc>
      </w:tr>
      <w:tr w:rsidR="00406E38" w:rsidRPr="00406E38" w14:paraId="4F5B8DF2" w14:textId="77777777" w:rsidTr="00306313">
        <w:trPr>
          <w:trHeight w:val="585"/>
          <w:jc w:val="center"/>
        </w:trPr>
        <w:tc>
          <w:tcPr>
            <w:tcW w:w="3119" w:type="dxa"/>
            <w:shd w:val="clear" w:color="auto" w:fill="auto"/>
            <w:vAlign w:val="center"/>
            <w:hideMark/>
          </w:tcPr>
          <w:p w14:paraId="228E69A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San Mateo </w:t>
            </w:r>
          </w:p>
        </w:tc>
        <w:tc>
          <w:tcPr>
            <w:tcW w:w="2627" w:type="dxa"/>
            <w:shd w:val="clear" w:color="auto" w:fill="auto"/>
            <w:vAlign w:val="center"/>
            <w:hideMark/>
          </w:tcPr>
          <w:p w14:paraId="4C78EE9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1720-PLA-EV-2020</w:t>
            </w:r>
          </w:p>
        </w:tc>
        <w:tc>
          <w:tcPr>
            <w:tcW w:w="2508" w:type="dxa"/>
            <w:shd w:val="clear" w:color="auto" w:fill="auto"/>
            <w:vAlign w:val="center"/>
            <w:hideMark/>
          </w:tcPr>
          <w:p w14:paraId="5666AB9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64-PLA-EV-2021</w:t>
            </w:r>
          </w:p>
        </w:tc>
        <w:tc>
          <w:tcPr>
            <w:tcW w:w="2541" w:type="dxa"/>
            <w:shd w:val="clear" w:color="auto" w:fill="auto"/>
            <w:vAlign w:val="center"/>
            <w:hideMark/>
          </w:tcPr>
          <w:p w14:paraId="3BD0ABCC" w14:textId="3CA6AA74"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L</w:t>
            </w:r>
          </w:p>
        </w:tc>
      </w:tr>
      <w:tr w:rsidR="00406E38" w:rsidRPr="00406E38" w14:paraId="034A803B" w14:textId="77777777" w:rsidTr="00306313">
        <w:trPr>
          <w:trHeight w:val="807"/>
          <w:jc w:val="center"/>
        </w:trPr>
        <w:tc>
          <w:tcPr>
            <w:tcW w:w="3119" w:type="dxa"/>
            <w:shd w:val="clear" w:color="auto" w:fill="auto"/>
            <w:vAlign w:val="center"/>
            <w:hideMark/>
          </w:tcPr>
          <w:p w14:paraId="066158C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Orotina </w:t>
            </w:r>
          </w:p>
        </w:tc>
        <w:tc>
          <w:tcPr>
            <w:tcW w:w="2627" w:type="dxa"/>
            <w:shd w:val="clear" w:color="auto" w:fill="auto"/>
            <w:vAlign w:val="center"/>
            <w:hideMark/>
          </w:tcPr>
          <w:p w14:paraId="5F97984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1659-PLA-EV-2020</w:t>
            </w:r>
          </w:p>
        </w:tc>
        <w:tc>
          <w:tcPr>
            <w:tcW w:w="2508" w:type="dxa"/>
            <w:shd w:val="clear" w:color="auto" w:fill="auto"/>
            <w:vAlign w:val="center"/>
            <w:hideMark/>
          </w:tcPr>
          <w:p w14:paraId="55BA527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1886-PLA-EV-2020</w:t>
            </w:r>
          </w:p>
        </w:tc>
        <w:tc>
          <w:tcPr>
            <w:tcW w:w="2541" w:type="dxa"/>
            <w:shd w:val="clear" w:color="auto" w:fill="auto"/>
            <w:vAlign w:val="center"/>
            <w:hideMark/>
          </w:tcPr>
          <w:p w14:paraId="67FA2AD8" w14:textId="4FC11099"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117-2020 del 8-12-2020,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XXXVIII</w:t>
            </w:r>
          </w:p>
        </w:tc>
      </w:tr>
      <w:tr w:rsidR="00406E38" w:rsidRPr="00406E38" w14:paraId="61D2D62F" w14:textId="77777777" w:rsidTr="00306313">
        <w:trPr>
          <w:trHeight w:val="450"/>
          <w:jc w:val="center"/>
        </w:trPr>
        <w:tc>
          <w:tcPr>
            <w:tcW w:w="3119" w:type="dxa"/>
            <w:shd w:val="clear" w:color="auto" w:fill="auto"/>
            <w:vAlign w:val="center"/>
            <w:hideMark/>
          </w:tcPr>
          <w:p w14:paraId="5C26102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Los Chiles</w:t>
            </w:r>
          </w:p>
        </w:tc>
        <w:tc>
          <w:tcPr>
            <w:tcW w:w="2627" w:type="dxa"/>
            <w:shd w:val="clear" w:color="auto" w:fill="auto"/>
            <w:vAlign w:val="center"/>
            <w:hideMark/>
          </w:tcPr>
          <w:p w14:paraId="3B46954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1652-PLA-EV-2020</w:t>
            </w:r>
          </w:p>
        </w:tc>
        <w:tc>
          <w:tcPr>
            <w:tcW w:w="2508" w:type="dxa"/>
            <w:shd w:val="clear" w:color="auto" w:fill="auto"/>
            <w:vAlign w:val="center"/>
            <w:hideMark/>
          </w:tcPr>
          <w:p w14:paraId="1DD92E2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1888-PLA-EV-2020</w:t>
            </w:r>
          </w:p>
        </w:tc>
        <w:tc>
          <w:tcPr>
            <w:tcW w:w="2541" w:type="dxa"/>
            <w:shd w:val="clear" w:color="auto" w:fill="auto"/>
            <w:vAlign w:val="center"/>
            <w:hideMark/>
          </w:tcPr>
          <w:p w14:paraId="2FCCE0A5" w14:textId="6240861B"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118-2020 del 10-12-2020,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LVIII</w:t>
            </w:r>
          </w:p>
        </w:tc>
      </w:tr>
      <w:tr w:rsidR="00406E38" w:rsidRPr="00406E38" w14:paraId="79621CE5" w14:textId="77777777" w:rsidTr="00306313">
        <w:trPr>
          <w:trHeight w:val="450"/>
          <w:jc w:val="center"/>
        </w:trPr>
        <w:tc>
          <w:tcPr>
            <w:tcW w:w="3119" w:type="dxa"/>
            <w:shd w:val="clear" w:color="auto" w:fill="auto"/>
            <w:vAlign w:val="center"/>
            <w:hideMark/>
          </w:tcPr>
          <w:p w14:paraId="706FA46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Guatuso</w:t>
            </w:r>
          </w:p>
        </w:tc>
        <w:tc>
          <w:tcPr>
            <w:tcW w:w="2627" w:type="dxa"/>
            <w:shd w:val="clear" w:color="auto" w:fill="auto"/>
            <w:vAlign w:val="center"/>
            <w:hideMark/>
          </w:tcPr>
          <w:p w14:paraId="06033A1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1646-PLA-EV-2020</w:t>
            </w:r>
          </w:p>
        </w:tc>
        <w:tc>
          <w:tcPr>
            <w:tcW w:w="2508" w:type="dxa"/>
            <w:shd w:val="clear" w:color="auto" w:fill="auto"/>
            <w:vAlign w:val="center"/>
            <w:hideMark/>
          </w:tcPr>
          <w:p w14:paraId="44D87E9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1880-PLA-EV-2020</w:t>
            </w:r>
          </w:p>
        </w:tc>
        <w:tc>
          <w:tcPr>
            <w:tcW w:w="2541" w:type="dxa"/>
            <w:shd w:val="clear" w:color="auto" w:fill="auto"/>
            <w:vAlign w:val="center"/>
            <w:hideMark/>
          </w:tcPr>
          <w:p w14:paraId="407C3DF8" w14:textId="645873B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w:t>
            </w:r>
          </w:p>
        </w:tc>
      </w:tr>
      <w:tr w:rsidR="00406E38" w:rsidRPr="00406E38" w14:paraId="0A35244B" w14:textId="77777777" w:rsidTr="00306313">
        <w:trPr>
          <w:trHeight w:val="579"/>
          <w:jc w:val="center"/>
        </w:trPr>
        <w:tc>
          <w:tcPr>
            <w:tcW w:w="3119" w:type="dxa"/>
            <w:shd w:val="clear" w:color="auto" w:fill="auto"/>
            <w:vAlign w:val="center"/>
            <w:hideMark/>
          </w:tcPr>
          <w:p w14:paraId="43FB7A2C"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La Fortuna</w:t>
            </w:r>
          </w:p>
        </w:tc>
        <w:tc>
          <w:tcPr>
            <w:tcW w:w="2627" w:type="dxa"/>
            <w:shd w:val="clear" w:color="auto" w:fill="auto"/>
            <w:vAlign w:val="center"/>
            <w:hideMark/>
          </w:tcPr>
          <w:p w14:paraId="218AC2E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1649-PLA-EV-2020</w:t>
            </w:r>
          </w:p>
        </w:tc>
        <w:tc>
          <w:tcPr>
            <w:tcW w:w="2508" w:type="dxa"/>
            <w:shd w:val="clear" w:color="auto" w:fill="auto"/>
            <w:vAlign w:val="center"/>
            <w:hideMark/>
          </w:tcPr>
          <w:p w14:paraId="6364C8E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1878-PLA-EV-2020</w:t>
            </w:r>
          </w:p>
        </w:tc>
        <w:tc>
          <w:tcPr>
            <w:tcW w:w="2541" w:type="dxa"/>
            <w:shd w:val="clear" w:color="auto" w:fill="auto"/>
            <w:vAlign w:val="center"/>
            <w:hideMark/>
          </w:tcPr>
          <w:p w14:paraId="2C7B1DDB" w14:textId="2BDFA0FD"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LVIII</w:t>
            </w:r>
          </w:p>
        </w:tc>
      </w:tr>
      <w:tr w:rsidR="00406E38" w:rsidRPr="00406E38" w14:paraId="188A2E8D" w14:textId="77777777" w:rsidTr="00306313">
        <w:trPr>
          <w:trHeight w:val="450"/>
          <w:jc w:val="center"/>
        </w:trPr>
        <w:tc>
          <w:tcPr>
            <w:tcW w:w="3119" w:type="dxa"/>
            <w:shd w:val="clear" w:color="auto" w:fill="auto"/>
            <w:vAlign w:val="center"/>
            <w:hideMark/>
          </w:tcPr>
          <w:p w14:paraId="33BDFA8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Zarcero </w:t>
            </w:r>
          </w:p>
        </w:tc>
        <w:tc>
          <w:tcPr>
            <w:tcW w:w="2627" w:type="dxa"/>
            <w:shd w:val="clear" w:color="auto" w:fill="auto"/>
            <w:vAlign w:val="center"/>
            <w:hideMark/>
          </w:tcPr>
          <w:p w14:paraId="1A41107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1651-PLA-EV-2020</w:t>
            </w:r>
          </w:p>
        </w:tc>
        <w:tc>
          <w:tcPr>
            <w:tcW w:w="2508" w:type="dxa"/>
            <w:shd w:val="clear" w:color="auto" w:fill="auto"/>
            <w:vAlign w:val="center"/>
            <w:hideMark/>
          </w:tcPr>
          <w:p w14:paraId="4D2195F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1873-PLA-EV-2020</w:t>
            </w:r>
          </w:p>
        </w:tc>
        <w:tc>
          <w:tcPr>
            <w:tcW w:w="2541" w:type="dxa"/>
            <w:shd w:val="clear" w:color="auto" w:fill="auto"/>
            <w:vAlign w:val="center"/>
            <w:hideMark/>
          </w:tcPr>
          <w:p w14:paraId="1C843FA4" w14:textId="12CC864A"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77260" w:rsidRPr="00777260">
              <w:rPr>
                <w:rFonts w:ascii="Book Antiqua" w:eastAsia="Times New Roman" w:hAnsi="Book Antiqua" w:cs="Arial"/>
                <w:color w:val="000000"/>
                <w:lang w:eastAsia="es-CR"/>
              </w:rPr>
              <w:t>S</w:t>
            </w:r>
            <w:r w:rsidR="00777260">
              <w:rPr>
                <w:rFonts w:ascii="Book Antiqua" w:eastAsia="Times New Roman" w:hAnsi="Book Antiqua" w:cs="Arial"/>
                <w:color w:val="000000"/>
                <w:lang w:eastAsia="es-CR"/>
              </w:rPr>
              <w:t>esión</w:t>
            </w:r>
            <w:r w:rsidR="00777260" w:rsidRPr="00777260">
              <w:rPr>
                <w:rFonts w:ascii="Book Antiqua" w:eastAsia="Times New Roman" w:hAnsi="Book Antiqua" w:cs="Arial"/>
                <w:color w:val="000000"/>
                <w:lang w:eastAsia="es-CR"/>
              </w:rPr>
              <w:t xml:space="preserve"> 116-2020 </w:t>
            </w:r>
            <w:r w:rsidR="00777260">
              <w:rPr>
                <w:rFonts w:ascii="Book Antiqua" w:eastAsia="Times New Roman" w:hAnsi="Book Antiqua" w:cs="Arial"/>
                <w:color w:val="000000"/>
                <w:lang w:eastAsia="es-CR"/>
              </w:rPr>
              <w:t xml:space="preserve">del </w:t>
            </w:r>
            <w:r w:rsidR="00777260" w:rsidRPr="00777260">
              <w:rPr>
                <w:rFonts w:ascii="Book Antiqua" w:eastAsia="Times New Roman" w:hAnsi="Book Antiqua" w:cs="Arial"/>
                <w:color w:val="000000"/>
                <w:lang w:eastAsia="es-CR"/>
              </w:rPr>
              <w:t>03</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12</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2020</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 xml:space="preserve"> </w:t>
            </w:r>
            <w:r w:rsidR="00777260">
              <w:rPr>
                <w:rFonts w:ascii="Book Antiqua" w:eastAsia="Times New Roman" w:hAnsi="Book Antiqua" w:cs="Arial"/>
                <w:color w:val="000000"/>
                <w:lang w:eastAsia="es-CR"/>
              </w:rPr>
              <w:t>artículo</w:t>
            </w:r>
            <w:r w:rsidR="00777260" w:rsidRPr="00777260">
              <w:rPr>
                <w:rFonts w:ascii="Book Antiqua" w:eastAsia="Times New Roman" w:hAnsi="Book Antiqua" w:cs="Arial"/>
                <w:color w:val="000000"/>
                <w:lang w:eastAsia="es-CR"/>
              </w:rPr>
              <w:t xml:space="preserve"> XXXV</w:t>
            </w:r>
          </w:p>
        </w:tc>
      </w:tr>
      <w:tr w:rsidR="00406E38" w:rsidRPr="00406E38" w14:paraId="27A2DA5B" w14:textId="77777777" w:rsidTr="00306313">
        <w:trPr>
          <w:trHeight w:val="828"/>
          <w:jc w:val="center"/>
        </w:trPr>
        <w:tc>
          <w:tcPr>
            <w:tcW w:w="3119" w:type="dxa"/>
            <w:shd w:val="clear" w:color="auto" w:fill="auto"/>
            <w:vAlign w:val="center"/>
            <w:hideMark/>
          </w:tcPr>
          <w:p w14:paraId="0828A501"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Paraíso </w:t>
            </w:r>
          </w:p>
        </w:tc>
        <w:tc>
          <w:tcPr>
            <w:tcW w:w="2627" w:type="dxa"/>
            <w:shd w:val="clear" w:color="auto" w:fill="auto"/>
            <w:vAlign w:val="center"/>
            <w:hideMark/>
          </w:tcPr>
          <w:p w14:paraId="1A4EB94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1734-PLA-EV-2020</w:t>
            </w:r>
          </w:p>
        </w:tc>
        <w:tc>
          <w:tcPr>
            <w:tcW w:w="2508" w:type="dxa"/>
            <w:shd w:val="clear" w:color="auto" w:fill="auto"/>
            <w:vAlign w:val="center"/>
            <w:hideMark/>
          </w:tcPr>
          <w:p w14:paraId="5927CA0A"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1881-PLA-EV-2020</w:t>
            </w:r>
          </w:p>
        </w:tc>
        <w:tc>
          <w:tcPr>
            <w:tcW w:w="2541" w:type="dxa"/>
            <w:shd w:val="clear" w:color="auto" w:fill="auto"/>
            <w:vAlign w:val="center"/>
            <w:hideMark/>
          </w:tcPr>
          <w:p w14:paraId="667EC044" w14:textId="50B037A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77260">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LXVII</w:t>
            </w:r>
          </w:p>
        </w:tc>
      </w:tr>
      <w:tr w:rsidR="00406E38" w:rsidRPr="00406E38" w14:paraId="3FA0E027" w14:textId="77777777" w:rsidTr="00306313">
        <w:trPr>
          <w:trHeight w:val="722"/>
          <w:jc w:val="center"/>
        </w:trPr>
        <w:tc>
          <w:tcPr>
            <w:tcW w:w="3119" w:type="dxa"/>
            <w:shd w:val="clear" w:color="auto" w:fill="auto"/>
            <w:vAlign w:val="center"/>
            <w:hideMark/>
          </w:tcPr>
          <w:p w14:paraId="2D9F8CE2"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Tarrazú, Dota y León Cortés </w:t>
            </w:r>
          </w:p>
        </w:tc>
        <w:tc>
          <w:tcPr>
            <w:tcW w:w="2627" w:type="dxa"/>
            <w:shd w:val="clear" w:color="auto" w:fill="auto"/>
            <w:vAlign w:val="center"/>
            <w:hideMark/>
          </w:tcPr>
          <w:p w14:paraId="5CEC79F0"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1671-PLA-EV-2020</w:t>
            </w:r>
          </w:p>
        </w:tc>
        <w:tc>
          <w:tcPr>
            <w:tcW w:w="2508" w:type="dxa"/>
            <w:shd w:val="clear" w:color="auto" w:fill="auto"/>
            <w:vAlign w:val="center"/>
            <w:hideMark/>
          </w:tcPr>
          <w:p w14:paraId="112B1A0A" w14:textId="07945962" w:rsidR="00406E38" w:rsidRPr="00406E38" w:rsidRDefault="00777260" w:rsidP="00406E38">
            <w:pPr>
              <w:spacing w:after="0" w:line="240" w:lineRule="auto"/>
              <w:jc w:val="both"/>
              <w:rPr>
                <w:rFonts w:ascii="Book Antiqua" w:eastAsia="Times New Roman" w:hAnsi="Book Antiqua" w:cs="Arial"/>
                <w:color w:val="000000"/>
                <w:lang w:eastAsia="es-CR"/>
              </w:rPr>
            </w:pPr>
            <w:r w:rsidRPr="00777260">
              <w:rPr>
                <w:rFonts w:ascii="Book Antiqua" w:eastAsia="Times New Roman" w:hAnsi="Book Antiqua" w:cs="Arial"/>
                <w:color w:val="000000"/>
                <w:lang w:eastAsia="es-CR"/>
              </w:rPr>
              <w:t>524-PLA-EV-2021</w:t>
            </w:r>
          </w:p>
        </w:tc>
        <w:tc>
          <w:tcPr>
            <w:tcW w:w="2541" w:type="dxa"/>
            <w:shd w:val="clear" w:color="auto" w:fill="auto"/>
            <w:vAlign w:val="center"/>
            <w:hideMark/>
          </w:tcPr>
          <w:p w14:paraId="3D92B119" w14:textId="5EC566AC" w:rsidR="00406E38" w:rsidRPr="00406E38" w:rsidRDefault="00777260" w:rsidP="001D0C10">
            <w:pPr>
              <w:spacing w:after="0" w:line="240" w:lineRule="auto"/>
              <w:jc w:val="both"/>
              <w:rPr>
                <w:rFonts w:ascii="Book Antiqua" w:eastAsia="Times New Roman" w:hAnsi="Book Antiqua" w:cs="Arial"/>
                <w:color w:val="000000"/>
                <w:lang w:eastAsia="es-CR"/>
              </w:rPr>
            </w:pPr>
            <w:r w:rsidRPr="00777260">
              <w:rPr>
                <w:rFonts w:ascii="Book Antiqua" w:eastAsia="Times New Roman" w:hAnsi="Book Antiqua" w:cs="Arial"/>
                <w:color w:val="000000"/>
                <w:lang w:eastAsia="es-CR"/>
              </w:rPr>
              <w:t>S</w:t>
            </w:r>
            <w:r>
              <w:rPr>
                <w:rFonts w:ascii="Book Antiqua" w:eastAsia="Times New Roman" w:hAnsi="Book Antiqua" w:cs="Arial"/>
                <w:color w:val="000000"/>
                <w:lang w:eastAsia="es-CR"/>
              </w:rPr>
              <w:t>esión</w:t>
            </w:r>
            <w:r w:rsidRPr="00777260">
              <w:rPr>
                <w:rFonts w:ascii="Book Antiqua" w:eastAsia="Times New Roman" w:hAnsi="Book Antiqua" w:cs="Arial"/>
                <w:color w:val="000000"/>
                <w:lang w:eastAsia="es-CR"/>
              </w:rPr>
              <w:t xml:space="preserve"> 42-21 </w:t>
            </w:r>
            <w:r>
              <w:rPr>
                <w:rFonts w:ascii="Book Antiqua" w:eastAsia="Times New Roman" w:hAnsi="Book Antiqua" w:cs="Arial"/>
                <w:color w:val="000000"/>
                <w:lang w:eastAsia="es-CR"/>
              </w:rPr>
              <w:t>del</w:t>
            </w:r>
            <w:r w:rsidRPr="00777260">
              <w:rPr>
                <w:rFonts w:ascii="Book Antiqua" w:eastAsia="Times New Roman" w:hAnsi="Book Antiqua" w:cs="Arial"/>
                <w:color w:val="000000"/>
                <w:lang w:eastAsia="es-CR"/>
              </w:rPr>
              <w:t xml:space="preserve"> 20</w:t>
            </w:r>
            <w:r>
              <w:rPr>
                <w:rFonts w:ascii="Book Antiqua" w:eastAsia="Times New Roman" w:hAnsi="Book Antiqua" w:cs="Arial"/>
                <w:color w:val="000000"/>
                <w:lang w:eastAsia="es-CR"/>
              </w:rPr>
              <w:t>-</w:t>
            </w:r>
            <w:r w:rsidRPr="00777260">
              <w:rPr>
                <w:rFonts w:ascii="Book Antiqua" w:eastAsia="Times New Roman" w:hAnsi="Book Antiqua" w:cs="Arial"/>
                <w:color w:val="000000"/>
                <w:lang w:eastAsia="es-CR"/>
              </w:rPr>
              <w:t>05</w:t>
            </w:r>
            <w:r>
              <w:rPr>
                <w:rFonts w:ascii="Book Antiqua" w:eastAsia="Times New Roman" w:hAnsi="Book Antiqua" w:cs="Arial"/>
                <w:color w:val="000000"/>
                <w:lang w:eastAsia="es-CR"/>
              </w:rPr>
              <w:t>-20</w:t>
            </w:r>
            <w:r w:rsidRPr="00777260">
              <w:rPr>
                <w:rFonts w:ascii="Book Antiqua" w:eastAsia="Times New Roman" w:hAnsi="Book Antiqua" w:cs="Arial"/>
                <w:color w:val="000000"/>
                <w:lang w:eastAsia="es-CR"/>
              </w:rPr>
              <w:t>21</w:t>
            </w:r>
            <w:r>
              <w:rPr>
                <w:rFonts w:ascii="Book Antiqua" w:eastAsia="Times New Roman" w:hAnsi="Book Antiqua" w:cs="Arial"/>
                <w:color w:val="000000"/>
                <w:lang w:eastAsia="es-CR"/>
              </w:rPr>
              <w:t>,</w:t>
            </w:r>
            <w:r w:rsidRPr="00777260">
              <w:rPr>
                <w:rFonts w:ascii="Book Antiqua" w:eastAsia="Times New Roman" w:hAnsi="Book Antiqua" w:cs="Arial"/>
                <w:color w:val="000000"/>
                <w:lang w:eastAsia="es-CR"/>
              </w:rPr>
              <w:t xml:space="preserve"> </w:t>
            </w:r>
            <w:r>
              <w:rPr>
                <w:rFonts w:ascii="Book Antiqua" w:eastAsia="Times New Roman" w:hAnsi="Book Antiqua" w:cs="Arial"/>
                <w:color w:val="000000"/>
                <w:lang w:eastAsia="es-CR"/>
              </w:rPr>
              <w:t>artículo</w:t>
            </w:r>
            <w:r w:rsidRPr="00777260">
              <w:rPr>
                <w:rFonts w:ascii="Book Antiqua" w:eastAsia="Times New Roman" w:hAnsi="Book Antiqua" w:cs="Arial"/>
                <w:color w:val="000000"/>
                <w:lang w:eastAsia="es-CR"/>
              </w:rPr>
              <w:t xml:space="preserve"> XXXIV</w:t>
            </w:r>
            <w:r w:rsidR="00406E38" w:rsidRPr="00406E38">
              <w:rPr>
                <w:rFonts w:ascii="Book Antiqua" w:eastAsia="Times New Roman" w:hAnsi="Book Antiqua" w:cs="Arial"/>
                <w:color w:val="000000"/>
                <w:lang w:eastAsia="es-CR"/>
              </w:rPr>
              <w:t> </w:t>
            </w:r>
          </w:p>
        </w:tc>
      </w:tr>
      <w:tr w:rsidR="00406E38" w:rsidRPr="00406E38" w14:paraId="59D000B1" w14:textId="77777777" w:rsidTr="00306313">
        <w:trPr>
          <w:trHeight w:val="828"/>
          <w:jc w:val="center"/>
        </w:trPr>
        <w:tc>
          <w:tcPr>
            <w:tcW w:w="3119" w:type="dxa"/>
            <w:shd w:val="clear" w:color="auto" w:fill="auto"/>
            <w:vAlign w:val="center"/>
            <w:hideMark/>
          </w:tcPr>
          <w:p w14:paraId="19C40A5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Tilarán </w:t>
            </w:r>
          </w:p>
        </w:tc>
        <w:tc>
          <w:tcPr>
            <w:tcW w:w="2627" w:type="dxa"/>
            <w:shd w:val="clear" w:color="auto" w:fill="auto"/>
            <w:vAlign w:val="center"/>
            <w:hideMark/>
          </w:tcPr>
          <w:p w14:paraId="10CE759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1700-PLA-EV-2020</w:t>
            </w:r>
          </w:p>
        </w:tc>
        <w:tc>
          <w:tcPr>
            <w:tcW w:w="2508" w:type="dxa"/>
            <w:shd w:val="clear" w:color="auto" w:fill="auto"/>
            <w:vAlign w:val="center"/>
            <w:hideMark/>
          </w:tcPr>
          <w:p w14:paraId="5B81F99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71-PLA-EV-2021</w:t>
            </w:r>
          </w:p>
        </w:tc>
        <w:tc>
          <w:tcPr>
            <w:tcW w:w="2541" w:type="dxa"/>
            <w:shd w:val="clear" w:color="auto" w:fill="auto"/>
            <w:vAlign w:val="center"/>
            <w:hideMark/>
          </w:tcPr>
          <w:p w14:paraId="245130F6" w14:textId="4C04E5B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w:t>
            </w:r>
            <w:r w:rsidR="00777260">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LV</w:t>
            </w:r>
          </w:p>
        </w:tc>
      </w:tr>
      <w:tr w:rsidR="00406E38" w:rsidRPr="00406E38" w14:paraId="1D8ED72A" w14:textId="77777777" w:rsidTr="00306313">
        <w:trPr>
          <w:trHeight w:val="715"/>
          <w:jc w:val="center"/>
        </w:trPr>
        <w:tc>
          <w:tcPr>
            <w:tcW w:w="3119" w:type="dxa"/>
            <w:shd w:val="clear" w:color="auto" w:fill="auto"/>
            <w:vAlign w:val="center"/>
            <w:hideMark/>
          </w:tcPr>
          <w:p w14:paraId="1BB7706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lastRenderedPageBreak/>
              <w:t xml:space="preserve">Juzgado Contravencional de Abangares </w:t>
            </w:r>
          </w:p>
        </w:tc>
        <w:tc>
          <w:tcPr>
            <w:tcW w:w="2627" w:type="dxa"/>
            <w:shd w:val="clear" w:color="auto" w:fill="auto"/>
            <w:vAlign w:val="center"/>
            <w:hideMark/>
          </w:tcPr>
          <w:p w14:paraId="675FDAA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1642-PLA-EV-2020</w:t>
            </w:r>
          </w:p>
        </w:tc>
        <w:tc>
          <w:tcPr>
            <w:tcW w:w="2508" w:type="dxa"/>
            <w:shd w:val="clear" w:color="auto" w:fill="auto"/>
            <w:vAlign w:val="center"/>
            <w:hideMark/>
          </w:tcPr>
          <w:p w14:paraId="63555F6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1990-PLA-EV-2020</w:t>
            </w:r>
          </w:p>
        </w:tc>
        <w:tc>
          <w:tcPr>
            <w:tcW w:w="2541" w:type="dxa"/>
            <w:shd w:val="clear" w:color="auto" w:fill="auto"/>
            <w:vAlign w:val="center"/>
            <w:hideMark/>
          </w:tcPr>
          <w:p w14:paraId="5D3A384D" w14:textId="37DFBCFD"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777260" w:rsidRPr="00777260">
              <w:rPr>
                <w:rFonts w:ascii="Book Antiqua" w:eastAsia="Times New Roman" w:hAnsi="Book Antiqua" w:cs="Arial"/>
                <w:color w:val="000000"/>
                <w:lang w:eastAsia="es-CR"/>
              </w:rPr>
              <w:t>S</w:t>
            </w:r>
            <w:r w:rsidR="00777260">
              <w:rPr>
                <w:rFonts w:ascii="Book Antiqua" w:eastAsia="Times New Roman" w:hAnsi="Book Antiqua" w:cs="Arial"/>
                <w:color w:val="000000"/>
                <w:lang w:eastAsia="es-CR"/>
              </w:rPr>
              <w:t>esión</w:t>
            </w:r>
            <w:r w:rsidR="00777260" w:rsidRPr="00777260">
              <w:rPr>
                <w:rFonts w:ascii="Book Antiqua" w:eastAsia="Times New Roman" w:hAnsi="Book Antiqua" w:cs="Arial"/>
                <w:color w:val="000000"/>
                <w:lang w:eastAsia="es-CR"/>
              </w:rPr>
              <w:t xml:space="preserve"> 001-2021</w:t>
            </w:r>
            <w:r w:rsidR="00777260">
              <w:rPr>
                <w:rFonts w:ascii="Book Antiqua" w:eastAsia="Times New Roman" w:hAnsi="Book Antiqua" w:cs="Arial"/>
                <w:color w:val="000000"/>
                <w:lang w:eastAsia="es-CR"/>
              </w:rPr>
              <w:t xml:space="preserve"> del </w:t>
            </w:r>
            <w:r w:rsidR="00777260" w:rsidRPr="00777260">
              <w:rPr>
                <w:rFonts w:ascii="Book Antiqua" w:eastAsia="Times New Roman" w:hAnsi="Book Antiqua" w:cs="Arial"/>
                <w:color w:val="000000"/>
                <w:lang w:eastAsia="es-CR"/>
              </w:rPr>
              <w:t>05</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01</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2021</w:t>
            </w:r>
            <w:r w:rsidR="00777260">
              <w:rPr>
                <w:rFonts w:ascii="Book Antiqua" w:eastAsia="Times New Roman" w:hAnsi="Book Antiqua" w:cs="Arial"/>
                <w:color w:val="000000"/>
                <w:lang w:eastAsia="es-CR"/>
              </w:rPr>
              <w:t>,</w:t>
            </w:r>
            <w:r w:rsidR="00777260" w:rsidRPr="00777260">
              <w:rPr>
                <w:rFonts w:ascii="Book Antiqua" w:eastAsia="Times New Roman" w:hAnsi="Book Antiqua" w:cs="Arial"/>
                <w:color w:val="000000"/>
                <w:lang w:eastAsia="es-CR"/>
              </w:rPr>
              <w:t xml:space="preserve"> </w:t>
            </w:r>
            <w:r w:rsidR="00777260">
              <w:rPr>
                <w:rFonts w:ascii="Book Antiqua" w:eastAsia="Times New Roman" w:hAnsi="Book Antiqua" w:cs="Arial"/>
                <w:color w:val="000000"/>
                <w:lang w:eastAsia="es-CR"/>
              </w:rPr>
              <w:t xml:space="preserve">artículo </w:t>
            </w:r>
            <w:r w:rsidR="00777260" w:rsidRPr="00777260">
              <w:rPr>
                <w:rFonts w:ascii="Book Antiqua" w:eastAsia="Times New Roman" w:hAnsi="Book Antiqua" w:cs="Arial"/>
                <w:color w:val="000000"/>
                <w:lang w:eastAsia="es-CR"/>
              </w:rPr>
              <w:t>XXXV</w:t>
            </w:r>
          </w:p>
        </w:tc>
      </w:tr>
      <w:tr w:rsidR="00406E38" w:rsidRPr="00406E38" w14:paraId="3D99F96B" w14:textId="77777777" w:rsidTr="00306313">
        <w:trPr>
          <w:trHeight w:val="450"/>
          <w:jc w:val="center"/>
        </w:trPr>
        <w:tc>
          <w:tcPr>
            <w:tcW w:w="3119" w:type="dxa"/>
            <w:shd w:val="clear" w:color="auto" w:fill="auto"/>
            <w:vAlign w:val="center"/>
            <w:hideMark/>
          </w:tcPr>
          <w:p w14:paraId="0BE11D0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Bagaces </w:t>
            </w:r>
          </w:p>
        </w:tc>
        <w:tc>
          <w:tcPr>
            <w:tcW w:w="2627" w:type="dxa"/>
            <w:shd w:val="clear" w:color="auto" w:fill="auto"/>
            <w:vAlign w:val="center"/>
            <w:hideMark/>
          </w:tcPr>
          <w:p w14:paraId="56238D4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1647-PLA-EV-2020</w:t>
            </w:r>
          </w:p>
        </w:tc>
        <w:tc>
          <w:tcPr>
            <w:tcW w:w="2508" w:type="dxa"/>
            <w:shd w:val="clear" w:color="auto" w:fill="auto"/>
            <w:vAlign w:val="center"/>
            <w:hideMark/>
          </w:tcPr>
          <w:p w14:paraId="2CEFC0A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1867-PLA-EV-2020</w:t>
            </w:r>
          </w:p>
        </w:tc>
        <w:tc>
          <w:tcPr>
            <w:tcW w:w="2541" w:type="dxa"/>
            <w:shd w:val="clear" w:color="auto" w:fill="auto"/>
            <w:vAlign w:val="center"/>
            <w:hideMark/>
          </w:tcPr>
          <w:p w14:paraId="04BF6533" w14:textId="79C2E845"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118-2020 del 10-12-2020,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LX</w:t>
            </w:r>
          </w:p>
        </w:tc>
      </w:tr>
      <w:tr w:rsidR="00406E38" w:rsidRPr="00406E38" w14:paraId="102AAA65" w14:textId="77777777" w:rsidTr="00306313">
        <w:trPr>
          <w:trHeight w:val="450"/>
          <w:jc w:val="center"/>
        </w:trPr>
        <w:tc>
          <w:tcPr>
            <w:tcW w:w="3119" w:type="dxa"/>
            <w:shd w:val="clear" w:color="auto" w:fill="auto"/>
            <w:vAlign w:val="center"/>
            <w:hideMark/>
          </w:tcPr>
          <w:p w14:paraId="570257E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La Cruz </w:t>
            </w:r>
          </w:p>
        </w:tc>
        <w:tc>
          <w:tcPr>
            <w:tcW w:w="2627" w:type="dxa"/>
            <w:shd w:val="clear" w:color="auto" w:fill="auto"/>
            <w:vAlign w:val="center"/>
            <w:hideMark/>
          </w:tcPr>
          <w:p w14:paraId="0FF4526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1650-PLA-EV-2020</w:t>
            </w:r>
          </w:p>
        </w:tc>
        <w:tc>
          <w:tcPr>
            <w:tcW w:w="2508" w:type="dxa"/>
            <w:shd w:val="clear" w:color="auto" w:fill="auto"/>
            <w:vAlign w:val="center"/>
            <w:hideMark/>
          </w:tcPr>
          <w:p w14:paraId="2B0A0672"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 1981-PLA-EV-2020</w:t>
            </w:r>
          </w:p>
        </w:tc>
        <w:tc>
          <w:tcPr>
            <w:tcW w:w="2541" w:type="dxa"/>
            <w:shd w:val="clear" w:color="auto" w:fill="auto"/>
            <w:vAlign w:val="center"/>
            <w:hideMark/>
          </w:tcPr>
          <w:p w14:paraId="3AA612C4" w14:textId="77BE679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01-21 del 05-</w:t>
            </w:r>
            <w:r w:rsidR="00793A9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1-</w:t>
            </w:r>
            <w:r w:rsidR="00793A9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21,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XXXIII </w:t>
            </w:r>
          </w:p>
        </w:tc>
      </w:tr>
      <w:tr w:rsidR="00406E38" w:rsidRPr="00406E38" w14:paraId="0D3C9DF9" w14:textId="77777777" w:rsidTr="00306313">
        <w:trPr>
          <w:trHeight w:val="450"/>
          <w:jc w:val="center"/>
        </w:trPr>
        <w:tc>
          <w:tcPr>
            <w:tcW w:w="3119" w:type="dxa"/>
            <w:shd w:val="clear" w:color="auto" w:fill="auto"/>
            <w:vAlign w:val="center"/>
            <w:hideMark/>
          </w:tcPr>
          <w:p w14:paraId="4FD79937"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Nandayure </w:t>
            </w:r>
          </w:p>
        </w:tc>
        <w:tc>
          <w:tcPr>
            <w:tcW w:w="2627" w:type="dxa"/>
            <w:shd w:val="clear" w:color="auto" w:fill="auto"/>
            <w:vAlign w:val="center"/>
            <w:hideMark/>
          </w:tcPr>
          <w:p w14:paraId="1D1DB97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1733-PLA-EV-2020</w:t>
            </w:r>
          </w:p>
        </w:tc>
        <w:tc>
          <w:tcPr>
            <w:tcW w:w="2508" w:type="dxa"/>
            <w:shd w:val="clear" w:color="auto" w:fill="auto"/>
            <w:vAlign w:val="center"/>
            <w:hideMark/>
          </w:tcPr>
          <w:p w14:paraId="1861901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1864-PLA-EV-2020</w:t>
            </w:r>
          </w:p>
        </w:tc>
        <w:tc>
          <w:tcPr>
            <w:tcW w:w="2541" w:type="dxa"/>
            <w:shd w:val="clear" w:color="auto" w:fill="auto"/>
            <w:vAlign w:val="center"/>
            <w:hideMark/>
          </w:tcPr>
          <w:p w14:paraId="71E22F47" w14:textId="0DE0CCAE"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116-2020 del 3-12-2020,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XXXIV</w:t>
            </w:r>
          </w:p>
        </w:tc>
      </w:tr>
      <w:tr w:rsidR="00406E38" w:rsidRPr="00406E38" w14:paraId="667C2FD8" w14:textId="77777777" w:rsidTr="00306313">
        <w:trPr>
          <w:trHeight w:val="619"/>
          <w:jc w:val="center"/>
        </w:trPr>
        <w:tc>
          <w:tcPr>
            <w:tcW w:w="3119" w:type="dxa"/>
            <w:shd w:val="clear" w:color="auto" w:fill="auto"/>
            <w:vAlign w:val="center"/>
            <w:hideMark/>
          </w:tcPr>
          <w:p w14:paraId="69851193"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Carrillo </w:t>
            </w:r>
          </w:p>
        </w:tc>
        <w:tc>
          <w:tcPr>
            <w:tcW w:w="2627" w:type="dxa"/>
            <w:shd w:val="clear" w:color="auto" w:fill="auto"/>
            <w:vAlign w:val="center"/>
            <w:hideMark/>
          </w:tcPr>
          <w:p w14:paraId="3100367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1728-PLA-EV-2020</w:t>
            </w:r>
          </w:p>
        </w:tc>
        <w:tc>
          <w:tcPr>
            <w:tcW w:w="2508" w:type="dxa"/>
            <w:shd w:val="clear" w:color="auto" w:fill="auto"/>
            <w:vAlign w:val="center"/>
            <w:hideMark/>
          </w:tcPr>
          <w:p w14:paraId="7036CCB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1877-PLA-EV-2020</w:t>
            </w:r>
          </w:p>
        </w:tc>
        <w:tc>
          <w:tcPr>
            <w:tcW w:w="2541" w:type="dxa"/>
            <w:shd w:val="clear" w:color="auto" w:fill="auto"/>
            <w:vAlign w:val="center"/>
            <w:hideMark/>
          </w:tcPr>
          <w:p w14:paraId="0159A0D8" w14:textId="7900F711"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L</w:t>
            </w:r>
          </w:p>
        </w:tc>
      </w:tr>
      <w:tr w:rsidR="00406E38" w:rsidRPr="00406E38" w14:paraId="64EF678E" w14:textId="77777777" w:rsidTr="00306313">
        <w:trPr>
          <w:trHeight w:val="618"/>
          <w:jc w:val="center"/>
        </w:trPr>
        <w:tc>
          <w:tcPr>
            <w:tcW w:w="3119" w:type="dxa"/>
            <w:shd w:val="clear" w:color="auto" w:fill="auto"/>
            <w:vAlign w:val="center"/>
            <w:hideMark/>
          </w:tcPr>
          <w:p w14:paraId="4544663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Jicaral </w:t>
            </w:r>
          </w:p>
        </w:tc>
        <w:tc>
          <w:tcPr>
            <w:tcW w:w="2627" w:type="dxa"/>
            <w:shd w:val="clear" w:color="auto" w:fill="auto"/>
            <w:vAlign w:val="center"/>
            <w:hideMark/>
          </w:tcPr>
          <w:p w14:paraId="6C11E46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1730-PLA-EV-2020</w:t>
            </w:r>
          </w:p>
        </w:tc>
        <w:tc>
          <w:tcPr>
            <w:tcW w:w="2508" w:type="dxa"/>
            <w:shd w:val="clear" w:color="auto" w:fill="auto"/>
            <w:vAlign w:val="center"/>
            <w:hideMark/>
          </w:tcPr>
          <w:p w14:paraId="05744BDE"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1854-PLA-EV-2020</w:t>
            </w:r>
          </w:p>
        </w:tc>
        <w:tc>
          <w:tcPr>
            <w:tcW w:w="2541" w:type="dxa"/>
            <w:shd w:val="clear" w:color="auto" w:fill="auto"/>
            <w:vAlign w:val="center"/>
            <w:hideMark/>
          </w:tcPr>
          <w:p w14:paraId="598F2E48" w14:textId="6146CE2B"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115-2020 del 1-12-2020,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LI</w:t>
            </w:r>
          </w:p>
        </w:tc>
      </w:tr>
      <w:tr w:rsidR="00406E38" w:rsidRPr="00406E38" w14:paraId="2FA8D825" w14:textId="77777777" w:rsidTr="00306313">
        <w:trPr>
          <w:trHeight w:val="623"/>
          <w:jc w:val="center"/>
        </w:trPr>
        <w:tc>
          <w:tcPr>
            <w:tcW w:w="3119" w:type="dxa"/>
            <w:shd w:val="clear" w:color="auto" w:fill="auto"/>
            <w:vAlign w:val="center"/>
            <w:hideMark/>
          </w:tcPr>
          <w:p w14:paraId="4F64A5E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Garabito </w:t>
            </w:r>
          </w:p>
        </w:tc>
        <w:tc>
          <w:tcPr>
            <w:tcW w:w="2627" w:type="dxa"/>
            <w:shd w:val="clear" w:color="auto" w:fill="auto"/>
            <w:vAlign w:val="center"/>
            <w:hideMark/>
          </w:tcPr>
          <w:p w14:paraId="633D574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1732-PLA-EV-2020</w:t>
            </w:r>
          </w:p>
        </w:tc>
        <w:tc>
          <w:tcPr>
            <w:tcW w:w="2508" w:type="dxa"/>
            <w:shd w:val="clear" w:color="auto" w:fill="auto"/>
            <w:vAlign w:val="center"/>
            <w:hideMark/>
          </w:tcPr>
          <w:p w14:paraId="434AEA4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54-PLA-EV-2021</w:t>
            </w:r>
          </w:p>
        </w:tc>
        <w:tc>
          <w:tcPr>
            <w:tcW w:w="2541" w:type="dxa"/>
            <w:shd w:val="clear" w:color="auto" w:fill="auto"/>
            <w:vAlign w:val="center"/>
            <w:hideMark/>
          </w:tcPr>
          <w:p w14:paraId="2C0AA6AC" w14:textId="6E3E12C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9-2021 del 2-</w:t>
            </w:r>
            <w:r w:rsidR="00793A9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XXXVI</w:t>
            </w:r>
          </w:p>
        </w:tc>
      </w:tr>
      <w:tr w:rsidR="00406E38" w:rsidRPr="00406E38" w14:paraId="5338996E" w14:textId="77777777" w:rsidTr="00306313">
        <w:trPr>
          <w:trHeight w:val="575"/>
          <w:jc w:val="center"/>
        </w:trPr>
        <w:tc>
          <w:tcPr>
            <w:tcW w:w="3119" w:type="dxa"/>
            <w:shd w:val="clear" w:color="auto" w:fill="auto"/>
            <w:vAlign w:val="center"/>
            <w:hideMark/>
          </w:tcPr>
          <w:p w14:paraId="7B78DE1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Cóbano </w:t>
            </w:r>
          </w:p>
        </w:tc>
        <w:tc>
          <w:tcPr>
            <w:tcW w:w="2627" w:type="dxa"/>
            <w:shd w:val="clear" w:color="auto" w:fill="auto"/>
            <w:vAlign w:val="center"/>
            <w:hideMark/>
          </w:tcPr>
          <w:p w14:paraId="66ED836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1749-PLA-EV-2020</w:t>
            </w:r>
          </w:p>
        </w:tc>
        <w:tc>
          <w:tcPr>
            <w:tcW w:w="2508" w:type="dxa"/>
            <w:shd w:val="clear" w:color="auto" w:fill="auto"/>
            <w:vAlign w:val="center"/>
            <w:hideMark/>
          </w:tcPr>
          <w:p w14:paraId="40D6FF4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270-PLA-EV-2021</w:t>
            </w:r>
          </w:p>
        </w:tc>
        <w:tc>
          <w:tcPr>
            <w:tcW w:w="2541" w:type="dxa"/>
            <w:shd w:val="clear" w:color="auto" w:fill="auto"/>
            <w:vAlign w:val="center"/>
            <w:hideMark/>
          </w:tcPr>
          <w:p w14:paraId="130C201C" w14:textId="3D18749A" w:rsidR="00406E38" w:rsidRPr="00406E38" w:rsidRDefault="00793A98" w:rsidP="001D0C10">
            <w:pPr>
              <w:spacing w:after="0" w:line="240" w:lineRule="auto"/>
              <w:jc w:val="both"/>
              <w:rPr>
                <w:rFonts w:ascii="Book Antiqua" w:eastAsia="Times New Roman" w:hAnsi="Book Antiqua" w:cs="Arial"/>
                <w:color w:val="000000"/>
                <w:lang w:eastAsia="es-CR"/>
              </w:rPr>
            </w:pPr>
            <w:r>
              <w:rPr>
                <w:rFonts w:ascii="Book Antiqua" w:eastAsia="Times New Roman" w:hAnsi="Book Antiqua" w:cs="Arial"/>
                <w:color w:val="000000"/>
                <w:lang w:eastAsia="es-CR"/>
              </w:rPr>
              <w:t xml:space="preserve">Sesión </w:t>
            </w:r>
            <w:r w:rsidRPr="00793A98">
              <w:rPr>
                <w:rFonts w:ascii="Book Antiqua" w:eastAsia="Times New Roman" w:hAnsi="Book Antiqua" w:cs="Arial"/>
                <w:color w:val="000000"/>
                <w:lang w:eastAsia="es-CR"/>
              </w:rPr>
              <w:t>22-2021 del 16-</w:t>
            </w:r>
            <w:r>
              <w:rPr>
                <w:rFonts w:ascii="Book Antiqua" w:eastAsia="Times New Roman" w:hAnsi="Book Antiqua" w:cs="Arial"/>
                <w:color w:val="000000"/>
                <w:lang w:eastAsia="es-CR"/>
              </w:rPr>
              <w:t>0</w:t>
            </w:r>
            <w:r w:rsidRPr="00793A98">
              <w:rPr>
                <w:rFonts w:ascii="Book Antiqua" w:eastAsia="Times New Roman" w:hAnsi="Book Antiqua" w:cs="Arial"/>
                <w:color w:val="000000"/>
                <w:lang w:eastAsia="es-CR"/>
              </w:rPr>
              <w:t>3-2021, artículo XXXI</w:t>
            </w:r>
            <w:r w:rsidR="00406E38" w:rsidRPr="00406E38">
              <w:rPr>
                <w:rFonts w:ascii="Book Antiqua" w:eastAsia="Times New Roman" w:hAnsi="Book Antiqua" w:cs="Arial"/>
                <w:color w:val="000000"/>
                <w:lang w:eastAsia="es-CR"/>
              </w:rPr>
              <w:t> </w:t>
            </w:r>
          </w:p>
        </w:tc>
      </w:tr>
      <w:tr w:rsidR="00406E38" w:rsidRPr="00406E38" w14:paraId="111E9710" w14:textId="77777777" w:rsidTr="00306313">
        <w:trPr>
          <w:trHeight w:val="698"/>
          <w:jc w:val="center"/>
        </w:trPr>
        <w:tc>
          <w:tcPr>
            <w:tcW w:w="3119" w:type="dxa"/>
            <w:shd w:val="clear" w:color="auto" w:fill="auto"/>
            <w:vAlign w:val="center"/>
            <w:hideMark/>
          </w:tcPr>
          <w:p w14:paraId="3D62E0D6"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Monteverde</w:t>
            </w:r>
          </w:p>
        </w:tc>
        <w:tc>
          <w:tcPr>
            <w:tcW w:w="2627" w:type="dxa"/>
            <w:shd w:val="clear" w:color="auto" w:fill="auto"/>
            <w:vAlign w:val="center"/>
            <w:hideMark/>
          </w:tcPr>
          <w:p w14:paraId="15583D59"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1753-PLA-EV-2020</w:t>
            </w:r>
          </w:p>
        </w:tc>
        <w:tc>
          <w:tcPr>
            <w:tcW w:w="2508" w:type="dxa"/>
            <w:shd w:val="clear" w:color="auto" w:fill="auto"/>
            <w:vAlign w:val="center"/>
            <w:hideMark/>
          </w:tcPr>
          <w:p w14:paraId="75363D5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173-PLA-EV-2021</w:t>
            </w:r>
          </w:p>
        </w:tc>
        <w:tc>
          <w:tcPr>
            <w:tcW w:w="2541" w:type="dxa"/>
            <w:shd w:val="clear" w:color="auto" w:fill="auto"/>
            <w:vAlign w:val="center"/>
            <w:hideMark/>
          </w:tcPr>
          <w:p w14:paraId="3CDD4EA3" w14:textId="38EAD79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14-2021 del 18-</w:t>
            </w:r>
            <w:r w:rsidR="00793A98">
              <w:rPr>
                <w:rFonts w:ascii="Book Antiqua" w:eastAsia="Times New Roman" w:hAnsi="Book Antiqua" w:cs="Arial"/>
                <w:color w:val="000000"/>
                <w:lang w:eastAsia="es-CR"/>
              </w:rPr>
              <w:t>0</w:t>
            </w:r>
            <w:r w:rsidRPr="00406E38">
              <w:rPr>
                <w:rFonts w:ascii="Book Antiqua" w:eastAsia="Times New Roman" w:hAnsi="Book Antiqua" w:cs="Arial"/>
                <w:color w:val="000000"/>
                <w:lang w:eastAsia="es-CR"/>
              </w:rPr>
              <w:t>2-2021, artículo XLIII </w:t>
            </w:r>
          </w:p>
        </w:tc>
      </w:tr>
      <w:tr w:rsidR="00406E38" w:rsidRPr="00406E38" w14:paraId="5F98BA73" w14:textId="77777777" w:rsidTr="00306313">
        <w:trPr>
          <w:trHeight w:val="693"/>
          <w:jc w:val="center"/>
        </w:trPr>
        <w:tc>
          <w:tcPr>
            <w:tcW w:w="3119" w:type="dxa"/>
            <w:shd w:val="clear" w:color="auto" w:fill="auto"/>
            <w:vAlign w:val="center"/>
            <w:hideMark/>
          </w:tcPr>
          <w:p w14:paraId="5D95FE1A"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Coto Brus</w:t>
            </w:r>
          </w:p>
        </w:tc>
        <w:tc>
          <w:tcPr>
            <w:tcW w:w="2627" w:type="dxa"/>
            <w:shd w:val="clear" w:color="auto" w:fill="auto"/>
            <w:vAlign w:val="center"/>
            <w:hideMark/>
          </w:tcPr>
          <w:p w14:paraId="5E421B9D"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1666-PLA-EV-2020</w:t>
            </w:r>
          </w:p>
        </w:tc>
        <w:tc>
          <w:tcPr>
            <w:tcW w:w="2508" w:type="dxa"/>
            <w:shd w:val="clear" w:color="auto" w:fill="auto"/>
            <w:vAlign w:val="center"/>
            <w:hideMark/>
          </w:tcPr>
          <w:p w14:paraId="292A2CA7"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1887-PLA-EV-2020</w:t>
            </w:r>
          </w:p>
        </w:tc>
        <w:tc>
          <w:tcPr>
            <w:tcW w:w="2541" w:type="dxa"/>
            <w:shd w:val="clear" w:color="auto" w:fill="auto"/>
            <w:vAlign w:val="center"/>
            <w:hideMark/>
          </w:tcPr>
          <w:p w14:paraId="51FFDB9B" w14:textId="543A0C7C"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116-2020 del 3-12-</w:t>
            </w:r>
            <w:r w:rsidR="00793A9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XXXVII</w:t>
            </w:r>
          </w:p>
        </w:tc>
      </w:tr>
      <w:tr w:rsidR="00406E38" w:rsidRPr="00406E38" w14:paraId="75433D44" w14:textId="77777777" w:rsidTr="00306313">
        <w:trPr>
          <w:trHeight w:val="577"/>
          <w:jc w:val="center"/>
        </w:trPr>
        <w:tc>
          <w:tcPr>
            <w:tcW w:w="3119" w:type="dxa"/>
            <w:shd w:val="clear" w:color="auto" w:fill="auto"/>
            <w:vAlign w:val="center"/>
            <w:hideMark/>
          </w:tcPr>
          <w:p w14:paraId="0135B243"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Golfito, Sede Puerto Jiménez  </w:t>
            </w:r>
          </w:p>
        </w:tc>
        <w:tc>
          <w:tcPr>
            <w:tcW w:w="2627" w:type="dxa"/>
            <w:shd w:val="clear" w:color="auto" w:fill="auto"/>
            <w:vAlign w:val="center"/>
            <w:hideMark/>
          </w:tcPr>
          <w:p w14:paraId="040457B6"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1658-PLA-EV-2020</w:t>
            </w:r>
          </w:p>
        </w:tc>
        <w:tc>
          <w:tcPr>
            <w:tcW w:w="2508" w:type="dxa"/>
            <w:shd w:val="clear" w:color="auto" w:fill="auto"/>
            <w:vAlign w:val="center"/>
            <w:hideMark/>
          </w:tcPr>
          <w:p w14:paraId="35A58A68"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1988-PLA-EV-2020</w:t>
            </w:r>
          </w:p>
        </w:tc>
        <w:tc>
          <w:tcPr>
            <w:tcW w:w="2541" w:type="dxa"/>
            <w:shd w:val="clear" w:color="auto" w:fill="auto"/>
            <w:vAlign w:val="center"/>
            <w:hideMark/>
          </w:tcPr>
          <w:p w14:paraId="2ABB79FA" w14:textId="3AD68F08"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w:t>
            </w:r>
            <w:r w:rsidR="00793A9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93A98">
              <w:rPr>
                <w:rFonts w:ascii="Book Antiqua" w:eastAsia="Times New Roman" w:hAnsi="Book Antiqua" w:cs="Arial"/>
                <w:color w:val="000000"/>
                <w:lang w:eastAsia="es-CR"/>
              </w:rPr>
              <w:t>ar</w:t>
            </w:r>
            <w:r w:rsidRPr="00406E38">
              <w:rPr>
                <w:rFonts w:ascii="Book Antiqua" w:eastAsia="Times New Roman" w:hAnsi="Book Antiqua" w:cs="Arial"/>
                <w:color w:val="000000"/>
                <w:lang w:eastAsia="es-CR"/>
              </w:rPr>
              <w:t>t</w:t>
            </w:r>
            <w:r w:rsidR="00793A98">
              <w:rPr>
                <w:rFonts w:ascii="Book Antiqua" w:eastAsia="Times New Roman" w:hAnsi="Book Antiqua" w:cs="Arial"/>
                <w:color w:val="000000"/>
                <w:lang w:eastAsia="es-CR"/>
              </w:rPr>
              <w:t>ículo</w:t>
            </w:r>
            <w:r w:rsidRPr="00406E38">
              <w:rPr>
                <w:rFonts w:ascii="Book Antiqua" w:eastAsia="Times New Roman" w:hAnsi="Book Antiqua" w:cs="Arial"/>
                <w:color w:val="000000"/>
                <w:lang w:eastAsia="es-CR"/>
              </w:rPr>
              <w:t xml:space="preserve"> LXVII</w:t>
            </w:r>
          </w:p>
        </w:tc>
      </w:tr>
      <w:tr w:rsidR="00406E38" w:rsidRPr="00406E38" w14:paraId="6F84E958" w14:textId="77777777" w:rsidTr="00306313">
        <w:trPr>
          <w:trHeight w:val="300"/>
          <w:jc w:val="center"/>
        </w:trPr>
        <w:tc>
          <w:tcPr>
            <w:tcW w:w="3119" w:type="dxa"/>
            <w:shd w:val="clear" w:color="auto" w:fill="auto"/>
            <w:vAlign w:val="center"/>
            <w:hideMark/>
          </w:tcPr>
          <w:p w14:paraId="2F92448D"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Bribri </w:t>
            </w:r>
          </w:p>
        </w:tc>
        <w:tc>
          <w:tcPr>
            <w:tcW w:w="2627" w:type="dxa"/>
            <w:shd w:val="clear" w:color="auto" w:fill="auto"/>
            <w:vAlign w:val="center"/>
            <w:hideMark/>
          </w:tcPr>
          <w:p w14:paraId="195CAFF7"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1746-PLA-MI-2020</w:t>
            </w:r>
          </w:p>
        </w:tc>
        <w:tc>
          <w:tcPr>
            <w:tcW w:w="2508" w:type="dxa"/>
            <w:shd w:val="clear" w:color="auto" w:fill="auto"/>
            <w:vAlign w:val="center"/>
            <w:hideMark/>
          </w:tcPr>
          <w:p w14:paraId="13D748EF"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1985-PLA-EV-2020</w:t>
            </w:r>
          </w:p>
        </w:tc>
        <w:tc>
          <w:tcPr>
            <w:tcW w:w="2541" w:type="dxa"/>
            <w:shd w:val="clear" w:color="auto" w:fill="auto"/>
            <w:vAlign w:val="center"/>
            <w:hideMark/>
          </w:tcPr>
          <w:p w14:paraId="4515C720" w14:textId="033C4959"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120-2020 del 17-12-</w:t>
            </w:r>
            <w:r w:rsidR="00793A98">
              <w:rPr>
                <w:rFonts w:ascii="Book Antiqua" w:eastAsia="Times New Roman" w:hAnsi="Book Antiqua" w:cs="Arial"/>
                <w:color w:val="000000"/>
                <w:lang w:eastAsia="es-CR"/>
              </w:rPr>
              <w:t>20</w:t>
            </w:r>
            <w:r w:rsidRPr="00406E38">
              <w:rPr>
                <w:rFonts w:ascii="Book Antiqua" w:eastAsia="Times New Roman" w:hAnsi="Book Antiqua" w:cs="Arial"/>
                <w:color w:val="000000"/>
                <w:lang w:eastAsia="es-CR"/>
              </w:rPr>
              <w:t xml:space="preserve">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LXXI</w:t>
            </w:r>
          </w:p>
        </w:tc>
      </w:tr>
      <w:tr w:rsidR="00406E38" w:rsidRPr="00406E38" w14:paraId="09417358" w14:textId="77777777" w:rsidTr="00306313">
        <w:trPr>
          <w:trHeight w:val="300"/>
          <w:jc w:val="center"/>
        </w:trPr>
        <w:tc>
          <w:tcPr>
            <w:tcW w:w="3119" w:type="dxa"/>
            <w:shd w:val="clear" w:color="auto" w:fill="auto"/>
            <w:vAlign w:val="center"/>
            <w:hideMark/>
          </w:tcPr>
          <w:p w14:paraId="58F8C330"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Matina </w:t>
            </w:r>
          </w:p>
        </w:tc>
        <w:tc>
          <w:tcPr>
            <w:tcW w:w="2627" w:type="dxa"/>
            <w:shd w:val="clear" w:color="auto" w:fill="auto"/>
            <w:vAlign w:val="center"/>
            <w:hideMark/>
          </w:tcPr>
          <w:p w14:paraId="5A64E9C5"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1751-PLA-MI-2020</w:t>
            </w:r>
          </w:p>
        </w:tc>
        <w:tc>
          <w:tcPr>
            <w:tcW w:w="2508" w:type="dxa"/>
            <w:shd w:val="clear" w:color="auto" w:fill="auto"/>
            <w:vAlign w:val="center"/>
            <w:hideMark/>
          </w:tcPr>
          <w:p w14:paraId="6C690288" w14:textId="3EA46CD2" w:rsidR="00406E38" w:rsidRPr="00406E38" w:rsidRDefault="00793A98" w:rsidP="00406E38">
            <w:pPr>
              <w:spacing w:after="0" w:line="240" w:lineRule="auto"/>
              <w:jc w:val="center"/>
              <w:rPr>
                <w:rFonts w:ascii="Book Antiqua" w:eastAsia="Times New Roman" w:hAnsi="Book Antiqua" w:cs="Arial"/>
                <w:color w:val="000000"/>
                <w:lang w:eastAsia="es-CR"/>
              </w:rPr>
            </w:pPr>
            <w:r w:rsidRPr="00793A98">
              <w:rPr>
                <w:rFonts w:ascii="Book Antiqua" w:eastAsia="Times New Roman" w:hAnsi="Book Antiqua" w:cs="Arial"/>
                <w:color w:val="000000"/>
                <w:lang w:eastAsia="es-CR"/>
              </w:rPr>
              <w:t>414-PLA-MI-2020</w:t>
            </w:r>
          </w:p>
        </w:tc>
        <w:tc>
          <w:tcPr>
            <w:tcW w:w="2541" w:type="dxa"/>
            <w:shd w:val="clear" w:color="auto" w:fill="auto"/>
            <w:vAlign w:val="center"/>
            <w:hideMark/>
          </w:tcPr>
          <w:p w14:paraId="1392FEB0" w14:textId="3D5CC052" w:rsidR="00406E38" w:rsidRPr="00406E38" w:rsidRDefault="00793A98" w:rsidP="001D0C10">
            <w:pPr>
              <w:spacing w:after="0" w:line="240" w:lineRule="auto"/>
              <w:jc w:val="both"/>
              <w:rPr>
                <w:rFonts w:ascii="Book Antiqua" w:eastAsia="Times New Roman" w:hAnsi="Book Antiqua" w:cs="Arial"/>
                <w:color w:val="000000"/>
                <w:lang w:eastAsia="es-CR"/>
              </w:rPr>
            </w:pPr>
            <w:r w:rsidRPr="00793A98">
              <w:rPr>
                <w:rFonts w:ascii="Book Antiqua" w:eastAsia="Times New Roman" w:hAnsi="Book Antiqua" w:cs="Arial"/>
                <w:color w:val="000000"/>
                <w:lang w:eastAsia="es-CR"/>
              </w:rPr>
              <w:t>Sesión 32-</w:t>
            </w:r>
            <w:r>
              <w:rPr>
                <w:rFonts w:ascii="Book Antiqua" w:eastAsia="Times New Roman" w:hAnsi="Book Antiqua" w:cs="Arial"/>
                <w:color w:val="000000"/>
                <w:lang w:eastAsia="es-CR"/>
              </w:rPr>
              <w:t>20</w:t>
            </w:r>
            <w:r w:rsidRPr="00793A98">
              <w:rPr>
                <w:rFonts w:ascii="Book Antiqua" w:eastAsia="Times New Roman" w:hAnsi="Book Antiqua" w:cs="Arial"/>
                <w:color w:val="000000"/>
                <w:lang w:eastAsia="es-CR"/>
              </w:rPr>
              <w:t>21</w:t>
            </w:r>
            <w:r>
              <w:rPr>
                <w:rFonts w:ascii="Book Antiqua" w:eastAsia="Times New Roman" w:hAnsi="Book Antiqua" w:cs="Arial"/>
                <w:color w:val="000000"/>
                <w:lang w:eastAsia="es-CR"/>
              </w:rPr>
              <w:t xml:space="preserve"> del </w:t>
            </w:r>
            <w:r w:rsidRPr="00793A98">
              <w:rPr>
                <w:rFonts w:ascii="Book Antiqua" w:eastAsia="Times New Roman" w:hAnsi="Book Antiqua" w:cs="Arial"/>
                <w:color w:val="000000"/>
                <w:lang w:eastAsia="es-CR"/>
              </w:rPr>
              <w:t>22</w:t>
            </w:r>
            <w:r>
              <w:rPr>
                <w:rFonts w:ascii="Book Antiqua" w:eastAsia="Times New Roman" w:hAnsi="Book Antiqua" w:cs="Arial"/>
                <w:color w:val="000000"/>
                <w:lang w:eastAsia="es-CR"/>
              </w:rPr>
              <w:t>-04-20</w:t>
            </w:r>
            <w:r w:rsidRPr="00793A98">
              <w:rPr>
                <w:rFonts w:ascii="Book Antiqua" w:eastAsia="Times New Roman" w:hAnsi="Book Antiqua" w:cs="Arial"/>
                <w:color w:val="000000"/>
                <w:lang w:eastAsia="es-CR"/>
              </w:rPr>
              <w:t>021, artículo XL</w:t>
            </w:r>
            <w:r w:rsidR="00406E38" w:rsidRPr="00406E38">
              <w:rPr>
                <w:rFonts w:ascii="Book Antiqua" w:eastAsia="Times New Roman" w:hAnsi="Book Antiqua" w:cs="Arial"/>
                <w:color w:val="000000"/>
                <w:lang w:eastAsia="es-CR"/>
              </w:rPr>
              <w:t> </w:t>
            </w:r>
          </w:p>
        </w:tc>
      </w:tr>
      <w:tr w:rsidR="00406E38" w:rsidRPr="00406E38" w14:paraId="76C801C3" w14:textId="77777777" w:rsidTr="00306313">
        <w:trPr>
          <w:trHeight w:val="567"/>
          <w:jc w:val="center"/>
        </w:trPr>
        <w:tc>
          <w:tcPr>
            <w:tcW w:w="3119" w:type="dxa"/>
            <w:shd w:val="clear" w:color="auto" w:fill="auto"/>
            <w:vAlign w:val="center"/>
            <w:hideMark/>
          </w:tcPr>
          <w:p w14:paraId="2EF29C6F"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Guácimo</w:t>
            </w:r>
          </w:p>
        </w:tc>
        <w:tc>
          <w:tcPr>
            <w:tcW w:w="2627" w:type="dxa"/>
            <w:shd w:val="clear" w:color="auto" w:fill="auto"/>
            <w:vAlign w:val="center"/>
            <w:hideMark/>
          </w:tcPr>
          <w:p w14:paraId="2C68214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1656-PLA-EV-2020</w:t>
            </w:r>
          </w:p>
        </w:tc>
        <w:tc>
          <w:tcPr>
            <w:tcW w:w="2508" w:type="dxa"/>
            <w:shd w:val="clear" w:color="auto" w:fill="auto"/>
            <w:vAlign w:val="center"/>
            <w:hideMark/>
          </w:tcPr>
          <w:p w14:paraId="31D130D4"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1866-PLA-EV-2020</w:t>
            </w:r>
          </w:p>
        </w:tc>
        <w:tc>
          <w:tcPr>
            <w:tcW w:w="2541" w:type="dxa"/>
            <w:shd w:val="clear" w:color="auto" w:fill="auto"/>
            <w:vAlign w:val="center"/>
            <w:hideMark/>
          </w:tcPr>
          <w:p w14:paraId="414B09E9" w14:textId="5E627C02"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Sesión 119-2020 del 15-12-2020, </w:t>
            </w:r>
            <w:r w:rsidR="00793A98">
              <w:rPr>
                <w:rFonts w:ascii="Book Antiqua" w:eastAsia="Times New Roman" w:hAnsi="Book Antiqua" w:cs="Arial"/>
                <w:color w:val="000000"/>
                <w:lang w:eastAsia="es-CR"/>
              </w:rPr>
              <w:t>artículo</w:t>
            </w:r>
            <w:r w:rsidRPr="00406E38">
              <w:rPr>
                <w:rFonts w:ascii="Book Antiqua" w:eastAsia="Times New Roman" w:hAnsi="Book Antiqua" w:cs="Arial"/>
                <w:color w:val="000000"/>
                <w:lang w:eastAsia="es-CR"/>
              </w:rPr>
              <w:t xml:space="preserve"> XLVIII</w:t>
            </w:r>
          </w:p>
        </w:tc>
      </w:tr>
      <w:tr w:rsidR="00406E38" w:rsidRPr="00406E38" w14:paraId="7A399B87" w14:textId="77777777" w:rsidTr="00306313">
        <w:trPr>
          <w:trHeight w:val="567"/>
          <w:jc w:val="center"/>
        </w:trPr>
        <w:tc>
          <w:tcPr>
            <w:tcW w:w="3119" w:type="dxa"/>
            <w:shd w:val="clear" w:color="auto" w:fill="auto"/>
            <w:vAlign w:val="center"/>
            <w:hideMark/>
          </w:tcPr>
          <w:p w14:paraId="71F89909"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xml:space="preserve">Juzgado Contravencional de San Isidro </w:t>
            </w:r>
          </w:p>
        </w:tc>
        <w:tc>
          <w:tcPr>
            <w:tcW w:w="2627" w:type="dxa"/>
            <w:shd w:val="clear" w:color="auto" w:fill="auto"/>
            <w:vAlign w:val="center"/>
            <w:hideMark/>
          </w:tcPr>
          <w:p w14:paraId="6913F091"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1839-PLA-EV-2020</w:t>
            </w:r>
          </w:p>
        </w:tc>
        <w:tc>
          <w:tcPr>
            <w:tcW w:w="2508" w:type="dxa"/>
            <w:shd w:val="clear" w:color="auto" w:fill="auto"/>
            <w:vAlign w:val="center"/>
            <w:hideMark/>
          </w:tcPr>
          <w:p w14:paraId="3D00E615"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58-PLA-EV-2021 </w:t>
            </w:r>
          </w:p>
        </w:tc>
        <w:tc>
          <w:tcPr>
            <w:tcW w:w="2541" w:type="dxa"/>
            <w:shd w:val="clear" w:color="auto" w:fill="auto"/>
            <w:vAlign w:val="center"/>
            <w:hideMark/>
          </w:tcPr>
          <w:p w14:paraId="668793AF"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4-2-2021, artículo XLIV</w:t>
            </w:r>
          </w:p>
        </w:tc>
      </w:tr>
      <w:tr w:rsidR="00406E38" w:rsidRPr="00406E38" w14:paraId="5913A5C8" w14:textId="77777777" w:rsidTr="00306313">
        <w:trPr>
          <w:trHeight w:val="689"/>
          <w:jc w:val="center"/>
        </w:trPr>
        <w:tc>
          <w:tcPr>
            <w:tcW w:w="3119" w:type="dxa"/>
            <w:shd w:val="clear" w:color="auto" w:fill="auto"/>
            <w:vAlign w:val="center"/>
            <w:hideMark/>
          </w:tcPr>
          <w:p w14:paraId="0F108D05"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de Pensiones Alimentarias de Sarapiquí</w:t>
            </w:r>
          </w:p>
        </w:tc>
        <w:tc>
          <w:tcPr>
            <w:tcW w:w="2627" w:type="dxa"/>
            <w:shd w:val="clear" w:color="auto" w:fill="auto"/>
            <w:vAlign w:val="center"/>
            <w:hideMark/>
          </w:tcPr>
          <w:p w14:paraId="08FEBFC7"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1756-PLA-MI-2020</w:t>
            </w:r>
          </w:p>
        </w:tc>
        <w:tc>
          <w:tcPr>
            <w:tcW w:w="2508" w:type="dxa"/>
            <w:shd w:val="clear" w:color="auto" w:fill="auto"/>
            <w:vAlign w:val="center"/>
            <w:hideMark/>
          </w:tcPr>
          <w:p w14:paraId="300FE94B" w14:textId="77777777" w:rsidR="00406E38" w:rsidRPr="00406E38" w:rsidRDefault="00406E38" w:rsidP="00406E38">
            <w:pPr>
              <w:spacing w:after="0" w:line="240" w:lineRule="auto"/>
              <w:jc w:val="center"/>
              <w:rPr>
                <w:rFonts w:ascii="Book Antiqua" w:eastAsia="Times New Roman" w:hAnsi="Book Antiqua" w:cs="Times New Roman"/>
                <w:color w:val="000000"/>
                <w:lang w:eastAsia="es-CR"/>
              </w:rPr>
            </w:pPr>
            <w:r w:rsidRPr="00406E38">
              <w:rPr>
                <w:rFonts w:ascii="Book Antiqua" w:eastAsia="Times New Roman" w:hAnsi="Book Antiqua" w:cs="Times New Roman"/>
                <w:color w:val="000000"/>
                <w:lang w:eastAsia="es-CR"/>
              </w:rPr>
              <w:t xml:space="preserve"> 63-PLA-EV-2021</w:t>
            </w:r>
          </w:p>
        </w:tc>
        <w:tc>
          <w:tcPr>
            <w:tcW w:w="2541" w:type="dxa"/>
            <w:shd w:val="clear" w:color="auto" w:fill="auto"/>
            <w:vAlign w:val="center"/>
            <w:hideMark/>
          </w:tcPr>
          <w:p w14:paraId="6D75BE55"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4-2-2021, artículo LVI</w:t>
            </w:r>
          </w:p>
        </w:tc>
      </w:tr>
      <w:tr w:rsidR="00406E38" w:rsidRPr="00406E38" w14:paraId="3100CB07" w14:textId="77777777" w:rsidTr="00306313">
        <w:trPr>
          <w:trHeight w:val="555"/>
          <w:jc w:val="center"/>
        </w:trPr>
        <w:tc>
          <w:tcPr>
            <w:tcW w:w="3119" w:type="dxa"/>
            <w:shd w:val="clear" w:color="auto" w:fill="auto"/>
            <w:vAlign w:val="center"/>
            <w:hideMark/>
          </w:tcPr>
          <w:p w14:paraId="61CBE0DE"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Contravencional de Cañas</w:t>
            </w:r>
          </w:p>
        </w:tc>
        <w:tc>
          <w:tcPr>
            <w:tcW w:w="2627" w:type="dxa"/>
            <w:shd w:val="clear" w:color="auto" w:fill="auto"/>
            <w:vAlign w:val="center"/>
            <w:hideMark/>
          </w:tcPr>
          <w:p w14:paraId="657E7E1C"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1806-PLA-EV-2020</w:t>
            </w:r>
          </w:p>
        </w:tc>
        <w:tc>
          <w:tcPr>
            <w:tcW w:w="2508" w:type="dxa"/>
            <w:shd w:val="clear" w:color="auto" w:fill="auto"/>
            <w:vAlign w:val="center"/>
            <w:hideMark/>
          </w:tcPr>
          <w:p w14:paraId="40B8F3BB"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70-PLA-EV-2021</w:t>
            </w:r>
          </w:p>
        </w:tc>
        <w:tc>
          <w:tcPr>
            <w:tcW w:w="2541" w:type="dxa"/>
            <w:shd w:val="clear" w:color="auto" w:fill="auto"/>
            <w:vAlign w:val="center"/>
            <w:hideMark/>
          </w:tcPr>
          <w:p w14:paraId="126B1491" w14:textId="77777777"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Sesión 10-2021 del 4-2-2021, artículo XLIII</w:t>
            </w:r>
          </w:p>
        </w:tc>
      </w:tr>
      <w:tr w:rsidR="00406E38" w:rsidRPr="00406E38" w14:paraId="1FF64C0D" w14:textId="77777777" w:rsidTr="00306313">
        <w:trPr>
          <w:trHeight w:val="432"/>
          <w:jc w:val="center"/>
        </w:trPr>
        <w:tc>
          <w:tcPr>
            <w:tcW w:w="3119" w:type="dxa"/>
            <w:shd w:val="clear" w:color="auto" w:fill="auto"/>
            <w:vAlign w:val="center"/>
            <w:hideMark/>
          </w:tcPr>
          <w:p w14:paraId="0679A8E8" w14:textId="77777777" w:rsidR="00406E38" w:rsidRPr="00406E38" w:rsidRDefault="00406E38" w:rsidP="00406E38">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Juzgado Pensiones y Violencia Doméstica La Unión (PISAV)</w:t>
            </w:r>
          </w:p>
        </w:tc>
        <w:tc>
          <w:tcPr>
            <w:tcW w:w="2627" w:type="dxa"/>
            <w:shd w:val="clear" w:color="auto" w:fill="auto"/>
            <w:vAlign w:val="center"/>
            <w:hideMark/>
          </w:tcPr>
          <w:p w14:paraId="04518C33" w14:textId="77777777" w:rsidR="00406E38" w:rsidRPr="00406E38" w:rsidRDefault="00406E38" w:rsidP="00406E38">
            <w:pPr>
              <w:spacing w:after="0" w:line="240" w:lineRule="auto"/>
              <w:jc w:val="center"/>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1741-PLA-EV-2020</w:t>
            </w:r>
          </w:p>
        </w:tc>
        <w:tc>
          <w:tcPr>
            <w:tcW w:w="2508" w:type="dxa"/>
            <w:shd w:val="clear" w:color="auto" w:fill="auto"/>
            <w:vAlign w:val="center"/>
            <w:hideMark/>
          </w:tcPr>
          <w:p w14:paraId="477C31AE" w14:textId="3CAC4F8B" w:rsidR="00406E38" w:rsidRPr="00406E38" w:rsidRDefault="00174DEB" w:rsidP="00406E38">
            <w:pPr>
              <w:spacing w:after="0" w:line="240" w:lineRule="auto"/>
              <w:jc w:val="center"/>
              <w:rPr>
                <w:rFonts w:ascii="Book Antiqua" w:eastAsia="Times New Roman" w:hAnsi="Book Antiqua" w:cs="Arial"/>
                <w:color w:val="000000"/>
                <w:lang w:eastAsia="es-CR"/>
              </w:rPr>
            </w:pPr>
            <w:r w:rsidRPr="00174DEB">
              <w:rPr>
                <w:rFonts w:ascii="Book Antiqua" w:eastAsia="Times New Roman" w:hAnsi="Book Antiqua" w:cs="Arial"/>
                <w:color w:val="000000"/>
                <w:lang w:eastAsia="es-CR"/>
              </w:rPr>
              <w:t>546-PLA-EV-2021</w:t>
            </w:r>
          </w:p>
        </w:tc>
        <w:tc>
          <w:tcPr>
            <w:tcW w:w="2541" w:type="dxa"/>
            <w:shd w:val="clear" w:color="auto" w:fill="auto"/>
            <w:vAlign w:val="center"/>
            <w:hideMark/>
          </w:tcPr>
          <w:p w14:paraId="028AC00C" w14:textId="3B27192E" w:rsidR="00406E38" w:rsidRPr="00406E38" w:rsidRDefault="00406E38" w:rsidP="001D0C10">
            <w:pPr>
              <w:spacing w:after="0" w:line="240" w:lineRule="auto"/>
              <w:jc w:val="both"/>
              <w:rPr>
                <w:rFonts w:ascii="Book Antiqua" w:eastAsia="Times New Roman" w:hAnsi="Book Antiqua" w:cs="Arial"/>
                <w:color w:val="000000"/>
                <w:lang w:eastAsia="es-CR"/>
              </w:rPr>
            </w:pPr>
            <w:r w:rsidRPr="00406E38">
              <w:rPr>
                <w:rFonts w:ascii="Book Antiqua" w:eastAsia="Times New Roman" w:hAnsi="Book Antiqua" w:cs="Arial"/>
                <w:color w:val="000000"/>
                <w:lang w:eastAsia="es-CR"/>
              </w:rPr>
              <w:t> </w:t>
            </w:r>
            <w:r w:rsidR="00174DEB" w:rsidRPr="00174DEB">
              <w:rPr>
                <w:rFonts w:ascii="Book Antiqua" w:eastAsia="Times New Roman" w:hAnsi="Book Antiqua" w:cs="Arial"/>
                <w:color w:val="000000"/>
                <w:lang w:eastAsia="es-CR"/>
              </w:rPr>
              <w:t>S</w:t>
            </w:r>
            <w:r w:rsidR="00174DEB">
              <w:rPr>
                <w:rFonts w:ascii="Book Antiqua" w:eastAsia="Times New Roman" w:hAnsi="Book Antiqua" w:cs="Arial"/>
                <w:color w:val="000000"/>
                <w:lang w:eastAsia="es-CR"/>
              </w:rPr>
              <w:t>esión</w:t>
            </w:r>
            <w:r w:rsidR="00174DEB" w:rsidRPr="00174DEB">
              <w:rPr>
                <w:rFonts w:ascii="Book Antiqua" w:eastAsia="Times New Roman" w:hAnsi="Book Antiqua" w:cs="Arial"/>
                <w:color w:val="000000"/>
                <w:lang w:eastAsia="es-CR"/>
              </w:rPr>
              <w:t xml:space="preserve"> 43-</w:t>
            </w:r>
            <w:r w:rsidR="00174DEB">
              <w:rPr>
                <w:rFonts w:ascii="Book Antiqua" w:eastAsia="Times New Roman" w:hAnsi="Book Antiqua" w:cs="Arial"/>
                <w:color w:val="000000"/>
                <w:lang w:eastAsia="es-CR"/>
              </w:rPr>
              <w:t>20</w:t>
            </w:r>
            <w:r w:rsidR="00174DEB" w:rsidRPr="00174DEB">
              <w:rPr>
                <w:rFonts w:ascii="Book Antiqua" w:eastAsia="Times New Roman" w:hAnsi="Book Antiqua" w:cs="Arial"/>
                <w:color w:val="000000"/>
                <w:lang w:eastAsia="es-CR"/>
              </w:rPr>
              <w:t>21</w:t>
            </w:r>
            <w:r w:rsidR="00174DEB">
              <w:rPr>
                <w:rFonts w:ascii="Book Antiqua" w:eastAsia="Times New Roman" w:hAnsi="Book Antiqua" w:cs="Arial"/>
                <w:color w:val="000000"/>
                <w:lang w:eastAsia="es-CR"/>
              </w:rPr>
              <w:t xml:space="preserve"> del </w:t>
            </w:r>
            <w:r w:rsidR="00174DEB" w:rsidRPr="00174DEB">
              <w:rPr>
                <w:rFonts w:ascii="Book Antiqua" w:eastAsia="Times New Roman" w:hAnsi="Book Antiqua" w:cs="Arial"/>
                <w:color w:val="000000"/>
                <w:lang w:eastAsia="es-CR"/>
              </w:rPr>
              <w:t>25</w:t>
            </w:r>
            <w:r w:rsidR="00174DEB">
              <w:rPr>
                <w:rFonts w:ascii="Book Antiqua" w:eastAsia="Times New Roman" w:hAnsi="Book Antiqua" w:cs="Arial"/>
                <w:color w:val="000000"/>
                <w:lang w:eastAsia="es-CR"/>
              </w:rPr>
              <w:t>-</w:t>
            </w:r>
            <w:r w:rsidR="00174DEB" w:rsidRPr="00174DEB">
              <w:rPr>
                <w:rFonts w:ascii="Book Antiqua" w:eastAsia="Times New Roman" w:hAnsi="Book Antiqua" w:cs="Arial"/>
                <w:color w:val="000000"/>
                <w:lang w:eastAsia="es-CR"/>
              </w:rPr>
              <w:t>05</w:t>
            </w:r>
            <w:r w:rsidR="00174DEB">
              <w:rPr>
                <w:rFonts w:ascii="Book Antiqua" w:eastAsia="Times New Roman" w:hAnsi="Book Antiqua" w:cs="Arial"/>
                <w:color w:val="000000"/>
                <w:lang w:eastAsia="es-CR"/>
              </w:rPr>
              <w:t>-20</w:t>
            </w:r>
            <w:r w:rsidR="00174DEB" w:rsidRPr="00174DEB">
              <w:rPr>
                <w:rFonts w:ascii="Book Antiqua" w:eastAsia="Times New Roman" w:hAnsi="Book Antiqua" w:cs="Arial"/>
                <w:color w:val="000000"/>
                <w:lang w:eastAsia="es-CR"/>
              </w:rPr>
              <w:t>21</w:t>
            </w:r>
            <w:r w:rsidR="00174DEB">
              <w:rPr>
                <w:rFonts w:ascii="Book Antiqua" w:eastAsia="Times New Roman" w:hAnsi="Book Antiqua" w:cs="Arial"/>
                <w:color w:val="000000"/>
                <w:lang w:eastAsia="es-CR"/>
              </w:rPr>
              <w:t>, artículo</w:t>
            </w:r>
            <w:r w:rsidR="00174DEB" w:rsidRPr="00174DEB">
              <w:rPr>
                <w:rFonts w:ascii="Book Antiqua" w:eastAsia="Times New Roman" w:hAnsi="Book Antiqua" w:cs="Arial"/>
                <w:color w:val="000000"/>
                <w:lang w:eastAsia="es-CR"/>
              </w:rPr>
              <w:t xml:space="preserve"> XXXV</w:t>
            </w:r>
          </w:p>
        </w:tc>
      </w:tr>
    </w:tbl>
    <w:p w14:paraId="547DECFD" w14:textId="08D6E35C" w:rsidR="00835544" w:rsidRPr="00406E38" w:rsidRDefault="00406E38" w:rsidP="00406E38">
      <w:pPr>
        <w:spacing w:after="0"/>
        <w:ind w:left="-1021"/>
        <w:rPr>
          <w:rFonts w:ascii="Book Antiqua" w:hAnsi="Book Antiqua"/>
          <w:i/>
          <w:iCs/>
          <w:lang w:val="es-ES"/>
        </w:rPr>
      </w:pPr>
      <w:r w:rsidRPr="00406E38">
        <w:rPr>
          <w:rFonts w:ascii="Book Antiqua" w:hAnsi="Book Antiqua"/>
          <w:i/>
          <w:iCs/>
          <w:lang w:val="es-ES"/>
        </w:rPr>
        <w:t>Fuente: Subproceso de Modernización Institucional de la Dirección de Planificación</w:t>
      </w:r>
    </w:p>
    <w:p w14:paraId="7F8AD929" w14:textId="38DB27AF" w:rsidR="00036F7A" w:rsidRDefault="00036F7A" w:rsidP="00036F7A">
      <w:pPr>
        <w:rPr>
          <w:lang w:val="es-ES"/>
        </w:rPr>
      </w:pPr>
    </w:p>
    <w:p w14:paraId="505D4AFD" w14:textId="116F6143" w:rsidR="008A5896" w:rsidRPr="00B366F3"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B366F3">
        <w:rPr>
          <w:rFonts w:ascii="Book Antiqua" w:eastAsiaTheme="majorEastAsia" w:hAnsi="Book Antiqua" w:cstheme="majorBidi"/>
          <w:b/>
          <w:color w:val="1F3864" w:themeColor="accent1" w:themeShade="80"/>
          <w:sz w:val="24"/>
          <w:lang w:val="es-ES"/>
        </w:rPr>
        <w:lastRenderedPageBreak/>
        <w:t>Coordinación con otras Instancias</w:t>
      </w:r>
    </w:p>
    <w:p w14:paraId="34DDA361" w14:textId="250C35F6" w:rsidR="008A5896" w:rsidRDefault="008A5896" w:rsidP="00036F7A">
      <w:pPr>
        <w:rPr>
          <w:lang w:val="es-ES"/>
        </w:rPr>
      </w:pPr>
    </w:p>
    <w:p w14:paraId="607EDBE2" w14:textId="14BFF098" w:rsidR="00CA58D9" w:rsidRDefault="00DF7B76" w:rsidP="001D0C10">
      <w:pPr>
        <w:spacing w:line="276" w:lineRule="auto"/>
        <w:jc w:val="both"/>
        <w:rPr>
          <w:rFonts w:ascii="Book Antiqua" w:hAnsi="Book Antiqua"/>
          <w:sz w:val="24"/>
          <w:szCs w:val="24"/>
          <w:lang w:val="es-ES"/>
        </w:rPr>
      </w:pPr>
      <w:r w:rsidRPr="001D0C10">
        <w:rPr>
          <w:rFonts w:ascii="Book Antiqua" w:hAnsi="Book Antiqua"/>
          <w:sz w:val="24"/>
          <w:szCs w:val="24"/>
          <w:lang w:val="es-ES"/>
        </w:rPr>
        <w:t xml:space="preserve">De parte del Poder Judicial se han realizado esfuerzos para coordinar con la DTI </w:t>
      </w:r>
      <w:r>
        <w:rPr>
          <w:rFonts w:ascii="Book Antiqua" w:hAnsi="Book Antiqua"/>
          <w:sz w:val="24"/>
          <w:szCs w:val="24"/>
          <w:lang w:val="es-ES"/>
        </w:rPr>
        <w:t xml:space="preserve">y el Ministerio de Seguridad Pública, y mejorar el enlace institucional. Incluso se valoró otorgar accesos de GH en línea a las Delegaciones, sin embargo por la falta de recurso tecnológicos en ese Ministerio a la fecha no ha sido </w:t>
      </w:r>
      <w:r w:rsidR="00F95013">
        <w:rPr>
          <w:rFonts w:ascii="Book Antiqua" w:hAnsi="Book Antiqua"/>
          <w:sz w:val="24"/>
          <w:szCs w:val="24"/>
          <w:lang w:val="es-ES"/>
        </w:rPr>
        <w:t>p</w:t>
      </w:r>
      <w:r>
        <w:rPr>
          <w:rFonts w:ascii="Book Antiqua" w:hAnsi="Book Antiqua"/>
          <w:sz w:val="24"/>
          <w:szCs w:val="24"/>
          <w:lang w:val="es-ES"/>
        </w:rPr>
        <w:t xml:space="preserve">osible. </w:t>
      </w:r>
    </w:p>
    <w:p w14:paraId="227DAAFF" w14:textId="77777777" w:rsidR="00F37FEE" w:rsidRPr="001D0C10" w:rsidRDefault="00F37FEE" w:rsidP="001D0C10">
      <w:pPr>
        <w:spacing w:line="276" w:lineRule="auto"/>
        <w:jc w:val="both"/>
        <w:rPr>
          <w:rFonts w:ascii="Book Antiqua" w:hAnsi="Book Antiqua"/>
          <w:sz w:val="24"/>
          <w:szCs w:val="24"/>
          <w:lang w:val="es-ES"/>
        </w:rPr>
      </w:pPr>
    </w:p>
    <w:p w14:paraId="50BEAFD7" w14:textId="7F7C9B83" w:rsidR="008A5896" w:rsidRPr="00B366F3"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B366F3">
        <w:rPr>
          <w:rFonts w:ascii="Book Antiqua" w:eastAsiaTheme="majorEastAsia" w:hAnsi="Book Antiqua" w:cstheme="majorBidi"/>
          <w:b/>
          <w:color w:val="1F3864" w:themeColor="accent1" w:themeShade="80"/>
          <w:sz w:val="24"/>
          <w:lang w:val="es-ES"/>
        </w:rPr>
        <w:t>Sistemas Informáticos</w:t>
      </w:r>
    </w:p>
    <w:p w14:paraId="43E8B042" w14:textId="77777777" w:rsidR="008A5896" w:rsidRDefault="008A5896" w:rsidP="00036F7A">
      <w:pPr>
        <w:rPr>
          <w:lang w:val="es-ES"/>
        </w:rPr>
      </w:pPr>
    </w:p>
    <w:p w14:paraId="24D438B6" w14:textId="77777777" w:rsidR="00547E8A" w:rsidRP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En todos los Juzgados competentes en Pensiones Alimentarias están implementados los siguientes sistemas:</w:t>
      </w:r>
    </w:p>
    <w:p w14:paraId="7C906AEA" w14:textId="77777777" w:rsidR="00547E8A" w:rsidRPr="00547E8A" w:rsidRDefault="00547E8A" w:rsidP="00547E8A">
      <w:pPr>
        <w:spacing w:after="0" w:line="276" w:lineRule="auto"/>
        <w:jc w:val="both"/>
        <w:rPr>
          <w:rFonts w:ascii="Book Antiqua" w:eastAsia="Calibri" w:hAnsi="Book Antiqua" w:cs="Arial"/>
          <w:sz w:val="24"/>
          <w:szCs w:val="24"/>
        </w:rPr>
      </w:pPr>
    </w:p>
    <w:p w14:paraId="4B629A2E"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 xml:space="preserve">Sistema de Gestión en Línea </w:t>
      </w:r>
    </w:p>
    <w:p w14:paraId="20C1A444"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Escritorio Virtual con la totalidad de las mejoras que competan a la materia incluyendo la mejora de pase a fallo y de reparto automático.</w:t>
      </w:r>
    </w:p>
    <w:p w14:paraId="3FC7781B"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Gestión de Despachos Judiciales</w:t>
      </w:r>
    </w:p>
    <w:p w14:paraId="62576E83"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Itineraciones</w:t>
      </w:r>
    </w:p>
    <w:p w14:paraId="4F37751A"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Depósitos Judiciales</w:t>
      </w:r>
    </w:p>
    <w:p w14:paraId="1D94344C"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Rol de Peritos</w:t>
      </w:r>
    </w:p>
    <w:p w14:paraId="59A716E2"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Electrónico de Mandamientos</w:t>
      </w:r>
    </w:p>
    <w:p w14:paraId="7A25BCAE"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Obligados Alimentarios y Penal-PA</w:t>
      </w:r>
    </w:p>
    <w:p w14:paraId="14C46496"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 xml:space="preserve">Sistema de Obligados Alimentarios y Penal-ME </w:t>
      </w:r>
    </w:p>
    <w:p w14:paraId="4D538E41"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Agenda Cronos</w:t>
      </w:r>
    </w:p>
    <w:p w14:paraId="1985438F" w14:textId="77777777" w:rsidR="00547E8A" w:rsidRPr="00547E8A" w:rsidRDefault="00547E8A" w:rsidP="0090609F">
      <w:pPr>
        <w:numPr>
          <w:ilvl w:val="0"/>
          <w:numId w:val="14"/>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Sistema de envíos archivo FTP (edictos)</w:t>
      </w:r>
    </w:p>
    <w:p w14:paraId="287D86AA" w14:textId="77777777" w:rsidR="00547E8A" w:rsidRPr="00547E8A" w:rsidRDefault="00547E8A" w:rsidP="00547E8A">
      <w:pPr>
        <w:spacing w:after="0" w:line="276" w:lineRule="auto"/>
        <w:jc w:val="both"/>
        <w:rPr>
          <w:rFonts w:ascii="Book Antiqua" w:eastAsia="Calibri" w:hAnsi="Book Antiqua" w:cs="Arial"/>
          <w:sz w:val="24"/>
          <w:szCs w:val="24"/>
        </w:rPr>
      </w:pPr>
    </w:p>
    <w:p w14:paraId="72A3E6B2" w14:textId="5B46082E" w:rsidR="00547E8A" w:rsidRDefault="00547E8A" w:rsidP="00547E8A">
      <w:pPr>
        <w:spacing w:after="0" w:line="276" w:lineRule="auto"/>
        <w:jc w:val="both"/>
        <w:rPr>
          <w:rFonts w:ascii="Book Antiqua" w:eastAsia="Calibri" w:hAnsi="Book Antiqua" w:cs="Arial"/>
          <w:b/>
          <w:bCs/>
          <w:i/>
          <w:iCs/>
          <w:sz w:val="24"/>
          <w:szCs w:val="24"/>
        </w:rPr>
      </w:pPr>
      <w:r w:rsidRPr="00547E8A">
        <w:rPr>
          <w:rFonts w:ascii="Book Antiqua" w:eastAsia="Calibri" w:hAnsi="Book Antiqua" w:cs="Arial"/>
          <w:sz w:val="24"/>
          <w:szCs w:val="24"/>
        </w:rPr>
        <w:t xml:space="preserve">Al finalizar 2020 todos Juzgados que atienden la materia de Pensiones cuentan con los sistemas debidamente implementados por parte de la Dirección de Tecnología de la Información. La información se certificó como entregable dentro del Proyecto de implementación del CPF, </w:t>
      </w:r>
      <w:r w:rsidRPr="00392DE0">
        <w:rPr>
          <w:rFonts w:ascii="Book Antiqua" w:eastAsia="Calibri" w:hAnsi="Book Antiqua" w:cs="Arial"/>
          <w:b/>
          <w:bCs/>
          <w:i/>
          <w:iCs/>
          <w:sz w:val="24"/>
          <w:szCs w:val="24"/>
        </w:rPr>
        <w:t>anexo 9.</w:t>
      </w:r>
    </w:p>
    <w:p w14:paraId="673A7E04" w14:textId="4A15BFD1" w:rsidR="008A5896" w:rsidRDefault="008A5896" w:rsidP="00547E8A">
      <w:pPr>
        <w:spacing w:after="0" w:line="276" w:lineRule="auto"/>
        <w:jc w:val="both"/>
        <w:rPr>
          <w:rFonts w:ascii="Book Antiqua" w:eastAsia="Calibri" w:hAnsi="Book Antiqua" w:cs="Arial"/>
          <w:b/>
          <w:bCs/>
          <w:i/>
          <w:iCs/>
          <w:sz w:val="24"/>
          <w:szCs w:val="24"/>
        </w:rPr>
      </w:pPr>
    </w:p>
    <w:p w14:paraId="3F6CA432" w14:textId="45E3E1E3" w:rsidR="00F37FEE" w:rsidRDefault="00F37FEE" w:rsidP="00547E8A">
      <w:pPr>
        <w:spacing w:after="0" w:line="276" w:lineRule="auto"/>
        <w:jc w:val="both"/>
        <w:rPr>
          <w:rFonts w:ascii="Book Antiqua" w:eastAsia="Calibri" w:hAnsi="Book Antiqua" w:cs="Arial"/>
          <w:b/>
          <w:bCs/>
          <w:i/>
          <w:iCs/>
          <w:sz w:val="24"/>
          <w:szCs w:val="24"/>
        </w:rPr>
      </w:pPr>
    </w:p>
    <w:p w14:paraId="525DA57E" w14:textId="77777777" w:rsidR="00F37FEE" w:rsidRDefault="00F37FEE" w:rsidP="00547E8A">
      <w:pPr>
        <w:spacing w:after="0" w:line="276" w:lineRule="auto"/>
        <w:jc w:val="both"/>
        <w:rPr>
          <w:rFonts w:ascii="Book Antiqua" w:eastAsia="Calibri" w:hAnsi="Book Antiqua" w:cs="Arial"/>
          <w:b/>
          <w:bCs/>
          <w:i/>
          <w:iCs/>
          <w:sz w:val="24"/>
          <w:szCs w:val="24"/>
        </w:rPr>
      </w:pPr>
    </w:p>
    <w:p w14:paraId="7D5F69F7" w14:textId="3B50BF02" w:rsidR="008A5896" w:rsidRPr="0033070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lastRenderedPageBreak/>
        <w:t>Libros de Control</w:t>
      </w:r>
    </w:p>
    <w:p w14:paraId="7A0F62DD" w14:textId="77777777" w:rsidR="00330700" w:rsidRDefault="00330700" w:rsidP="00547E8A">
      <w:pPr>
        <w:spacing w:after="0" w:line="276" w:lineRule="auto"/>
        <w:jc w:val="both"/>
        <w:rPr>
          <w:rFonts w:ascii="Book Antiqua" w:eastAsia="Calibri" w:hAnsi="Book Antiqua" w:cs="Arial"/>
          <w:sz w:val="24"/>
          <w:szCs w:val="24"/>
        </w:rPr>
      </w:pPr>
    </w:p>
    <w:p w14:paraId="1081B008" w14:textId="3DFBA5AB" w:rsidR="00547E8A" w:rsidRPr="00547E8A" w:rsidRDefault="00CA58D9" w:rsidP="00547E8A">
      <w:pPr>
        <w:spacing w:after="0" w:line="276" w:lineRule="auto"/>
        <w:jc w:val="both"/>
        <w:rPr>
          <w:rFonts w:ascii="Book Antiqua" w:eastAsia="Calibri" w:hAnsi="Book Antiqua" w:cs="Arial"/>
          <w:sz w:val="24"/>
          <w:szCs w:val="24"/>
        </w:rPr>
      </w:pPr>
      <w:r w:rsidRPr="00CA58D9">
        <w:rPr>
          <w:rFonts w:ascii="Book Antiqua" w:eastAsia="Calibri" w:hAnsi="Book Antiqua" w:cs="Arial"/>
          <w:sz w:val="24"/>
          <w:szCs w:val="24"/>
        </w:rPr>
        <w:t>L</w:t>
      </w:r>
      <w:r w:rsidR="00547E8A" w:rsidRPr="00547E8A">
        <w:rPr>
          <w:rFonts w:ascii="Book Antiqua" w:eastAsia="Calibri" w:hAnsi="Book Antiqua" w:cs="Arial"/>
          <w:sz w:val="24"/>
          <w:szCs w:val="24"/>
        </w:rPr>
        <w:t>os Juzgados de Pensiones Alimentarias deberán llevar como mínimo los siguientes libros de control:</w:t>
      </w:r>
    </w:p>
    <w:p w14:paraId="06EC3E4D" w14:textId="77777777" w:rsidR="00547E8A" w:rsidRPr="00547E8A" w:rsidRDefault="00547E8A"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Libro de pase a fallo y utilización módulo de pase a fallo en el Escritorio Virtual</w:t>
      </w:r>
    </w:p>
    <w:p w14:paraId="301EB3F1" w14:textId="77777777" w:rsidR="00547E8A" w:rsidRPr="00547E8A" w:rsidRDefault="00547E8A"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Libro de juramentaciones</w:t>
      </w:r>
    </w:p>
    <w:p w14:paraId="24E9DF39" w14:textId="77777777" w:rsidR="00547E8A" w:rsidRPr="00547E8A" w:rsidRDefault="00547E8A" w:rsidP="0090609F">
      <w:pPr>
        <w:numPr>
          <w:ilvl w:val="0"/>
          <w:numId w:val="15"/>
        </w:numPr>
        <w:spacing w:after="0" w:line="276" w:lineRule="auto"/>
        <w:ind w:left="0" w:firstLine="0"/>
        <w:contextualSpacing/>
        <w:jc w:val="both"/>
        <w:rPr>
          <w:rFonts w:ascii="Book Antiqua" w:eastAsia="Calibri" w:hAnsi="Book Antiqua" w:cs="Arial"/>
          <w:sz w:val="24"/>
          <w:szCs w:val="24"/>
          <w:lang w:eastAsia="es-CR"/>
        </w:rPr>
      </w:pPr>
      <w:r w:rsidRPr="00547E8A">
        <w:rPr>
          <w:rFonts w:ascii="Book Antiqua" w:eastAsia="Calibri" w:hAnsi="Book Antiqua" w:cs="Arial"/>
          <w:sz w:val="24"/>
          <w:szCs w:val="24"/>
          <w:lang w:eastAsia="es-CR"/>
        </w:rPr>
        <w:t xml:space="preserve">Libro de remisión de recursos al Juzgado de Familia </w:t>
      </w:r>
    </w:p>
    <w:p w14:paraId="086DABF6" w14:textId="27E2B4EA" w:rsidR="00BE57E9" w:rsidRDefault="00BE57E9" w:rsidP="00036F7A">
      <w:pPr>
        <w:rPr>
          <w:lang w:val="es-ES"/>
        </w:rPr>
      </w:pPr>
    </w:p>
    <w:p w14:paraId="0F9741A9" w14:textId="77777777" w:rsidR="00547E8A" w:rsidRPr="00547E8A" w:rsidRDefault="00547E8A" w:rsidP="00547E8A">
      <w:pPr>
        <w:spacing w:after="0" w:line="276" w:lineRule="auto"/>
        <w:jc w:val="both"/>
        <w:rPr>
          <w:rFonts w:ascii="Book Antiqua" w:eastAsia="Calibri" w:hAnsi="Book Antiqua" w:cs="Calibri"/>
          <w:sz w:val="24"/>
          <w:szCs w:val="24"/>
          <w:lang w:eastAsia="es-CR"/>
        </w:rPr>
      </w:pPr>
      <w:r w:rsidRPr="00547E8A">
        <w:rPr>
          <w:rFonts w:ascii="Book Antiqua" w:eastAsia="Calibri" w:hAnsi="Book Antiqua" w:cs="Calibri"/>
          <w:sz w:val="24"/>
          <w:szCs w:val="24"/>
          <w:lang w:eastAsia="es-CR"/>
        </w:rPr>
        <w:t xml:space="preserve">De conformidad con la circular 223-2020 </w:t>
      </w:r>
      <w:r w:rsidRPr="00547E8A">
        <w:rPr>
          <w:rFonts w:ascii="Book Antiqua" w:eastAsia="Calibri" w:hAnsi="Book Antiqua" w:cs="Calibri"/>
          <w:i/>
          <w:iCs/>
          <w:sz w:val="24"/>
          <w:szCs w:val="24"/>
          <w:lang w:eastAsia="es-CR"/>
        </w:rPr>
        <w:t>“</w:t>
      </w:r>
      <w:r w:rsidRPr="00547E8A">
        <w:rPr>
          <w:rFonts w:ascii="Book Antiqua" w:eastAsia="Calibri" w:hAnsi="Book Antiqua" w:cs="Times New Roman"/>
          <w:i/>
          <w:iCs/>
          <w:color w:val="201F1E"/>
          <w:sz w:val="24"/>
          <w:szCs w:val="24"/>
          <w:shd w:val="clear" w:color="auto" w:fill="FFFFFF"/>
          <w:lang w:eastAsia="es-CR"/>
        </w:rPr>
        <w:t>Obligación de uso del libro de pase a fallo y de reparto automático de asuntos en materias de Familia y Pensiones Alimentarias</w:t>
      </w:r>
      <w:r w:rsidRPr="00547E8A">
        <w:rPr>
          <w:rFonts w:ascii="Book Antiqua" w:eastAsia="Calibri" w:hAnsi="Book Antiqua" w:cs="Calibri"/>
          <w:i/>
          <w:iCs/>
          <w:sz w:val="24"/>
          <w:szCs w:val="24"/>
          <w:lang w:eastAsia="es-CR"/>
        </w:rPr>
        <w:t xml:space="preserve">” </w:t>
      </w:r>
      <w:r w:rsidRPr="00547E8A">
        <w:rPr>
          <w:rFonts w:ascii="Book Antiqua" w:eastAsia="Calibri" w:hAnsi="Book Antiqua" w:cs="Calibri"/>
          <w:sz w:val="24"/>
          <w:szCs w:val="24"/>
          <w:lang w:eastAsia="es-CR"/>
        </w:rPr>
        <w:t>comunicada el 7 de octubre de 2020, todas las oficinas competentes en materia de Familia y Pensiones Alimentarias deben hacer uso del módulo de pase a fallo en Escritorio Virtual. Para ello fueron configuradas por parte de la Dirección de Tecnología de la Información las tareas y plazos definidos con el Juez Gestor en la materia y validadas por la Comisión de Familia, Niñez y Adolescencia; y también se brindó la respectiva capacitación a las oficinas en el uso de la herramienta por parte de DTI (oficio 2374-DTI-2020).</w:t>
      </w:r>
    </w:p>
    <w:p w14:paraId="056D8A81" w14:textId="77777777" w:rsidR="00547E8A" w:rsidRPr="00547E8A" w:rsidRDefault="00547E8A" w:rsidP="00547E8A">
      <w:pPr>
        <w:spacing w:after="0" w:line="276" w:lineRule="auto"/>
        <w:jc w:val="both"/>
        <w:rPr>
          <w:rFonts w:ascii="Book Antiqua" w:eastAsia="Calibri" w:hAnsi="Book Antiqua" w:cs="Calibri"/>
          <w:sz w:val="24"/>
          <w:szCs w:val="24"/>
          <w:lang w:eastAsia="es-CR"/>
        </w:rPr>
      </w:pPr>
      <w:r w:rsidRPr="00547E8A">
        <w:rPr>
          <w:rFonts w:ascii="Book Antiqua" w:eastAsia="Calibri" w:hAnsi="Book Antiqua" w:cs="Calibri"/>
          <w:sz w:val="24"/>
          <w:szCs w:val="24"/>
          <w:lang w:eastAsia="es-CR"/>
        </w:rPr>
        <w:t>Adicionalmente, de conformidad con lo acordado por el Consejo Superior en sesión 97-2020 celebrada el 08 de octubre del 2020, artículo LI, las oficinas de Familia y Pensiones a nivel nacional deben llevar tanto el libro de pase a fallo “</w:t>
      </w:r>
      <w:r w:rsidRPr="00547E8A">
        <w:rPr>
          <w:rFonts w:ascii="Book Antiqua" w:eastAsia="Calibri" w:hAnsi="Book Antiqua" w:cs="Calibri"/>
          <w:i/>
          <w:iCs/>
          <w:sz w:val="24"/>
          <w:szCs w:val="24"/>
          <w:lang w:eastAsia="es-CR"/>
        </w:rPr>
        <w:t>Excel</w:t>
      </w:r>
      <w:r w:rsidRPr="00547E8A">
        <w:rPr>
          <w:rFonts w:ascii="Book Antiqua" w:eastAsia="Calibri" w:hAnsi="Book Antiqua" w:cs="Calibri"/>
          <w:sz w:val="24"/>
          <w:szCs w:val="24"/>
          <w:lang w:eastAsia="es-CR"/>
        </w:rPr>
        <w:t xml:space="preserve">” como el registro en el módulo de Escritorio Virtual de forma paralela por al menos 6 meses, así como el correspondiente registro que se obtiene de SIGMA.  </w:t>
      </w:r>
    </w:p>
    <w:p w14:paraId="56673833" w14:textId="77777777" w:rsidR="00547E8A" w:rsidRPr="00547E8A" w:rsidRDefault="00547E8A" w:rsidP="00547E8A">
      <w:pPr>
        <w:spacing w:after="0" w:line="276" w:lineRule="auto"/>
        <w:rPr>
          <w:rFonts w:ascii="Book Antiqua" w:eastAsia="Calibri" w:hAnsi="Book Antiqua" w:cs="Calibri"/>
          <w:i/>
          <w:iCs/>
          <w:sz w:val="24"/>
          <w:szCs w:val="24"/>
          <w:lang w:eastAsia="es-CR"/>
        </w:rPr>
      </w:pPr>
    </w:p>
    <w:p w14:paraId="50E3E55A" w14:textId="77777777" w:rsidR="00547E8A" w:rsidRPr="00547E8A" w:rsidRDefault="00547E8A" w:rsidP="00547E8A">
      <w:pPr>
        <w:spacing w:after="0" w:line="276" w:lineRule="auto"/>
        <w:ind w:left="567" w:right="616"/>
        <w:jc w:val="both"/>
        <w:rPr>
          <w:rFonts w:ascii="Book Antiqua" w:eastAsia="Calibri" w:hAnsi="Book Antiqua" w:cs="Arial"/>
          <w:i/>
          <w:iCs/>
          <w:sz w:val="24"/>
          <w:szCs w:val="24"/>
          <w:lang w:val="es-419"/>
        </w:rPr>
      </w:pPr>
      <w:r w:rsidRPr="00547E8A">
        <w:rPr>
          <w:rFonts w:ascii="Book Antiqua" w:eastAsia="Calibri" w:hAnsi="Book Antiqua" w:cs="Arial"/>
          <w:b/>
          <w:i/>
          <w:iCs/>
          <w:sz w:val="24"/>
          <w:szCs w:val="24"/>
          <w:lang w:val="es-419"/>
        </w:rPr>
        <w:t xml:space="preserve">“Se acordó: 1.) </w:t>
      </w:r>
      <w:r w:rsidRPr="00547E8A">
        <w:rPr>
          <w:rFonts w:ascii="Book Antiqua" w:eastAsia="Calibri" w:hAnsi="Book Antiqua" w:cs="Arial"/>
          <w:i/>
          <w:iCs/>
          <w:sz w:val="24"/>
          <w:szCs w:val="24"/>
          <w:lang w:val="es-419"/>
        </w:rPr>
        <w:t>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 de administración de la justicia de los juzgados de Familia y de Pensiones alimentarias</w:t>
      </w:r>
      <w:r w:rsidRPr="00547E8A">
        <w:rPr>
          <w:rFonts w:ascii="Book Antiqua" w:eastAsia="Calibri" w:hAnsi="Book Antiqua" w:cs="Arial"/>
          <w:b/>
          <w:i/>
          <w:iCs/>
          <w:sz w:val="24"/>
          <w:szCs w:val="24"/>
          <w:lang w:val="es-419"/>
        </w:rPr>
        <w:t>. 2.)</w:t>
      </w:r>
      <w:r w:rsidRPr="00547E8A">
        <w:rPr>
          <w:rFonts w:ascii="Book Antiqua" w:eastAsia="Calibri" w:hAnsi="Book Antiqua" w:cs="Arial"/>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w:t>
      </w:r>
      <w:r w:rsidRPr="00547E8A">
        <w:rPr>
          <w:rFonts w:ascii="Book Antiqua" w:eastAsia="Calibri" w:hAnsi="Book Antiqua" w:cs="Arial"/>
          <w:i/>
          <w:iCs/>
          <w:sz w:val="24"/>
          <w:szCs w:val="24"/>
          <w:lang w:val="es-419"/>
        </w:rPr>
        <w:lastRenderedPageBreak/>
        <w:t xml:space="preserve">en lo que respecta </w:t>
      </w:r>
      <w:r w:rsidRPr="00547E8A">
        <w:rPr>
          <w:rFonts w:ascii="Book Antiqua" w:eastAsia="Calibri" w:hAnsi="Book Antiqua" w:cs="Arial"/>
          <w:b/>
          <w:i/>
          <w:iCs/>
          <w:sz w:val="24"/>
          <w:szCs w:val="24"/>
          <w:u w:val="single"/>
          <w:lang w:val="es-419"/>
        </w:rPr>
        <w:t>al diseño y establecimiento formal de la herramienta de “pase a fallo”.</w:t>
      </w:r>
      <w:r w:rsidRPr="00547E8A">
        <w:rPr>
          <w:rFonts w:ascii="Book Antiqua" w:eastAsia="Calibri" w:hAnsi="Book Antiqua" w:cs="Arial"/>
          <w:b/>
          <w:i/>
          <w:iCs/>
          <w:sz w:val="24"/>
          <w:szCs w:val="24"/>
          <w:lang w:val="es-419"/>
        </w:rPr>
        <w:t xml:space="preserve"> 3.) </w:t>
      </w:r>
      <w:r w:rsidRPr="00547E8A">
        <w:rPr>
          <w:rFonts w:ascii="Book Antiqua" w:eastAsia="Calibri" w:hAnsi="Book Antiqua" w:cs="Arial"/>
          <w:i/>
          <w:iCs/>
          <w:sz w:val="24"/>
          <w:szCs w:val="24"/>
          <w:lang w:val="es-419"/>
        </w:rPr>
        <w:t>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4.) El Subproceso de Estadística de la Dirección de Planificación, remitirá posteriormente los contactos electrónicos a donde remitir la información, validada por el Juez o Jueza coordinadora del despacho judicial. 5.) El Subproceso de Estadística de la Dirección de Planificación, informará el resultado de ese seguimiento al Consejo Superior y a la Comisión de Familia para lo que corresponda. 6.) Hacer este acuerdo de conocimiento del Despacho de la Presidencia para que comunique a la Contraloría General de la República lo que corresponda.</w:t>
      </w:r>
    </w:p>
    <w:p w14:paraId="51E28BF4" w14:textId="77777777" w:rsidR="00547E8A" w:rsidRPr="00547E8A" w:rsidRDefault="00547E8A" w:rsidP="00547E8A">
      <w:pPr>
        <w:spacing w:after="0" w:line="276" w:lineRule="auto"/>
        <w:ind w:left="567" w:right="616"/>
        <w:jc w:val="both"/>
        <w:rPr>
          <w:rFonts w:ascii="Book Antiqua" w:eastAsia="Calibri" w:hAnsi="Book Antiqua" w:cs="Arial"/>
          <w:i/>
          <w:iCs/>
          <w:sz w:val="24"/>
          <w:szCs w:val="24"/>
          <w:lang w:val="es-419"/>
        </w:rPr>
      </w:pPr>
    </w:p>
    <w:p w14:paraId="7B1FFCCF" w14:textId="77777777" w:rsidR="00547E8A" w:rsidRPr="00547E8A" w:rsidRDefault="00547E8A" w:rsidP="00547E8A">
      <w:pPr>
        <w:spacing w:after="0" w:line="276" w:lineRule="auto"/>
        <w:ind w:left="567" w:right="616"/>
        <w:jc w:val="both"/>
        <w:rPr>
          <w:rFonts w:ascii="Book Antiqua" w:eastAsia="Calibri" w:hAnsi="Book Antiqua" w:cs="Arial"/>
          <w:i/>
          <w:iCs/>
          <w:sz w:val="24"/>
          <w:szCs w:val="24"/>
          <w:lang w:val="es-419"/>
        </w:rPr>
      </w:pPr>
      <w:r w:rsidRPr="00547E8A">
        <w:rPr>
          <w:rFonts w:ascii="Book Antiqua" w:eastAsia="Calibri" w:hAnsi="Book Antiqua" w:cs="Arial"/>
          <w:i/>
          <w:iCs/>
          <w:sz w:val="24"/>
          <w:szCs w:val="24"/>
          <w:lang w:val="es-419"/>
        </w:rPr>
        <w:t>La Comisión de la Jurisdicción de Familia y la Dirección de Planificación, tomarán nota para lo que corresponda. Se declara acuerdo firme.”.</w:t>
      </w:r>
    </w:p>
    <w:p w14:paraId="582B747F" w14:textId="77777777" w:rsidR="008879F8" w:rsidRDefault="00547E8A" w:rsidP="00547E8A">
      <w:pPr>
        <w:spacing w:after="0" w:line="276" w:lineRule="auto"/>
        <w:jc w:val="both"/>
        <w:rPr>
          <w:rFonts w:ascii="Book Antiqua" w:eastAsia="Calibri" w:hAnsi="Book Antiqua" w:cs="Arial"/>
          <w:lang w:val="es-419"/>
        </w:rPr>
      </w:pPr>
      <w:r w:rsidRPr="00547E8A">
        <w:rPr>
          <w:rFonts w:ascii="Book Antiqua" w:eastAsia="Calibri" w:hAnsi="Book Antiqua" w:cs="Arial"/>
          <w:lang w:val="es-419"/>
        </w:rPr>
        <w:t xml:space="preserve"> </w:t>
      </w:r>
    </w:p>
    <w:p w14:paraId="4DFE653D" w14:textId="0EB7D2E3" w:rsidR="00547E8A" w:rsidRP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Respecto a</w:t>
      </w:r>
      <w:r>
        <w:rPr>
          <w:rFonts w:ascii="Book Antiqua" w:eastAsia="Calibri" w:hAnsi="Book Antiqua" w:cs="Arial"/>
          <w:sz w:val="24"/>
          <w:szCs w:val="24"/>
        </w:rPr>
        <w:t>l</w:t>
      </w:r>
      <w:r w:rsidRPr="00547E8A">
        <w:rPr>
          <w:rFonts w:ascii="Book Antiqua" w:eastAsia="Calibri" w:hAnsi="Book Antiqua" w:cs="Arial"/>
          <w:sz w:val="24"/>
          <w:szCs w:val="24"/>
        </w:rPr>
        <w:t xml:space="preserve"> reporte en SIGMA del módulo de pase a fallo se emitió también la circular externa 4-2021</w:t>
      </w:r>
      <w:r w:rsidR="00DF7B76">
        <w:rPr>
          <w:rFonts w:ascii="Book Antiqua" w:eastAsia="Calibri" w:hAnsi="Book Antiqua" w:cs="Arial"/>
          <w:sz w:val="24"/>
          <w:szCs w:val="24"/>
        </w:rPr>
        <w:t xml:space="preserve"> y 7-2021</w:t>
      </w:r>
      <w:r w:rsidRPr="00547E8A">
        <w:rPr>
          <w:rFonts w:ascii="Book Antiqua" w:eastAsia="Calibri" w:hAnsi="Book Antiqua" w:cs="Arial"/>
          <w:sz w:val="24"/>
          <w:szCs w:val="24"/>
        </w:rPr>
        <w:t xml:space="preserve"> donde se les solicita a las oficinas hacer uso del reporte, certificar al Subproceso de Estadística de la Dirección de Planificación que la información es consistente con el registro en Excel. </w:t>
      </w:r>
    </w:p>
    <w:p w14:paraId="337EB751" w14:textId="77777777" w:rsidR="00547E8A" w:rsidRP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 xml:space="preserve"> </w:t>
      </w:r>
    </w:p>
    <w:p w14:paraId="1F4B7652" w14:textId="4C9BD73E" w:rsidR="00547E8A" w:rsidRP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Se aclara que para que la información se visualice correctamente en el reporte en SIGMA</w:t>
      </w:r>
      <w:r>
        <w:rPr>
          <w:rFonts w:ascii="Book Antiqua" w:eastAsia="Calibri" w:hAnsi="Book Antiqua" w:cs="Arial"/>
          <w:sz w:val="24"/>
          <w:szCs w:val="24"/>
        </w:rPr>
        <w:t>,</w:t>
      </w:r>
      <w:r w:rsidRPr="00547E8A">
        <w:rPr>
          <w:rFonts w:ascii="Book Antiqua" w:eastAsia="Calibri" w:hAnsi="Book Antiqua" w:cs="Arial"/>
          <w:sz w:val="24"/>
          <w:szCs w:val="24"/>
        </w:rPr>
        <w:t xml:space="preserve"> debe hacerse el registro adecuado por parte de las oficinas.</w:t>
      </w:r>
    </w:p>
    <w:p w14:paraId="2D06DDBD" w14:textId="77777777" w:rsidR="00547E8A" w:rsidRPr="00547E8A" w:rsidRDefault="00547E8A" w:rsidP="00547E8A">
      <w:pPr>
        <w:spacing w:after="0" w:line="276" w:lineRule="auto"/>
        <w:jc w:val="both"/>
        <w:rPr>
          <w:rFonts w:ascii="Book Antiqua" w:eastAsia="Calibri" w:hAnsi="Book Antiqua" w:cs="Arial"/>
          <w:sz w:val="24"/>
          <w:szCs w:val="24"/>
        </w:rPr>
      </w:pPr>
    </w:p>
    <w:p w14:paraId="7B756D1B" w14:textId="3D22144C" w:rsid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De forma adicional se emitió el oficio 45-PLA-MI-2021 con un explicativo para las oficinas sobre el uso de la herramienta</w:t>
      </w:r>
      <w:r w:rsidR="00DF7B76">
        <w:rPr>
          <w:rFonts w:ascii="Book Antiqua" w:eastAsia="Calibri" w:hAnsi="Book Antiqua" w:cs="Arial"/>
          <w:sz w:val="24"/>
          <w:szCs w:val="24"/>
        </w:rPr>
        <w:t xml:space="preserve"> así como a circular 6</w:t>
      </w:r>
      <w:r w:rsidR="00584BE8">
        <w:rPr>
          <w:rFonts w:ascii="Book Antiqua" w:eastAsia="Calibri" w:hAnsi="Book Antiqua" w:cs="Arial"/>
          <w:sz w:val="24"/>
          <w:szCs w:val="24"/>
        </w:rPr>
        <w:t>1</w:t>
      </w:r>
      <w:r w:rsidR="00DF7B76">
        <w:rPr>
          <w:rFonts w:ascii="Book Antiqua" w:eastAsia="Calibri" w:hAnsi="Book Antiqua" w:cs="Arial"/>
          <w:sz w:val="24"/>
          <w:szCs w:val="24"/>
        </w:rPr>
        <w:t>-2021</w:t>
      </w:r>
      <w:r w:rsidR="00584BE8">
        <w:rPr>
          <w:rFonts w:ascii="Book Antiqua" w:eastAsia="Calibri" w:hAnsi="Book Antiqua" w:cs="Arial"/>
          <w:sz w:val="24"/>
          <w:szCs w:val="24"/>
        </w:rPr>
        <w:t>.</w:t>
      </w:r>
    </w:p>
    <w:p w14:paraId="61FABDE7" w14:textId="6DA2BF6B" w:rsidR="00584BE8" w:rsidRDefault="00584BE8" w:rsidP="00547E8A">
      <w:pPr>
        <w:spacing w:after="0" w:line="276" w:lineRule="auto"/>
        <w:jc w:val="both"/>
        <w:rPr>
          <w:rFonts w:ascii="Book Antiqua" w:eastAsia="Calibri" w:hAnsi="Book Antiqua" w:cs="Arial"/>
          <w:sz w:val="24"/>
          <w:szCs w:val="24"/>
        </w:rPr>
      </w:pPr>
    </w:p>
    <w:p w14:paraId="17965440" w14:textId="7D2ACFC5" w:rsidR="00F37FEE" w:rsidRDefault="00F37FEE" w:rsidP="00547E8A">
      <w:pPr>
        <w:spacing w:after="0" w:line="276" w:lineRule="auto"/>
        <w:jc w:val="both"/>
        <w:rPr>
          <w:rFonts w:ascii="Book Antiqua" w:eastAsia="Calibri" w:hAnsi="Book Antiqua" w:cs="Arial"/>
          <w:sz w:val="24"/>
          <w:szCs w:val="24"/>
        </w:rPr>
      </w:pPr>
    </w:p>
    <w:p w14:paraId="6E71C56E" w14:textId="1DAFF962" w:rsidR="00F37FEE" w:rsidRDefault="00F37FEE" w:rsidP="00547E8A">
      <w:pPr>
        <w:spacing w:after="0" w:line="276" w:lineRule="auto"/>
        <w:jc w:val="both"/>
        <w:rPr>
          <w:rFonts w:ascii="Book Antiqua" w:eastAsia="Calibri" w:hAnsi="Book Antiqua" w:cs="Arial"/>
          <w:sz w:val="24"/>
          <w:szCs w:val="24"/>
        </w:rPr>
      </w:pPr>
    </w:p>
    <w:p w14:paraId="02FEF827" w14:textId="77777777" w:rsidR="00F37FEE" w:rsidRPr="00547E8A" w:rsidRDefault="00F37FEE" w:rsidP="00547E8A">
      <w:pPr>
        <w:spacing w:after="0" w:line="276" w:lineRule="auto"/>
        <w:jc w:val="both"/>
        <w:rPr>
          <w:rFonts w:ascii="Book Antiqua" w:eastAsia="Calibri" w:hAnsi="Book Antiqua" w:cs="Arial"/>
          <w:sz w:val="24"/>
          <w:szCs w:val="24"/>
        </w:rPr>
      </w:pPr>
    </w:p>
    <w:p w14:paraId="62E78FA8" w14:textId="507115D3" w:rsidR="00547E8A" w:rsidRDefault="00547E8A" w:rsidP="00547E8A">
      <w:pPr>
        <w:spacing w:after="0" w:line="276" w:lineRule="auto"/>
        <w:jc w:val="both"/>
        <w:rPr>
          <w:rFonts w:ascii="Book Antiqua" w:eastAsia="Calibri" w:hAnsi="Book Antiqua" w:cs="Arial"/>
          <w:sz w:val="24"/>
          <w:szCs w:val="24"/>
        </w:rPr>
      </w:pPr>
      <w:r w:rsidRPr="00547E8A">
        <w:rPr>
          <w:rFonts w:ascii="Book Antiqua" w:eastAsia="Calibri" w:hAnsi="Book Antiqua" w:cs="Arial"/>
          <w:sz w:val="24"/>
          <w:szCs w:val="24"/>
        </w:rPr>
        <w:t xml:space="preserve">  </w:t>
      </w:r>
    </w:p>
    <w:p w14:paraId="53C3B920" w14:textId="7B9EB54B" w:rsidR="008A5896" w:rsidRPr="00392DE0" w:rsidRDefault="00CA58D9"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92DE0">
        <w:rPr>
          <w:rFonts w:ascii="Book Antiqua" w:eastAsiaTheme="majorEastAsia" w:hAnsi="Book Antiqua" w:cstheme="majorBidi"/>
          <w:b/>
          <w:color w:val="1F3864" w:themeColor="accent1" w:themeShade="80"/>
          <w:sz w:val="24"/>
          <w:lang w:val="es-ES"/>
        </w:rPr>
        <w:lastRenderedPageBreak/>
        <w:t>Modelo de Sostenibilidad y Seguimiento de los proyectos de rediseño de oficinas en materia de Pensiones Alimentarias</w:t>
      </w:r>
    </w:p>
    <w:p w14:paraId="7AB12A8F" w14:textId="777C3292" w:rsidR="00BE57E9" w:rsidRDefault="00BE57E9" w:rsidP="00036F7A">
      <w:pPr>
        <w:rPr>
          <w:lang w:val="es-ES"/>
        </w:rPr>
      </w:pPr>
    </w:p>
    <w:p w14:paraId="0C5267D4" w14:textId="1BFAC591"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El establecimiento de cuotas de trabajo a las personas juzgadoras y técnicas judiciales así como la implementación del Modelo de Sostenibilidad y Rediseño de despachos en los despachos de Familia, permitieron que a diciembre 2020, la totalidad de los despachos competentes en materia de Familia en primera instancia, cuenten con el Modelo implementado donde interactúan los equipos de mejora de los despachos, la Administración Regional, el Consejo de Administración, la Dirección de Planificación y el Centro de Apoyo, Coordinación y Mejoramiento de la Función Jurisdiccional.</w:t>
      </w:r>
    </w:p>
    <w:p w14:paraId="5065D94D" w14:textId="77777777" w:rsidR="00A554BE" w:rsidRPr="00A554BE" w:rsidRDefault="00A554BE" w:rsidP="00A554BE">
      <w:pPr>
        <w:spacing w:after="0" w:line="276" w:lineRule="auto"/>
        <w:jc w:val="both"/>
        <w:rPr>
          <w:rFonts w:ascii="Book Antiqua" w:eastAsia="Calibri" w:hAnsi="Book Antiqua" w:cs="Arial"/>
          <w:sz w:val="24"/>
          <w:szCs w:val="24"/>
        </w:rPr>
      </w:pPr>
    </w:p>
    <w:p w14:paraId="6E4E3C08" w14:textId="77777777"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 xml:space="preserve">El acuerdo del Consejo Superior en sesión 82-2020 celebrada el 20 de agosto del 2020, artículo XLI donde acoge en todos sus extremos el informe 1213-PLA-EV-2020, donde se reiteran las responsabilidades de las personas juzgadoras coordinadoras de oficinas y del Consejo de Administración como participantes de este modelo. </w:t>
      </w:r>
    </w:p>
    <w:p w14:paraId="4A61EFAC" w14:textId="77777777" w:rsidR="00A554BE" w:rsidRPr="00A554BE" w:rsidRDefault="00A554BE" w:rsidP="00A554BE">
      <w:pPr>
        <w:spacing w:after="0" w:line="276" w:lineRule="auto"/>
        <w:jc w:val="both"/>
        <w:rPr>
          <w:rFonts w:ascii="Book Antiqua" w:eastAsia="Calibri" w:hAnsi="Book Antiqua" w:cs="Arial"/>
          <w:sz w:val="24"/>
          <w:szCs w:val="24"/>
        </w:rPr>
      </w:pPr>
    </w:p>
    <w:p w14:paraId="2A348190" w14:textId="77777777" w:rsidR="00A554BE" w:rsidRPr="00A554BE" w:rsidRDefault="00A554BE" w:rsidP="00A554BE">
      <w:pPr>
        <w:spacing w:after="0" w:line="276" w:lineRule="auto"/>
        <w:ind w:left="567" w:right="616"/>
        <w:jc w:val="both"/>
        <w:rPr>
          <w:rFonts w:ascii="Book Antiqua" w:eastAsia="Calibri" w:hAnsi="Book Antiqua" w:cs="Arial"/>
          <w:i/>
          <w:iCs/>
          <w:sz w:val="24"/>
          <w:szCs w:val="24"/>
        </w:rPr>
      </w:pPr>
      <w:r w:rsidRPr="00A554BE">
        <w:rPr>
          <w:rFonts w:ascii="Book Antiqua" w:eastAsia="Calibri" w:hAnsi="Book Antiqua" w:cs="Arial"/>
          <w:i/>
          <w:iCs/>
          <w:sz w:val="24"/>
          <w:szCs w:val="24"/>
        </w:rPr>
        <w:t>“5.3.</w:t>
      </w:r>
      <w:r w:rsidRPr="00A554BE">
        <w:rPr>
          <w:rFonts w:ascii="Book Antiqua" w:eastAsia="Calibri" w:hAnsi="Book Antiqua" w:cs="Arial"/>
          <w:i/>
          <w:iCs/>
          <w:sz w:val="24"/>
          <w:szCs w:val="24"/>
        </w:rPr>
        <w:tab/>
        <w:t xml:space="preserve">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14:paraId="5C02700C" w14:textId="77777777" w:rsidR="00A554BE" w:rsidRPr="00A554BE" w:rsidRDefault="00A554BE" w:rsidP="00A554BE">
      <w:pPr>
        <w:spacing w:after="0" w:line="276" w:lineRule="auto"/>
        <w:ind w:left="567" w:right="616"/>
        <w:jc w:val="both"/>
        <w:rPr>
          <w:rFonts w:ascii="Book Antiqua" w:eastAsia="Calibri" w:hAnsi="Book Antiqua" w:cs="Arial"/>
          <w:i/>
          <w:iCs/>
          <w:sz w:val="24"/>
          <w:szCs w:val="24"/>
        </w:rPr>
      </w:pPr>
      <w:r w:rsidRPr="00A554BE">
        <w:rPr>
          <w:rFonts w:ascii="Book Antiqua" w:eastAsia="Calibri" w:hAnsi="Book Antiqua" w:cs="Arial"/>
          <w:i/>
          <w:iCs/>
          <w:sz w:val="24"/>
          <w:szCs w:val="24"/>
        </w:rPr>
        <w:t>5.4.</w:t>
      </w:r>
      <w:r w:rsidRPr="00A554BE">
        <w:rPr>
          <w:rFonts w:ascii="Book Antiqua" w:eastAsia="Calibri" w:hAnsi="Book Antiqua" w:cs="Arial"/>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p>
    <w:p w14:paraId="649151B3" w14:textId="77777777" w:rsidR="00A554BE" w:rsidRPr="00A554BE" w:rsidRDefault="00A554BE" w:rsidP="00A554BE">
      <w:pPr>
        <w:spacing w:after="0" w:line="276" w:lineRule="auto"/>
        <w:jc w:val="both"/>
        <w:rPr>
          <w:rFonts w:ascii="Book Antiqua" w:eastAsia="Calibri" w:hAnsi="Book Antiqua" w:cs="Arial"/>
          <w:sz w:val="24"/>
          <w:szCs w:val="24"/>
        </w:rPr>
      </w:pPr>
    </w:p>
    <w:p w14:paraId="35F83BF6" w14:textId="77777777"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 xml:space="preserve">Cada Juzgado cuenta con su equipo de mejora conformado y además cuenta con la matriz de indicadores que se les diseño y para lo cual fueron capacitados por la Dirección de Planificación sobre la forma de completar esa matriz.  </w:t>
      </w:r>
    </w:p>
    <w:p w14:paraId="338D5004" w14:textId="77777777" w:rsidR="00A554BE" w:rsidRPr="00A554BE" w:rsidRDefault="00A554BE" w:rsidP="009B71C9">
      <w:pPr>
        <w:spacing w:line="276" w:lineRule="auto"/>
        <w:jc w:val="both"/>
        <w:rPr>
          <w:rFonts w:ascii="Book Antiqua" w:eastAsia="Calibri" w:hAnsi="Book Antiqua" w:cs="Arial"/>
          <w:sz w:val="24"/>
          <w:szCs w:val="24"/>
        </w:rPr>
      </w:pPr>
      <w:r w:rsidRPr="00A554BE">
        <w:rPr>
          <w:rFonts w:ascii="Book Antiqua" w:eastAsia="Calibri" w:hAnsi="Book Antiqua" w:cs="Arial"/>
          <w:sz w:val="24"/>
          <w:szCs w:val="24"/>
        </w:rPr>
        <w:lastRenderedPageBreak/>
        <w:t>Lo anterior, también como parte de un proceso de retroalimentación en atención de la recomendación 4.7 de informe  DFOE-PG-0098 (2683)-2020, relacionado con el informe DFOE-PG-IF-00002-2020 “</w:t>
      </w:r>
      <w:r w:rsidRPr="00A554BE">
        <w:rPr>
          <w:rFonts w:ascii="Book Antiqua" w:eastAsia="Calibri" w:hAnsi="Book Antiqua" w:cs="Arial"/>
          <w:i/>
          <w:iCs/>
          <w:sz w:val="24"/>
          <w:szCs w:val="24"/>
        </w:rPr>
        <w:t>Informe de Auditoría Operativa sobre</w:t>
      </w:r>
      <w:r>
        <w:rPr>
          <w:rFonts w:ascii="Book Antiqua" w:eastAsia="Calibri" w:hAnsi="Book Antiqua" w:cs="Arial"/>
          <w:i/>
          <w:iCs/>
          <w:sz w:val="24"/>
          <w:szCs w:val="24"/>
        </w:rPr>
        <w:t xml:space="preserve"> </w:t>
      </w:r>
      <w:r w:rsidRPr="00A554BE">
        <w:rPr>
          <w:rFonts w:ascii="Book Antiqua" w:eastAsia="Calibri" w:hAnsi="Book Antiqua" w:cs="Arial"/>
          <w:i/>
          <w:iCs/>
          <w:sz w:val="24"/>
          <w:szCs w:val="24"/>
        </w:rPr>
        <w:t xml:space="preserve">la gestión del Poder Judicial en cuanto a la oportunidad de la prestación del servicio público de administración de la justicia de los juzgados de Familia y de Pensiones alimentarias” </w:t>
      </w:r>
      <w:r w:rsidRPr="00A554BE">
        <w:rPr>
          <w:rFonts w:ascii="Book Antiqua" w:eastAsia="Calibri" w:hAnsi="Book Antiqua" w:cs="Arial"/>
          <w:sz w:val="24"/>
          <w:szCs w:val="24"/>
        </w:rPr>
        <w:t>y donde el Consejo Superior aprueba el oficio 2058-PLA-EV-2020 en sesión 2-2021 celebrada el 07 de enero del 2021, artículo XXXIX y dispuso:</w:t>
      </w:r>
    </w:p>
    <w:p w14:paraId="4F437175" w14:textId="77777777" w:rsidR="00A554BE" w:rsidRPr="00A554BE" w:rsidRDefault="00A554BE" w:rsidP="00A554BE">
      <w:pPr>
        <w:spacing w:after="0" w:line="276" w:lineRule="auto"/>
        <w:ind w:left="567" w:right="616"/>
        <w:jc w:val="both"/>
        <w:rPr>
          <w:rFonts w:ascii="Book Antiqua" w:eastAsia="Calibri" w:hAnsi="Book Antiqua" w:cs="Arial"/>
          <w:i/>
          <w:iCs/>
          <w:sz w:val="24"/>
          <w:szCs w:val="24"/>
        </w:rPr>
      </w:pPr>
    </w:p>
    <w:p w14:paraId="696484B2" w14:textId="5F718C89" w:rsidR="00A554BE" w:rsidRPr="00A554BE" w:rsidRDefault="00A554BE" w:rsidP="00A554BE">
      <w:pPr>
        <w:spacing w:after="0" w:line="276" w:lineRule="auto"/>
        <w:ind w:left="567" w:right="616"/>
        <w:jc w:val="both"/>
        <w:rPr>
          <w:rFonts w:ascii="Book Antiqua" w:eastAsia="Calibri" w:hAnsi="Book Antiqua" w:cs="Times New Roman"/>
          <w:i/>
          <w:iCs/>
          <w:sz w:val="24"/>
          <w:szCs w:val="24"/>
          <w:lang w:eastAsia="es-CR"/>
        </w:rPr>
      </w:pPr>
      <w:r w:rsidRPr="00A554BE">
        <w:rPr>
          <w:rFonts w:ascii="Book Antiqua" w:eastAsia="Calibri" w:hAnsi="Book Antiqua" w:cs="Calibri"/>
          <w:i/>
          <w:iCs/>
          <w:sz w:val="24"/>
          <w:szCs w:val="24"/>
          <w:lang w:eastAsia="es-CR"/>
        </w:rPr>
        <w:t>“</w:t>
      </w:r>
      <w:r w:rsidRPr="00A554BE">
        <w:rPr>
          <w:rFonts w:ascii="Book Antiqua" w:eastAsia="Calibri" w:hAnsi="Book Antiqua" w:cs="Times New Roman"/>
          <w:b/>
          <w:bCs/>
          <w:i/>
          <w:iCs/>
          <w:sz w:val="24"/>
          <w:szCs w:val="24"/>
          <w:lang w:eastAsia="es-CR"/>
        </w:rPr>
        <w:t xml:space="preserve">Se acordó: 1.) </w:t>
      </w:r>
      <w:r w:rsidRPr="00A554BE">
        <w:rPr>
          <w:rFonts w:ascii="Book Antiqua" w:eastAsia="Calibri" w:hAnsi="Book Antiqua" w:cs="Times New Roman"/>
          <w:i/>
          <w:iCs/>
          <w:sz w:val="24"/>
          <w:szCs w:val="24"/>
          <w:lang w:eastAsia="es-CR"/>
        </w:rPr>
        <w:t xml:space="preserve">Tener por rendido el informe N° 2058-PLA-EV-2020 de 18 de diciembre de 2020, suscrito por el licenciado Erick Antonio Mora Leiva, Jefe del Proceso de Planeación y Evaluación, en el que remitió el informe suscrito por el Ingeniero Jorge Fernando Rodríguez Salazar, Jefe interino del Subproceso de Evaluación, relacionado con el cumplimiento total de la recomendación 4.7 del oficio de la Contraloría General de la República, número DFOE-PG-0098 (2683)-2020. </w:t>
      </w:r>
      <w:r w:rsidRPr="00A554BE">
        <w:rPr>
          <w:rFonts w:ascii="Book Antiqua" w:eastAsia="Calibri" w:hAnsi="Book Antiqua" w:cs="Times New Roman"/>
          <w:b/>
          <w:bCs/>
          <w:i/>
          <w:iCs/>
          <w:sz w:val="24"/>
          <w:szCs w:val="24"/>
          <w:lang w:eastAsia="es-CR"/>
        </w:rPr>
        <w:t xml:space="preserve">2.) </w:t>
      </w:r>
      <w:r w:rsidRPr="00A554BE">
        <w:rPr>
          <w:rFonts w:ascii="Book Antiqua" w:eastAsia="Calibri" w:hAnsi="Book Antiqua" w:cs="Times New Roman"/>
          <w:i/>
          <w:iCs/>
          <w:sz w:val="24"/>
          <w:szCs w:val="24"/>
          <w:lang w:eastAsia="es-CR"/>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y Pensiones Alimentarias a nivel nacional, cuyas responsabilidades fueron reiteradas a cada uno de los responsables mediante circulares N° 193-2020 y 194-2020. </w:t>
      </w:r>
      <w:r w:rsidRPr="00A554BE">
        <w:rPr>
          <w:rFonts w:ascii="Book Antiqua" w:eastAsia="Calibri" w:hAnsi="Book Antiqua" w:cs="Times New Roman"/>
          <w:b/>
          <w:bCs/>
          <w:i/>
          <w:iCs/>
          <w:sz w:val="24"/>
          <w:szCs w:val="24"/>
          <w:lang w:eastAsia="es-CR"/>
        </w:rPr>
        <w:t>3.)</w:t>
      </w:r>
      <w:r w:rsidRPr="00A554BE">
        <w:rPr>
          <w:rFonts w:ascii="Book Antiqua" w:eastAsia="Calibri" w:hAnsi="Book Antiqua" w:cs="Times New Roman"/>
          <w:i/>
          <w:iCs/>
          <w:sz w:val="24"/>
          <w:szCs w:val="24"/>
          <w:lang w:eastAsia="es-CR"/>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A554BE">
        <w:rPr>
          <w:rFonts w:ascii="Book Antiqua" w:eastAsia="Calibri" w:hAnsi="Book Antiqua" w:cs="Times New Roman"/>
          <w:b/>
          <w:bCs/>
          <w:i/>
          <w:iCs/>
          <w:sz w:val="24"/>
          <w:szCs w:val="24"/>
          <w:lang w:eastAsia="es-CR"/>
        </w:rPr>
        <w:t xml:space="preserve">4.) </w:t>
      </w:r>
      <w:r w:rsidRPr="00A554BE">
        <w:rPr>
          <w:rFonts w:ascii="Book Antiqua" w:eastAsia="Calibri" w:hAnsi="Book Antiqua" w:cs="Times New Roman"/>
          <w:i/>
          <w:iCs/>
          <w:sz w:val="24"/>
          <w:szCs w:val="24"/>
          <w:lang w:eastAsia="es-CR"/>
        </w:rPr>
        <w:t>Comisionar a la Secretaría General de la Corte para que tramite la remisión del contenido completo del informe N° 2058-PLA-EV-2020 de</w:t>
      </w:r>
      <w:r w:rsidR="00FB7CBF">
        <w:rPr>
          <w:rFonts w:ascii="Book Antiqua" w:eastAsia="Calibri" w:hAnsi="Book Antiqua" w:cs="Times New Roman"/>
          <w:i/>
          <w:iCs/>
          <w:sz w:val="24"/>
          <w:szCs w:val="24"/>
          <w:lang w:eastAsia="es-CR"/>
        </w:rPr>
        <w:t xml:space="preserve"> </w:t>
      </w:r>
      <w:r w:rsidR="00F864FD">
        <w:rPr>
          <w:rFonts w:ascii="Book Antiqua" w:eastAsia="Calibri" w:hAnsi="Book Antiqua" w:cs="Times New Roman"/>
          <w:i/>
          <w:iCs/>
          <w:sz w:val="24"/>
          <w:szCs w:val="24"/>
          <w:lang w:eastAsia="es-CR"/>
        </w:rPr>
        <w:t xml:space="preserve">18 de diciembre </w:t>
      </w:r>
      <w:r w:rsidRPr="00A554BE">
        <w:rPr>
          <w:rFonts w:ascii="Book Antiqua" w:eastAsia="Calibri" w:hAnsi="Book Antiqua" w:cs="Times New Roman"/>
          <w:i/>
          <w:iCs/>
          <w:sz w:val="24"/>
          <w:szCs w:val="24"/>
          <w:lang w:eastAsia="es-CR"/>
        </w:rPr>
        <w:t>de 2020, a la Contraloría General de la República.</w:t>
      </w:r>
    </w:p>
    <w:p w14:paraId="50438FC8" w14:textId="77777777" w:rsidR="00A554BE" w:rsidRPr="00A554BE" w:rsidRDefault="00A554BE" w:rsidP="00A554BE">
      <w:pPr>
        <w:spacing w:after="0" w:line="276" w:lineRule="auto"/>
        <w:ind w:left="567" w:right="616"/>
        <w:rPr>
          <w:rFonts w:ascii="Book Antiqua" w:eastAsia="Calibri" w:hAnsi="Book Antiqua" w:cs="Times New Roman"/>
          <w:i/>
          <w:iCs/>
          <w:sz w:val="24"/>
          <w:szCs w:val="24"/>
          <w:lang w:eastAsia="es-CR"/>
        </w:rPr>
      </w:pPr>
      <w:r w:rsidRPr="00A554BE">
        <w:rPr>
          <w:rFonts w:ascii="Book Antiqua" w:eastAsia="Calibri" w:hAnsi="Book Antiqua" w:cs="Times New Roman"/>
          <w:i/>
          <w:iCs/>
          <w:sz w:val="24"/>
          <w:szCs w:val="24"/>
          <w:lang w:val="es-ES" w:eastAsia="es-CR"/>
        </w:rPr>
        <w:t> </w:t>
      </w:r>
    </w:p>
    <w:p w14:paraId="4AEFD3CE" w14:textId="77777777" w:rsidR="00A554BE" w:rsidRPr="00A554BE" w:rsidRDefault="00A554BE" w:rsidP="00A554BE">
      <w:pPr>
        <w:spacing w:after="0" w:line="276" w:lineRule="auto"/>
        <w:ind w:left="567" w:right="616"/>
        <w:jc w:val="both"/>
        <w:rPr>
          <w:rFonts w:ascii="Book Antiqua" w:eastAsia="Calibri" w:hAnsi="Book Antiqua" w:cs="Times New Roman"/>
          <w:i/>
          <w:iCs/>
          <w:sz w:val="24"/>
          <w:szCs w:val="24"/>
          <w:lang w:eastAsia="es-CR"/>
        </w:rPr>
      </w:pPr>
      <w:r w:rsidRPr="00A554BE">
        <w:rPr>
          <w:rFonts w:ascii="Book Antiqua" w:eastAsia="Calibri" w:hAnsi="Book Antiqua" w:cs="Times New Roman"/>
          <w:i/>
          <w:iCs/>
          <w:sz w:val="24"/>
          <w:szCs w:val="24"/>
          <w:lang w:eastAsia="es-CR"/>
        </w:rPr>
        <w:t xml:space="preserve">La Dirección de Planificación tomará nota para los fines consiguientes. </w:t>
      </w:r>
      <w:r w:rsidRPr="00A554BE">
        <w:rPr>
          <w:rFonts w:ascii="Book Antiqua" w:eastAsia="Calibri" w:hAnsi="Book Antiqua" w:cs="Times New Roman"/>
          <w:b/>
          <w:bCs/>
          <w:i/>
          <w:iCs/>
          <w:sz w:val="24"/>
          <w:szCs w:val="24"/>
          <w:lang w:eastAsia="es-CR"/>
        </w:rPr>
        <w:t>Se declara acuerdo firme.</w:t>
      </w:r>
      <w:r w:rsidRPr="00A554BE">
        <w:rPr>
          <w:rFonts w:ascii="Book Antiqua" w:eastAsia="Calibri" w:hAnsi="Book Antiqua" w:cs="Times New Roman"/>
          <w:i/>
          <w:iCs/>
          <w:sz w:val="24"/>
          <w:szCs w:val="24"/>
          <w:lang w:val="es-ES" w:eastAsia="es-CR"/>
        </w:rPr>
        <w:t>”.</w:t>
      </w:r>
    </w:p>
    <w:p w14:paraId="6D9D721B" w14:textId="77777777" w:rsidR="00A554BE" w:rsidRPr="00A554BE" w:rsidRDefault="00A554BE" w:rsidP="00A554BE">
      <w:pPr>
        <w:spacing w:after="0" w:line="276" w:lineRule="auto"/>
        <w:ind w:left="851" w:right="851"/>
        <w:jc w:val="both"/>
        <w:rPr>
          <w:rFonts w:ascii="Times New Roman" w:eastAsia="Calibri" w:hAnsi="Times New Roman" w:cs="Times New Roman"/>
          <w:sz w:val="24"/>
          <w:szCs w:val="24"/>
          <w:lang w:eastAsia="es-CR"/>
        </w:rPr>
      </w:pPr>
      <w:r w:rsidRPr="00A554BE">
        <w:rPr>
          <w:rFonts w:ascii="Times New Roman" w:eastAsia="Calibri" w:hAnsi="Times New Roman" w:cs="Times New Roman"/>
          <w:lang w:val="es-ES" w:eastAsia="es-CR"/>
        </w:rPr>
        <w:lastRenderedPageBreak/>
        <w:t> </w:t>
      </w:r>
    </w:p>
    <w:p w14:paraId="4C2F61B4" w14:textId="77777777"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 xml:space="preserve">Adicionalmente el Consejo Superior acuerda en sesión 82-2020 celebrada el 20 de agosto del 2020, artículo XLI emitir las circulares 193-2020 </w:t>
      </w:r>
      <w:r w:rsidRPr="00A554BE">
        <w:rPr>
          <w:rFonts w:ascii="Book Antiqua" w:eastAsia="Calibri" w:hAnsi="Book Antiqua" w:cs="Arial"/>
          <w:i/>
          <w:iCs/>
          <w:sz w:val="24"/>
          <w:szCs w:val="24"/>
        </w:rPr>
        <w:t>“Responsabilidades asociadas al Modelo de Sostenibilidad y Seguimientos de los proyectos de rediseño de oficinas”</w:t>
      </w:r>
      <w:r w:rsidRPr="00A554BE">
        <w:rPr>
          <w:rFonts w:ascii="Book Antiqua" w:eastAsia="Calibri" w:hAnsi="Book Antiqua" w:cs="Arial"/>
          <w:sz w:val="24"/>
          <w:szCs w:val="24"/>
        </w:rPr>
        <w:t xml:space="preserve"> y 194-2020 </w:t>
      </w:r>
      <w:r w:rsidRPr="00A554BE">
        <w:rPr>
          <w:rFonts w:ascii="Book Antiqua" w:eastAsia="Calibri" w:hAnsi="Book Antiqua" w:cs="Arial"/>
          <w:i/>
          <w:iCs/>
          <w:sz w:val="24"/>
          <w:szCs w:val="24"/>
        </w:rPr>
        <w:t xml:space="preserve">“Responsabilidades en el cumplimiento de las labores y el rendimiento de todos los servidores del despacho y el régimen disciplinario” </w:t>
      </w:r>
      <w:r w:rsidRPr="00A554BE">
        <w:rPr>
          <w:rFonts w:ascii="Book Antiqua" w:eastAsia="Calibri" w:hAnsi="Book Antiqua" w:cs="Arial"/>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A554BE">
        <w:rPr>
          <w:rFonts w:ascii="Book Antiqua" w:eastAsia="Calibri" w:hAnsi="Book Antiqua" w:cs="Arial"/>
          <w:i/>
          <w:iCs/>
          <w:sz w:val="24"/>
          <w:szCs w:val="24"/>
        </w:rPr>
        <w:t>“Informe de Auditoría Operativa sobre la gestión del Poder Judicial en cuanto a la oportunidad de la prestación del servicio público de administración de la justicia de los juzgados de Familia y de Pensiones alimentarias”.</w:t>
      </w:r>
    </w:p>
    <w:p w14:paraId="50C425CF" w14:textId="77777777" w:rsidR="00A554BE" w:rsidRPr="00A554BE" w:rsidRDefault="00A554BE" w:rsidP="00A554BE">
      <w:pPr>
        <w:spacing w:after="0" w:line="276" w:lineRule="auto"/>
        <w:jc w:val="both"/>
        <w:rPr>
          <w:rFonts w:ascii="Book Antiqua" w:eastAsia="Calibri" w:hAnsi="Book Antiqua" w:cs="Arial"/>
          <w:sz w:val="24"/>
          <w:szCs w:val="24"/>
        </w:rPr>
      </w:pPr>
    </w:p>
    <w:p w14:paraId="462A9A5D" w14:textId="77777777" w:rsidR="00A554BE" w:rsidRPr="00330700" w:rsidRDefault="00A554BE"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330700">
        <w:rPr>
          <w:rFonts w:ascii="Book Antiqua" w:eastAsiaTheme="majorEastAsia" w:hAnsi="Book Antiqua" w:cstheme="majorBidi"/>
          <w:b/>
          <w:color w:val="1F3864" w:themeColor="accent1" w:themeShade="80"/>
          <w:sz w:val="24"/>
          <w:lang w:val="es-ES"/>
        </w:rPr>
        <w:t>Indicadores de Gestión en Despachos Rediseñados</w:t>
      </w:r>
    </w:p>
    <w:p w14:paraId="72AD0133" w14:textId="51FCFAB5" w:rsidR="00A554BE" w:rsidRDefault="00A554BE" w:rsidP="00A554BE">
      <w:pPr>
        <w:rPr>
          <w:lang w:val="es-ES"/>
        </w:rPr>
      </w:pPr>
    </w:p>
    <w:p w14:paraId="0068B896" w14:textId="77777777" w:rsidR="00A554BE" w:rsidRPr="00A554BE" w:rsidRDefault="00A554BE" w:rsidP="00A554BE">
      <w:pPr>
        <w:spacing w:after="0" w:line="276" w:lineRule="auto"/>
        <w:jc w:val="both"/>
        <w:rPr>
          <w:rFonts w:ascii="Book Antiqua" w:eastAsia="Calibri" w:hAnsi="Book Antiqua" w:cs="Arial"/>
          <w:sz w:val="24"/>
          <w:szCs w:val="24"/>
        </w:rPr>
      </w:pPr>
      <w:r w:rsidRPr="00A554BE">
        <w:rPr>
          <w:rFonts w:ascii="Book Antiqua" w:eastAsia="Calibri" w:hAnsi="Book Antiqua" w:cs="Arial"/>
          <w:sz w:val="24"/>
          <w:szCs w:val="24"/>
        </w:rPr>
        <w:t xml:space="preserve">El diseño de la matriz de indicadores de gestión para los despachos competentes en materia de Pensiones Alimentarias se categoriza de la siguiente manera: </w:t>
      </w:r>
    </w:p>
    <w:p w14:paraId="4C7DFCAD" w14:textId="77777777" w:rsidR="00A554BE" w:rsidRPr="00A554BE" w:rsidRDefault="00A554BE" w:rsidP="00A554BE">
      <w:pPr>
        <w:spacing w:after="0" w:line="276" w:lineRule="auto"/>
        <w:jc w:val="both"/>
        <w:rPr>
          <w:rFonts w:ascii="Book Antiqua" w:eastAsia="Calibri" w:hAnsi="Book Antiqua" w:cs="Arial"/>
          <w:sz w:val="24"/>
        </w:rPr>
      </w:pPr>
    </w:p>
    <w:p w14:paraId="67C04FDF" w14:textId="77777777" w:rsidR="00A554BE" w:rsidRPr="00A554BE" w:rsidRDefault="00A554BE" w:rsidP="00A554BE">
      <w:pPr>
        <w:spacing w:after="0" w:line="276" w:lineRule="auto"/>
        <w:jc w:val="both"/>
        <w:rPr>
          <w:rFonts w:ascii="Book Antiqua" w:eastAsia="Calibri" w:hAnsi="Book Antiqua" w:cs="Arial"/>
          <w:sz w:val="24"/>
        </w:rPr>
      </w:pPr>
      <w:r w:rsidRPr="00A554BE">
        <w:rPr>
          <w:rFonts w:ascii="Book Antiqua" w:eastAsia="Calibri" w:hAnsi="Book Antiqua" w:cs="Arial"/>
          <w:sz w:val="24"/>
        </w:rPr>
        <w:t xml:space="preserve">Rendimiento estadístico del despacho: en términos generales consisten en detallar una serie de variables estadísticas destinadas a calificar de manera general el movimiento de trabajo del despacho (entradas, salidas, circulante, etc.). </w:t>
      </w:r>
    </w:p>
    <w:p w14:paraId="57C50DBB"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p>
    <w:p w14:paraId="3DAC921B"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r w:rsidRPr="00A554BE">
        <w:rPr>
          <w:rFonts w:ascii="Book Antiqua" w:eastAsia="Calibri" w:hAnsi="Book Antiqua" w:cs="Arial"/>
          <w:sz w:val="24"/>
          <w:szCs w:val="24"/>
          <w:lang w:eastAsia="es-CR"/>
        </w:rPr>
        <w:t xml:space="preserve">Plazos: valoran cierta cantidad de actividades de acuerdo principalmente a la duración a lo interno del Despacho (dictado de sentencias, resolver demandas nuevas, resolver escritos, entre otros). </w:t>
      </w:r>
    </w:p>
    <w:p w14:paraId="206DE11D"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p>
    <w:p w14:paraId="3261DE11"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r w:rsidRPr="00A554BE">
        <w:rPr>
          <w:rFonts w:ascii="Book Antiqua" w:eastAsia="Calibri" w:hAnsi="Book Antiqua" w:cs="Arial"/>
          <w:sz w:val="24"/>
          <w:szCs w:val="24"/>
          <w:lang w:eastAsia="es-CR"/>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6F91056B" w14:textId="77777777" w:rsidR="00A554BE" w:rsidRPr="00A554BE" w:rsidRDefault="00A554BE" w:rsidP="00A554BE">
      <w:pPr>
        <w:spacing w:after="0" w:line="276" w:lineRule="auto"/>
        <w:contextualSpacing/>
        <w:jc w:val="both"/>
        <w:rPr>
          <w:rFonts w:ascii="Book Antiqua" w:eastAsia="Calibri" w:hAnsi="Book Antiqua" w:cs="Arial"/>
          <w:sz w:val="24"/>
          <w:szCs w:val="24"/>
          <w:lang w:eastAsia="es-CR"/>
        </w:rPr>
      </w:pPr>
    </w:p>
    <w:p w14:paraId="2989D282" w14:textId="5DD60560" w:rsidR="00A554BE" w:rsidRDefault="00A554BE" w:rsidP="00A554BE">
      <w:pPr>
        <w:spacing w:after="0" w:line="276" w:lineRule="auto"/>
        <w:contextualSpacing/>
        <w:jc w:val="both"/>
        <w:rPr>
          <w:rFonts w:ascii="Book Antiqua" w:eastAsia="Calibri" w:hAnsi="Book Antiqua" w:cs="Arial"/>
          <w:sz w:val="24"/>
          <w:szCs w:val="24"/>
          <w:lang w:eastAsia="es-CR"/>
        </w:rPr>
      </w:pPr>
      <w:r w:rsidRPr="00A554BE">
        <w:rPr>
          <w:rFonts w:ascii="Book Antiqua" w:eastAsia="Calibri" w:hAnsi="Book Antiqua" w:cs="Arial"/>
          <w:sz w:val="24"/>
          <w:szCs w:val="24"/>
          <w:lang w:eastAsia="es-CR"/>
        </w:rPr>
        <w:t>La matriz fue aprobada por el Consejo Superior en sesión 10, del 4 de febrero, artículo XL, oficio 47-PLA-EV-2021.</w:t>
      </w:r>
    </w:p>
    <w:p w14:paraId="7699119B" w14:textId="6945706D" w:rsidR="00BB0C4F" w:rsidRDefault="00BB0C4F" w:rsidP="00A554BE">
      <w:pPr>
        <w:spacing w:after="0" w:line="276" w:lineRule="auto"/>
        <w:contextualSpacing/>
        <w:jc w:val="both"/>
        <w:rPr>
          <w:rFonts w:ascii="Book Antiqua" w:eastAsia="Calibri" w:hAnsi="Book Antiqua" w:cs="Arial"/>
          <w:sz w:val="24"/>
          <w:szCs w:val="24"/>
          <w:lang w:eastAsia="es-CR"/>
        </w:rPr>
      </w:pPr>
    </w:p>
    <w:p w14:paraId="27F6EF06" w14:textId="6C48E480" w:rsidR="00BB0C4F" w:rsidRPr="00A554BE" w:rsidRDefault="00BB0C4F" w:rsidP="00A554BE">
      <w:pPr>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lastRenderedPageBreak/>
        <w:t xml:space="preserve">Por otra parte, de los seguimientos realizados durante el 2021, se detectaron oportunidades de mejora en la matriz </w:t>
      </w:r>
      <w:r w:rsidRPr="00BB0C4F">
        <w:rPr>
          <w:rFonts w:ascii="Book Antiqua" w:eastAsia="Calibri" w:hAnsi="Book Antiqua" w:cs="Arial"/>
          <w:sz w:val="24"/>
          <w:szCs w:val="24"/>
          <w:lang w:eastAsia="es-CR"/>
        </w:rPr>
        <w:t>indicadores de gestión de los despachos de Pensiones Alimentarias</w:t>
      </w:r>
      <w:r>
        <w:rPr>
          <w:rFonts w:ascii="Book Antiqua" w:eastAsia="Calibri" w:hAnsi="Book Antiqua" w:cs="Arial"/>
          <w:sz w:val="24"/>
          <w:szCs w:val="24"/>
          <w:lang w:eastAsia="es-CR"/>
        </w:rPr>
        <w:t>,</w:t>
      </w:r>
      <w:r w:rsidRPr="00BB0C4F">
        <w:rPr>
          <w:rFonts w:ascii="Book Antiqua" w:eastAsia="Calibri" w:hAnsi="Book Antiqua" w:cs="Arial"/>
          <w:sz w:val="24"/>
          <w:szCs w:val="24"/>
          <w:lang w:eastAsia="es-CR"/>
        </w:rPr>
        <w:t xml:space="preserve"> </w:t>
      </w:r>
      <w:r>
        <w:rPr>
          <w:rFonts w:ascii="Book Antiqua" w:eastAsia="Calibri" w:hAnsi="Book Antiqua" w:cs="Arial"/>
          <w:sz w:val="24"/>
          <w:szCs w:val="24"/>
          <w:lang w:eastAsia="es-CR"/>
        </w:rPr>
        <w:t xml:space="preserve">por lo que </w:t>
      </w:r>
      <w:r w:rsidRPr="00BB0C4F">
        <w:rPr>
          <w:rFonts w:ascii="Book Antiqua" w:eastAsia="Calibri" w:hAnsi="Book Antiqua" w:cs="Arial"/>
          <w:sz w:val="24"/>
          <w:szCs w:val="24"/>
          <w:lang w:eastAsia="es-CR"/>
        </w:rPr>
        <w:t xml:space="preserve">se realizaron ajustes a las matrices, lo anterior, de la mano del compromiso con la mejora continua de los servicios que se brindan a nivel institucional, </w:t>
      </w:r>
      <w:r>
        <w:rPr>
          <w:rFonts w:ascii="Book Antiqua" w:eastAsia="Calibri" w:hAnsi="Book Antiqua" w:cs="Arial"/>
          <w:sz w:val="24"/>
          <w:szCs w:val="24"/>
          <w:lang w:eastAsia="es-CR"/>
        </w:rPr>
        <w:t xml:space="preserve">dichas modificaciones se comunicaron a los despachos mediante correo electrónico y se realizó una capacitación en la que se explicó los cambios realizados en la matriz de indicadores de gestión, los cuales se comunicaron al Consejos Superior </w:t>
      </w:r>
      <w:r w:rsidR="006F10C7">
        <w:rPr>
          <w:rFonts w:ascii="Book Antiqua" w:eastAsia="Calibri" w:hAnsi="Book Antiqua" w:cs="Arial"/>
          <w:sz w:val="24"/>
          <w:szCs w:val="24"/>
          <w:lang w:eastAsia="es-CR"/>
        </w:rPr>
        <w:t xml:space="preserve">mediante </w:t>
      </w:r>
      <w:r>
        <w:rPr>
          <w:rFonts w:ascii="Book Antiqua" w:eastAsia="Calibri" w:hAnsi="Book Antiqua" w:cs="Arial"/>
          <w:sz w:val="24"/>
          <w:szCs w:val="24"/>
          <w:lang w:eastAsia="es-CR"/>
        </w:rPr>
        <w:t>el informe</w:t>
      </w:r>
      <w:r w:rsidR="00A46B83">
        <w:rPr>
          <w:rFonts w:ascii="Book Antiqua" w:eastAsia="Calibri" w:hAnsi="Book Antiqua" w:cs="Arial"/>
          <w:sz w:val="24"/>
          <w:szCs w:val="24"/>
          <w:lang w:eastAsia="es-CR"/>
        </w:rPr>
        <w:t xml:space="preserve"> </w:t>
      </w:r>
      <w:bookmarkStart w:id="63" w:name="_Hlk97808575"/>
      <w:r w:rsidR="00A46B83">
        <w:rPr>
          <w:rFonts w:ascii="Book Antiqua" w:eastAsia="Calibri" w:hAnsi="Book Antiqua" w:cs="Arial"/>
          <w:sz w:val="24"/>
          <w:szCs w:val="24"/>
          <w:lang w:eastAsia="es-CR"/>
        </w:rPr>
        <w:t>de cierre de Pensiones Alimentarias 46-PLA-MI-2022</w:t>
      </w:r>
      <w:r w:rsidR="004412A7">
        <w:rPr>
          <w:rFonts w:ascii="Book Antiqua" w:eastAsia="Calibri" w:hAnsi="Book Antiqua" w:cs="Arial"/>
          <w:sz w:val="24"/>
          <w:szCs w:val="24"/>
          <w:lang w:eastAsia="es-CR"/>
        </w:rPr>
        <w:t xml:space="preserve">, aprobado por el Consejo Superior en la sesión </w:t>
      </w:r>
      <w:r w:rsidR="00AE2DCD">
        <w:rPr>
          <w:rFonts w:ascii="Book Antiqua" w:eastAsia="Calibri" w:hAnsi="Book Antiqua" w:cs="Arial"/>
          <w:sz w:val="24"/>
          <w:szCs w:val="24"/>
          <w:lang w:eastAsia="es-CR"/>
        </w:rPr>
        <w:t xml:space="preserve">11-2022 celebrada el </w:t>
      </w:r>
      <w:r w:rsidR="006700A1">
        <w:rPr>
          <w:rFonts w:ascii="Book Antiqua" w:eastAsia="Calibri" w:hAnsi="Book Antiqua" w:cs="Arial"/>
          <w:sz w:val="24"/>
          <w:szCs w:val="24"/>
          <w:lang w:eastAsia="es-CR"/>
        </w:rPr>
        <w:t xml:space="preserve">8 de febrero de 2022, artículo </w:t>
      </w:r>
      <w:r w:rsidR="0029774D">
        <w:rPr>
          <w:rFonts w:ascii="Book Antiqua" w:eastAsia="Calibri" w:hAnsi="Book Antiqua" w:cs="Arial"/>
          <w:sz w:val="24"/>
          <w:szCs w:val="24"/>
          <w:lang w:eastAsia="es-CR"/>
        </w:rPr>
        <w:t>XXXII</w:t>
      </w:r>
      <w:bookmarkEnd w:id="63"/>
      <w:r w:rsidR="00A46B83">
        <w:rPr>
          <w:rFonts w:ascii="Book Antiqua" w:eastAsia="Calibri" w:hAnsi="Book Antiqua" w:cs="Arial"/>
          <w:sz w:val="24"/>
          <w:szCs w:val="24"/>
          <w:lang w:eastAsia="es-CR"/>
        </w:rPr>
        <w:t>.</w:t>
      </w:r>
      <w:r>
        <w:rPr>
          <w:rFonts w:ascii="Book Antiqua" w:eastAsia="Calibri" w:hAnsi="Book Antiqua" w:cs="Arial"/>
          <w:sz w:val="24"/>
          <w:szCs w:val="24"/>
          <w:lang w:eastAsia="es-CR"/>
        </w:rPr>
        <w:t>.</w:t>
      </w:r>
    </w:p>
    <w:p w14:paraId="275D89CA" w14:textId="77777777" w:rsidR="00A554BE" w:rsidRPr="00A554BE" w:rsidRDefault="00A554BE" w:rsidP="00A554BE">
      <w:pPr>
        <w:spacing w:after="0" w:line="276" w:lineRule="auto"/>
        <w:jc w:val="both"/>
        <w:rPr>
          <w:rFonts w:ascii="Book Antiqua" w:eastAsia="Calibri" w:hAnsi="Book Antiqua" w:cs="Arial"/>
          <w:sz w:val="24"/>
          <w:szCs w:val="24"/>
        </w:rPr>
      </w:pPr>
    </w:p>
    <w:p w14:paraId="247A1FB0" w14:textId="49984C7A" w:rsidR="00A554BE" w:rsidRPr="00A554BE" w:rsidRDefault="00A554BE" w:rsidP="00A554BE">
      <w:pPr>
        <w:keepNext/>
        <w:numPr>
          <w:ilvl w:val="12"/>
          <w:numId w:val="0"/>
        </w:numPr>
        <w:spacing w:after="0" w:line="276" w:lineRule="auto"/>
        <w:jc w:val="center"/>
        <w:rPr>
          <w:rFonts w:ascii="Book Antiqua" w:eastAsia="Calibri" w:hAnsi="Book Antiqua" w:cs="Arial"/>
          <w:b/>
          <w:bCs/>
          <w:color w:val="1F497D"/>
          <w:szCs w:val="24"/>
          <w:lang w:val="es-ES" w:eastAsia="es-ES"/>
        </w:rPr>
      </w:pPr>
      <w:r>
        <w:rPr>
          <w:rFonts w:ascii="Book Antiqua" w:eastAsia="Calibri" w:hAnsi="Book Antiqua" w:cs="Arial"/>
          <w:b/>
          <w:bCs/>
          <w:color w:val="1F497D"/>
          <w:szCs w:val="24"/>
          <w:lang w:val="es-ES" w:eastAsia="es-ES"/>
        </w:rPr>
        <w:t>C</w:t>
      </w:r>
      <w:r w:rsidRPr="00A554BE">
        <w:rPr>
          <w:rFonts w:ascii="Book Antiqua" w:eastAsia="Calibri" w:hAnsi="Book Antiqua" w:cs="Arial"/>
          <w:b/>
          <w:bCs/>
          <w:color w:val="1F497D"/>
          <w:szCs w:val="24"/>
          <w:lang w:val="es-ES" w:eastAsia="es-ES"/>
        </w:rPr>
        <w:t xml:space="preserve">uadro </w:t>
      </w:r>
      <w:r w:rsidRPr="00A554BE">
        <w:rPr>
          <w:rFonts w:ascii="Book Antiqua" w:eastAsia="Calibri" w:hAnsi="Book Antiqua" w:cs="Arial"/>
          <w:b/>
          <w:bCs/>
          <w:color w:val="1F497D"/>
          <w:szCs w:val="24"/>
          <w:lang w:val="es-ES" w:eastAsia="es-ES"/>
        </w:rPr>
        <w:fldChar w:fldCharType="begin"/>
      </w:r>
      <w:r w:rsidRPr="00A554BE">
        <w:rPr>
          <w:rFonts w:ascii="Book Antiqua" w:eastAsia="Calibri" w:hAnsi="Book Antiqua" w:cs="Arial"/>
          <w:b/>
          <w:bCs/>
          <w:color w:val="1F497D"/>
          <w:szCs w:val="24"/>
          <w:lang w:val="es-ES" w:eastAsia="es-ES"/>
        </w:rPr>
        <w:instrText xml:space="preserve"> SEQ Cuadro \* ARABIC </w:instrText>
      </w:r>
      <w:r w:rsidRPr="00A554BE">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73</w:t>
      </w:r>
      <w:r w:rsidRPr="00A554BE">
        <w:rPr>
          <w:rFonts w:ascii="Book Antiqua" w:eastAsia="Calibri" w:hAnsi="Book Antiqua" w:cs="Arial"/>
          <w:b/>
          <w:bCs/>
          <w:color w:val="1F497D"/>
          <w:szCs w:val="24"/>
          <w:lang w:val="es-ES" w:eastAsia="es-ES"/>
        </w:rPr>
        <w:fldChar w:fldCharType="end"/>
      </w:r>
    </w:p>
    <w:p w14:paraId="46EDBEC6" w14:textId="77777777" w:rsidR="006F10C7" w:rsidRDefault="00A554BE" w:rsidP="00A554B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554BE">
        <w:rPr>
          <w:rFonts w:ascii="Book Antiqua" w:eastAsia="Calibri" w:hAnsi="Book Antiqua" w:cs="Arial"/>
          <w:b/>
          <w:bCs/>
          <w:color w:val="1F497D"/>
          <w:szCs w:val="24"/>
          <w:lang w:val="es-ES" w:eastAsia="es-ES"/>
        </w:rPr>
        <w:t xml:space="preserve">Matriz de Indicadores de los Juzgados Especializados en </w:t>
      </w:r>
    </w:p>
    <w:p w14:paraId="7C1E71AF" w14:textId="691788F3" w:rsidR="00A554BE" w:rsidRPr="00A554BE" w:rsidRDefault="00A554BE" w:rsidP="00A554BE">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554BE">
        <w:rPr>
          <w:rFonts w:ascii="Book Antiqua" w:eastAsia="Calibri" w:hAnsi="Book Antiqua" w:cs="Arial"/>
          <w:b/>
          <w:bCs/>
          <w:color w:val="1F497D"/>
          <w:szCs w:val="24"/>
          <w:lang w:val="es-ES" w:eastAsia="es-ES"/>
        </w:rPr>
        <w:t>Pensiones Alimentarias, 2021</w:t>
      </w:r>
    </w:p>
    <w:tbl>
      <w:tblPr>
        <w:tblW w:w="47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0"/>
        <w:gridCol w:w="834"/>
        <w:gridCol w:w="1582"/>
        <w:gridCol w:w="4672"/>
      </w:tblGrid>
      <w:tr w:rsidR="00215CAB" w:rsidRPr="00A554BE" w14:paraId="2B5277BD" w14:textId="77777777" w:rsidTr="001D0C10">
        <w:trPr>
          <w:cantSplit/>
          <w:trHeight w:val="386"/>
          <w:tblHeader/>
          <w:jc w:val="center"/>
        </w:trPr>
        <w:tc>
          <w:tcPr>
            <w:tcW w:w="760" w:type="pct"/>
            <w:shd w:val="clear" w:color="auto" w:fill="002060"/>
          </w:tcPr>
          <w:p w14:paraId="07FFFCD3" w14:textId="77777777" w:rsidR="00A554BE" w:rsidRPr="00A554BE" w:rsidRDefault="00A554BE" w:rsidP="00A554BE">
            <w:pPr>
              <w:spacing w:after="0" w:line="276" w:lineRule="auto"/>
              <w:jc w:val="center"/>
              <w:rPr>
                <w:rFonts w:ascii="Book Antiqua" w:eastAsia="Times New Roman" w:hAnsi="Book Antiqua" w:cs="Arial"/>
                <w:b/>
                <w:bCs/>
                <w:color w:val="FFFFFF"/>
                <w:lang w:eastAsia="es-CR"/>
              </w:rPr>
            </w:pPr>
            <w:r w:rsidRPr="00A554BE">
              <w:rPr>
                <w:rFonts w:ascii="Book Antiqua" w:eastAsia="Times New Roman" w:hAnsi="Book Antiqua" w:cs="Arial"/>
                <w:b/>
                <w:bCs/>
                <w:color w:val="FFFFFF"/>
                <w:lang w:eastAsia="es-CR"/>
              </w:rPr>
              <w:t>Categ</w:t>
            </w:r>
          </w:p>
        </w:tc>
        <w:tc>
          <w:tcPr>
            <w:tcW w:w="499" w:type="pct"/>
            <w:shd w:val="clear" w:color="auto" w:fill="002060"/>
            <w:noWrap/>
            <w:vAlign w:val="center"/>
            <w:hideMark/>
          </w:tcPr>
          <w:p w14:paraId="0292E088" w14:textId="77777777" w:rsidR="00A554BE" w:rsidRPr="00A554BE" w:rsidRDefault="00A554BE" w:rsidP="00A554BE">
            <w:pPr>
              <w:spacing w:after="0" w:line="276" w:lineRule="auto"/>
              <w:jc w:val="center"/>
              <w:rPr>
                <w:rFonts w:ascii="Book Antiqua" w:eastAsia="Times New Roman" w:hAnsi="Book Antiqua" w:cs="Arial"/>
                <w:b/>
                <w:bCs/>
                <w:color w:val="FFFFFF"/>
                <w:lang w:eastAsia="es-CR"/>
              </w:rPr>
            </w:pPr>
            <w:r w:rsidRPr="00A554BE">
              <w:rPr>
                <w:rFonts w:ascii="Book Antiqua" w:eastAsia="Times New Roman" w:hAnsi="Book Antiqua" w:cs="Arial"/>
                <w:b/>
                <w:bCs/>
                <w:color w:val="FFFFFF"/>
                <w:lang w:eastAsia="es-CR"/>
              </w:rPr>
              <w:t>N°</w:t>
            </w:r>
          </w:p>
        </w:tc>
        <w:tc>
          <w:tcPr>
            <w:tcW w:w="946" w:type="pct"/>
            <w:shd w:val="clear" w:color="auto" w:fill="002060"/>
            <w:noWrap/>
            <w:vAlign w:val="center"/>
            <w:hideMark/>
          </w:tcPr>
          <w:p w14:paraId="57BC6585" w14:textId="77777777" w:rsidR="00A554BE" w:rsidRPr="00A554BE" w:rsidRDefault="00A554BE" w:rsidP="008879F8">
            <w:pPr>
              <w:spacing w:after="0" w:line="276" w:lineRule="auto"/>
              <w:jc w:val="center"/>
              <w:rPr>
                <w:rFonts w:ascii="Book Antiqua" w:eastAsia="Times New Roman" w:hAnsi="Book Antiqua" w:cs="Arial"/>
                <w:b/>
                <w:bCs/>
                <w:color w:val="FFFFFF"/>
                <w:lang w:eastAsia="es-CR"/>
              </w:rPr>
            </w:pPr>
            <w:r w:rsidRPr="00A554BE">
              <w:rPr>
                <w:rFonts w:ascii="Book Antiqua" w:eastAsia="Times New Roman" w:hAnsi="Book Antiqua" w:cs="Arial"/>
                <w:b/>
                <w:bCs/>
                <w:color w:val="FFFFFF"/>
                <w:lang w:eastAsia="es-CR"/>
              </w:rPr>
              <w:t>Indicadores</w:t>
            </w:r>
          </w:p>
        </w:tc>
        <w:tc>
          <w:tcPr>
            <w:tcW w:w="2795" w:type="pct"/>
            <w:shd w:val="clear" w:color="auto" w:fill="002060"/>
            <w:noWrap/>
            <w:vAlign w:val="center"/>
            <w:hideMark/>
          </w:tcPr>
          <w:p w14:paraId="718F8E49" w14:textId="77777777" w:rsidR="00A554BE" w:rsidRPr="00A554BE" w:rsidRDefault="00A554BE" w:rsidP="00A554BE">
            <w:pPr>
              <w:spacing w:after="0" w:line="276" w:lineRule="auto"/>
              <w:jc w:val="center"/>
              <w:rPr>
                <w:rFonts w:ascii="Book Antiqua" w:eastAsia="Times New Roman" w:hAnsi="Book Antiqua" w:cs="Arial"/>
                <w:b/>
                <w:bCs/>
                <w:color w:val="FFFFFF"/>
                <w:lang w:eastAsia="es-CR"/>
              </w:rPr>
            </w:pPr>
            <w:r w:rsidRPr="00A554BE">
              <w:rPr>
                <w:rFonts w:ascii="Book Antiqua" w:eastAsia="Times New Roman" w:hAnsi="Book Antiqua" w:cs="Arial"/>
                <w:b/>
                <w:bCs/>
                <w:color w:val="FFFFFF"/>
                <w:lang w:eastAsia="es-CR"/>
              </w:rPr>
              <w:t>Detalle</w:t>
            </w:r>
          </w:p>
        </w:tc>
      </w:tr>
      <w:tr w:rsidR="00A554BE" w:rsidRPr="00A554BE" w14:paraId="7EA5A453" w14:textId="77777777" w:rsidTr="001D0C10">
        <w:trPr>
          <w:cantSplit/>
          <w:trHeight w:val="1134"/>
          <w:jc w:val="center"/>
        </w:trPr>
        <w:tc>
          <w:tcPr>
            <w:tcW w:w="760" w:type="pct"/>
            <w:vMerge w:val="restart"/>
            <w:shd w:val="clear" w:color="auto" w:fill="FFFFFF"/>
            <w:textDirection w:val="btLr"/>
          </w:tcPr>
          <w:p w14:paraId="15C852D2" w14:textId="77777777" w:rsidR="00A554BE" w:rsidRPr="00A554BE" w:rsidRDefault="00A554BE" w:rsidP="00A554BE">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Balance General</w:t>
            </w:r>
          </w:p>
        </w:tc>
        <w:tc>
          <w:tcPr>
            <w:tcW w:w="499" w:type="pct"/>
            <w:shd w:val="clear" w:color="auto" w:fill="FFFFFF"/>
            <w:vAlign w:val="center"/>
            <w:hideMark/>
          </w:tcPr>
          <w:p w14:paraId="411E0EDE" w14:textId="77777777" w:rsidR="00A554BE" w:rsidRPr="00A554BE" w:rsidRDefault="00A554BE" w:rsidP="00A554BE">
            <w:pPr>
              <w:spacing w:after="0" w:line="276" w:lineRule="auto"/>
              <w:jc w:val="center"/>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1</w:t>
            </w:r>
          </w:p>
        </w:tc>
        <w:tc>
          <w:tcPr>
            <w:tcW w:w="946" w:type="pct"/>
            <w:shd w:val="clear" w:color="auto" w:fill="FFFFFF"/>
            <w:vAlign w:val="center"/>
            <w:hideMark/>
          </w:tcPr>
          <w:p w14:paraId="392D268D" w14:textId="77777777" w:rsidR="00A554BE" w:rsidRPr="00A554BE" w:rsidRDefault="00A554BE"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Entrada total</w:t>
            </w:r>
          </w:p>
        </w:tc>
        <w:tc>
          <w:tcPr>
            <w:tcW w:w="2795" w:type="pct"/>
            <w:shd w:val="clear" w:color="auto" w:fill="auto"/>
            <w:vAlign w:val="center"/>
            <w:hideMark/>
          </w:tcPr>
          <w:p w14:paraId="142CC924" w14:textId="77777777" w:rsidR="00A554BE" w:rsidRPr="00A554BE" w:rsidRDefault="00A554BE" w:rsidP="00A554BE">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Entrada total está conformada por el resultado de la sumatoria de la cantidad de asuntos nuevos ingresados y los casos reentrados en el mes.</w:t>
            </w:r>
          </w:p>
          <w:p w14:paraId="152D1C5C" w14:textId="77777777" w:rsidR="00A554BE" w:rsidRPr="00A554BE" w:rsidRDefault="00A554BE" w:rsidP="00A554BE">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define del promedio del histórico del despacho del informe estadístico mensual de SIGMA.</w:t>
            </w:r>
          </w:p>
        </w:tc>
      </w:tr>
      <w:tr w:rsidR="007B5D39" w:rsidRPr="00A554BE" w14:paraId="41DB921D" w14:textId="77777777" w:rsidTr="001D0C10">
        <w:trPr>
          <w:cantSplit/>
          <w:trHeight w:val="1134"/>
          <w:jc w:val="center"/>
        </w:trPr>
        <w:tc>
          <w:tcPr>
            <w:tcW w:w="760" w:type="pct"/>
            <w:vMerge/>
            <w:shd w:val="clear" w:color="auto" w:fill="FFFFFF"/>
            <w:textDirection w:val="btLr"/>
          </w:tcPr>
          <w:p w14:paraId="1CAE76AB" w14:textId="77777777" w:rsidR="007B5D39" w:rsidRPr="00A554BE" w:rsidRDefault="007B5D39" w:rsidP="00A554BE">
            <w:pPr>
              <w:spacing w:after="0" w:line="276" w:lineRule="auto"/>
              <w:ind w:left="113" w:right="113"/>
              <w:jc w:val="center"/>
              <w:rPr>
                <w:rFonts w:ascii="Book Antiqua" w:eastAsia="Times New Roman" w:hAnsi="Book Antiqua" w:cs="Arial"/>
                <w:b/>
                <w:bCs/>
                <w:lang w:eastAsia="es-CR"/>
              </w:rPr>
            </w:pPr>
          </w:p>
        </w:tc>
        <w:tc>
          <w:tcPr>
            <w:tcW w:w="499" w:type="pct"/>
            <w:shd w:val="clear" w:color="auto" w:fill="FFFFFF"/>
            <w:vAlign w:val="center"/>
          </w:tcPr>
          <w:p w14:paraId="6C0B51AA" w14:textId="1F814152" w:rsidR="007B5D39" w:rsidRPr="00A554BE" w:rsidRDefault="007B5D39" w:rsidP="00A554BE">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w:t>
            </w:r>
          </w:p>
        </w:tc>
        <w:tc>
          <w:tcPr>
            <w:tcW w:w="946" w:type="pct"/>
            <w:shd w:val="clear" w:color="auto" w:fill="FFFFFF"/>
            <w:vAlign w:val="center"/>
          </w:tcPr>
          <w:p w14:paraId="0948D4E8" w14:textId="55A72108"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7B5D39">
              <w:rPr>
                <w:rFonts w:ascii="Book Antiqua" w:eastAsia="Times New Roman" w:hAnsi="Book Antiqua" w:cs="Arial"/>
                <w:b/>
                <w:bCs/>
                <w:color w:val="44546A"/>
                <w:lang w:eastAsia="es-CR"/>
              </w:rPr>
              <w:t>Entrada de asuntos nuevos</w:t>
            </w:r>
          </w:p>
        </w:tc>
        <w:tc>
          <w:tcPr>
            <w:tcW w:w="2795" w:type="pct"/>
            <w:shd w:val="clear" w:color="auto" w:fill="auto"/>
            <w:vAlign w:val="center"/>
          </w:tcPr>
          <w:p w14:paraId="44736EA5" w14:textId="5813F2E5" w:rsidR="007B5D39" w:rsidRDefault="007B5D39" w:rsidP="00A554BE">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Cantidad de demandas ingresadas durante el mes</w:t>
            </w:r>
            <w:r>
              <w:rPr>
                <w:rFonts w:ascii="Book Antiqua" w:eastAsia="Times New Roman" w:hAnsi="Book Antiqua" w:cs="Arial"/>
                <w:lang w:eastAsia="es-CR"/>
              </w:rPr>
              <w:t>.</w:t>
            </w:r>
          </w:p>
          <w:p w14:paraId="4A1C7C5B" w14:textId="2C680870" w:rsidR="007B5D39" w:rsidRPr="00A554BE" w:rsidRDefault="007B5D39" w:rsidP="00A554BE">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7B5D39" w:rsidRPr="00A554BE" w14:paraId="52A3AD8A" w14:textId="77777777" w:rsidTr="001D0C10">
        <w:trPr>
          <w:cantSplit/>
          <w:trHeight w:val="1134"/>
          <w:jc w:val="center"/>
        </w:trPr>
        <w:tc>
          <w:tcPr>
            <w:tcW w:w="760" w:type="pct"/>
            <w:vMerge/>
            <w:shd w:val="clear" w:color="auto" w:fill="FFFFFF"/>
            <w:textDirection w:val="btLr"/>
          </w:tcPr>
          <w:p w14:paraId="7FE86471" w14:textId="77777777" w:rsidR="007B5D39" w:rsidRPr="00A554BE" w:rsidRDefault="007B5D39" w:rsidP="00A554BE">
            <w:pPr>
              <w:spacing w:after="0" w:line="276" w:lineRule="auto"/>
              <w:ind w:left="113" w:right="113"/>
              <w:jc w:val="center"/>
              <w:rPr>
                <w:rFonts w:ascii="Book Antiqua" w:eastAsia="Times New Roman" w:hAnsi="Book Antiqua" w:cs="Arial"/>
                <w:b/>
                <w:bCs/>
                <w:lang w:eastAsia="es-CR"/>
              </w:rPr>
            </w:pPr>
          </w:p>
        </w:tc>
        <w:tc>
          <w:tcPr>
            <w:tcW w:w="499" w:type="pct"/>
            <w:shd w:val="clear" w:color="auto" w:fill="FFFFFF"/>
            <w:vAlign w:val="center"/>
          </w:tcPr>
          <w:p w14:paraId="11623D43" w14:textId="6C456BF1" w:rsidR="007B5D39" w:rsidRDefault="007B5D39" w:rsidP="00A554BE">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w:t>
            </w:r>
          </w:p>
        </w:tc>
        <w:tc>
          <w:tcPr>
            <w:tcW w:w="946" w:type="pct"/>
            <w:shd w:val="clear" w:color="auto" w:fill="FFFFFF"/>
            <w:vAlign w:val="center"/>
          </w:tcPr>
          <w:p w14:paraId="00D4F0B6" w14:textId="1DF5AA1F" w:rsidR="007B5D39" w:rsidRPr="007B5D39" w:rsidRDefault="007B5D39" w:rsidP="001D0C10">
            <w:pPr>
              <w:spacing w:after="0" w:line="276" w:lineRule="auto"/>
              <w:jc w:val="both"/>
              <w:rPr>
                <w:rFonts w:ascii="Book Antiqua" w:eastAsia="Times New Roman" w:hAnsi="Book Antiqua" w:cs="Arial"/>
                <w:b/>
                <w:bCs/>
                <w:color w:val="44546A"/>
                <w:lang w:eastAsia="es-CR"/>
              </w:rPr>
            </w:pPr>
            <w:r w:rsidRPr="007B5D39">
              <w:rPr>
                <w:rFonts w:ascii="Book Antiqua" w:eastAsia="Times New Roman" w:hAnsi="Book Antiqua" w:cs="Arial"/>
                <w:b/>
                <w:bCs/>
                <w:color w:val="44546A"/>
                <w:lang w:eastAsia="es-CR"/>
              </w:rPr>
              <w:t>Casos reentrados</w:t>
            </w:r>
          </w:p>
        </w:tc>
        <w:tc>
          <w:tcPr>
            <w:tcW w:w="2795" w:type="pct"/>
            <w:shd w:val="clear" w:color="auto" w:fill="auto"/>
            <w:vAlign w:val="center"/>
          </w:tcPr>
          <w:p w14:paraId="3F272ACC" w14:textId="105A1795" w:rsidR="007B5D39" w:rsidRDefault="007B5D39" w:rsidP="00A554BE">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Cantidad de casos reentrados durante el mes</w:t>
            </w:r>
            <w:r>
              <w:rPr>
                <w:rFonts w:ascii="Book Antiqua" w:eastAsia="Times New Roman" w:hAnsi="Book Antiqua" w:cs="Arial"/>
                <w:lang w:eastAsia="es-CR"/>
              </w:rPr>
              <w:t>.</w:t>
            </w:r>
          </w:p>
          <w:p w14:paraId="04232088" w14:textId="6B47612E" w:rsidR="007B5D39" w:rsidRPr="007B5D39" w:rsidRDefault="007B5D39" w:rsidP="00A554BE">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7B5D39" w:rsidRPr="00A554BE" w14:paraId="3F9BC34C" w14:textId="77777777" w:rsidTr="001D0C10">
        <w:trPr>
          <w:cantSplit/>
          <w:trHeight w:val="1134"/>
          <w:jc w:val="center"/>
        </w:trPr>
        <w:tc>
          <w:tcPr>
            <w:tcW w:w="760" w:type="pct"/>
            <w:vMerge/>
            <w:shd w:val="clear" w:color="auto" w:fill="FFFFFF"/>
            <w:textDirection w:val="btLr"/>
          </w:tcPr>
          <w:p w14:paraId="348A4F8F" w14:textId="77777777" w:rsidR="007B5D39" w:rsidRPr="00A554BE" w:rsidRDefault="007B5D39" w:rsidP="007B5D39">
            <w:pPr>
              <w:spacing w:after="0" w:line="276" w:lineRule="auto"/>
              <w:ind w:left="113" w:right="113"/>
              <w:jc w:val="center"/>
              <w:rPr>
                <w:rFonts w:ascii="Book Antiqua" w:eastAsia="Times New Roman" w:hAnsi="Book Antiqua" w:cs="Arial"/>
                <w:b/>
                <w:bCs/>
                <w:lang w:eastAsia="es-CR"/>
              </w:rPr>
            </w:pPr>
          </w:p>
        </w:tc>
        <w:tc>
          <w:tcPr>
            <w:tcW w:w="499" w:type="pct"/>
            <w:shd w:val="clear" w:color="auto" w:fill="FFFFFF"/>
            <w:vAlign w:val="center"/>
          </w:tcPr>
          <w:p w14:paraId="391AE3C9" w14:textId="033637FA" w:rsidR="007B5D39" w:rsidRDefault="007B5D39"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w:t>
            </w:r>
          </w:p>
        </w:tc>
        <w:tc>
          <w:tcPr>
            <w:tcW w:w="946" w:type="pct"/>
            <w:shd w:val="clear" w:color="auto" w:fill="FFFFFF"/>
            <w:vAlign w:val="center"/>
          </w:tcPr>
          <w:p w14:paraId="57A170C2" w14:textId="520E2944" w:rsidR="007B5D39" w:rsidRPr="007B5D39" w:rsidRDefault="007B5D39" w:rsidP="001D0C10">
            <w:pPr>
              <w:spacing w:after="0" w:line="276" w:lineRule="auto"/>
              <w:jc w:val="both"/>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Entrada Testimonio de Piezas</w:t>
            </w:r>
          </w:p>
        </w:tc>
        <w:tc>
          <w:tcPr>
            <w:tcW w:w="2795" w:type="pct"/>
            <w:shd w:val="clear" w:color="auto" w:fill="auto"/>
            <w:vAlign w:val="center"/>
          </w:tcPr>
          <w:p w14:paraId="4C3EAC20" w14:textId="0866FF2D" w:rsidR="007B5D39"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Cantidad de Testimonios Piezas ingresados durante el mes</w:t>
            </w:r>
            <w:r>
              <w:rPr>
                <w:rFonts w:ascii="Book Antiqua" w:eastAsia="Times New Roman" w:hAnsi="Book Antiqua" w:cs="Arial"/>
                <w:lang w:eastAsia="es-CR"/>
              </w:rPr>
              <w:t>.</w:t>
            </w:r>
          </w:p>
          <w:p w14:paraId="676F9B0A" w14:textId="72582741" w:rsidR="007B5D39" w:rsidRPr="007B5D39"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7B5D39" w:rsidRPr="00A554BE" w14:paraId="5D6B5486" w14:textId="77777777" w:rsidTr="001D0C10">
        <w:trPr>
          <w:cantSplit/>
          <w:trHeight w:val="20"/>
          <w:jc w:val="center"/>
        </w:trPr>
        <w:tc>
          <w:tcPr>
            <w:tcW w:w="760" w:type="pct"/>
            <w:vMerge/>
            <w:shd w:val="clear" w:color="auto" w:fill="FFFFFF"/>
          </w:tcPr>
          <w:p w14:paraId="339DF91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hideMark/>
          </w:tcPr>
          <w:p w14:paraId="4E6ABC34" w14:textId="7F77E245" w:rsidR="007B5D39" w:rsidRPr="00A554BE" w:rsidRDefault="007B5D39"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w:t>
            </w:r>
          </w:p>
        </w:tc>
        <w:tc>
          <w:tcPr>
            <w:tcW w:w="946" w:type="pct"/>
            <w:shd w:val="clear" w:color="auto" w:fill="FFFFFF"/>
            <w:vAlign w:val="center"/>
            <w:hideMark/>
          </w:tcPr>
          <w:p w14:paraId="6FC2FB97" w14:textId="458D0CB3"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Salida</w:t>
            </w:r>
            <w:r>
              <w:rPr>
                <w:rFonts w:ascii="Book Antiqua" w:eastAsia="Times New Roman" w:hAnsi="Book Antiqua" w:cs="Arial"/>
                <w:b/>
                <w:bCs/>
                <w:color w:val="44546A"/>
                <w:lang w:eastAsia="es-CR"/>
              </w:rPr>
              <w:t xml:space="preserve"> Total</w:t>
            </w:r>
          </w:p>
        </w:tc>
        <w:tc>
          <w:tcPr>
            <w:tcW w:w="2795" w:type="pct"/>
            <w:shd w:val="clear" w:color="auto" w:fill="auto"/>
            <w:vAlign w:val="center"/>
            <w:hideMark/>
          </w:tcPr>
          <w:p w14:paraId="263AD4DB" w14:textId="6B581CC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Salida Total</w:t>
            </w:r>
            <w:r w:rsidRPr="00A554BE">
              <w:rPr>
                <w:rFonts w:ascii="Book Antiqua" w:eastAsia="Calibri" w:hAnsi="Book Antiqua" w:cs="Times New Roman"/>
              </w:rPr>
              <w:t xml:space="preserve"> </w:t>
            </w:r>
            <w:r w:rsidRPr="00A554BE">
              <w:rPr>
                <w:rFonts w:ascii="Book Antiqua" w:eastAsia="Times New Roman" w:hAnsi="Book Antiqua" w:cs="Arial"/>
                <w:lang w:eastAsia="es-CR"/>
              </w:rPr>
              <w:t xml:space="preserve">está conformada por el resultado de: </w:t>
            </w:r>
            <w:r w:rsidRPr="00A554BE">
              <w:rPr>
                <w:rFonts w:ascii="Book Antiqua" w:eastAsia="Times New Roman" w:hAnsi="Book Antiqua" w:cs="Arial"/>
                <w:i/>
                <w:iCs/>
                <w:lang w:eastAsia="es-CR"/>
              </w:rPr>
              <w:t>Suma casos terminados + casos inactivos</w:t>
            </w:r>
          </w:p>
          <w:p w14:paraId="3A0498EB"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define del promedio del histórico del despacho del informe estadístico mensual de SIGMA.</w:t>
            </w:r>
          </w:p>
        </w:tc>
      </w:tr>
      <w:tr w:rsidR="007B5D39" w:rsidRPr="00A554BE" w14:paraId="19ACA08E" w14:textId="77777777" w:rsidTr="001D0C10">
        <w:trPr>
          <w:cantSplit/>
          <w:trHeight w:val="20"/>
          <w:jc w:val="center"/>
        </w:trPr>
        <w:tc>
          <w:tcPr>
            <w:tcW w:w="760" w:type="pct"/>
            <w:vMerge/>
            <w:shd w:val="clear" w:color="auto" w:fill="FFFFFF"/>
          </w:tcPr>
          <w:p w14:paraId="10C727F8"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355007A" w14:textId="1EEB6B8F" w:rsidR="007B5D39" w:rsidRPr="00A554BE" w:rsidRDefault="007B5D39"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6</w:t>
            </w:r>
          </w:p>
        </w:tc>
        <w:tc>
          <w:tcPr>
            <w:tcW w:w="946" w:type="pct"/>
            <w:shd w:val="clear" w:color="auto" w:fill="FFFFFF"/>
            <w:vAlign w:val="center"/>
          </w:tcPr>
          <w:p w14:paraId="2F0028AE" w14:textId="5D81921A"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7B5D39">
              <w:rPr>
                <w:rFonts w:ascii="Book Antiqua" w:eastAsia="Times New Roman" w:hAnsi="Book Antiqua" w:cs="Arial"/>
                <w:b/>
                <w:bCs/>
                <w:color w:val="44546A"/>
                <w:lang w:eastAsia="es-CR"/>
              </w:rPr>
              <w:t>Salida de asuntos</w:t>
            </w:r>
          </w:p>
        </w:tc>
        <w:tc>
          <w:tcPr>
            <w:tcW w:w="2795" w:type="pct"/>
            <w:shd w:val="clear" w:color="auto" w:fill="auto"/>
            <w:vAlign w:val="center"/>
          </w:tcPr>
          <w:p w14:paraId="2D63D2E5" w14:textId="226A3DAC" w:rsidR="007B5D39"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 xml:space="preserve">Cantidad de expedientes terminados durante </w:t>
            </w:r>
            <w:r>
              <w:rPr>
                <w:rFonts w:ascii="Book Antiqua" w:eastAsia="Times New Roman" w:hAnsi="Book Antiqua" w:cs="Arial"/>
                <w:lang w:eastAsia="es-CR"/>
              </w:rPr>
              <w:t>e</w:t>
            </w:r>
            <w:r w:rsidRPr="007B5D39">
              <w:rPr>
                <w:rFonts w:ascii="Book Antiqua" w:eastAsia="Times New Roman" w:hAnsi="Book Antiqua" w:cs="Arial"/>
                <w:lang w:eastAsia="es-CR"/>
              </w:rPr>
              <w:t>l mes</w:t>
            </w:r>
            <w:r>
              <w:rPr>
                <w:rFonts w:ascii="Book Antiqua" w:eastAsia="Times New Roman" w:hAnsi="Book Antiqua" w:cs="Arial"/>
                <w:lang w:eastAsia="es-CR"/>
              </w:rPr>
              <w:t>.</w:t>
            </w:r>
          </w:p>
          <w:p w14:paraId="34256551" w14:textId="5F42ACAE" w:rsidR="007B5D39" w:rsidRPr="00A554BE"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7B5D39" w:rsidRPr="00A554BE" w14:paraId="01DBAFC6" w14:textId="77777777" w:rsidTr="001D0C10">
        <w:trPr>
          <w:cantSplit/>
          <w:trHeight w:val="20"/>
          <w:jc w:val="center"/>
        </w:trPr>
        <w:tc>
          <w:tcPr>
            <w:tcW w:w="760" w:type="pct"/>
            <w:vMerge/>
            <w:shd w:val="clear" w:color="auto" w:fill="FFFFFF"/>
          </w:tcPr>
          <w:p w14:paraId="0A7F4CCB"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0B1BCB8" w14:textId="63F2EA9C" w:rsidR="007B5D39" w:rsidRDefault="007B5D39"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7</w:t>
            </w:r>
          </w:p>
        </w:tc>
        <w:tc>
          <w:tcPr>
            <w:tcW w:w="946" w:type="pct"/>
            <w:shd w:val="clear" w:color="auto" w:fill="FFFFFF"/>
            <w:vAlign w:val="center"/>
          </w:tcPr>
          <w:p w14:paraId="4DA1C8CB" w14:textId="6F771AD7" w:rsidR="007B5D39" w:rsidRPr="007B5D39" w:rsidRDefault="007B5D39" w:rsidP="001D0C10">
            <w:pPr>
              <w:spacing w:after="0" w:line="276" w:lineRule="auto"/>
              <w:jc w:val="both"/>
              <w:rPr>
                <w:rFonts w:ascii="Book Antiqua" w:eastAsia="Times New Roman" w:hAnsi="Book Antiqua" w:cs="Arial"/>
                <w:b/>
                <w:bCs/>
                <w:color w:val="44546A"/>
                <w:lang w:eastAsia="es-CR"/>
              </w:rPr>
            </w:pPr>
            <w:r w:rsidRPr="007B5D39">
              <w:rPr>
                <w:rFonts w:ascii="Book Antiqua" w:eastAsia="Times New Roman" w:hAnsi="Book Antiqua" w:cs="Arial"/>
                <w:b/>
                <w:bCs/>
                <w:color w:val="44546A"/>
                <w:lang w:eastAsia="es-CR"/>
              </w:rPr>
              <w:t>Casos inactivos</w:t>
            </w:r>
          </w:p>
        </w:tc>
        <w:tc>
          <w:tcPr>
            <w:tcW w:w="2795" w:type="pct"/>
            <w:shd w:val="clear" w:color="auto" w:fill="auto"/>
            <w:vAlign w:val="center"/>
          </w:tcPr>
          <w:p w14:paraId="1879609A" w14:textId="77777777" w:rsidR="007B5D39"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Cantidad de casos inactivos durante el mes</w:t>
            </w:r>
            <w:r>
              <w:rPr>
                <w:rFonts w:ascii="Book Antiqua" w:eastAsia="Times New Roman" w:hAnsi="Book Antiqua" w:cs="Arial"/>
                <w:lang w:eastAsia="es-CR"/>
              </w:rPr>
              <w:t>.</w:t>
            </w:r>
          </w:p>
          <w:p w14:paraId="52A0E771" w14:textId="12BD87AE" w:rsidR="007B5D39" w:rsidRPr="007B5D39" w:rsidRDefault="007B5D39" w:rsidP="007B5D39">
            <w:pPr>
              <w:spacing w:after="0" w:line="276" w:lineRule="auto"/>
              <w:jc w:val="both"/>
              <w:rPr>
                <w:rFonts w:ascii="Book Antiqua" w:eastAsia="Times New Roman" w:hAnsi="Book Antiqua" w:cs="Arial"/>
                <w:lang w:eastAsia="es-CR"/>
              </w:rPr>
            </w:pPr>
            <w:r w:rsidRPr="007B5D39">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7B5D39" w:rsidRPr="00A554BE" w14:paraId="2693D83A" w14:textId="77777777" w:rsidTr="001D0C10">
        <w:trPr>
          <w:cantSplit/>
          <w:trHeight w:val="20"/>
          <w:jc w:val="center"/>
        </w:trPr>
        <w:tc>
          <w:tcPr>
            <w:tcW w:w="760" w:type="pct"/>
            <w:vMerge/>
            <w:shd w:val="clear" w:color="auto" w:fill="FFFFFF"/>
          </w:tcPr>
          <w:p w14:paraId="79967AC2"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hideMark/>
          </w:tcPr>
          <w:p w14:paraId="1CF05BC4" w14:textId="499B60E5"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8</w:t>
            </w:r>
          </w:p>
        </w:tc>
        <w:tc>
          <w:tcPr>
            <w:tcW w:w="946" w:type="pct"/>
            <w:shd w:val="clear" w:color="auto" w:fill="FFFFFF"/>
            <w:vAlign w:val="center"/>
            <w:hideMark/>
          </w:tcPr>
          <w:p w14:paraId="4BFD2846"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Circulante del despacho</w:t>
            </w:r>
          </w:p>
        </w:tc>
        <w:tc>
          <w:tcPr>
            <w:tcW w:w="2795" w:type="pct"/>
            <w:shd w:val="clear" w:color="auto" w:fill="auto"/>
            <w:vAlign w:val="center"/>
            <w:hideMark/>
          </w:tcPr>
          <w:p w14:paraId="49FED680"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Circulante: </w:t>
            </w:r>
            <w:r w:rsidRPr="00A554BE">
              <w:rPr>
                <w:rFonts w:ascii="Book Antiqua" w:eastAsia="Times New Roman" w:hAnsi="Book Antiqua" w:cs="Arial"/>
                <w:i/>
                <w:iCs/>
                <w:lang w:eastAsia="es-CR"/>
              </w:rPr>
              <w:t>(Circulante Inicial + Entradas + Reentrados – Terminados -Inactivos)</w:t>
            </w:r>
          </w:p>
          <w:p w14:paraId="5077DADE"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El parámetro se define del circulante del despacho al momento del abordaje al despacho. </w:t>
            </w:r>
          </w:p>
          <w:p w14:paraId="211465D8"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indicador se subdivide en circulante en trámite y circulante en ejecución y en etapa pasiva.</w:t>
            </w:r>
          </w:p>
        </w:tc>
      </w:tr>
      <w:tr w:rsidR="007B5D39" w:rsidRPr="00A554BE" w14:paraId="275B7EB6" w14:textId="77777777" w:rsidTr="001D0C10">
        <w:trPr>
          <w:cantSplit/>
          <w:trHeight w:val="20"/>
          <w:jc w:val="center"/>
        </w:trPr>
        <w:tc>
          <w:tcPr>
            <w:tcW w:w="760" w:type="pct"/>
            <w:vMerge/>
            <w:shd w:val="clear" w:color="auto" w:fill="FFFFFF"/>
          </w:tcPr>
          <w:p w14:paraId="05356F2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DF6DD9F" w14:textId="1C9C21A4"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9</w:t>
            </w:r>
          </w:p>
        </w:tc>
        <w:tc>
          <w:tcPr>
            <w:tcW w:w="946" w:type="pct"/>
            <w:shd w:val="clear" w:color="auto" w:fill="FFFFFF"/>
            <w:vAlign w:val="center"/>
          </w:tcPr>
          <w:p w14:paraId="32A11985" w14:textId="7F3AF701" w:rsidR="007B5D39" w:rsidRPr="00A554BE" w:rsidRDefault="00A0220C" w:rsidP="001D0C10">
            <w:pPr>
              <w:spacing w:after="0" w:line="276" w:lineRule="auto"/>
              <w:jc w:val="both"/>
              <w:rPr>
                <w:rFonts w:ascii="Book Antiqua" w:eastAsia="Times New Roman" w:hAnsi="Book Antiqua" w:cs="Arial"/>
                <w:b/>
                <w:bCs/>
                <w:color w:val="44546A"/>
                <w:lang w:eastAsia="es-CR"/>
              </w:rPr>
            </w:pPr>
            <w:r w:rsidRPr="00A0220C">
              <w:rPr>
                <w:rFonts w:ascii="Book Antiqua" w:eastAsia="Times New Roman" w:hAnsi="Book Antiqua" w:cs="Arial"/>
                <w:b/>
                <w:bCs/>
                <w:color w:val="44546A"/>
                <w:lang w:eastAsia="es-CR"/>
              </w:rPr>
              <w:t>Expedientes en trámite</w:t>
            </w:r>
          </w:p>
        </w:tc>
        <w:tc>
          <w:tcPr>
            <w:tcW w:w="2795" w:type="pct"/>
            <w:shd w:val="clear" w:color="auto" w:fill="auto"/>
            <w:vAlign w:val="center"/>
          </w:tcPr>
          <w:p w14:paraId="23C672B7" w14:textId="77777777"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Cantidad de expedientes en trámite</w:t>
            </w:r>
          </w:p>
          <w:p w14:paraId="5F15CC9D" w14:textId="77777777" w:rsidR="007B5D39"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(Demanda+Demostrativa+Conslusiva)</w:t>
            </w:r>
            <w:r>
              <w:rPr>
                <w:rFonts w:ascii="Book Antiqua" w:eastAsia="Times New Roman" w:hAnsi="Book Antiqua" w:cs="Arial"/>
                <w:lang w:eastAsia="es-CR"/>
              </w:rPr>
              <w:t>.</w:t>
            </w:r>
          </w:p>
          <w:p w14:paraId="695CC76D" w14:textId="423DBBAF" w:rsidR="00A0220C" w:rsidRPr="00A554BE"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Estos datos se obtienen del informe estadístico mensual de SIGMA. Balance General</w:t>
            </w:r>
            <w:r>
              <w:rPr>
                <w:rFonts w:ascii="Book Antiqua" w:eastAsia="Times New Roman" w:hAnsi="Book Antiqua" w:cs="Arial"/>
                <w:lang w:eastAsia="es-CR"/>
              </w:rPr>
              <w:t>.</w:t>
            </w:r>
          </w:p>
        </w:tc>
      </w:tr>
      <w:tr w:rsidR="00A0220C" w:rsidRPr="00A554BE" w14:paraId="555DAD5E" w14:textId="77777777" w:rsidTr="001D0C10">
        <w:trPr>
          <w:cantSplit/>
          <w:trHeight w:val="20"/>
          <w:jc w:val="center"/>
        </w:trPr>
        <w:tc>
          <w:tcPr>
            <w:tcW w:w="760" w:type="pct"/>
            <w:vMerge/>
            <w:shd w:val="clear" w:color="auto" w:fill="FFFFFF"/>
          </w:tcPr>
          <w:p w14:paraId="2720987B" w14:textId="77777777" w:rsidR="00A0220C" w:rsidRPr="00A554BE" w:rsidRDefault="00A0220C"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28867463" w14:textId="38A10237" w:rsidR="00A0220C"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10</w:t>
            </w:r>
          </w:p>
        </w:tc>
        <w:tc>
          <w:tcPr>
            <w:tcW w:w="946" w:type="pct"/>
            <w:shd w:val="clear" w:color="auto" w:fill="FFFFFF"/>
            <w:vAlign w:val="center"/>
          </w:tcPr>
          <w:p w14:paraId="492BBB4D" w14:textId="64DF3D73" w:rsidR="00A0220C" w:rsidRPr="00A0220C" w:rsidRDefault="00A0220C" w:rsidP="001D0C10">
            <w:pPr>
              <w:spacing w:after="0" w:line="276" w:lineRule="auto"/>
              <w:jc w:val="both"/>
              <w:rPr>
                <w:rFonts w:ascii="Book Antiqua" w:eastAsia="Times New Roman" w:hAnsi="Book Antiqua" w:cs="Arial"/>
                <w:b/>
                <w:bCs/>
                <w:color w:val="44546A"/>
                <w:lang w:eastAsia="es-CR"/>
              </w:rPr>
            </w:pPr>
            <w:r w:rsidRPr="00A0220C">
              <w:rPr>
                <w:rFonts w:ascii="Book Antiqua" w:eastAsia="Times New Roman" w:hAnsi="Book Antiqua" w:cs="Arial"/>
                <w:b/>
                <w:bCs/>
                <w:color w:val="44546A"/>
                <w:lang w:eastAsia="es-CR"/>
              </w:rPr>
              <w:t>Expedientes en etapa de ejecución pasiva</w:t>
            </w:r>
          </w:p>
        </w:tc>
        <w:tc>
          <w:tcPr>
            <w:tcW w:w="2795" w:type="pct"/>
            <w:shd w:val="clear" w:color="auto" w:fill="auto"/>
            <w:vAlign w:val="center"/>
          </w:tcPr>
          <w:p w14:paraId="7D9548D7" w14:textId="660F6219" w:rsid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 xml:space="preserve">Cantidad de expedientes en etapa de ejecución </w:t>
            </w:r>
            <w:r>
              <w:rPr>
                <w:rFonts w:ascii="Book Antiqua" w:eastAsia="Times New Roman" w:hAnsi="Book Antiqua" w:cs="Arial"/>
                <w:lang w:eastAsia="es-CR"/>
              </w:rPr>
              <w:t>pasiva.</w:t>
            </w:r>
          </w:p>
          <w:p w14:paraId="2DBD61CC" w14:textId="187B13D2"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 xml:space="preserve">Estos datos se obtienen del informe estadístico mensual de SIGMA. Balance General,  ejecución </w:t>
            </w:r>
            <w:r>
              <w:rPr>
                <w:rFonts w:ascii="Book Antiqua" w:eastAsia="Times New Roman" w:hAnsi="Book Antiqua" w:cs="Arial"/>
                <w:lang w:eastAsia="es-CR"/>
              </w:rPr>
              <w:t>pasiva</w:t>
            </w:r>
            <w:r w:rsidRPr="00A0220C">
              <w:rPr>
                <w:rFonts w:ascii="Book Antiqua" w:eastAsia="Times New Roman" w:hAnsi="Book Antiqua" w:cs="Arial"/>
                <w:lang w:eastAsia="es-CR"/>
              </w:rPr>
              <w:t>.</w:t>
            </w:r>
          </w:p>
        </w:tc>
      </w:tr>
      <w:tr w:rsidR="00A0220C" w:rsidRPr="00A554BE" w14:paraId="147F8C1C" w14:textId="77777777" w:rsidTr="001D0C10">
        <w:trPr>
          <w:cantSplit/>
          <w:trHeight w:val="20"/>
          <w:jc w:val="center"/>
        </w:trPr>
        <w:tc>
          <w:tcPr>
            <w:tcW w:w="760" w:type="pct"/>
            <w:vMerge/>
            <w:shd w:val="clear" w:color="auto" w:fill="FFFFFF"/>
          </w:tcPr>
          <w:p w14:paraId="525A32C7" w14:textId="77777777" w:rsidR="00A0220C" w:rsidRPr="00A554BE" w:rsidRDefault="00A0220C"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95ADCB9" w14:textId="2BF82A40" w:rsidR="00A0220C"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11</w:t>
            </w:r>
          </w:p>
        </w:tc>
        <w:tc>
          <w:tcPr>
            <w:tcW w:w="946" w:type="pct"/>
            <w:shd w:val="clear" w:color="auto" w:fill="FFFFFF"/>
            <w:vAlign w:val="center"/>
          </w:tcPr>
          <w:p w14:paraId="5DD29CA4" w14:textId="2125F1CD" w:rsidR="00A0220C" w:rsidRPr="00A0220C" w:rsidRDefault="00A0220C" w:rsidP="001D0C10">
            <w:pPr>
              <w:spacing w:after="0" w:line="276" w:lineRule="auto"/>
              <w:jc w:val="both"/>
              <w:rPr>
                <w:rFonts w:ascii="Book Antiqua" w:eastAsia="Times New Roman" w:hAnsi="Book Antiqua" w:cs="Arial"/>
                <w:b/>
                <w:bCs/>
                <w:color w:val="44546A"/>
                <w:lang w:eastAsia="es-CR"/>
              </w:rPr>
            </w:pPr>
            <w:r w:rsidRPr="00A0220C">
              <w:rPr>
                <w:rFonts w:ascii="Book Antiqua" w:eastAsia="Times New Roman" w:hAnsi="Book Antiqua" w:cs="Arial"/>
                <w:b/>
                <w:bCs/>
                <w:color w:val="44546A"/>
                <w:lang w:eastAsia="es-CR"/>
              </w:rPr>
              <w:t>Expedientes en etapa ejecución activa</w:t>
            </w:r>
          </w:p>
        </w:tc>
        <w:tc>
          <w:tcPr>
            <w:tcW w:w="2795" w:type="pct"/>
            <w:shd w:val="clear" w:color="auto" w:fill="auto"/>
            <w:vAlign w:val="center"/>
          </w:tcPr>
          <w:p w14:paraId="64C50CB7" w14:textId="77777777" w:rsid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Cantidad de expedientes en etapa de ejecución activa</w:t>
            </w:r>
            <w:r>
              <w:rPr>
                <w:rFonts w:ascii="Book Antiqua" w:eastAsia="Times New Roman" w:hAnsi="Book Antiqua" w:cs="Arial"/>
                <w:lang w:eastAsia="es-CR"/>
              </w:rPr>
              <w:t>.</w:t>
            </w:r>
          </w:p>
          <w:p w14:paraId="73D02DF2" w14:textId="7685A397"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Estos datos se obtienen del informe estadístico mensual de SIGMA. Balance General,  ejecución activa.</w:t>
            </w:r>
          </w:p>
        </w:tc>
      </w:tr>
      <w:tr w:rsidR="00215CAB" w:rsidRPr="00A554BE" w14:paraId="2964DDE5" w14:textId="77777777" w:rsidTr="001D0C10">
        <w:trPr>
          <w:cantSplit/>
          <w:trHeight w:val="20"/>
          <w:jc w:val="center"/>
        </w:trPr>
        <w:tc>
          <w:tcPr>
            <w:tcW w:w="760" w:type="pct"/>
            <w:vMerge/>
          </w:tcPr>
          <w:p w14:paraId="10DAEADC"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auto"/>
            <w:vAlign w:val="center"/>
            <w:hideMark/>
          </w:tcPr>
          <w:p w14:paraId="3970BFD5" w14:textId="2664E8EB"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12</w:t>
            </w:r>
          </w:p>
        </w:tc>
        <w:tc>
          <w:tcPr>
            <w:tcW w:w="946" w:type="pct"/>
            <w:shd w:val="clear" w:color="auto" w:fill="auto"/>
            <w:vAlign w:val="center"/>
            <w:hideMark/>
          </w:tcPr>
          <w:p w14:paraId="357C13EA"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Relación salida Total / entrada total </w:t>
            </w:r>
          </w:p>
        </w:tc>
        <w:tc>
          <w:tcPr>
            <w:tcW w:w="2795" w:type="pct"/>
            <w:shd w:val="clear" w:color="auto" w:fill="auto"/>
            <w:vAlign w:val="center"/>
            <w:hideMark/>
          </w:tcPr>
          <w:p w14:paraId="7414C10F"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Cálculo: </w:t>
            </w:r>
            <w:r w:rsidRPr="00A554BE">
              <w:rPr>
                <w:rFonts w:ascii="Book Antiqua" w:eastAsia="Times New Roman" w:hAnsi="Book Antiqua" w:cs="Arial"/>
                <w:i/>
                <w:iCs/>
                <w:lang w:eastAsia="es-CR"/>
              </w:rPr>
              <w:t>(Salidas/ Entradas) *100</w:t>
            </w:r>
          </w:p>
          <w:p w14:paraId="5B3F6079"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90% a 100%</w:t>
            </w:r>
          </w:p>
        </w:tc>
      </w:tr>
      <w:tr w:rsidR="00215CAB" w:rsidRPr="00A554BE" w14:paraId="5CFC923E" w14:textId="77777777" w:rsidTr="001D0C10">
        <w:trPr>
          <w:cantSplit/>
          <w:trHeight w:val="20"/>
          <w:jc w:val="center"/>
        </w:trPr>
        <w:tc>
          <w:tcPr>
            <w:tcW w:w="760" w:type="pct"/>
            <w:vMerge w:val="restart"/>
            <w:shd w:val="clear" w:color="auto" w:fill="auto"/>
            <w:textDirection w:val="btLr"/>
          </w:tcPr>
          <w:p w14:paraId="1DA16F2A"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Balance de procesos de modificación</w:t>
            </w:r>
          </w:p>
        </w:tc>
        <w:tc>
          <w:tcPr>
            <w:tcW w:w="499" w:type="pct"/>
            <w:shd w:val="clear" w:color="auto" w:fill="auto"/>
            <w:vAlign w:val="center"/>
            <w:hideMark/>
          </w:tcPr>
          <w:p w14:paraId="553250FC" w14:textId="701E9DEA"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13</w:t>
            </w:r>
          </w:p>
        </w:tc>
        <w:tc>
          <w:tcPr>
            <w:tcW w:w="946" w:type="pct"/>
            <w:shd w:val="clear" w:color="auto" w:fill="auto"/>
            <w:vAlign w:val="center"/>
            <w:hideMark/>
          </w:tcPr>
          <w:p w14:paraId="0659AC44"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Entrada total de procesos de modificación</w:t>
            </w:r>
          </w:p>
        </w:tc>
        <w:tc>
          <w:tcPr>
            <w:tcW w:w="2795" w:type="pct"/>
            <w:shd w:val="clear" w:color="auto" w:fill="auto"/>
            <w:vAlign w:val="center"/>
            <w:hideMark/>
          </w:tcPr>
          <w:p w14:paraId="39326294"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Indicador contabiliza la cantidad de procesos de modificación durante el mes y los reentrados de este tipo de proceso.  El parámetro se obtiene del promedio del histórico del despacho del informe estadístico mensual de SIGMA.</w:t>
            </w:r>
          </w:p>
        </w:tc>
      </w:tr>
      <w:tr w:rsidR="00A0220C" w:rsidRPr="00A554BE" w14:paraId="6A7FA692" w14:textId="77777777" w:rsidTr="001D0C10">
        <w:trPr>
          <w:cantSplit/>
          <w:trHeight w:val="20"/>
          <w:jc w:val="center"/>
        </w:trPr>
        <w:tc>
          <w:tcPr>
            <w:tcW w:w="760" w:type="pct"/>
            <w:vMerge/>
            <w:shd w:val="clear" w:color="auto" w:fill="auto"/>
            <w:textDirection w:val="btLr"/>
          </w:tcPr>
          <w:p w14:paraId="0D099450" w14:textId="77777777" w:rsidR="00A0220C" w:rsidRPr="00A554BE" w:rsidRDefault="00A0220C" w:rsidP="007B5D39">
            <w:pPr>
              <w:spacing w:after="0" w:line="276" w:lineRule="auto"/>
              <w:ind w:left="113" w:right="113"/>
              <w:jc w:val="center"/>
              <w:rPr>
                <w:rFonts w:ascii="Book Antiqua" w:eastAsia="Times New Roman" w:hAnsi="Book Antiqua" w:cs="Arial"/>
                <w:b/>
                <w:bCs/>
                <w:lang w:eastAsia="es-CR"/>
              </w:rPr>
            </w:pPr>
          </w:p>
        </w:tc>
        <w:tc>
          <w:tcPr>
            <w:tcW w:w="499" w:type="pct"/>
            <w:shd w:val="clear" w:color="auto" w:fill="auto"/>
            <w:vAlign w:val="center"/>
          </w:tcPr>
          <w:p w14:paraId="438B7C08" w14:textId="56CA5368" w:rsidR="00A0220C"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14</w:t>
            </w:r>
          </w:p>
        </w:tc>
        <w:tc>
          <w:tcPr>
            <w:tcW w:w="946" w:type="pct"/>
            <w:shd w:val="clear" w:color="auto" w:fill="auto"/>
            <w:vAlign w:val="center"/>
          </w:tcPr>
          <w:p w14:paraId="592216DF" w14:textId="515742FF" w:rsidR="00A0220C" w:rsidRPr="00A554BE" w:rsidRDefault="00A0220C" w:rsidP="001D0C10">
            <w:pPr>
              <w:spacing w:after="0" w:line="276" w:lineRule="auto"/>
              <w:jc w:val="both"/>
              <w:rPr>
                <w:rFonts w:ascii="Book Antiqua" w:eastAsia="Times New Roman" w:hAnsi="Book Antiqua" w:cs="Arial"/>
                <w:b/>
                <w:bCs/>
                <w:color w:val="44546A"/>
                <w:lang w:eastAsia="es-CR"/>
              </w:rPr>
            </w:pPr>
            <w:r w:rsidRPr="00A0220C">
              <w:rPr>
                <w:rFonts w:ascii="Book Antiqua" w:eastAsia="Times New Roman" w:hAnsi="Book Antiqua" w:cs="Arial"/>
                <w:b/>
                <w:bCs/>
                <w:color w:val="44546A"/>
                <w:lang w:eastAsia="es-CR"/>
              </w:rPr>
              <w:t>Entrada de procesos de modificación</w:t>
            </w:r>
          </w:p>
        </w:tc>
        <w:tc>
          <w:tcPr>
            <w:tcW w:w="2795" w:type="pct"/>
            <w:shd w:val="clear" w:color="auto" w:fill="auto"/>
            <w:vAlign w:val="center"/>
          </w:tcPr>
          <w:p w14:paraId="17CB2B8D" w14:textId="77777777" w:rsidR="00A0220C" w:rsidRDefault="00A0220C" w:rsidP="007B5D39">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Cantidad de procesos de modificación durante el mes</w:t>
            </w:r>
            <w:r>
              <w:rPr>
                <w:rFonts w:ascii="Book Antiqua" w:eastAsia="Times New Roman" w:hAnsi="Book Antiqua" w:cs="Arial"/>
                <w:lang w:eastAsia="es-CR"/>
              </w:rPr>
              <w:t>.</w:t>
            </w:r>
          </w:p>
          <w:p w14:paraId="7CE4DD60" w14:textId="6C2548BD"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Estos datos se obtienen del informe estadístico mensual de SIGMA</w:t>
            </w:r>
            <w:r>
              <w:rPr>
                <w:rFonts w:ascii="Book Antiqua" w:eastAsia="Times New Roman" w:hAnsi="Book Antiqua" w:cs="Arial"/>
                <w:lang w:eastAsia="es-CR"/>
              </w:rPr>
              <w:t>.</w:t>
            </w:r>
          </w:p>
          <w:p w14:paraId="0BD44C4C" w14:textId="730D9BF7" w:rsidR="00A0220C" w:rsidRPr="00A554BE"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Pestaña de Balance de Incidentes y Procesos de Modificación.</w:t>
            </w:r>
          </w:p>
        </w:tc>
      </w:tr>
      <w:tr w:rsidR="00A0220C" w:rsidRPr="00A554BE" w14:paraId="71D76D98" w14:textId="77777777" w:rsidTr="001D0C10">
        <w:trPr>
          <w:cantSplit/>
          <w:trHeight w:val="20"/>
          <w:jc w:val="center"/>
        </w:trPr>
        <w:tc>
          <w:tcPr>
            <w:tcW w:w="760" w:type="pct"/>
            <w:vMerge/>
            <w:shd w:val="clear" w:color="auto" w:fill="auto"/>
            <w:textDirection w:val="btLr"/>
          </w:tcPr>
          <w:p w14:paraId="74234673" w14:textId="77777777" w:rsidR="00A0220C" w:rsidRPr="00A554BE" w:rsidRDefault="00A0220C" w:rsidP="007B5D39">
            <w:pPr>
              <w:spacing w:after="0" w:line="276" w:lineRule="auto"/>
              <w:ind w:left="113" w:right="113"/>
              <w:jc w:val="center"/>
              <w:rPr>
                <w:rFonts w:ascii="Book Antiqua" w:eastAsia="Times New Roman" w:hAnsi="Book Antiqua" w:cs="Arial"/>
                <w:b/>
                <w:bCs/>
                <w:lang w:eastAsia="es-CR"/>
              </w:rPr>
            </w:pPr>
          </w:p>
        </w:tc>
        <w:tc>
          <w:tcPr>
            <w:tcW w:w="499" w:type="pct"/>
            <w:shd w:val="clear" w:color="auto" w:fill="auto"/>
            <w:vAlign w:val="center"/>
          </w:tcPr>
          <w:p w14:paraId="0852A710" w14:textId="02BD7507" w:rsidR="00A0220C"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15</w:t>
            </w:r>
          </w:p>
        </w:tc>
        <w:tc>
          <w:tcPr>
            <w:tcW w:w="946" w:type="pct"/>
            <w:shd w:val="clear" w:color="auto" w:fill="auto"/>
            <w:vAlign w:val="center"/>
          </w:tcPr>
          <w:p w14:paraId="029E8F79" w14:textId="77777777" w:rsidR="00A0220C" w:rsidRPr="00A0220C" w:rsidRDefault="00A0220C" w:rsidP="001D0C10">
            <w:pPr>
              <w:spacing w:after="0" w:line="276" w:lineRule="auto"/>
              <w:jc w:val="both"/>
              <w:rPr>
                <w:rFonts w:ascii="Book Antiqua" w:eastAsia="Times New Roman" w:hAnsi="Book Antiqua" w:cs="Arial"/>
                <w:b/>
                <w:bCs/>
                <w:color w:val="44546A"/>
                <w:lang w:eastAsia="es-CR"/>
              </w:rPr>
            </w:pPr>
            <w:r w:rsidRPr="00A0220C">
              <w:rPr>
                <w:rFonts w:ascii="Book Antiqua" w:eastAsia="Times New Roman" w:hAnsi="Book Antiqua" w:cs="Arial"/>
                <w:b/>
                <w:bCs/>
                <w:color w:val="44546A"/>
                <w:lang w:eastAsia="es-CR"/>
              </w:rPr>
              <w:t>Casos reentrados en procesos de modificación</w:t>
            </w:r>
          </w:p>
          <w:p w14:paraId="65DFB8E6" w14:textId="77777777" w:rsidR="00A0220C" w:rsidRPr="00A0220C" w:rsidRDefault="00A0220C" w:rsidP="001D0C10">
            <w:pPr>
              <w:spacing w:after="0" w:line="276" w:lineRule="auto"/>
              <w:jc w:val="both"/>
              <w:rPr>
                <w:rFonts w:ascii="Book Antiqua" w:eastAsia="Times New Roman" w:hAnsi="Book Antiqua" w:cs="Arial"/>
                <w:b/>
                <w:bCs/>
                <w:color w:val="44546A"/>
                <w:lang w:eastAsia="es-CR"/>
              </w:rPr>
            </w:pPr>
          </w:p>
        </w:tc>
        <w:tc>
          <w:tcPr>
            <w:tcW w:w="2795" w:type="pct"/>
            <w:shd w:val="clear" w:color="auto" w:fill="auto"/>
            <w:vAlign w:val="center"/>
          </w:tcPr>
          <w:p w14:paraId="7A03C4EC" w14:textId="77777777" w:rsidR="00A0220C" w:rsidRDefault="00A0220C" w:rsidP="007B5D3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C</w:t>
            </w:r>
            <w:r w:rsidRPr="00A0220C">
              <w:rPr>
                <w:rFonts w:ascii="Book Antiqua" w:eastAsia="Times New Roman" w:hAnsi="Book Antiqua" w:cs="Arial"/>
                <w:lang w:eastAsia="es-CR"/>
              </w:rPr>
              <w:t>antidad de casos reentrados de procesos de modificación durante el mes</w:t>
            </w:r>
            <w:r>
              <w:rPr>
                <w:rFonts w:ascii="Book Antiqua" w:eastAsia="Times New Roman" w:hAnsi="Book Antiqua" w:cs="Arial"/>
                <w:lang w:eastAsia="es-CR"/>
              </w:rPr>
              <w:t>.</w:t>
            </w:r>
          </w:p>
          <w:p w14:paraId="2F20B7EE" w14:textId="77777777"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Estos datos se obtienen del informe estadístico mensual de SIGMA</w:t>
            </w:r>
          </w:p>
          <w:p w14:paraId="52C53036" w14:textId="153CE05C" w:rsidR="00A0220C" w:rsidRPr="00A0220C" w:rsidRDefault="00A0220C" w:rsidP="00A0220C">
            <w:pPr>
              <w:spacing w:after="0" w:line="276" w:lineRule="auto"/>
              <w:jc w:val="both"/>
              <w:rPr>
                <w:rFonts w:ascii="Book Antiqua" w:eastAsia="Times New Roman" w:hAnsi="Book Antiqua" w:cs="Arial"/>
                <w:lang w:eastAsia="es-CR"/>
              </w:rPr>
            </w:pPr>
            <w:r w:rsidRPr="00A0220C">
              <w:rPr>
                <w:rFonts w:ascii="Book Antiqua" w:eastAsia="Times New Roman" w:hAnsi="Book Antiqua" w:cs="Arial"/>
                <w:lang w:eastAsia="es-CR"/>
              </w:rPr>
              <w:t>Pestaña de Balance de Incidentes y Procesos de Modificación.</w:t>
            </w:r>
          </w:p>
        </w:tc>
      </w:tr>
      <w:tr w:rsidR="00215CAB" w:rsidRPr="00A554BE" w14:paraId="6DB5E0B7" w14:textId="77777777" w:rsidTr="001D0C10">
        <w:trPr>
          <w:cantSplit/>
          <w:trHeight w:val="20"/>
          <w:jc w:val="center"/>
        </w:trPr>
        <w:tc>
          <w:tcPr>
            <w:tcW w:w="760" w:type="pct"/>
            <w:vMerge/>
            <w:shd w:val="clear" w:color="auto" w:fill="auto"/>
          </w:tcPr>
          <w:p w14:paraId="6083437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auto"/>
            <w:vAlign w:val="center"/>
            <w:hideMark/>
          </w:tcPr>
          <w:p w14:paraId="26C112FD" w14:textId="18ACEAEF"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16</w:t>
            </w:r>
          </w:p>
        </w:tc>
        <w:tc>
          <w:tcPr>
            <w:tcW w:w="946" w:type="pct"/>
            <w:shd w:val="clear" w:color="auto" w:fill="auto"/>
            <w:vAlign w:val="center"/>
            <w:hideMark/>
          </w:tcPr>
          <w:p w14:paraId="5802420F"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Salida de procesos de modificación</w:t>
            </w:r>
          </w:p>
        </w:tc>
        <w:tc>
          <w:tcPr>
            <w:tcW w:w="2795" w:type="pct"/>
            <w:shd w:val="clear" w:color="auto" w:fill="auto"/>
            <w:vAlign w:val="center"/>
            <w:hideMark/>
          </w:tcPr>
          <w:p w14:paraId="69AD2498"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Indicador contabiliza la cantidad de procesos de modificación terminados durante el mes.</w:t>
            </w:r>
          </w:p>
          <w:p w14:paraId="3261D1AE"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obtiene del promedio del histórico del despacho del informe estadístico mensual de SIGMA.</w:t>
            </w:r>
          </w:p>
        </w:tc>
      </w:tr>
      <w:tr w:rsidR="00215CAB" w:rsidRPr="00A554BE" w14:paraId="2016F529" w14:textId="77777777" w:rsidTr="001D0C10">
        <w:trPr>
          <w:cantSplit/>
          <w:trHeight w:val="20"/>
          <w:jc w:val="center"/>
        </w:trPr>
        <w:tc>
          <w:tcPr>
            <w:tcW w:w="760" w:type="pct"/>
            <w:vMerge/>
            <w:shd w:val="clear" w:color="auto" w:fill="auto"/>
          </w:tcPr>
          <w:p w14:paraId="757ACAE2"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auto"/>
            <w:vAlign w:val="center"/>
            <w:hideMark/>
          </w:tcPr>
          <w:p w14:paraId="02C62A6E" w14:textId="07B6915A"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17</w:t>
            </w:r>
          </w:p>
        </w:tc>
        <w:tc>
          <w:tcPr>
            <w:tcW w:w="946" w:type="pct"/>
            <w:shd w:val="clear" w:color="auto" w:fill="auto"/>
            <w:vAlign w:val="center"/>
            <w:hideMark/>
          </w:tcPr>
          <w:p w14:paraId="075667DA"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Circulante de procesos de modificación </w:t>
            </w:r>
          </w:p>
        </w:tc>
        <w:tc>
          <w:tcPr>
            <w:tcW w:w="2795" w:type="pct"/>
            <w:shd w:val="clear" w:color="auto" w:fill="auto"/>
            <w:vAlign w:val="center"/>
            <w:hideMark/>
          </w:tcPr>
          <w:p w14:paraId="18DAB7EB"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Indicador para circulante de procesos de modificación: </w:t>
            </w:r>
            <w:r w:rsidRPr="00A554BE">
              <w:rPr>
                <w:rFonts w:ascii="Book Antiqua" w:eastAsia="Times New Roman" w:hAnsi="Book Antiqua" w:cs="Arial"/>
                <w:i/>
                <w:iCs/>
                <w:lang w:eastAsia="es-CR"/>
              </w:rPr>
              <w:t>(Circulante Inicial + Entradas+ reentrados – salidas)</w:t>
            </w:r>
          </w:p>
          <w:p w14:paraId="19CE72CD"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El parámetro se obtiene del circulante del despacho al momento del abordaje al despacho. </w:t>
            </w:r>
          </w:p>
        </w:tc>
      </w:tr>
      <w:tr w:rsidR="00215CAB" w:rsidRPr="00A554BE" w14:paraId="6664FD58" w14:textId="77777777" w:rsidTr="001D0C10">
        <w:trPr>
          <w:cantSplit/>
          <w:trHeight w:val="20"/>
          <w:jc w:val="center"/>
        </w:trPr>
        <w:tc>
          <w:tcPr>
            <w:tcW w:w="760" w:type="pct"/>
            <w:vMerge/>
            <w:shd w:val="clear" w:color="auto" w:fill="auto"/>
          </w:tcPr>
          <w:p w14:paraId="2BC7D716"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auto"/>
            <w:vAlign w:val="center"/>
            <w:hideMark/>
          </w:tcPr>
          <w:p w14:paraId="2C933721" w14:textId="28603074" w:rsidR="007B5D39" w:rsidRPr="00A554BE" w:rsidRDefault="00A0220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18</w:t>
            </w:r>
          </w:p>
        </w:tc>
        <w:tc>
          <w:tcPr>
            <w:tcW w:w="946" w:type="pct"/>
            <w:shd w:val="clear" w:color="auto" w:fill="auto"/>
            <w:vAlign w:val="center"/>
            <w:hideMark/>
          </w:tcPr>
          <w:p w14:paraId="26B6BDCD"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Porcentaje de resolución de procesos de modificación</w:t>
            </w:r>
          </w:p>
        </w:tc>
        <w:tc>
          <w:tcPr>
            <w:tcW w:w="2795" w:type="pct"/>
            <w:shd w:val="clear" w:color="auto" w:fill="auto"/>
            <w:vAlign w:val="center"/>
            <w:hideMark/>
          </w:tcPr>
          <w:p w14:paraId="4B9C2445"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Para el cálculo: </w:t>
            </w:r>
            <w:r w:rsidRPr="00A554BE">
              <w:rPr>
                <w:rFonts w:ascii="Book Antiqua" w:eastAsia="Times New Roman" w:hAnsi="Book Antiqua" w:cs="Arial"/>
                <w:i/>
                <w:iCs/>
                <w:lang w:eastAsia="es-CR"/>
              </w:rPr>
              <w:t>Cantidad de procesos de modificación resueltos / Cantidad de procesos de modificación ingresados.</w:t>
            </w:r>
          </w:p>
          <w:p w14:paraId="40285581"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90% a 100%</w:t>
            </w:r>
          </w:p>
        </w:tc>
      </w:tr>
      <w:tr w:rsidR="007B5D39" w:rsidRPr="00A554BE" w14:paraId="161BEAFC" w14:textId="77777777" w:rsidTr="001D0C10">
        <w:trPr>
          <w:cantSplit/>
          <w:trHeight w:val="20"/>
          <w:jc w:val="center"/>
        </w:trPr>
        <w:tc>
          <w:tcPr>
            <w:tcW w:w="760" w:type="pct"/>
            <w:vMerge w:val="restart"/>
            <w:shd w:val="clear" w:color="auto" w:fill="FFFFFF"/>
            <w:textDirection w:val="btLr"/>
          </w:tcPr>
          <w:p w14:paraId="4B57FDBF"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lastRenderedPageBreak/>
              <w:t>Balance general de apremios</w:t>
            </w:r>
          </w:p>
        </w:tc>
        <w:tc>
          <w:tcPr>
            <w:tcW w:w="499" w:type="pct"/>
            <w:shd w:val="clear" w:color="auto" w:fill="FFFFFF"/>
            <w:vAlign w:val="center"/>
            <w:hideMark/>
          </w:tcPr>
          <w:p w14:paraId="09AE6DFE" w14:textId="132181F1" w:rsidR="007B5D39" w:rsidRPr="00A554BE" w:rsidRDefault="007B5D39" w:rsidP="007B5D39">
            <w:pPr>
              <w:spacing w:after="0" w:line="276" w:lineRule="auto"/>
              <w:jc w:val="center"/>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1</w:t>
            </w:r>
            <w:r w:rsidR="0081776A">
              <w:rPr>
                <w:rFonts w:ascii="Book Antiqua" w:eastAsia="Times New Roman" w:hAnsi="Book Antiqua" w:cs="Arial"/>
                <w:b/>
                <w:bCs/>
                <w:color w:val="44546A"/>
                <w:lang w:eastAsia="es-CR"/>
              </w:rPr>
              <w:t>9</w:t>
            </w:r>
          </w:p>
        </w:tc>
        <w:tc>
          <w:tcPr>
            <w:tcW w:w="946" w:type="pct"/>
            <w:shd w:val="clear" w:color="auto" w:fill="FFFFFF"/>
            <w:vAlign w:val="center"/>
            <w:hideMark/>
          </w:tcPr>
          <w:p w14:paraId="03BE6871"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Entrada de apremios corporales</w:t>
            </w:r>
          </w:p>
        </w:tc>
        <w:tc>
          <w:tcPr>
            <w:tcW w:w="2795" w:type="pct"/>
            <w:shd w:val="clear" w:color="auto" w:fill="auto"/>
            <w:vAlign w:val="center"/>
            <w:hideMark/>
          </w:tcPr>
          <w:p w14:paraId="3AB96F3F"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Cantidad de apremios corporales ingresados durante el mes.</w:t>
            </w:r>
          </w:p>
          <w:p w14:paraId="76EDA690"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Estos datos se obtienen del módulo de apremios del Escritorio Virtual.   </w:t>
            </w:r>
          </w:p>
        </w:tc>
      </w:tr>
      <w:tr w:rsidR="0081776A" w:rsidRPr="00A554BE" w14:paraId="5E22EA2C" w14:textId="77777777" w:rsidTr="001D0C10">
        <w:trPr>
          <w:cantSplit/>
          <w:trHeight w:val="20"/>
          <w:jc w:val="center"/>
        </w:trPr>
        <w:tc>
          <w:tcPr>
            <w:tcW w:w="760" w:type="pct"/>
            <w:vMerge/>
            <w:shd w:val="clear" w:color="auto" w:fill="FFFFFF"/>
            <w:textDirection w:val="btLr"/>
          </w:tcPr>
          <w:p w14:paraId="05E00A4B" w14:textId="77777777" w:rsidR="0081776A" w:rsidRPr="00A554BE" w:rsidRDefault="0081776A" w:rsidP="007B5D39">
            <w:pPr>
              <w:spacing w:after="0" w:line="276" w:lineRule="auto"/>
              <w:ind w:left="113" w:right="113"/>
              <w:jc w:val="center"/>
              <w:rPr>
                <w:rFonts w:ascii="Book Antiqua" w:eastAsia="Times New Roman" w:hAnsi="Book Antiqua" w:cs="Arial"/>
                <w:b/>
                <w:bCs/>
                <w:lang w:eastAsia="es-CR"/>
              </w:rPr>
            </w:pPr>
          </w:p>
        </w:tc>
        <w:tc>
          <w:tcPr>
            <w:tcW w:w="499" w:type="pct"/>
            <w:shd w:val="clear" w:color="auto" w:fill="FFFFFF"/>
            <w:vAlign w:val="center"/>
          </w:tcPr>
          <w:p w14:paraId="7EF78A2D" w14:textId="1BC944D5" w:rsidR="0081776A" w:rsidRPr="00A554BE" w:rsidRDefault="0081776A"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20</w:t>
            </w:r>
          </w:p>
        </w:tc>
        <w:tc>
          <w:tcPr>
            <w:tcW w:w="946" w:type="pct"/>
            <w:shd w:val="clear" w:color="auto" w:fill="FFFFFF"/>
            <w:vAlign w:val="center"/>
          </w:tcPr>
          <w:p w14:paraId="797CE39E" w14:textId="72297A9D" w:rsidR="0081776A" w:rsidRPr="00A554BE" w:rsidRDefault="0081776A" w:rsidP="001D0C10">
            <w:pPr>
              <w:spacing w:after="0" w:line="276" w:lineRule="auto"/>
              <w:jc w:val="both"/>
              <w:rPr>
                <w:rFonts w:ascii="Book Antiqua" w:eastAsia="Times New Roman" w:hAnsi="Book Antiqua" w:cs="Arial"/>
                <w:b/>
                <w:bCs/>
                <w:color w:val="44546A"/>
                <w:lang w:eastAsia="es-CR"/>
              </w:rPr>
            </w:pPr>
            <w:r w:rsidRPr="0081776A">
              <w:rPr>
                <w:rFonts w:ascii="Book Antiqua" w:eastAsia="Times New Roman" w:hAnsi="Book Antiqua" w:cs="Arial"/>
                <w:b/>
                <w:bCs/>
                <w:color w:val="44546A"/>
                <w:lang w:eastAsia="es-CR"/>
              </w:rPr>
              <w:t>Salida de Apremios Corporales</w:t>
            </w:r>
          </w:p>
        </w:tc>
        <w:tc>
          <w:tcPr>
            <w:tcW w:w="2795" w:type="pct"/>
            <w:shd w:val="clear" w:color="auto" w:fill="auto"/>
            <w:vAlign w:val="center"/>
          </w:tcPr>
          <w:p w14:paraId="1A076D4C" w14:textId="0EE684DF" w:rsidR="0081776A" w:rsidRDefault="0081776A" w:rsidP="007B5D39">
            <w:pPr>
              <w:spacing w:after="0" w:line="276" w:lineRule="auto"/>
              <w:jc w:val="both"/>
              <w:rPr>
                <w:rFonts w:ascii="Book Antiqua" w:eastAsia="Times New Roman" w:hAnsi="Book Antiqua" w:cs="Arial"/>
                <w:lang w:eastAsia="es-CR"/>
              </w:rPr>
            </w:pPr>
            <w:r w:rsidRPr="0081776A">
              <w:rPr>
                <w:rFonts w:ascii="Book Antiqua" w:eastAsia="Times New Roman" w:hAnsi="Book Antiqua" w:cs="Arial"/>
                <w:lang w:eastAsia="es-CR"/>
              </w:rPr>
              <w:t>Cantidad de apremios corporales terminados durante el mes</w:t>
            </w:r>
            <w:r>
              <w:rPr>
                <w:rFonts w:ascii="Book Antiqua" w:eastAsia="Times New Roman" w:hAnsi="Book Antiqua" w:cs="Arial"/>
                <w:lang w:eastAsia="es-CR"/>
              </w:rPr>
              <w:t>.</w:t>
            </w:r>
          </w:p>
          <w:p w14:paraId="26B603CB" w14:textId="61A80627" w:rsidR="0081776A" w:rsidRPr="0081776A" w:rsidRDefault="0081776A" w:rsidP="0081776A">
            <w:pPr>
              <w:spacing w:after="0" w:line="276" w:lineRule="auto"/>
              <w:jc w:val="both"/>
              <w:rPr>
                <w:rFonts w:ascii="Book Antiqua" w:eastAsia="Times New Roman" w:hAnsi="Book Antiqua" w:cs="Arial"/>
                <w:lang w:eastAsia="es-CR"/>
              </w:rPr>
            </w:pPr>
            <w:r w:rsidRPr="0081776A">
              <w:rPr>
                <w:rFonts w:ascii="Book Antiqua" w:eastAsia="Times New Roman" w:hAnsi="Book Antiqua" w:cs="Arial"/>
                <w:lang w:eastAsia="es-CR"/>
              </w:rPr>
              <w:t>Estos datos se obtienen del informe estadístico mensual de SIGMA</w:t>
            </w:r>
            <w:r>
              <w:rPr>
                <w:rFonts w:ascii="Book Antiqua" w:eastAsia="Times New Roman" w:hAnsi="Book Antiqua" w:cs="Arial"/>
                <w:lang w:eastAsia="es-CR"/>
              </w:rPr>
              <w:t>.</w:t>
            </w:r>
          </w:p>
          <w:p w14:paraId="47352D98" w14:textId="0601028E" w:rsidR="0081776A" w:rsidRPr="00A554BE" w:rsidRDefault="0081776A" w:rsidP="0081776A">
            <w:pPr>
              <w:spacing w:after="0" w:line="276" w:lineRule="auto"/>
              <w:jc w:val="both"/>
              <w:rPr>
                <w:rFonts w:ascii="Book Antiqua" w:eastAsia="Times New Roman" w:hAnsi="Book Antiqua" w:cs="Arial"/>
                <w:lang w:eastAsia="es-CR"/>
              </w:rPr>
            </w:pPr>
            <w:r w:rsidRPr="0081776A">
              <w:rPr>
                <w:rFonts w:ascii="Book Antiqua" w:eastAsia="Times New Roman" w:hAnsi="Book Antiqua" w:cs="Arial"/>
                <w:lang w:eastAsia="es-CR"/>
              </w:rPr>
              <w:t>Pestaña de Balance de Apremios</w:t>
            </w:r>
            <w:r>
              <w:rPr>
                <w:rFonts w:ascii="Book Antiqua" w:eastAsia="Times New Roman" w:hAnsi="Book Antiqua" w:cs="Arial"/>
                <w:lang w:eastAsia="es-CR"/>
              </w:rPr>
              <w:t>.</w:t>
            </w:r>
          </w:p>
        </w:tc>
      </w:tr>
      <w:tr w:rsidR="007B5D39" w:rsidRPr="00A554BE" w14:paraId="363835FB" w14:textId="77777777" w:rsidTr="001D0C10">
        <w:trPr>
          <w:cantSplit/>
          <w:trHeight w:val="20"/>
          <w:jc w:val="center"/>
        </w:trPr>
        <w:tc>
          <w:tcPr>
            <w:tcW w:w="760" w:type="pct"/>
            <w:vMerge/>
            <w:shd w:val="clear" w:color="auto" w:fill="FFFFFF"/>
          </w:tcPr>
          <w:p w14:paraId="4D0BD28B"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9990898" w14:textId="7230980A" w:rsidR="007B5D39" w:rsidRPr="00A554BE" w:rsidRDefault="007B5D39" w:rsidP="007B5D39">
            <w:pPr>
              <w:spacing w:after="0" w:line="276" w:lineRule="auto"/>
              <w:jc w:val="center"/>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2</w:t>
            </w:r>
            <w:r w:rsidR="0081776A">
              <w:rPr>
                <w:rFonts w:ascii="Book Antiqua" w:eastAsia="Times New Roman" w:hAnsi="Book Antiqua" w:cs="Arial"/>
                <w:b/>
                <w:bCs/>
                <w:color w:val="44546A"/>
                <w:lang w:eastAsia="es-CR"/>
              </w:rPr>
              <w:t>1</w:t>
            </w:r>
          </w:p>
        </w:tc>
        <w:tc>
          <w:tcPr>
            <w:tcW w:w="946" w:type="pct"/>
            <w:shd w:val="clear" w:color="auto" w:fill="FFFFFF"/>
            <w:vAlign w:val="center"/>
          </w:tcPr>
          <w:p w14:paraId="5EEB90D9"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Porcentaje de resolución de apremios corporales</w:t>
            </w:r>
          </w:p>
        </w:tc>
        <w:tc>
          <w:tcPr>
            <w:tcW w:w="2795" w:type="pct"/>
            <w:shd w:val="clear" w:color="auto" w:fill="auto"/>
            <w:vAlign w:val="center"/>
          </w:tcPr>
          <w:p w14:paraId="0E20C8AD"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Para el cálculo: </w:t>
            </w:r>
            <w:r w:rsidRPr="00A554BE">
              <w:rPr>
                <w:rFonts w:ascii="Book Antiqua" w:eastAsia="Times New Roman" w:hAnsi="Book Antiqua" w:cs="Arial"/>
                <w:i/>
                <w:iCs/>
                <w:lang w:eastAsia="es-CR"/>
              </w:rPr>
              <w:t>Cantidad de apremios corporales resueltos / Cantidad de apremios corporales ingresados</w:t>
            </w:r>
          </w:p>
          <w:p w14:paraId="1ABF4148"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90% a 100%</w:t>
            </w:r>
          </w:p>
        </w:tc>
      </w:tr>
      <w:tr w:rsidR="0081776A" w:rsidRPr="00A554BE" w14:paraId="1749A7B4" w14:textId="77777777" w:rsidTr="001D0C10">
        <w:trPr>
          <w:cantSplit/>
          <w:trHeight w:val="20"/>
          <w:jc w:val="center"/>
        </w:trPr>
        <w:tc>
          <w:tcPr>
            <w:tcW w:w="760" w:type="pct"/>
            <w:vMerge/>
            <w:shd w:val="clear" w:color="auto" w:fill="FFFFFF"/>
          </w:tcPr>
          <w:p w14:paraId="2BEBA711" w14:textId="77777777" w:rsidR="0081776A" w:rsidRPr="00A554BE" w:rsidRDefault="0081776A"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A74FBF7" w14:textId="20B43500" w:rsidR="0081776A" w:rsidRPr="00A554BE" w:rsidRDefault="0081776A"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22</w:t>
            </w:r>
          </w:p>
        </w:tc>
        <w:tc>
          <w:tcPr>
            <w:tcW w:w="946" w:type="pct"/>
            <w:shd w:val="clear" w:color="auto" w:fill="FFFFFF"/>
            <w:vAlign w:val="center"/>
          </w:tcPr>
          <w:p w14:paraId="44F2DC77" w14:textId="5EB804A4" w:rsidR="0081776A" w:rsidRPr="00A554BE" w:rsidRDefault="0081776A" w:rsidP="001D0C10">
            <w:pPr>
              <w:spacing w:after="0" w:line="276" w:lineRule="auto"/>
              <w:jc w:val="both"/>
              <w:rPr>
                <w:rFonts w:ascii="Book Antiqua" w:eastAsia="Times New Roman" w:hAnsi="Book Antiqua" w:cs="Arial"/>
                <w:b/>
                <w:bCs/>
                <w:color w:val="44546A"/>
                <w:lang w:eastAsia="es-CR"/>
              </w:rPr>
            </w:pPr>
            <w:r w:rsidRPr="0081776A">
              <w:rPr>
                <w:rFonts w:ascii="Book Antiqua" w:eastAsia="Times New Roman" w:hAnsi="Book Antiqua" w:cs="Arial"/>
                <w:b/>
                <w:bCs/>
                <w:color w:val="44546A"/>
                <w:lang w:eastAsia="es-CR"/>
              </w:rPr>
              <w:t>Cantidad de apremios corporales pendientes</w:t>
            </w:r>
          </w:p>
        </w:tc>
        <w:tc>
          <w:tcPr>
            <w:tcW w:w="2795" w:type="pct"/>
            <w:shd w:val="clear" w:color="auto" w:fill="auto"/>
            <w:vAlign w:val="center"/>
          </w:tcPr>
          <w:p w14:paraId="3665BB16" w14:textId="77777777" w:rsidR="0081776A" w:rsidRDefault="00306C0C" w:rsidP="007B5D39">
            <w:pPr>
              <w:spacing w:after="0" w:line="276" w:lineRule="auto"/>
              <w:jc w:val="both"/>
              <w:rPr>
                <w:rFonts w:ascii="Book Antiqua" w:eastAsia="Times New Roman" w:hAnsi="Book Antiqua" w:cs="Arial"/>
                <w:lang w:eastAsia="es-CR"/>
              </w:rPr>
            </w:pPr>
            <w:r w:rsidRPr="00306C0C">
              <w:rPr>
                <w:rFonts w:ascii="Book Antiqua" w:eastAsia="Times New Roman" w:hAnsi="Book Antiqua" w:cs="Arial"/>
                <w:lang w:eastAsia="es-CR"/>
              </w:rPr>
              <w:t>Cantidad de apremios corporales pendientes de resolver</w:t>
            </w:r>
            <w:r>
              <w:rPr>
                <w:rFonts w:ascii="Book Antiqua" w:eastAsia="Times New Roman" w:hAnsi="Book Antiqua" w:cs="Arial"/>
                <w:lang w:eastAsia="es-CR"/>
              </w:rPr>
              <w:t>.</w:t>
            </w:r>
          </w:p>
          <w:p w14:paraId="3400A1BD" w14:textId="7A24EE4C" w:rsidR="00306C0C" w:rsidRPr="00A554BE" w:rsidRDefault="00306C0C" w:rsidP="00306C0C">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Estos datos se obtienen del módulo de apremios del Escritorio Virtual.  </w:t>
            </w:r>
          </w:p>
        </w:tc>
      </w:tr>
      <w:tr w:rsidR="00215CAB" w:rsidRPr="00A554BE" w14:paraId="79BF13C4" w14:textId="77777777" w:rsidTr="001D0C10">
        <w:trPr>
          <w:cantSplit/>
          <w:trHeight w:val="20"/>
          <w:jc w:val="center"/>
        </w:trPr>
        <w:tc>
          <w:tcPr>
            <w:tcW w:w="760" w:type="pct"/>
            <w:vMerge w:val="restart"/>
            <w:textDirection w:val="btLr"/>
          </w:tcPr>
          <w:p w14:paraId="651BE7A0"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Rendimiento estadístico</w:t>
            </w:r>
          </w:p>
        </w:tc>
        <w:tc>
          <w:tcPr>
            <w:tcW w:w="499" w:type="pct"/>
            <w:shd w:val="clear" w:color="auto" w:fill="auto"/>
            <w:hideMark/>
          </w:tcPr>
          <w:p w14:paraId="7A91D896" w14:textId="7C3CB180"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23</w:t>
            </w:r>
          </w:p>
        </w:tc>
        <w:tc>
          <w:tcPr>
            <w:tcW w:w="946" w:type="pct"/>
            <w:shd w:val="clear" w:color="auto" w:fill="auto"/>
            <w:hideMark/>
          </w:tcPr>
          <w:p w14:paraId="482EEF2C"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expedientes pendientes de fallo</w:t>
            </w:r>
          </w:p>
        </w:tc>
        <w:tc>
          <w:tcPr>
            <w:tcW w:w="2795" w:type="pct"/>
            <w:shd w:val="clear" w:color="auto" w:fill="auto"/>
            <w:hideMark/>
          </w:tcPr>
          <w:p w14:paraId="4B9A4E6A" w14:textId="63EABE65"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Total de expedientes pasados a la tarea de fallo durante el mes. Se obtiene el dato del Módulo de Pase a Fallo del Escritorio Virtual o Libro de Pase a Fallo.</w:t>
            </w:r>
          </w:p>
        </w:tc>
      </w:tr>
      <w:tr w:rsidR="007B5D39" w:rsidRPr="00A554BE" w14:paraId="15563E28" w14:textId="77777777" w:rsidTr="001D0C10">
        <w:trPr>
          <w:cantSplit/>
          <w:trHeight w:val="1134"/>
          <w:jc w:val="center"/>
        </w:trPr>
        <w:tc>
          <w:tcPr>
            <w:tcW w:w="760" w:type="pct"/>
            <w:vMerge/>
            <w:shd w:val="clear" w:color="auto" w:fill="FFFFFF"/>
          </w:tcPr>
          <w:p w14:paraId="32664F8C"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auto"/>
            <w:vAlign w:val="center"/>
          </w:tcPr>
          <w:p w14:paraId="1A0685C1" w14:textId="1B1C1267"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24</w:t>
            </w:r>
          </w:p>
        </w:tc>
        <w:tc>
          <w:tcPr>
            <w:tcW w:w="946" w:type="pct"/>
            <w:shd w:val="clear" w:color="auto" w:fill="auto"/>
            <w:vAlign w:val="center"/>
          </w:tcPr>
          <w:p w14:paraId="0745F311"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escritos pendientes de resolver</w:t>
            </w:r>
          </w:p>
        </w:tc>
        <w:tc>
          <w:tcPr>
            <w:tcW w:w="2795" w:type="pct"/>
            <w:shd w:val="clear" w:color="auto" w:fill="auto"/>
            <w:vAlign w:val="center"/>
          </w:tcPr>
          <w:p w14:paraId="218A7E4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Cantidad de escritos pendientes por resolver durante el mes. </w:t>
            </w:r>
          </w:p>
          <w:p w14:paraId="591A94D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Se obtiene de la bandeja de Escritos del Escritorio Virtual</w:t>
            </w:r>
          </w:p>
          <w:p w14:paraId="6BCC3D3D" w14:textId="77777777" w:rsidR="007B5D39" w:rsidRPr="00A554BE" w:rsidRDefault="007B5D39" w:rsidP="007B5D39">
            <w:pPr>
              <w:spacing w:after="0" w:line="276" w:lineRule="auto"/>
              <w:jc w:val="both"/>
              <w:rPr>
                <w:rFonts w:ascii="Book Antiqua" w:eastAsia="Times New Roman" w:hAnsi="Book Antiqua" w:cs="Arial"/>
                <w:b/>
                <w:bCs/>
                <w:lang w:eastAsia="es-CR"/>
              </w:rPr>
            </w:pPr>
            <w:r w:rsidRPr="00A554BE">
              <w:rPr>
                <w:rFonts w:ascii="Book Antiqua" w:eastAsia="Times New Roman" w:hAnsi="Book Antiqua" w:cs="Arial"/>
                <w:lang w:eastAsia="es-CR"/>
              </w:rPr>
              <w:t xml:space="preserve">Se deben revisar todos los Escritos que se encuentran Tramitándose, como los que se encuentran pendientes de distribuir, todas la Ubicaciones, todos los Auxiliares, todos los estados de expediente. </w:t>
            </w:r>
          </w:p>
        </w:tc>
      </w:tr>
      <w:tr w:rsidR="007B5D39" w:rsidRPr="00A554BE" w14:paraId="4830D218" w14:textId="77777777" w:rsidTr="001D0C10">
        <w:trPr>
          <w:cantSplit/>
          <w:trHeight w:val="1134"/>
          <w:jc w:val="center"/>
        </w:trPr>
        <w:tc>
          <w:tcPr>
            <w:tcW w:w="760" w:type="pct"/>
            <w:vMerge/>
            <w:shd w:val="clear" w:color="auto" w:fill="FFFFFF"/>
          </w:tcPr>
          <w:p w14:paraId="289B34B6"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541FC16" w14:textId="260256A7"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25</w:t>
            </w:r>
          </w:p>
        </w:tc>
        <w:tc>
          <w:tcPr>
            <w:tcW w:w="946" w:type="pct"/>
            <w:shd w:val="clear" w:color="auto" w:fill="FFFFFF"/>
            <w:vAlign w:val="center"/>
          </w:tcPr>
          <w:p w14:paraId="2F70CD42"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Porcentaje de resolución de escritos</w:t>
            </w:r>
          </w:p>
        </w:tc>
        <w:tc>
          <w:tcPr>
            <w:tcW w:w="2795" w:type="pct"/>
            <w:shd w:val="clear" w:color="auto" w:fill="auto"/>
            <w:vAlign w:val="center"/>
          </w:tcPr>
          <w:p w14:paraId="157F1AB8"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Cantidad de escritos resueltos / Cantidad de escritos ingresados.</w:t>
            </w:r>
          </w:p>
        </w:tc>
      </w:tr>
      <w:tr w:rsidR="007B5D39" w:rsidRPr="00A554BE" w14:paraId="5CF8B8BC" w14:textId="77777777" w:rsidTr="001D0C10">
        <w:trPr>
          <w:cantSplit/>
          <w:trHeight w:val="1134"/>
          <w:jc w:val="center"/>
        </w:trPr>
        <w:tc>
          <w:tcPr>
            <w:tcW w:w="760" w:type="pct"/>
            <w:vMerge/>
            <w:shd w:val="clear" w:color="auto" w:fill="FFFFFF"/>
          </w:tcPr>
          <w:p w14:paraId="13F8C6FA"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9F619A5" w14:textId="008DAABC"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26</w:t>
            </w:r>
          </w:p>
        </w:tc>
        <w:tc>
          <w:tcPr>
            <w:tcW w:w="946" w:type="pct"/>
            <w:shd w:val="clear" w:color="auto" w:fill="FFFFFF"/>
            <w:vAlign w:val="center"/>
          </w:tcPr>
          <w:p w14:paraId="0142AAF5"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personas atendidas</w:t>
            </w:r>
          </w:p>
        </w:tc>
        <w:tc>
          <w:tcPr>
            <w:tcW w:w="2795" w:type="pct"/>
            <w:shd w:val="clear" w:color="auto" w:fill="auto"/>
            <w:vAlign w:val="center"/>
          </w:tcPr>
          <w:p w14:paraId="75A52E9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Cantidad total de personas usuarias atendidas durante el mes</w:t>
            </w:r>
          </w:p>
        </w:tc>
      </w:tr>
      <w:tr w:rsidR="007B5D39" w:rsidRPr="00A554BE" w14:paraId="1B385BD4" w14:textId="77777777" w:rsidTr="001D0C10">
        <w:trPr>
          <w:cantSplit/>
          <w:trHeight w:val="1134"/>
          <w:jc w:val="center"/>
        </w:trPr>
        <w:tc>
          <w:tcPr>
            <w:tcW w:w="760" w:type="pct"/>
            <w:vMerge w:val="restart"/>
            <w:shd w:val="clear" w:color="auto" w:fill="FFFFFF"/>
            <w:textDirection w:val="btLr"/>
          </w:tcPr>
          <w:p w14:paraId="4CD3E8ED"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Audiencias tempranas</w:t>
            </w:r>
          </w:p>
        </w:tc>
        <w:tc>
          <w:tcPr>
            <w:tcW w:w="499" w:type="pct"/>
            <w:shd w:val="clear" w:color="auto" w:fill="FFFFFF"/>
            <w:vAlign w:val="center"/>
          </w:tcPr>
          <w:p w14:paraId="789BA3C3" w14:textId="5153F4BB"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27</w:t>
            </w:r>
          </w:p>
        </w:tc>
        <w:tc>
          <w:tcPr>
            <w:tcW w:w="946" w:type="pct"/>
            <w:shd w:val="clear" w:color="auto" w:fill="FFFFFF"/>
            <w:vAlign w:val="center"/>
          </w:tcPr>
          <w:p w14:paraId="05E65D9D"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Porcentaje de conciliación en audiencias tempranas </w:t>
            </w:r>
          </w:p>
        </w:tc>
        <w:tc>
          <w:tcPr>
            <w:tcW w:w="2795" w:type="pct"/>
            <w:shd w:val="clear" w:color="auto" w:fill="auto"/>
            <w:vAlign w:val="center"/>
          </w:tcPr>
          <w:p w14:paraId="71A2078E"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(Cantidad de audiencias tempranas conciliadas / Cantidad de audiencias tempranas realizadas).</w:t>
            </w:r>
          </w:p>
          <w:p w14:paraId="7008C347"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Se obtiene de la Agenda Cronos, en Buscar Apuntes, búsqueda por criterio por rango de fecha y se obtiene la cantidad de señalamiento a Audiencia conciliadas.</w:t>
            </w:r>
          </w:p>
        </w:tc>
      </w:tr>
      <w:tr w:rsidR="007B5D39" w:rsidRPr="00A554BE" w14:paraId="07B5A7B2" w14:textId="77777777" w:rsidTr="001D0C10">
        <w:trPr>
          <w:cantSplit/>
          <w:trHeight w:val="1134"/>
          <w:jc w:val="center"/>
        </w:trPr>
        <w:tc>
          <w:tcPr>
            <w:tcW w:w="760" w:type="pct"/>
            <w:vMerge/>
            <w:shd w:val="clear" w:color="auto" w:fill="FFFFFF"/>
          </w:tcPr>
          <w:p w14:paraId="5C27902F"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74D32F71" w14:textId="762B33AC"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28</w:t>
            </w:r>
          </w:p>
        </w:tc>
        <w:tc>
          <w:tcPr>
            <w:tcW w:w="946" w:type="pct"/>
            <w:shd w:val="clear" w:color="auto" w:fill="FFFFFF"/>
            <w:vAlign w:val="center"/>
          </w:tcPr>
          <w:p w14:paraId="64CFF01E"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Porcentaje de efectividad de audiencias tempranas. </w:t>
            </w:r>
          </w:p>
        </w:tc>
        <w:tc>
          <w:tcPr>
            <w:tcW w:w="2795" w:type="pct"/>
            <w:shd w:val="clear" w:color="auto" w:fill="auto"/>
            <w:vAlign w:val="center"/>
          </w:tcPr>
          <w:p w14:paraId="183BA8A9"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(Cantidad de audiencias tempranas señaladas / Cantidad de audiencias tempranas realizadas).</w:t>
            </w:r>
          </w:p>
          <w:p w14:paraId="43C2153D"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indicador esta subdividido por persona juzgadora.</w:t>
            </w:r>
          </w:p>
        </w:tc>
      </w:tr>
      <w:tr w:rsidR="007B5D39" w:rsidRPr="00A554BE" w14:paraId="5E298108" w14:textId="77777777" w:rsidTr="001D0C10">
        <w:trPr>
          <w:cantSplit/>
          <w:trHeight w:val="1134"/>
          <w:jc w:val="center"/>
        </w:trPr>
        <w:tc>
          <w:tcPr>
            <w:tcW w:w="760" w:type="pct"/>
            <w:vMerge w:val="restart"/>
            <w:shd w:val="clear" w:color="auto" w:fill="FFFFFF"/>
            <w:textDirection w:val="btLr"/>
          </w:tcPr>
          <w:p w14:paraId="5EEF05AB"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Audiencias de recepción de prueba</w:t>
            </w:r>
          </w:p>
        </w:tc>
        <w:tc>
          <w:tcPr>
            <w:tcW w:w="499" w:type="pct"/>
            <w:shd w:val="clear" w:color="auto" w:fill="FFFFFF"/>
            <w:vAlign w:val="center"/>
          </w:tcPr>
          <w:p w14:paraId="12B95F32" w14:textId="73F6A1E3" w:rsidR="007B5D39" w:rsidRPr="00A554BE" w:rsidRDefault="007B5D39" w:rsidP="007B5D39">
            <w:pPr>
              <w:spacing w:after="0" w:line="276" w:lineRule="auto"/>
              <w:jc w:val="center"/>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2</w:t>
            </w:r>
            <w:r w:rsidR="000D7346">
              <w:rPr>
                <w:rFonts w:ascii="Book Antiqua" w:eastAsia="Times New Roman" w:hAnsi="Book Antiqua" w:cs="Arial"/>
                <w:b/>
                <w:bCs/>
                <w:color w:val="44546A"/>
                <w:lang w:eastAsia="es-CR"/>
              </w:rPr>
              <w:t>9</w:t>
            </w:r>
          </w:p>
        </w:tc>
        <w:tc>
          <w:tcPr>
            <w:tcW w:w="946" w:type="pct"/>
            <w:shd w:val="clear" w:color="auto" w:fill="FFFFFF"/>
            <w:vAlign w:val="center"/>
          </w:tcPr>
          <w:p w14:paraId="6C85AE1E"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Porcentaje de conciliación en audiencias de recepción de prueba</w:t>
            </w:r>
          </w:p>
        </w:tc>
        <w:tc>
          <w:tcPr>
            <w:tcW w:w="2795" w:type="pct"/>
            <w:shd w:val="clear" w:color="auto" w:fill="auto"/>
            <w:vAlign w:val="center"/>
          </w:tcPr>
          <w:p w14:paraId="5F75B480"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(Cantidad de audiencias de recepción de prueba conciliada / Cantidad de audiencias de recepción de prueba realizadas).</w:t>
            </w:r>
          </w:p>
          <w:p w14:paraId="419A793A" w14:textId="77777777" w:rsidR="007B5D39" w:rsidRPr="00A554BE" w:rsidRDefault="007B5D39" w:rsidP="007B5D39">
            <w:pPr>
              <w:spacing w:after="0" w:line="276" w:lineRule="auto"/>
              <w:jc w:val="both"/>
              <w:rPr>
                <w:rFonts w:ascii="Book Antiqua" w:eastAsia="Times New Roman" w:hAnsi="Book Antiqua" w:cs="Arial"/>
                <w:lang w:eastAsia="es-CR"/>
              </w:rPr>
            </w:pPr>
          </w:p>
        </w:tc>
      </w:tr>
      <w:tr w:rsidR="007B5D39" w:rsidRPr="00A554BE" w14:paraId="6C121850" w14:textId="77777777" w:rsidTr="001D0C10">
        <w:trPr>
          <w:cantSplit/>
          <w:trHeight w:val="1134"/>
          <w:jc w:val="center"/>
        </w:trPr>
        <w:tc>
          <w:tcPr>
            <w:tcW w:w="760" w:type="pct"/>
            <w:vMerge/>
            <w:shd w:val="clear" w:color="auto" w:fill="FFFFFF"/>
          </w:tcPr>
          <w:p w14:paraId="7947FD60"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9D0342D" w14:textId="10AE5A72"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30</w:t>
            </w:r>
          </w:p>
        </w:tc>
        <w:tc>
          <w:tcPr>
            <w:tcW w:w="946" w:type="pct"/>
            <w:shd w:val="clear" w:color="auto" w:fill="FFFFFF"/>
            <w:vAlign w:val="center"/>
          </w:tcPr>
          <w:p w14:paraId="236E7632"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Porcentaje de efectividad de audiencias de recepción de prueba. </w:t>
            </w:r>
          </w:p>
        </w:tc>
        <w:tc>
          <w:tcPr>
            <w:tcW w:w="2795" w:type="pct"/>
            <w:shd w:val="clear" w:color="auto" w:fill="auto"/>
            <w:vAlign w:val="center"/>
          </w:tcPr>
          <w:p w14:paraId="5FB91974"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(Cantidad de audiencias de recepción de prueba señaladas / Cantidad de audiencias de recepción de prueba realizadas).</w:t>
            </w:r>
          </w:p>
          <w:p w14:paraId="5B12674F"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indicador esta subdividido por persona juzgadora.</w:t>
            </w:r>
          </w:p>
        </w:tc>
      </w:tr>
      <w:tr w:rsidR="007B5D39" w:rsidRPr="00A554BE" w14:paraId="5243DEFD" w14:textId="77777777" w:rsidTr="001D0C10">
        <w:trPr>
          <w:cantSplit/>
          <w:trHeight w:val="1134"/>
          <w:jc w:val="center"/>
        </w:trPr>
        <w:tc>
          <w:tcPr>
            <w:tcW w:w="760" w:type="pct"/>
            <w:vMerge w:val="restart"/>
            <w:shd w:val="clear" w:color="auto" w:fill="FFFFFF"/>
            <w:textDirection w:val="btLr"/>
          </w:tcPr>
          <w:p w14:paraId="0D3BB45E" w14:textId="77777777" w:rsidR="007B5D39" w:rsidRPr="00A554BE" w:rsidRDefault="007B5D39" w:rsidP="007B5D39">
            <w:pPr>
              <w:spacing w:after="0" w:line="276" w:lineRule="auto"/>
              <w:ind w:left="113" w:right="113"/>
              <w:jc w:val="both"/>
              <w:rPr>
                <w:rFonts w:ascii="Book Antiqua" w:eastAsia="Times New Roman" w:hAnsi="Book Antiqua" w:cs="Arial"/>
                <w:b/>
                <w:bCs/>
                <w:lang w:eastAsia="es-CR"/>
              </w:rPr>
            </w:pPr>
            <w:r w:rsidRPr="00A554BE">
              <w:rPr>
                <w:rFonts w:ascii="Book Antiqua" w:eastAsia="Times New Roman" w:hAnsi="Book Antiqua" w:cs="Arial"/>
                <w:b/>
                <w:bCs/>
                <w:lang w:eastAsia="es-CR"/>
              </w:rPr>
              <w:t>Plazos</w:t>
            </w:r>
          </w:p>
        </w:tc>
        <w:tc>
          <w:tcPr>
            <w:tcW w:w="499" w:type="pct"/>
            <w:shd w:val="clear" w:color="auto" w:fill="FFFFFF"/>
            <w:vAlign w:val="center"/>
          </w:tcPr>
          <w:p w14:paraId="46834500" w14:textId="4CE7A60B"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31</w:t>
            </w:r>
          </w:p>
        </w:tc>
        <w:tc>
          <w:tcPr>
            <w:tcW w:w="946" w:type="pct"/>
            <w:shd w:val="clear" w:color="auto" w:fill="FFFFFF"/>
            <w:vAlign w:val="center"/>
          </w:tcPr>
          <w:p w14:paraId="34FAFC73"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señalamientos de audiencias tempranas</w:t>
            </w:r>
          </w:p>
        </w:tc>
        <w:tc>
          <w:tcPr>
            <w:tcW w:w="2795" w:type="pct"/>
            <w:shd w:val="clear" w:color="auto" w:fill="auto"/>
            <w:vAlign w:val="center"/>
          </w:tcPr>
          <w:p w14:paraId="1BB38D6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Fecha de último señalamiento de audiencia temprana- fecha actual</w:t>
            </w:r>
          </w:p>
        </w:tc>
      </w:tr>
      <w:tr w:rsidR="007B5D39" w:rsidRPr="00A554BE" w14:paraId="62E186F8" w14:textId="77777777" w:rsidTr="001D0C10">
        <w:trPr>
          <w:cantSplit/>
          <w:trHeight w:val="1134"/>
          <w:jc w:val="center"/>
        </w:trPr>
        <w:tc>
          <w:tcPr>
            <w:tcW w:w="760" w:type="pct"/>
            <w:vMerge/>
            <w:shd w:val="clear" w:color="auto" w:fill="FFFFFF"/>
          </w:tcPr>
          <w:p w14:paraId="10CE6974"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9B03CF0" w14:textId="13673BB7"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32</w:t>
            </w:r>
          </w:p>
        </w:tc>
        <w:tc>
          <w:tcPr>
            <w:tcW w:w="946" w:type="pct"/>
            <w:shd w:val="clear" w:color="auto" w:fill="FFFFFF"/>
            <w:vAlign w:val="center"/>
          </w:tcPr>
          <w:p w14:paraId="591EAD0F"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de resolución de apremios corporales</w:t>
            </w:r>
          </w:p>
        </w:tc>
        <w:tc>
          <w:tcPr>
            <w:tcW w:w="2795" w:type="pct"/>
            <w:shd w:val="clear" w:color="auto" w:fill="auto"/>
            <w:vAlign w:val="center"/>
          </w:tcPr>
          <w:p w14:paraId="08E20B8B" w14:textId="2B478714"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 apremio corporal más antiguo pendiente de resolver</w:t>
            </w:r>
          </w:p>
        </w:tc>
      </w:tr>
      <w:tr w:rsidR="000D7346" w:rsidRPr="00A554BE" w14:paraId="7F3C01B5" w14:textId="77777777" w:rsidTr="001D0C10">
        <w:trPr>
          <w:cantSplit/>
          <w:trHeight w:val="1134"/>
          <w:jc w:val="center"/>
        </w:trPr>
        <w:tc>
          <w:tcPr>
            <w:tcW w:w="760" w:type="pct"/>
            <w:vMerge/>
            <w:shd w:val="clear" w:color="auto" w:fill="FFFFFF"/>
          </w:tcPr>
          <w:p w14:paraId="0103D022" w14:textId="77777777" w:rsidR="000D7346" w:rsidRPr="00A554BE" w:rsidRDefault="000D7346" w:rsidP="007B5D39">
            <w:pPr>
              <w:spacing w:after="0" w:line="276" w:lineRule="auto"/>
              <w:jc w:val="center"/>
              <w:rPr>
                <w:rFonts w:ascii="Book Antiqua" w:eastAsia="Times New Roman" w:hAnsi="Book Antiqua" w:cs="Arial"/>
                <w:b/>
                <w:bCs/>
                <w:color w:val="44546A"/>
                <w:lang w:eastAsia="es-CR"/>
              </w:rPr>
            </w:pPr>
          </w:p>
        </w:tc>
        <w:tc>
          <w:tcPr>
            <w:tcW w:w="499" w:type="pct"/>
            <w:vMerge w:val="restart"/>
            <w:shd w:val="clear" w:color="auto" w:fill="FFFFFF"/>
            <w:vAlign w:val="center"/>
          </w:tcPr>
          <w:p w14:paraId="0A545B62" w14:textId="7E9EA1C6" w:rsidR="000D7346"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33</w:t>
            </w:r>
          </w:p>
        </w:tc>
        <w:tc>
          <w:tcPr>
            <w:tcW w:w="946" w:type="pct"/>
            <w:shd w:val="clear" w:color="auto" w:fill="FFFFFF"/>
            <w:vAlign w:val="center"/>
          </w:tcPr>
          <w:p w14:paraId="61426676" w14:textId="63B599C9" w:rsidR="000D7346" w:rsidRPr="00A554BE" w:rsidRDefault="000D7346"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para resolver escritos</w:t>
            </w:r>
            <w:r>
              <w:rPr>
                <w:rFonts w:ascii="Book Antiqua" w:eastAsia="Times New Roman" w:hAnsi="Book Antiqua" w:cs="Arial"/>
                <w:b/>
                <w:bCs/>
                <w:color w:val="44546A"/>
                <w:lang w:eastAsia="es-CR"/>
              </w:rPr>
              <w:t xml:space="preserve"> dentro de la oficina</w:t>
            </w:r>
          </w:p>
        </w:tc>
        <w:tc>
          <w:tcPr>
            <w:tcW w:w="2795" w:type="pct"/>
            <w:shd w:val="clear" w:color="auto" w:fill="auto"/>
            <w:vAlign w:val="center"/>
          </w:tcPr>
          <w:p w14:paraId="4B61BA7C" w14:textId="7215C6F4" w:rsidR="000D7346" w:rsidRPr="00A554BE" w:rsidRDefault="000D7346"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escrito más antiguo pendiente de resolver</w:t>
            </w:r>
          </w:p>
        </w:tc>
      </w:tr>
      <w:tr w:rsidR="000D7346" w:rsidRPr="00A554BE" w14:paraId="66DB60D0" w14:textId="77777777" w:rsidTr="001D0C10">
        <w:trPr>
          <w:cantSplit/>
          <w:trHeight w:val="1134"/>
          <w:jc w:val="center"/>
        </w:trPr>
        <w:tc>
          <w:tcPr>
            <w:tcW w:w="760" w:type="pct"/>
            <w:vMerge/>
            <w:shd w:val="clear" w:color="auto" w:fill="FFFFFF"/>
          </w:tcPr>
          <w:p w14:paraId="01E7F8CF" w14:textId="77777777" w:rsidR="000D7346" w:rsidRPr="00A554BE" w:rsidRDefault="000D7346" w:rsidP="007B5D39">
            <w:pPr>
              <w:spacing w:after="0" w:line="276" w:lineRule="auto"/>
              <w:jc w:val="center"/>
              <w:rPr>
                <w:rFonts w:ascii="Book Antiqua" w:eastAsia="Times New Roman" w:hAnsi="Book Antiqua" w:cs="Arial"/>
                <w:b/>
                <w:bCs/>
                <w:color w:val="44546A"/>
                <w:lang w:eastAsia="es-CR"/>
              </w:rPr>
            </w:pPr>
          </w:p>
        </w:tc>
        <w:tc>
          <w:tcPr>
            <w:tcW w:w="499" w:type="pct"/>
            <w:vMerge/>
            <w:shd w:val="clear" w:color="auto" w:fill="FFFFFF"/>
            <w:vAlign w:val="center"/>
          </w:tcPr>
          <w:p w14:paraId="3B40D3C0" w14:textId="77777777" w:rsidR="000D7346" w:rsidRDefault="000D7346" w:rsidP="007B5D39">
            <w:pPr>
              <w:spacing w:after="0" w:line="276" w:lineRule="auto"/>
              <w:jc w:val="center"/>
              <w:rPr>
                <w:rFonts w:ascii="Book Antiqua" w:eastAsia="Times New Roman" w:hAnsi="Book Antiqua" w:cs="Arial"/>
                <w:b/>
                <w:bCs/>
                <w:color w:val="44546A"/>
                <w:lang w:eastAsia="es-CR"/>
              </w:rPr>
            </w:pPr>
          </w:p>
        </w:tc>
        <w:tc>
          <w:tcPr>
            <w:tcW w:w="946" w:type="pct"/>
            <w:shd w:val="clear" w:color="auto" w:fill="FFFFFF"/>
            <w:vAlign w:val="center"/>
          </w:tcPr>
          <w:p w14:paraId="41083798" w14:textId="7374DE11" w:rsidR="000D7346" w:rsidRPr="00A554BE" w:rsidRDefault="000D7346" w:rsidP="001D0C10">
            <w:pPr>
              <w:spacing w:after="0" w:line="276" w:lineRule="auto"/>
              <w:jc w:val="both"/>
              <w:rPr>
                <w:rFonts w:ascii="Book Antiqua" w:eastAsia="Times New Roman" w:hAnsi="Book Antiqua" w:cs="Arial"/>
                <w:b/>
                <w:bCs/>
                <w:color w:val="44546A"/>
                <w:lang w:eastAsia="es-CR"/>
              </w:rPr>
            </w:pPr>
            <w:r w:rsidRPr="000D7346">
              <w:rPr>
                <w:rFonts w:ascii="Book Antiqua" w:eastAsia="Times New Roman" w:hAnsi="Book Antiqua" w:cs="Arial"/>
                <w:b/>
                <w:bCs/>
                <w:color w:val="44546A"/>
                <w:lang w:eastAsia="es-CR"/>
              </w:rPr>
              <w:t>Plazo para resolver escritos fuera de la oficina</w:t>
            </w:r>
          </w:p>
        </w:tc>
        <w:tc>
          <w:tcPr>
            <w:tcW w:w="2795" w:type="pct"/>
            <w:shd w:val="clear" w:color="auto" w:fill="auto"/>
            <w:vAlign w:val="center"/>
          </w:tcPr>
          <w:p w14:paraId="73498760" w14:textId="487E83CA" w:rsidR="000D7346" w:rsidRPr="00A554BE" w:rsidRDefault="000D7346"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escrito más antiguo pendiente de resolver</w:t>
            </w:r>
            <w:r>
              <w:rPr>
                <w:rFonts w:ascii="Book Antiqua" w:eastAsia="Times New Roman" w:hAnsi="Book Antiqua" w:cs="Arial"/>
                <w:i/>
                <w:iCs/>
                <w:lang w:eastAsia="es-CR"/>
              </w:rPr>
              <w:t xml:space="preserve"> </w:t>
            </w:r>
            <w:r w:rsidRPr="000D7346">
              <w:rPr>
                <w:rFonts w:ascii="Book Antiqua" w:eastAsia="Times New Roman" w:hAnsi="Book Antiqua" w:cs="Arial"/>
                <w:i/>
                <w:iCs/>
                <w:lang w:eastAsia="es-CR"/>
              </w:rPr>
              <w:t>de expedientes que se encuentran Fuera del despacho</w:t>
            </w:r>
          </w:p>
        </w:tc>
      </w:tr>
      <w:tr w:rsidR="007B5D39" w:rsidRPr="00A554BE" w14:paraId="3F1EA9DE" w14:textId="77777777" w:rsidTr="001D0C10">
        <w:trPr>
          <w:cantSplit/>
          <w:trHeight w:val="1134"/>
          <w:jc w:val="center"/>
        </w:trPr>
        <w:tc>
          <w:tcPr>
            <w:tcW w:w="760" w:type="pct"/>
            <w:vMerge/>
            <w:shd w:val="clear" w:color="auto" w:fill="FFFFFF"/>
          </w:tcPr>
          <w:p w14:paraId="3C1A74B7"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hideMark/>
          </w:tcPr>
          <w:p w14:paraId="5DFC62FA" w14:textId="28D97ADB"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34</w:t>
            </w:r>
          </w:p>
        </w:tc>
        <w:tc>
          <w:tcPr>
            <w:tcW w:w="946" w:type="pct"/>
            <w:shd w:val="clear" w:color="auto" w:fill="FFFFFF"/>
            <w:vAlign w:val="center"/>
            <w:hideMark/>
          </w:tcPr>
          <w:p w14:paraId="366DEA23"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espera de dictado de sentencia</w:t>
            </w:r>
          </w:p>
        </w:tc>
        <w:tc>
          <w:tcPr>
            <w:tcW w:w="2795" w:type="pct"/>
            <w:shd w:val="clear" w:color="auto" w:fill="auto"/>
            <w:vAlign w:val="center"/>
            <w:hideMark/>
          </w:tcPr>
          <w:p w14:paraId="31BC07F9" w14:textId="3892ADAE"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expediente más antiguo pendiente de fallar)</w:t>
            </w:r>
          </w:p>
          <w:p w14:paraId="158AAB55"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es la fecha del expediente más antiguo pendiente de fallo registrada en el Módulo de pase a fallo del Escritorio Virtual o Libro de Pase a Fallo.</w:t>
            </w:r>
          </w:p>
          <w:p w14:paraId="03DBA77C"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detalle de los plazos de la legislación actual es:</w:t>
            </w:r>
          </w:p>
          <w:p w14:paraId="1CB4FE17" w14:textId="77777777" w:rsidR="007B5D39" w:rsidRPr="00A554BE" w:rsidRDefault="007B5D39" w:rsidP="0090609F">
            <w:pPr>
              <w:numPr>
                <w:ilvl w:val="0"/>
                <w:numId w:val="17"/>
              </w:numPr>
              <w:spacing w:after="0" w:line="276" w:lineRule="auto"/>
              <w:ind w:left="0" w:firstLine="0"/>
              <w:jc w:val="both"/>
              <w:rPr>
                <w:rFonts w:ascii="Book Antiqua" w:eastAsia="Times New Roman" w:hAnsi="Book Antiqua" w:cs="Arial"/>
                <w:lang w:eastAsia="es-CR"/>
              </w:rPr>
            </w:pPr>
            <w:r w:rsidRPr="00A554BE">
              <w:rPr>
                <w:rFonts w:ascii="Book Antiqua" w:eastAsia="Times New Roman" w:hAnsi="Book Antiqua" w:cs="Arial"/>
                <w:lang w:eastAsia="es-CR"/>
              </w:rPr>
              <w:t>Sentencia: 10 días hábiles Art. 45 de la Ley de Pensiones.</w:t>
            </w:r>
          </w:p>
          <w:p w14:paraId="66847B1D" w14:textId="77777777" w:rsidR="007B5D39" w:rsidRPr="00A554BE" w:rsidRDefault="007B5D39" w:rsidP="0090609F">
            <w:pPr>
              <w:numPr>
                <w:ilvl w:val="0"/>
                <w:numId w:val="17"/>
              </w:numPr>
              <w:spacing w:after="0" w:line="276" w:lineRule="auto"/>
              <w:ind w:left="0" w:firstLine="0"/>
              <w:jc w:val="both"/>
              <w:rPr>
                <w:rFonts w:ascii="Book Antiqua" w:eastAsia="Times New Roman" w:hAnsi="Book Antiqua" w:cs="Arial"/>
                <w:lang w:eastAsia="es-CR"/>
              </w:rPr>
            </w:pPr>
            <w:r w:rsidRPr="00A554BE">
              <w:rPr>
                <w:rFonts w:ascii="Book Antiqua" w:eastAsia="Times New Roman" w:hAnsi="Book Antiqua" w:cs="Arial"/>
                <w:lang w:eastAsia="es-CR"/>
              </w:rPr>
              <w:t xml:space="preserve">Procesos de Modificación de Fallo: 5 días. Art. 58 y 59 de la Ley de Pensiones. </w:t>
            </w:r>
          </w:p>
          <w:p w14:paraId="037401AC" w14:textId="77777777" w:rsidR="007B5D39" w:rsidRPr="00A554BE" w:rsidRDefault="007B5D39" w:rsidP="0090609F">
            <w:pPr>
              <w:numPr>
                <w:ilvl w:val="0"/>
                <w:numId w:val="17"/>
              </w:numPr>
              <w:spacing w:after="0" w:line="276" w:lineRule="auto"/>
              <w:ind w:left="0" w:firstLine="0"/>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Incidente de restitución de cuotas: 5 días Art. 23 de la Ley de Pensiones y 48 del PC de 1989. </w:t>
            </w:r>
          </w:p>
          <w:p w14:paraId="1470D9CF" w14:textId="77777777" w:rsidR="007B5D39" w:rsidRPr="00A554BE" w:rsidRDefault="007B5D39" w:rsidP="0090609F">
            <w:pPr>
              <w:numPr>
                <w:ilvl w:val="0"/>
                <w:numId w:val="17"/>
              </w:numPr>
              <w:spacing w:after="0" w:line="276" w:lineRule="auto"/>
              <w:ind w:left="0" w:firstLine="0"/>
              <w:jc w:val="both"/>
              <w:rPr>
                <w:rFonts w:ascii="Book Antiqua" w:eastAsia="Times New Roman" w:hAnsi="Book Antiqua" w:cs="Arial"/>
                <w:lang w:eastAsia="es-CR"/>
              </w:rPr>
            </w:pPr>
            <w:r w:rsidRPr="00A554BE">
              <w:rPr>
                <w:rFonts w:ascii="Book Antiqua" w:eastAsia="Times New Roman" w:hAnsi="Book Antiqua" w:cs="Arial"/>
                <w:lang w:eastAsia="es-CR"/>
              </w:rPr>
              <w:t xml:space="preserve">Ejecución de sentencia: 8 días. Art. 693 del CPC de 1989. </w:t>
            </w:r>
          </w:p>
          <w:p w14:paraId="4860A820" w14:textId="77777777" w:rsidR="007B5D39" w:rsidRPr="00A554BE" w:rsidRDefault="007B5D39" w:rsidP="0090609F">
            <w:pPr>
              <w:numPr>
                <w:ilvl w:val="0"/>
                <w:numId w:val="17"/>
              </w:numPr>
              <w:spacing w:after="0" w:line="276" w:lineRule="auto"/>
              <w:ind w:left="0" w:firstLine="0"/>
              <w:jc w:val="both"/>
              <w:rPr>
                <w:rFonts w:ascii="Book Antiqua" w:eastAsia="Times New Roman" w:hAnsi="Book Antiqua" w:cs="Arial"/>
                <w:lang w:eastAsia="es-CR"/>
              </w:rPr>
            </w:pPr>
            <w:r w:rsidRPr="00A554BE">
              <w:rPr>
                <w:rFonts w:ascii="Book Antiqua" w:eastAsia="Times New Roman" w:hAnsi="Book Antiqua" w:cs="Arial"/>
                <w:lang w:eastAsia="es-CR"/>
              </w:rPr>
              <w:t xml:space="preserve">Sentencia de homologación: 3 días hábiles. </w:t>
            </w:r>
          </w:p>
        </w:tc>
      </w:tr>
      <w:tr w:rsidR="007B5D39" w:rsidRPr="00A554BE" w14:paraId="5EDB64BD" w14:textId="77777777" w:rsidTr="001D0C10">
        <w:trPr>
          <w:cantSplit/>
          <w:trHeight w:val="20"/>
          <w:jc w:val="center"/>
        </w:trPr>
        <w:tc>
          <w:tcPr>
            <w:tcW w:w="760" w:type="pct"/>
            <w:vMerge/>
            <w:shd w:val="clear" w:color="auto" w:fill="FFFFFF"/>
          </w:tcPr>
          <w:p w14:paraId="1667861D"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1C90BF8F" w14:textId="5C194EDE"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35</w:t>
            </w:r>
          </w:p>
        </w:tc>
        <w:tc>
          <w:tcPr>
            <w:tcW w:w="946" w:type="pct"/>
            <w:shd w:val="clear" w:color="auto" w:fill="FFFFFF"/>
            <w:vAlign w:val="center"/>
          </w:tcPr>
          <w:p w14:paraId="78118D30"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espera para dictado de sentencia de segunda instancia-Familia</w:t>
            </w:r>
          </w:p>
        </w:tc>
        <w:tc>
          <w:tcPr>
            <w:tcW w:w="2795" w:type="pct"/>
            <w:shd w:val="clear" w:color="auto" w:fill="auto"/>
            <w:vAlign w:val="center"/>
          </w:tcPr>
          <w:p w14:paraId="54626C2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Fecha actual -Fecha del expediente más antiguo pendiente de fallo</w:t>
            </w:r>
          </w:p>
        </w:tc>
      </w:tr>
      <w:tr w:rsidR="007B5D39" w:rsidRPr="00A554BE" w14:paraId="5D4DF841" w14:textId="77777777" w:rsidTr="001D0C10">
        <w:trPr>
          <w:cantSplit/>
          <w:trHeight w:val="20"/>
          <w:jc w:val="center"/>
        </w:trPr>
        <w:tc>
          <w:tcPr>
            <w:tcW w:w="760" w:type="pct"/>
            <w:vMerge/>
            <w:shd w:val="clear" w:color="auto" w:fill="FFFFFF"/>
          </w:tcPr>
          <w:p w14:paraId="21B48153"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24D21EC0" w14:textId="67F6C998"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36</w:t>
            </w:r>
          </w:p>
        </w:tc>
        <w:tc>
          <w:tcPr>
            <w:tcW w:w="946" w:type="pct"/>
            <w:shd w:val="clear" w:color="auto" w:fill="FFFFFF"/>
            <w:vAlign w:val="center"/>
          </w:tcPr>
          <w:p w14:paraId="2BF27E2C"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de fijación de provisionales</w:t>
            </w:r>
          </w:p>
        </w:tc>
        <w:tc>
          <w:tcPr>
            <w:tcW w:w="2795" w:type="pct"/>
            <w:shd w:val="clear" w:color="auto" w:fill="auto"/>
            <w:vAlign w:val="center"/>
          </w:tcPr>
          <w:p w14:paraId="10DF3055" w14:textId="6E1DC91F"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expediente más antiguo colocado en la tarea de fijación de provisional (desde que se pasó al Juez para la fijación de provisional)</w:t>
            </w:r>
          </w:p>
        </w:tc>
      </w:tr>
      <w:tr w:rsidR="007B5D39" w:rsidRPr="00A554BE" w14:paraId="3F7EDC68" w14:textId="77777777" w:rsidTr="001D0C10">
        <w:trPr>
          <w:cantSplit/>
          <w:trHeight w:val="20"/>
          <w:jc w:val="center"/>
        </w:trPr>
        <w:tc>
          <w:tcPr>
            <w:tcW w:w="760" w:type="pct"/>
            <w:vMerge/>
            <w:shd w:val="clear" w:color="auto" w:fill="FFFFFF"/>
          </w:tcPr>
          <w:p w14:paraId="1339CB7B"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2B3FD672" w14:textId="2A3E006E"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37</w:t>
            </w:r>
          </w:p>
        </w:tc>
        <w:tc>
          <w:tcPr>
            <w:tcW w:w="946" w:type="pct"/>
            <w:shd w:val="clear" w:color="auto" w:fill="FFFFFF"/>
            <w:vAlign w:val="center"/>
          </w:tcPr>
          <w:p w14:paraId="4B12A60F"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de resolución de beneficios</w:t>
            </w:r>
          </w:p>
        </w:tc>
        <w:tc>
          <w:tcPr>
            <w:tcW w:w="2795" w:type="pct"/>
            <w:shd w:val="clear" w:color="auto" w:fill="auto"/>
            <w:vAlign w:val="center"/>
          </w:tcPr>
          <w:p w14:paraId="257974B4" w14:textId="07B98D19"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expediente más antiguo colocado en la tarea de resolver de beneficios</w:t>
            </w:r>
          </w:p>
        </w:tc>
      </w:tr>
      <w:tr w:rsidR="007B5D39" w:rsidRPr="00A554BE" w14:paraId="2B466656" w14:textId="77777777" w:rsidTr="001D0C10">
        <w:trPr>
          <w:cantSplit/>
          <w:trHeight w:val="20"/>
          <w:jc w:val="center"/>
        </w:trPr>
        <w:tc>
          <w:tcPr>
            <w:tcW w:w="760" w:type="pct"/>
            <w:vMerge/>
            <w:shd w:val="clear" w:color="auto" w:fill="FFFFFF"/>
          </w:tcPr>
          <w:p w14:paraId="00DA5269"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2982457" w14:textId="10EA46D1" w:rsidR="007B5D39" w:rsidRPr="00A554BE" w:rsidRDefault="000D7346"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38</w:t>
            </w:r>
          </w:p>
        </w:tc>
        <w:tc>
          <w:tcPr>
            <w:tcW w:w="946" w:type="pct"/>
            <w:shd w:val="clear" w:color="auto" w:fill="FFFFFF"/>
            <w:vAlign w:val="center"/>
          </w:tcPr>
          <w:p w14:paraId="31B6FF2A"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Plazo de resolución de recursos</w:t>
            </w:r>
          </w:p>
        </w:tc>
        <w:tc>
          <w:tcPr>
            <w:tcW w:w="2795" w:type="pct"/>
            <w:shd w:val="clear" w:color="auto" w:fill="auto"/>
            <w:vAlign w:val="center"/>
          </w:tcPr>
          <w:p w14:paraId="5467C03A" w14:textId="74669BAC"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Indicador se calcula: </w:t>
            </w:r>
            <w:r w:rsidRPr="00A554BE">
              <w:rPr>
                <w:rFonts w:ascii="Book Antiqua" w:eastAsia="Times New Roman" w:hAnsi="Book Antiqua" w:cs="Arial"/>
                <w:i/>
                <w:iCs/>
                <w:lang w:eastAsia="es-CR"/>
              </w:rPr>
              <w:t xml:space="preserve">Fecha actual </w:t>
            </w:r>
            <w:r w:rsidR="00E85731">
              <w:rPr>
                <w:rFonts w:ascii="Book Antiqua" w:eastAsia="Times New Roman" w:hAnsi="Book Antiqua" w:cs="Arial"/>
                <w:i/>
                <w:iCs/>
                <w:lang w:eastAsia="es-CR"/>
              </w:rPr>
              <w:t>–</w:t>
            </w:r>
            <w:r w:rsidRPr="00A554BE">
              <w:rPr>
                <w:rFonts w:ascii="Book Antiqua" w:eastAsia="Times New Roman" w:hAnsi="Book Antiqua" w:cs="Arial"/>
                <w:i/>
                <w:iCs/>
                <w:lang w:eastAsia="es-CR"/>
              </w:rPr>
              <w:t xml:space="preserve"> fecha del expediente más antiguo colocado en la tarea de resolver recurso</w:t>
            </w:r>
          </w:p>
        </w:tc>
      </w:tr>
      <w:tr w:rsidR="007B5D39" w:rsidRPr="00A554BE" w14:paraId="0E92532C" w14:textId="77777777" w:rsidTr="001D0C10">
        <w:trPr>
          <w:cantSplit/>
          <w:trHeight w:val="20"/>
          <w:jc w:val="center"/>
        </w:trPr>
        <w:tc>
          <w:tcPr>
            <w:tcW w:w="760" w:type="pct"/>
            <w:vMerge/>
            <w:shd w:val="clear" w:color="auto" w:fill="FFFFFF"/>
          </w:tcPr>
          <w:p w14:paraId="46D0AEFC"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ED5C6CC" w14:textId="4127B715" w:rsidR="007B5D39" w:rsidRPr="00A554BE" w:rsidRDefault="007B5D39" w:rsidP="007B5D39">
            <w:pPr>
              <w:spacing w:after="0" w:line="276" w:lineRule="auto"/>
              <w:jc w:val="center"/>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3</w:t>
            </w:r>
            <w:r w:rsidR="0037217C">
              <w:rPr>
                <w:rFonts w:ascii="Book Antiqua" w:eastAsia="Times New Roman" w:hAnsi="Book Antiqua" w:cs="Arial"/>
                <w:b/>
                <w:bCs/>
                <w:color w:val="44546A"/>
                <w:lang w:eastAsia="es-CR"/>
              </w:rPr>
              <w:t>9</w:t>
            </w:r>
          </w:p>
        </w:tc>
        <w:tc>
          <w:tcPr>
            <w:tcW w:w="946" w:type="pct"/>
            <w:shd w:val="clear" w:color="auto" w:fill="FFFFFF"/>
            <w:vAlign w:val="center"/>
          </w:tcPr>
          <w:p w14:paraId="7A38645C" w14:textId="5E1FBB8A" w:rsidR="007B5D39" w:rsidRPr="00A554BE" w:rsidRDefault="0037217C" w:rsidP="001D0C10">
            <w:pPr>
              <w:spacing w:after="0" w:line="276" w:lineRule="auto"/>
              <w:jc w:val="both"/>
              <w:rPr>
                <w:rFonts w:ascii="Book Antiqua" w:eastAsia="Times New Roman" w:hAnsi="Book Antiqua" w:cs="Arial"/>
                <w:b/>
                <w:bCs/>
                <w:color w:val="44546A"/>
                <w:lang w:eastAsia="es-CR"/>
              </w:rPr>
            </w:pPr>
            <w:r w:rsidRPr="0037217C">
              <w:rPr>
                <w:rFonts w:ascii="Book Antiqua" w:eastAsia="Times New Roman" w:hAnsi="Book Antiqua" w:cs="Arial"/>
                <w:b/>
                <w:bCs/>
                <w:color w:val="44546A"/>
                <w:lang w:eastAsia="es-CR"/>
              </w:rPr>
              <w:t>Plazo de espera de resolución más antigua pendiente de firma</w:t>
            </w:r>
          </w:p>
        </w:tc>
        <w:tc>
          <w:tcPr>
            <w:tcW w:w="2795" w:type="pct"/>
            <w:shd w:val="clear" w:color="auto" w:fill="auto"/>
            <w:vAlign w:val="center"/>
          </w:tcPr>
          <w:p w14:paraId="606F1EF9"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Se calcula: </w:t>
            </w:r>
            <w:r w:rsidRPr="00A554BE">
              <w:rPr>
                <w:rFonts w:ascii="Book Antiqua" w:eastAsia="Times New Roman" w:hAnsi="Book Antiqua" w:cs="Arial"/>
                <w:i/>
                <w:iCs/>
                <w:lang w:eastAsia="es-CR"/>
              </w:rPr>
              <w:t>(Fecha actual- fecha de pase a firma más antigua del documento pendiente de firma en la tarea para firmar).</w:t>
            </w:r>
          </w:p>
          <w:p w14:paraId="2204128C" w14:textId="77777777" w:rsidR="007B5D39" w:rsidRPr="00A554BE" w:rsidRDefault="007B5D39" w:rsidP="007B5D39">
            <w:pPr>
              <w:spacing w:after="0" w:line="276" w:lineRule="auto"/>
              <w:jc w:val="both"/>
              <w:rPr>
                <w:rFonts w:ascii="Book Antiqua" w:eastAsia="Times New Roman" w:hAnsi="Book Antiqua" w:cs="Arial"/>
                <w:lang w:eastAsia="es-CR"/>
              </w:rPr>
            </w:pPr>
          </w:p>
          <w:p w14:paraId="11484168"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se obtiene con el resultado de la fecha actual menos la fecha del pase a firma más antigua del documento pendiente de firma</w:t>
            </w:r>
          </w:p>
          <w:p w14:paraId="1C01DD45" w14:textId="77777777" w:rsidR="007B5D39" w:rsidRPr="00A554BE" w:rsidRDefault="007B5D39" w:rsidP="007B5D39">
            <w:pPr>
              <w:spacing w:after="0" w:line="276" w:lineRule="auto"/>
              <w:jc w:val="both"/>
              <w:rPr>
                <w:rFonts w:ascii="Book Antiqua" w:eastAsia="Times New Roman" w:hAnsi="Book Antiqua" w:cs="Arial"/>
                <w:lang w:eastAsia="es-CR"/>
              </w:rPr>
            </w:pPr>
          </w:p>
        </w:tc>
      </w:tr>
      <w:tr w:rsidR="007B5D39" w:rsidRPr="00A554BE" w14:paraId="44EAA345" w14:textId="77777777" w:rsidTr="001D0C10">
        <w:trPr>
          <w:cantSplit/>
          <w:trHeight w:val="20"/>
          <w:jc w:val="center"/>
        </w:trPr>
        <w:tc>
          <w:tcPr>
            <w:tcW w:w="760" w:type="pct"/>
            <w:vMerge w:val="restart"/>
            <w:shd w:val="clear" w:color="auto" w:fill="FFFFFF"/>
            <w:textDirection w:val="btLr"/>
          </w:tcPr>
          <w:p w14:paraId="1E8D6DD1" w14:textId="77777777" w:rsidR="007B5D39" w:rsidRPr="00A554BE" w:rsidRDefault="007B5D39" w:rsidP="007B5D39">
            <w:pPr>
              <w:spacing w:after="0" w:line="276" w:lineRule="auto"/>
              <w:ind w:left="113" w:right="113"/>
              <w:jc w:val="center"/>
              <w:rPr>
                <w:rFonts w:ascii="Book Antiqua" w:eastAsia="Times New Roman" w:hAnsi="Book Antiqua" w:cs="Arial"/>
                <w:b/>
                <w:bCs/>
                <w:color w:val="44546A"/>
                <w:lang w:eastAsia="es-CR"/>
              </w:rPr>
            </w:pPr>
            <w:r w:rsidRPr="00A554BE">
              <w:rPr>
                <w:rFonts w:ascii="Book Antiqua" w:eastAsia="Times New Roman" w:hAnsi="Book Antiqua" w:cs="Arial"/>
                <w:b/>
                <w:bCs/>
                <w:lang w:eastAsia="es-CR"/>
              </w:rPr>
              <w:t>Operacional</w:t>
            </w:r>
          </w:p>
        </w:tc>
        <w:tc>
          <w:tcPr>
            <w:tcW w:w="499" w:type="pct"/>
            <w:shd w:val="clear" w:color="auto" w:fill="FFFFFF"/>
            <w:vAlign w:val="center"/>
          </w:tcPr>
          <w:p w14:paraId="32BAB28F" w14:textId="2174DF2D" w:rsidR="007B5D39" w:rsidRPr="00A554BE" w:rsidRDefault="0037217C"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40</w:t>
            </w:r>
          </w:p>
        </w:tc>
        <w:tc>
          <w:tcPr>
            <w:tcW w:w="946" w:type="pct"/>
            <w:shd w:val="clear" w:color="auto" w:fill="FFFFFF"/>
            <w:vAlign w:val="center"/>
          </w:tcPr>
          <w:p w14:paraId="3F60E44D"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expedientes pasados a firmar por Técnico o Técnica</w:t>
            </w:r>
          </w:p>
        </w:tc>
        <w:tc>
          <w:tcPr>
            <w:tcW w:w="2795" w:type="pct"/>
            <w:shd w:val="clear" w:color="auto" w:fill="auto"/>
            <w:vAlign w:val="center"/>
          </w:tcPr>
          <w:p w14:paraId="03233B56"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 la cantidad de Expedientes pasados a firmar por cada persona juzgadora.</w:t>
            </w:r>
          </w:p>
          <w:p w14:paraId="79A81227"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Se obtiene del Escritorio Virtual, cantidad de Expedientes pasados a firmar a la persona juzgadora por persona técnica judicial, Estadística, Firmado/Proveído.</w:t>
            </w:r>
          </w:p>
          <w:p w14:paraId="3FCD600D"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obtiene de cada despacho tomando en cuenta la cuota de proveído definida para cada persona técnica judicial.</w:t>
            </w:r>
          </w:p>
        </w:tc>
      </w:tr>
      <w:tr w:rsidR="007B5D39" w:rsidRPr="00A554BE" w14:paraId="37F577CF" w14:textId="77777777" w:rsidTr="001D0C10">
        <w:trPr>
          <w:cantSplit/>
          <w:trHeight w:val="20"/>
          <w:jc w:val="center"/>
        </w:trPr>
        <w:tc>
          <w:tcPr>
            <w:tcW w:w="760" w:type="pct"/>
            <w:vMerge/>
            <w:shd w:val="clear" w:color="auto" w:fill="FFFFFF"/>
          </w:tcPr>
          <w:p w14:paraId="78867205"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8D10F7E" w14:textId="2118B6A6"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41</w:t>
            </w:r>
          </w:p>
        </w:tc>
        <w:tc>
          <w:tcPr>
            <w:tcW w:w="946" w:type="pct"/>
            <w:shd w:val="clear" w:color="auto" w:fill="FFFFFF"/>
            <w:vAlign w:val="center"/>
          </w:tcPr>
          <w:p w14:paraId="674C4158"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giros aprobados</w:t>
            </w:r>
          </w:p>
        </w:tc>
        <w:tc>
          <w:tcPr>
            <w:tcW w:w="2795" w:type="pct"/>
            <w:shd w:val="clear" w:color="auto" w:fill="auto"/>
            <w:vAlign w:val="center"/>
          </w:tcPr>
          <w:p w14:paraId="7373AE5F"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Este dato se obtiene del Sistema de Depósitos Judiciales. </w:t>
            </w:r>
          </w:p>
        </w:tc>
      </w:tr>
      <w:tr w:rsidR="007B5D39" w:rsidRPr="00A554BE" w14:paraId="1D05094D" w14:textId="77777777" w:rsidTr="001D0C10">
        <w:trPr>
          <w:cantSplit/>
          <w:trHeight w:val="20"/>
          <w:jc w:val="center"/>
        </w:trPr>
        <w:tc>
          <w:tcPr>
            <w:tcW w:w="760" w:type="pct"/>
            <w:vMerge/>
            <w:shd w:val="clear" w:color="auto" w:fill="FFFFFF"/>
          </w:tcPr>
          <w:p w14:paraId="5F021F6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F7CB9FE" w14:textId="45281FD5"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42</w:t>
            </w:r>
          </w:p>
        </w:tc>
        <w:tc>
          <w:tcPr>
            <w:tcW w:w="946" w:type="pct"/>
            <w:shd w:val="clear" w:color="auto" w:fill="FFFFFF"/>
            <w:vAlign w:val="center"/>
          </w:tcPr>
          <w:p w14:paraId="1EF828DB"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apremios resueltos por persona técnica</w:t>
            </w:r>
          </w:p>
        </w:tc>
        <w:tc>
          <w:tcPr>
            <w:tcW w:w="2795" w:type="pct"/>
            <w:shd w:val="clear" w:color="auto" w:fill="auto"/>
            <w:vAlign w:val="center"/>
          </w:tcPr>
          <w:p w14:paraId="31441C79"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Este dato se obtiene del Escritorio Virtual. </w:t>
            </w:r>
          </w:p>
        </w:tc>
      </w:tr>
      <w:tr w:rsidR="00D949A5" w:rsidRPr="00A554BE" w14:paraId="11123443" w14:textId="77777777" w:rsidTr="001D0C10">
        <w:trPr>
          <w:cantSplit/>
          <w:trHeight w:val="20"/>
          <w:jc w:val="center"/>
        </w:trPr>
        <w:tc>
          <w:tcPr>
            <w:tcW w:w="760" w:type="pct"/>
            <w:vMerge/>
            <w:shd w:val="clear" w:color="auto" w:fill="FFFFFF"/>
          </w:tcPr>
          <w:p w14:paraId="2EF62ECB" w14:textId="77777777" w:rsidR="00D949A5" w:rsidRPr="00A554BE" w:rsidRDefault="00D949A5"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356DE961" w14:textId="75D56479" w:rsidR="00D949A5"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43</w:t>
            </w:r>
          </w:p>
        </w:tc>
        <w:tc>
          <w:tcPr>
            <w:tcW w:w="946" w:type="pct"/>
            <w:shd w:val="clear" w:color="auto" w:fill="FFFFFF"/>
            <w:vAlign w:val="center"/>
          </w:tcPr>
          <w:p w14:paraId="549EFA97" w14:textId="5F87BC8D" w:rsidR="00D949A5" w:rsidRPr="00A554BE"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Cantidad de expedientes nuevos sin señalamiento a audiencia temprana</w:t>
            </w:r>
          </w:p>
        </w:tc>
        <w:tc>
          <w:tcPr>
            <w:tcW w:w="2795" w:type="pct"/>
            <w:shd w:val="clear" w:color="auto" w:fill="auto"/>
            <w:vAlign w:val="center"/>
          </w:tcPr>
          <w:p w14:paraId="72005037" w14:textId="4C3FF54A" w:rsidR="00D949A5" w:rsidRPr="00A554BE" w:rsidRDefault="00D949A5" w:rsidP="007B5D39">
            <w:pPr>
              <w:spacing w:after="0" w:line="276" w:lineRule="auto"/>
              <w:jc w:val="both"/>
              <w:rPr>
                <w:rFonts w:ascii="Book Antiqua" w:eastAsia="Times New Roman" w:hAnsi="Book Antiqua" w:cs="Arial"/>
                <w:lang w:eastAsia="es-CR"/>
              </w:rPr>
            </w:pPr>
            <w:r w:rsidRPr="00D949A5">
              <w:rPr>
                <w:rFonts w:ascii="Book Antiqua" w:eastAsia="Times New Roman" w:hAnsi="Book Antiqua" w:cs="Arial"/>
                <w:lang w:eastAsia="es-CR"/>
              </w:rPr>
              <w:t>Dato se toma del escritorio virtual, carpeta del técnico de demandas nuevas, demandas nuevas pendientes de resolver.</w:t>
            </w:r>
          </w:p>
        </w:tc>
      </w:tr>
      <w:tr w:rsidR="007B5D39" w:rsidRPr="00A554BE" w14:paraId="426F3DF1" w14:textId="77777777" w:rsidTr="001D0C10">
        <w:trPr>
          <w:cantSplit/>
          <w:trHeight w:val="20"/>
          <w:jc w:val="center"/>
        </w:trPr>
        <w:tc>
          <w:tcPr>
            <w:tcW w:w="760" w:type="pct"/>
            <w:vMerge/>
            <w:shd w:val="clear" w:color="auto" w:fill="FFFFFF"/>
          </w:tcPr>
          <w:p w14:paraId="6542A36A"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8840E8C" w14:textId="6128C820"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44</w:t>
            </w:r>
          </w:p>
        </w:tc>
        <w:tc>
          <w:tcPr>
            <w:tcW w:w="946" w:type="pct"/>
            <w:shd w:val="clear" w:color="auto" w:fill="FFFFFF"/>
            <w:vAlign w:val="center"/>
          </w:tcPr>
          <w:p w14:paraId="0D2EE010" w14:textId="3E5A5CD1"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Cantidad de demandas nuevas pasadas a firmar por </w:t>
            </w:r>
            <w:r w:rsidR="00D949A5">
              <w:rPr>
                <w:rFonts w:ascii="Book Antiqua" w:eastAsia="Times New Roman" w:hAnsi="Book Antiqua" w:cs="Arial"/>
                <w:b/>
                <w:bCs/>
                <w:color w:val="44546A"/>
                <w:lang w:eastAsia="es-CR"/>
              </w:rPr>
              <w:t>el técnico o</w:t>
            </w:r>
            <w:r w:rsidRPr="00A554BE">
              <w:rPr>
                <w:rFonts w:ascii="Book Antiqua" w:eastAsia="Times New Roman" w:hAnsi="Book Antiqua" w:cs="Arial"/>
                <w:b/>
                <w:bCs/>
                <w:color w:val="44546A"/>
                <w:lang w:eastAsia="es-CR"/>
              </w:rPr>
              <w:t xml:space="preserve"> técnica</w:t>
            </w:r>
          </w:p>
        </w:tc>
        <w:tc>
          <w:tcPr>
            <w:tcW w:w="2795" w:type="pct"/>
            <w:shd w:val="clear" w:color="auto" w:fill="auto"/>
            <w:vAlign w:val="center"/>
          </w:tcPr>
          <w:p w14:paraId="5A567910"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Este indicador es específico del técnico de audiencias tempranas. </w:t>
            </w:r>
          </w:p>
        </w:tc>
      </w:tr>
      <w:tr w:rsidR="007B5D39" w:rsidRPr="00A554BE" w14:paraId="5E761861" w14:textId="77777777" w:rsidTr="001D0C10">
        <w:trPr>
          <w:cantSplit/>
          <w:trHeight w:val="20"/>
          <w:jc w:val="center"/>
        </w:trPr>
        <w:tc>
          <w:tcPr>
            <w:tcW w:w="760" w:type="pct"/>
            <w:vMerge/>
            <w:shd w:val="clear" w:color="auto" w:fill="FFFFFF"/>
          </w:tcPr>
          <w:p w14:paraId="40A82C4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EB87971" w14:textId="5411F2EE"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w:t>
            </w:r>
            <w:r w:rsidR="007B5D39" w:rsidRPr="00A554BE">
              <w:rPr>
                <w:rFonts w:ascii="Book Antiqua" w:eastAsia="Times New Roman" w:hAnsi="Book Antiqua" w:cs="Arial"/>
                <w:b/>
                <w:bCs/>
                <w:color w:val="44546A"/>
                <w:lang w:eastAsia="es-CR"/>
              </w:rPr>
              <w:t>5</w:t>
            </w:r>
          </w:p>
        </w:tc>
        <w:tc>
          <w:tcPr>
            <w:tcW w:w="946" w:type="pct"/>
            <w:shd w:val="clear" w:color="auto" w:fill="FFFFFF"/>
            <w:vAlign w:val="center"/>
          </w:tcPr>
          <w:p w14:paraId="56179401"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Porcentaje de rendimiento por persona técnica judicial</w:t>
            </w:r>
          </w:p>
        </w:tc>
        <w:tc>
          <w:tcPr>
            <w:tcW w:w="2795" w:type="pct"/>
            <w:shd w:val="clear" w:color="auto" w:fill="auto"/>
            <w:vAlign w:val="center"/>
          </w:tcPr>
          <w:p w14:paraId="6195CDCB"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Se calcula: </w:t>
            </w:r>
            <w:r w:rsidRPr="00A554BE">
              <w:rPr>
                <w:rFonts w:ascii="Book Antiqua" w:eastAsia="Times New Roman" w:hAnsi="Book Antiqua" w:cs="Arial"/>
                <w:i/>
                <w:iCs/>
                <w:lang w:eastAsia="es-CR"/>
              </w:rPr>
              <w:t>(Cantidad de expedientes pasados a firmar / Cantidad de resoluciones a realizar según cuota de trabajo)</w:t>
            </w:r>
          </w:p>
          <w:p w14:paraId="4B04C002"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Se toma en cuenta los días laborados por cada una de las personas técnicas judiciales en el mes, según la cuota de trabajo diaria.</w:t>
            </w:r>
          </w:p>
          <w:p w14:paraId="1046EFB6"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Incluida la persona técnica cajera (</w:t>
            </w:r>
            <w:r w:rsidRPr="00A554BE">
              <w:rPr>
                <w:rFonts w:ascii="Book Antiqua" w:eastAsia="Times New Roman" w:hAnsi="Book Antiqua" w:cs="Arial"/>
                <w:i/>
                <w:iCs/>
                <w:lang w:eastAsia="es-CR"/>
              </w:rPr>
              <w:t>Cantidad de giros a realizar / Cantidad de giros aprobados</w:t>
            </w:r>
            <w:r w:rsidRPr="00A554BE">
              <w:rPr>
                <w:rFonts w:ascii="Book Antiqua" w:eastAsia="Times New Roman" w:hAnsi="Book Antiqua" w:cs="Arial"/>
                <w:lang w:eastAsia="es-CR"/>
              </w:rPr>
              <w:t>)</w:t>
            </w:r>
          </w:p>
          <w:p w14:paraId="0C66CA9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90 a 100%</w:t>
            </w:r>
          </w:p>
        </w:tc>
      </w:tr>
      <w:tr w:rsidR="007B5D39" w:rsidRPr="00A554BE" w14:paraId="5426F127" w14:textId="77777777" w:rsidTr="001D0C10">
        <w:trPr>
          <w:cantSplit/>
          <w:trHeight w:val="20"/>
          <w:jc w:val="center"/>
        </w:trPr>
        <w:tc>
          <w:tcPr>
            <w:tcW w:w="760" w:type="pct"/>
            <w:vMerge/>
            <w:shd w:val="clear" w:color="auto" w:fill="FFFFFF"/>
          </w:tcPr>
          <w:p w14:paraId="73923D2B"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C418518" w14:textId="76A711D9"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w:t>
            </w:r>
            <w:r w:rsidR="007B5D39" w:rsidRPr="00A554BE">
              <w:rPr>
                <w:rFonts w:ascii="Book Antiqua" w:eastAsia="Times New Roman" w:hAnsi="Book Antiqua" w:cs="Arial"/>
                <w:b/>
                <w:bCs/>
                <w:color w:val="44546A"/>
                <w:lang w:eastAsia="es-CR"/>
              </w:rPr>
              <w:t>6</w:t>
            </w:r>
          </w:p>
        </w:tc>
        <w:tc>
          <w:tcPr>
            <w:tcW w:w="946" w:type="pct"/>
            <w:shd w:val="clear" w:color="auto" w:fill="FFFFFF"/>
            <w:vAlign w:val="center"/>
          </w:tcPr>
          <w:p w14:paraId="089BC7E8" w14:textId="6717E013" w:rsidR="007B5D39" w:rsidRPr="00A554BE"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Porcentaje de rendimiento por Técnico o Técnica de apremio</w:t>
            </w:r>
          </w:p>
        </w:tc>
        <w:tc>
          <w:tcPr>
            <w:tcW w:w="2795" w:type="pct"/>
            <w:shd w:val="clear" w:color="auto" w:fill="auto"/>
            <w:vAlign w:val="center"/>
          </w:tcPr>
          <w:p w14:paraId="5B50CF1E"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Se calcula: </w:t>
            </w:r>
            <w:r w:rsidRPr="00A554BE">
              <w:rPr>
                <w:rFonts w:ascii="Book Antiqua" w:eastAsia="Times New Roman" w:hAnsi="Book Antiqua" w:cs="Arial"/>
                <w:i/>
                <w:iCs/>
                <w:lang w:eastAsia="es-CR"/>
              </w:rPr>
              <w:t>(Cantidad de apremios resueltos / Cantidad de apremios a realizar)</w:t>
            </w:r>
          </w:p>
          <w:p w14:paraId="4626A8CF"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El parámetro está definido en 95% a 100% </w:t>
            </w:r>
          </w:p>
        </w:tc>
      </w:tr>
      <w:tr w:rsidR="007B5D39" w:rsidRPr="00A554BE" w14:paraId="677B2413" w14:textId="77777777" w:rsidTr="001D0C10">
        <w:trPr>
          <w:cantSplit/>
          <w:trHeight w:val="20"/>
          <w:jc w:val="center"/>
        </w:trPr>
        <w:tc>
          <w:tcPr>
            <w:tcW w:w="760" w:type="pct"/>
            <w:vMerge/>
            <w:shd w:val="clear" w:color="auto" w:fill="FFFFFF"/>
          </w:tcPr>
          <w:p w14:paraId="74FE4AD8"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A8A2CF7" w14:textId="69E6EDD8"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w:t>
            </w:r>
            <w:r w:rsidR="007B5D39" w:rsidRPr="00A554BE">
              <w:rPr>
                <w:rFonts w:ascii="Book Antiqua" w:eastAsia="Times New Roman" w:hAnsi="Book Antiqua" w:cs="Arial"/>
                <w:b/>
                <w:bCs/>
                <w:color w:val="44546A"/>
                <w:lang w:eastAsia="es-CR"/>
              </w:rPr>
              <w:t>7</w:t>
            </w:r>
          </w:p>
        </w:tc>
        <w:tc>
          <w:tcPr>
            <w:tcW w:w="946" w:type="pct"/>
            <w:shd w:val="clear" w:color="auto" w:fill="FFFFFF"/>
            <w:vAlign w:val="center"/>
          </w:tcPr>
          <w:p w14:paraId="01EBDA2C" w14:textId="4AD1091A" w:rsidR="007B5D39" w:rsidRPr="00A554BE"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Porcentaje de rendimiento por técnico o técnica de audiencias tempranas o previas</w:t>
            </w:r>
          </w:p>
        </w:tc>
        <w:tc>
          <w:tcPr>
            <w:tcW w:w="2795" w:type="pct"/>
            <w:shd w:val="clear" w:color="auto" w:fill="auto"/>
            <w:vAlign w:val="center"/>
          </w:tcPr>
          <w:p w14:paraId="501D86AD" w14:textId="77777777" w:rsidR="007B5D39" w:rsidRPr="00A554BE" w:rsidRDefault="007B5D39" w:rsidP="007B5D39">
            <w:pPr>
              <w:spacing w:after="0" w:line="276" w:lineRule="auto"/>
              <w:jc w:val="both"/>
              <w:rPr>
                <w:rFonts w:ascii="Book Antiqua" w:eastAsia="Times New Roman" w:hAnsi="Book Antiqua" w:cs="Arial"/>
                <w:i/>
                <w:iCs/>
                <w:lang w:eastAsia="es-CR"/>
              </w:rPr>
            </w:pPr>
            <w:r w:rsidRPr="00A554BE">
              <w:rPr>
                <w:rFonts w:ascii="Book Antiqua" w:eastAsia="Times New Roman" w:hAnsi="Book Antiqua" w:cs="Arial"/>
                <w:lang w:eastAsia="es-CR"/>
              </w:rPr>
              <w:t xml:space="preserve">Se calcula: </w:t>
            </w:r>
            <w:r w:rsidRPr="00A554BE">
              <w:rPr>
                <w:rFonts w:ascii="Book Antiqua" w:eastAsia="Times New Roman" w:hAnsi="Book Antiqua" w:cs="Arial"/>
                <w:i/>
                <w:iCs/>
                <w:lang w:eastAsia="es-CR"/>
              </w:rPr>
              <w:t>(Cantidad de demandas nuevas pasadas a firmar / Cantidad de demandas a realizar)</w:t>
            </w:r>
          </w:p>
          <w:p w14:paraId="17C479A3"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90% a 100%</w:t>
            </w:r>
          </w:p>
        </w:tc>
      </w:tr>
      <w:tr w:rsidR="00D949A5" w:rsidRPr="00A554BE" w14:paraId="56D6EE95" w14:textId="77777777" w:rsidTr="001D0C10">
        <w:trPr>
          <w:cantSplit/>
          <w:trHeight w:val="20"/>
          <w:jc w:val="center"/>
        </w:trPr>
        <w:tc>
          <w:tcPr>
            <w:tcW w:w="760" w:type="pct"/>
            <w:vMerge/>
            <w:shd w:val="clear" w:color="auto" w:fill="FFFFFF"/>
          </w:tcPr>
          <w:p w14:paraId="526C4637" w14:textId="77777777" w:rsidR="00D949A5" w:rsidRPr="00A554BE" w:rsidRDefault="00D949A5"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1ECE99AE" w14:textId="21F82669" w:rsidR="00D949A5"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48</w:t>
            </w:r>
          </w:p>
        </w:tc>
        <w:tc>
          <w:tcPr>
            <w:tcW w:w="946" w:type="pct"/>
            <w:shd w:val="clear" w:color="auto" w:fill="FFFFFF"/>
            <w:vAlign w:val="center"/>
          </w:tcPr>
          <w:p w14:paraId="76EA58B0" w14:textId="4BCE83BB" w:rsidR="00D949A5" w:rsidRPr="00D949A5"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Cantidad de audiencias tempranas pendientes por realizar</w:t>
            </w:r>
          </w:p>
        </w:tc>
        <w:tc>
          <w:tcPr>
            <w:tcW w:w="2795" w:type="pct"/>
            <w:shd w:val="clear" w:color="auto" w:fill="auto"/>
            <w:vAlign w:val="center"/>
          </w:tcPr>
          <w:p w14:paraId="175945C9" w14:textId="6C922153" w:rsidR="00D949A5" w:rsidRPr="00A554BE" w:rsidRDefault="00D949A5" w:rsidP="007B5D3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Se calcula: (A</w:t>
            </w:r>
            <w:r w:rsidRPr="00D949A5">
              <w:rPr>
                <w:rFonts w:ascii="Book Antiqua" w:eastAsia="Times New Roman" w:hAnsi="Book Antiqua" w:cs="Arial"/>
                <w:i/>
                <w:iCs/>
                <w:lang w:eastAsia="es-CR"/>
              </w:rPr>
              <w:t>udiencias tempranas totales señaladas-las audiencias tempranas realizadas</w:t>
            </w:r>
            <w:r w:rsidRPr="00D949A5">
              <w:rPr>
                <w:rFonts w:ascii="Book Antiqua" w:eastAsia="Times New Roman" w:hAnsi="Book Antiqua" w:cs="Arial"/>
                <w:lang w:eastAsia="es-CR"/>
              </w:rPr>
              <w:t>)</w:t>
            </w:r>
          </w:p>
        </w:tc>
      </w:tr>
      <w:tr w:rsidR="00D949A5" w:rsidRPr="00A554BE" w14:paraId="6CE8FA41" w14:textId="77777777" w:rsidTr="001D0C10">
        <w:trPr>
          <w:cantSplit/>
          <w:trHeight w:val="20"/>
          <w:jc w:val="center"/>
        </w:trPr>
        <w:tc>
          <w:tcPr>
            <w:tcW w:w="760" w:type="pct"/>
            <w:vMerge/>
            <w:shd w:val="clear" w:color="auto" w:fill="FFFFFF"/>
          </w:tcPr>
          <w:p w14:paraId="18580097" w14:textId="77777777" w:rsidR="00D949A5" w:rsidRPr="00A554BE" w:rsidRDefault="00D949A5"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31B69C4" w14:textId="570D2F5F" w:rsidR="00D949A5"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49</w:t>
            </w:r>
          </w:p>
        </w:tc>
        <w:tc>
          <w:tcPr>
            <w:tcW w:w="946" w:type="pct"/>
            <w:shd w:val="clear" w:color="auto" w:fill="FFFFFF"/>
            <w:vAlign w:val="center"/>
          </w:tcPr>
          <w:p w14:paraId="4DB52D90" w14:textId="185A7C57" w:rsidR="00D949A5" w:rsidRPr="00D949A5"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Cantidad de audiencias recepción de pruebas pendientes por realizar (general)</w:t>
            </w:r>
          </w:p>
        </w:tc>
        <w:tc>
          <w:tcPr>
            <w:tcW w:w="2795" w:type="pct"/>
            <w:shd w:val="clear" w:color="auto" w:fill="auto"/>
            <w:vAlign w:val="center"/>
          </w:tcPr>
          <w:p w14:paraId="3AA1D158" w14:textId="212D2C1B" w:rsidR="00D949A5" w:rsidRDefault="00D949A5" w:rsidP="007B5D3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Se calcula: </w:t>
            </w:r>
            <w:r w:rsidRPr="00D949A5">
              <w:rPr>
                <w:rFonts w:ascii="Book Antiqua" w:eastAsia="Times New Roman" w:hAnsi="Book Antiqua" w:cs="Arial"/>
                <w:lang w:eastAsia="es-CR"/>
              </w:rPr>
              <w:t>(</w:t>
            </w:r>
            <w:r w:rsidRPr="00D949A5">
              <w:rPr>
                <w:rFonts w:ascii="Book Antiqua" w:eastAsia="Times New Roman" w:hAnsi="Book Antiqua" w:cs="Arial"/>
                <w:i/>
                <w:iCs/>
                <w:lang w:eastAsia="es-CR"/>
              </w:rPr>
              <w:t>audiencias totales señaladas-las audiencias realizadas)</w:t>
            </w:r>
          </w:p>
        </w:tc>
      </w:tr>
      <w:tr w:rsidR="007B5D39" w:rsidRPr="00A554BE" w14:paraId="6C496463" w14:textId="77777777" w:rsidTr="001D0C10">
        <w:trPr>
          <w:cantSplit/>
          <w:trHeight w:val="20"/>
          <w:jc w:val="center"/>
        </w:trPr>
        <w:tc>
          <w:tcPr>
            <w:tcW w:w="760" w:type="pct"/>
            <w:vMerge/>
            <w:shd w:val="clear" w:color="auto" w:fill="FFFFFF"/>
          </w:tcPr>
          <w:p w14:paraId="7A23E024"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D5AACDA" w14:textId="753373B4"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50</w:t>
            </w:r>
          </w:p>
        </w:tc>
        <w:tc>
          <w:tcPr>
            <w:tcW w:w="946" w:type="pct"/>
            <w:shd w:val="clear" w:color="auto" w:fill="FFFFFF"/>
            <w:vAlign w:val="center"/>
          </w:tcPr>
          <w:p w14:paraId="2AA61711" w14:textId="77777777"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Cantidad de expedientes pendientes de fallo</w:t>
            </w:r>
          </w:p>
        </w:tc>
        <w:tc>
          <w:tcPr>
            <w:tcW w:w="2795" w:type="pct"/>
            <w:shd w:val="clear" w:color="auto" w:fill="auto"/>
            <w:vAlign w:val="center"/>
          </w:tcPr>
          <w:p w14:paraId="40CFA1EB"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se obtiene del Módulo de pase a fallo del Escritorio Virtual o Libro de Pase a Fallo.</w:t>
            </w:r>
          </w:p>
          <w:p w14:paraId="78839DCB"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corresponde a la cantidad que debe resolver en un mes una persona juzgadora.</w:t>
            </w:r>
          </w:p>
        </w:tc>
      </w:tr>
      <w:tr w:rsidR="007B5D39" w:rsidRPr="00A554BE" w14:paraId="3D953D8D" w14:textId="77777777" w:rsidTr="001D0C10">
        <w:trPr>
          <w:cantSplit/>
          <w:trHeight w:val="20"/>
          <w:jc w:val="center"/>
        </w:trPr>
        <w:tc>
          <w:tcPr>
            <w:tcW w:w="760" w:type="pct"/>
            <w:vMerge/>
            <w:shd w:val="clear" w:color="auto" w:fill="FFFFFF"/>
          </w:tcPr>
          <w:p w14:paraId="569D1CA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4621CA5" w14:textId="2A818A9F"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51</w:t>
            </w:r>
          </w:p>
        </w:tc>
        <w:tc>
          <w:tcPr>
            <w:tcW w:w="946" w:type="pct"/>
            <w:shd w:val="clear" w:color="auto" w:fill="FFFFFF"/>
            <w:vAlign w:val="center"/>
          </w:tcPr>
          <w:p w14:paraId="22F1D330" w14:textId="7659326E"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Cantidad de sentencias dictadas por </w:t>
            </w:r>
            <w:r w:rsidR="00D949A5">
              <w:rPr>
                <w:rFonts w:ascii="Book Antiqua" w:eastAsia="Times New Roman" w:hAnsi="Book Antiqua" w:cs="Arial"/>
                <w:b/>
                <w:bCs/>
                <w:color w:val="44546A"/>
                <w:lang w:eastAsia="es-CR"/>
              </w:rPr>
              <w:t>juez o jueza</w:t>
            </w:r>
          </w:p>
        </w:tc>
        <w:tc>
          <w:tcPr>
            <w:tcW w:w="2795" w:type="pct"/>
            <w:shd w:val="clear" w:color="auto" w:fill="auto"/>
            <w:vAlign w:val="center"/>
          </w:tcPr>
          <w:p w14:paraId="323FABD5"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Contabiliza la cantidad global de sentencias dictadas por cada persona juzgadora, según la división del tipo: </w:t>
            </w:r>
            <w:r w:rsidRPr="00A554BE">
              <w:rPr>
                <w:rFonts w:ascii="Book Antiqua" w:eastAsia="Times New Roman" w:hAnsi="Book Antiqua" w:cs="Arial"/>
                <w:i/>
                <w:iCs/>
                <w:lang w:eastAsia="es-CR"/>
              </w:rPr>
              <w:t>Sentencias Principal, procesos de modificación, incidente de restitución de cuotas, conciliación.</w:t>
            </w:r>
          </w:p>
          <w:p w14:paraId="4FAFEA96"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se obtiene Módulo de pase a fallo del Escritorio Virtual o Libro de Pase a Fallo.</w:t>
            </w:r>
          </w:p>
          <w:p w14:paraId="2AC75F06"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define luego de la aprobación de la cuota de trabajo para el terminado por cada tipo.</w:t>
            </w:r>
          </w:p>
        </w:tc>
      </w:tr>
      <w:tr w:rsidR="007B5D39" w:rsidRPr="00A554BE" w14:paraId="5EE7C84C" w14:textId="77777777" w:rsidTr="001D0C10">
        <w:trPr>
          <w:cantSplit/>
          <w:trHeight w:val="20"/>
          <w:jc w:val="center"/>
        </w:trPr>
        <w:tc>
          <w:tcPr>
            <w:tcW w:w="760" w:type="pct"/>
            <w:vMerge/>
            <w:shd w:val="clear" w:color="auto" w:fill="FFFFFF"/>
          </w:tcPr>
          <w:p w14:paraId="216711EE"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A27AAC9" w14:textId="6B7993F4"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52</w:t>
            </w:r>
          </w:p>
        </w:tc>
        <w:tc>
          <w:tcPr>
            <w:tcW w:w="946" w:type="pct"/>
            <w:shd w:val="clear" w:color="auto" w:fill="FFFFFF"/>
            <w:vAlign w:val="center"/>
          </w:tcPr>
          <w:p w14:paraId="2ECF93E6" w14:textId="74329D99" w:rsidR="007B5D39" w:rsidRPr="00A554BE" w:rsidRDefault="00D949A5" w:rsidP="001D0C10">
            <w:pPr>
              <w:spacing w:after="0" w:line="276" w:lineRule="auto"/>
              <w:jc w:val="both"/>
              <w:rPr>
                <w:rFonts w:ascii="Book Antiqua" w:eastAsia="Times New Roman" w:hAnsi="Book Antiqua" w:cs="Arial"/>
                <w:b/>
                <w:bCs/>
                <w:color w:val="44546A"/>
                <w:lang w:eastAsia="es-CR"/>
              </w:rPr>
            </w:pPr>
            <w:r w:rsidRPr="00D949A5">
              <w:rPr>
                <w:rFonts w:ascii="Book Antiqua" w:eastAsia="Times New Roman" w:hAnsi="Book Antiqua" w:cs="Arial"/>
                <w:b/>
                <w:bCs/>
                <w:color w:val="44546A"/>
                <w:lang w:eastAsia="es-CR"/>
              </w:rPr>
              <w:t>Cantidad de resoluciones realizadas juez o jueza de conciliación</w:t>
            </w:r>
          </w:p>
        </w:tc>
        <w:tc>
          <w:tcPr>
            <w:tcW w:w="2795" w:type="pct"/>
            <w:shd w:val="clear" w:color="auto" w:fill="auto"/>
            <w:vAlign w:val="center"/>
          </w:tcPr>
          <w:p w14:paraId="6C699ED7"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Contabiliza la cantidad global de resoluciones dictadas por cada persona juzgadora de etapa de conciliación, según la división del tipo: </w:t>
            </w:r>
            <w:r w:rsidRPr="00A554BE">
              <w:rPr>
                <w:rFonts w:ascii="Book Antiqua" w:eastAsia="Times New Roman" w:hAnsi="Book Antiqua" w:cs="Arial"/>
                <w:i/>
                <w:iCs/>
                <w:lang w:eastAsia="es-CR"/>
              </w:rPr>
              <w:t>fijaciones provisionales, recursos de revocatoria, beneficios, sentencias en conciliación.</w:t>
            </w:r>
          </w:p>
          <w:p w14:paraId="2AFF9877"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se obtiene del Módulo de pase a fallo del Escritorio Virtual o Libro de Pase a Fallo.</w:t>
            </w:r>
          </w:p>
          <w:p w14:paraId="2A88D889"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define luego de la aprobación de la cuota de trabajo para el terminado por cada tipo.</w:t>
            </w:r>
          </w:p>
        </w:tc>
      </w:tr>
      <w:tr w:rsidR="007B5D39" w:rsidRPr="00A554BE" w14:paraId="4E8520E8" w14:textId="77777777" w:rsidTr="001D0C10">
        <w:trPr>
          <w:cantSplit/>
          <w:trHeight w:val="20"/>
          <w:jc w:val="center"/>
        </w:trPr>
        <w:tc>
          <w:tcPr>
            <w:tcW w:w="760" w:type="pct"/>
            <w:vMerge/>
            <w:shd w:val="clear" w:color="auto" w:fill="FFFFFF"/>
          </w:tcPr>
          <w:p w14:paraId="7CFC0537"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6B61079D" w14:textId="06D77F32"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53</w:t>
            </w:r>
          </w:p>
        </w:tc>
        <w:tc>
          <w:tcPr>
            <w:tcW w:w="946" w:type="pct"/>
            <w:shd w:val="clear" w:color="auto" w:fill="FFFFFF"/>
            <w:vAlign w:val="center"/>
          </w:tcPr>
          <w:p w14:paraId="046DFCF6" w14:textId="30F96B19"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Cantidad de resoluciones firmadas por </w:t>
            </w:r>
            <w:r w:rsidR="00D949A5">
              <w:rPr>
                <w:rFonts w:ascii="Book Antiqua" w:eastAsia="Times New Roman" w:hAnsi="Book Antiqua" w:cs="Arial"/>
                <w:b/>
                <w:bCs/>
                <w:color w:val="44546A"/>
                <w:lang w:eastAsia="es-CR"/>
              </w:rPr>
              <w:t>juez</w:t>
            </w:r>
          </w:p>
        </w:tc>
        <w:tc>
          <w:tcPr>
            <w:tcW w:w="2795" w:type="pct"/>
            <w:shd w:val="clear" w:color="auto" w:fill="auto"/>
            <w:vAlign w:val="center"/>
          </w:tcPr>
          <w:p w14:paraId="0A8E24A4"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 la cantidad de resoluciones firmadas por cada persona juzgadora.</w:t>
            </w:r>
          </w:p>
          <w:p w14:paraId="0A204EB2"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1477AF19"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7B5D39" w:rsidRPr="00A554BE" w14:paraId="0B6A5013" w14:textId="77777777" w:rsidTr="001D0C10">
        <w:trPr>
          <w:cantSplit/>
          <w:trHeight w:val="20"/>
          <w:jc w:val="center"/>
        </w:trPr>
        <w:tc>
          <w:tcPr>
            <w:tcW w:w="760" w:type="pct"/>
            <w:shd w:val="clear" w:color="auto" w:fill="FFFFFF"/>
          </w:tcPr>
          <w:p w14:paraId="644C416A" w14:textId="77777777" w:rsidR="007B5D39" w:rsidRPr="00A554BE" w:rsidRDefault="007B5D39"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C76773E" w14:textId="008EDDEB" w:rsidR="007B5D39" w:rsidRPr="00A554BE" w:rsidRDefault="00D949A5"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w:t>
            </w:r>
            <w:r w:rsidR="007B5D39" w:rsidRPr="00A554BE">
              <w:rPr>
                <w:rFonts w:ascii="Book Antiqua" w:eastAsia="Times New Roman" w:hAnsi="Book Antiqua" w:cs="Arial"/>
                <w:b/>
                <w:bCs/>
                <w:color w:val="44546A"/>
                <w:lang w:eastAsia="es-CR"/>
              </w:rPr>
              <w:t>4</w:t>
            </w:r>
          </w:p>
        </w:tc>
        <w:tc>
          <w:tcPr>
            <w:tcW w:w="946" w:type="pct"/>
            <w:shd w:val="clear" w:color="auto" w:fill="auto"/>
            <w:vAlign w:val="center"/>
          </w:tcPr>
          <w:p w14:paraId="47C96967" w14:textId="35018FD2" w:rsidR="007B5D39" w:rsidRPr="00A554BE" w:rsidRDefault="007B5D39" w:rsidP="001D0C10">
            <w:pPr>
              <w:spacing w:after="0" w:line="276" w:lineRule="auto"/>
              <w:jc w:val="both"/>
              <w:rPr>
                <w:rFonts w:ascii="Book Antiqua" w:eastAsia="Times New Roman" w:hAnsi="Book Antiqua" w:cs="Arial"/>
                <w:b/>
                <w:bCs/>
                <w:color w:val="44546A"/>
                <w:lang w:eastAsia="es-CR"/>
              </w:rPr>
            </w:pPr>
            <w:r w:rsidRPr="00A554BE">
              <w:rPr>
                <w:rFonts w:ascii="Book Antiqua" w:eastAsia="Times New Roman" w:hAnsi="Book Antiqua" w:cs="Arial"/>
                <w:b/>
                <w:bCs/>
                <w:color w:val="44546A"/>
                <w:lang w:eastAsia="es-CR"/>
              </w:rPr>
              <w:t xml:space="preserve">Porcentaje de rendimiento por </w:t>
            </w:r>
            <w:r w:rsidR="00D949A5">
              <w:rPr>
                <w:rFonts w:ascii="Book Antiqua" w:eastAsia="Times New Roman" w:hAnsi="Book Antiqua" w:cs="Arial"/>
                <w:b/>
                <w:bCs/>
                <w:color w:val="44546A"/>
                <w:lang w:eastAsia="es-CR"/>
              </w:rPr>
              <w:t>Juez o Jueza</w:t>
            </w:r>
          </w:p>
        </w:tc>
        <w:tc>
          <w:tcPr>
            <w:tcW w:w="2795" w:type="pct"/>
            <w:shd w:val="clear" w:color="auto" w:fill="auto"/>
            <w:vAlign w:val="center"/>
          </w:tcPr>
          <w:p w14:paraId="14DD7321"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 xml:space="preserve">Se calcula para cada persona juzgadora (fondo-conciliación y trámite): </w:t>
            </w:r>
            <w:r w:rsidRPr="00A554BE">
              <w:rPr>
                <w:rFonts w:ascii="Book Antiqua" w:eastAsia="Times New Roman" w:hAnsi="Book Antiqua" w:cs="Arial"/>
                <w:i/>
                <w:iCs/>
                <w:lang w:eastAsia="es-CR"/>
              </w:rPr>
              <w:t>(cuota realizada / cuota establecida)</w:t>
            </w:r>
            <w:r w:rsidRPr="00A554BE">
              <w:rPr>
                <w:rFonts w:ascii="Book Antiqua" w:eastAsia="Times New Roman" w:hAnsi="Book Antiqua" w:cs="Arial"/>
                <w:lang w:eastAsia="es-CR"/>
              </w:rPr>
              <w:t xml:space="preserve">. </w:t>
            </w:r>
          </w:p>
          <w:p w14:paraId="0E96833F" w14:textId="054E2DAE"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Se toma en cuenta los días laborados por cada una de las personas juzgadora</w:t>
            </w:r>
            <w:r>
              <w:rPr>
                <w:rFonts w:ascii="Book Antiqua" w:eastAsia="Times New Roman" w:hAnsi="Book Antiqua" w:cs="Arial"/>
                <w:lang w:eastAsia="es-CR"/>
              </w:rPr>
              <w:t>s</w:t>
            </w:r>
            <w:r w:rsidRPr="00A554BE">
              <w:rPr>
                <w:rFonts w:ascii="Book Antiqua" w:eastAsia="Times New Roman" w:hAnsi="Book Antiqua" w:cs="Arial"/>
                <w:lang w:eastAsia="es-CR"/>
              </w:rPr>
              <w:t xml:space="preserve"> en el mes, según la cuota de trabajo diaria de sentencias definida.</w:t>
            </w:r>
          </w:p>
          <w:p w14:paraId="3F35BB96" w14:textId="77777777" w:rsidR="007B5D39" w:rsidRPr="00A554BE" w:rsidRDefault="007B5D39" w:rsidP="007B5D39">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El parámetro está definido en 95% a 100%</w:t>
            </w:r>
          </w:p>
        </w:tc>
      </w:tr>
      <w:tr w:rsidR="00A92104" w:rsidRPr="00A554BE" w14:paraId="1ED43178" w14:textId="77777777" w:rsidTr="001D0C10">
        <w:trPr>
          <w:cantSplit/>
          <w:trHeight w:val="20"/>
          <w:jc w:val="center"/>
        </w:trPr>
        <w:tc>
          <w:tcPr>
            <w:tcW w:w="760" w:type="pct"/>
            <w:shd w:val="clear" w:color="auto" w:fill="FFFFFF"/>
          </w:tcPr>
          <w:p w14:paraId="02836076" w14:textId="77777777" w:rsidR="00A92104" w:rsidRPr="00A554BE" w:rsidRDefault="00A92104"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5185348" w14:textId="718312DA" w:rsidR="00A92104" w:rsidRDefault="00A92104"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55</w:t>
            </w:r>
          </w:p>
        </w:tc>
        <w:tc>
          <w:tcPr>
            <w:tcW w:w="946" w:type="pct"/>
            <w:shd w:val="clear" w:color="auto" w:fill="auto"/>
            <w:vAlign w:val="center"/>
          </w:tcPr>
          <w:p w14:paraId="113F9E6B" w14:textId="451DD028" w:rsidR="00A92104" w:rsidRPr="00A554BE" w:rsidRDefault="00A92104" w:rsidP="001D0C10">
            <w:pPr>
              <w:spacing w:after="0" w:line="276" w:lineRule="auto"/>
              <w:jc w:val="both"/>
              <w:rPr>
                <w:rFonts w:ascii="Book Antiqua" w:eastAsia="Times New Roman" w:hAnsi="Book Antiqua" w:cs="Arial"/>
                <w:b/>
                <w:bCs/>
                <w:color w:val="44546A"/>
                <w:lang w:eastAsia="es-CR"/>
              </w:rPr>
            </w:pPr>
            <w:r w:rsidRPr="00A92104">
              <w:rPr>
                <w:rFonts w:ascii="Book Antiqua" w:eastAsia="Times New Roman" w:hAnsi="Book Antiqua" w:cs="Arial"/>
                <w:b/>
                <w:bCs/>
                <w:color w:val="44546A"/>
                <w:lang w:eastAsia="es-CR"/>
              </w:rPr>
              <w:t>Días laborados por técnico durante el mes</w:t>
            </w:r>
          </w:p>
        </w:tc>
        <w:tc>
          <w:tcPr>
            <w:tcW w:w="2795" w:type="pct"/>
            <w:shd w:val="clear" w:color="auto" w:fill="auto"/>
            <w:vAlign w:val="center"/>
          </w:tcPr>
          <w:p w14:paraId="50AD2E40" w14:textId="77CD29A0" w:rsidR="00A92104" w:rsidRPr="00A554BE" w:rsidRDefault="00A92104" w:rsidP="007B5D39">
            <w:pPr>
              <w:spacing w:after="0" w:line="276" w:lineRule="auto"/>
              <w:jc w:val="both"/>
              <w:rPr>
                <w:rFonts w:ascii="Book Antiqua" w:eastAsia="Times New Roman" w:hAnsi="Book Antiqua" w:cs="Arial"/>
                <w:lang w:eastAsia="es-CR"/>
              </w:rPr>
            </w:pPr>
            <w:r w:rsidRPr="00A92104">
              <w:rPr>
                <w:rFonts w:ascii="Book Antiqua" w:eastAsia="Times New Roman" w:hAnsi="Book Antiqua" w:cs="Arial"/>
                <w:lang w:eastAsia="es-CR"/>
              </w:rPr>
              <w:t xml:space="preserve">Cantidad de días laborados por </w:t>
            </w:r>
            <w:r>
              <w:rPr>
                <w:rFonts w:ascii="Book Antiqua" w:eastAsia="Times New Roman" w:hAnsi="Book Antiqua" w:cs="Arial"/>
                <w:lang w:eastAsia="es-CR"/>
              </w:rPr>
              <w:t>Juez o Jueza y por T</w:t>
            </w:r>
            <w:r w:rsidRPr="00A92104">
              <w:rPr>
                <w:rFonts w:ascii="Book Antiqua" w:eastAsia="Times New Roman" w:hAnsi="Book Antiqua" w:cs="Arial"/>
                <w:lang w:eastAsia="es-CR"/>
              </w:rPr>
              <w:t>écni</w:t>
            </w:r>
            <w:r>
              <w:rPr>
                <w:rFonts w:ascii="Book Antiqua" w:eastAsia="Times New Roman" w:hAnsi="Book Antiqua" w:cs="Arial"/>
                <w:lang w:eastAsia="es-CR"/>
              </w:rPr>
              <w:t>co o Técnica Judicial.</w:t>
            </w:r>
          </w:p>
        </w:tc>
      </w:tr>
      <w:tr w:rsidR="00215CAB" w:rsidRPr="00A554BE" w14:paraId="0B94D3AA" w14:textId="77777777" w:rsidTr="001D0C10">
        <w:trPr>
          <w:cantSplit/>
          <w:trHeight w:val="20"/>
          <w:jc w:val="center"/>
        </w:trPr>
        <w:tc>
          <w:tcPr>
            <w:tcW w:w="760" w:type="pct"/>
            <w:vMerge w:val="restart"/>
            <w:shd w:val="clear" w:color="auto" w:fill="FFFFFF"/>
            <w:textDirection w:val="btLr"/>
          </w:tcPr>
          <w:p w14:paraId="30D8B643" w14:textId="306F5BBA" w:rsidR="00215CAB" w:rsidRPr="00215CAB" w:rsidRDefault="00215CAB" w:rsidP="00215CAB">
            <w:pPr>
              <w:spacing w:after="0" w:line="276" w:lineRule="auto"/>
              <w:ind w:left="113" w:right="113"/>
              <w:jc w:val="center"/>
              <w:rPr>
                <w:rFonts w:ascii="Book Antiqua" w:eastAsia="Times New Roman" w:hAnsi="Book Antiqua" w:cs="Arial"/>
                <w:b/>
                <w:bCs/>
                <w:color w:val="44546A"/>
                <w:lang w:eastAsia="es-CR"/>
              </w:rPr>
            </w:pPr>
            <w:r w:rsidRPr="006E08AC">
              <w:rPr>
                <w:rFonts w:ascii="Book Antiqua" w:eastAsia="Times New Roman" w:hAnsi="Book Antiqua" w:cs="Arial"/>
                <w:b/>
                <w:bCs/>
                <w:lang w:eastAsia="es-CR"/>
              </w:rPr>
              <w:t>Personal de Apoyo/Adm./CACMFJ</w:t>
            </w:r>
          </w:p>
        </w:tc>
        <w:tc>
          <w:tcPr>
            <w:tcW w:w="499" w:type="pct"/>
            <w:shd w:val="clear" w:color="auto" w:fill="FFFFFF"/>
            <w:vAlign w:val="center"/>
          </w:tcPr>
          <w:p w14:paraId="04D4E975" w14:textId="07E0EC5C" w:rsidR="00215CAB" w:rsidRDefault="00215CAB"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56</w:t>
            </w:r>
          </w:p>
        </w:tc>
        <w:tc>
          <w:tcPr>
            <w:tcW w:w="946" w:type="pct"/>
            <w:shd w:val="clear" w:color="auto" w:fill="auto"/>
            <w:vAlign w:val="center"/>
          </w:tcPr>
          <w:p w14:paraId="770CDB0F" w14:textId="667BFCFA" w:rsidR="00215CAB" w:rsidRPr="00A92104" w:rsidRDefault="00215CAB" w:rsidP="001D0C10">
            <w:pPr>
              <w:spacing w:after="0" w:line="276" w:lineRule="auto"/>
              <w:jc w:val="both"/>
              <w:rPr>
                <w:rFonts w:ascii="Book Antiqua" w:eastAsia="Times New Roman" w:hAnsi="Book Antiqua" w:cs="Arial"/>
                <w:b/>
                <w:bCs/>
                <w:color w:val="44546A"/>
                <w:lang w:eastAsia="es-CR"/>
              </w:rPr>
            </w:pPr>
            <w:r w:rsidRPr="00215CAB">
              <w:rPr>
                <w:rFonts w:ascii="Book Antiqua" w:eastAsia="Times New Roman" w:hAnsi="Book Antiqua" w:cs="Arial"/>
                <w:b/>
                <w:bCs/>
                <w:color w:val="44546A"/>
                <w:lang w:eastAsia="es-CR"/>
              </w:rPr>
              <w:t>Cantidad de resoluciones pasadas a firmar por Técnico o Técnica de Apoyo</w:t>
            </w:r>
          </w:p>
        </w:tc>
        <w:tc>
          <w:tcPr>
            <w:tcW w:w="2795" w:type="pct"/>
            <w:shd w:val="clear" w:color="auto" w:fill="auto"/>
            <w:vAlign w:val="center"/>
          </w:tcPr>
          <w:p w14:paraId="433CB913" w14:textId="46E2B377" w:rsidR="00215CAB" w:rsidRPr="00A92104" w:rsidRDefault="00215CAB" w:rsidP="007B5D39">
            <w:pPr>
              <w:spacing w:after="0" w:line="276" w:lineRule="auto"/>
              <w:jc w:val="both"/>
              <w:rPr>
                <w:rFonts w:ascii="Book Antiqua" w:eastAsia="Times New Roman" w:hAnsi="Book Antiqua" w:cs="Arial"/>
                <w:lang w:eastAsia="es-CR"/>
              </w:rPr>
            </w:pPr>
            <w:r w:rsidRPr="00215CAB">
              <w:rPr>
                <w:rFonts w:ascii="Book Antiqua" w:eastAsia="Times New Roman" w:hAnsi="Book Antiqua" w:cs="Arial"/>
                <w:lang w:eastAsia="es-CR"/>
              </w:rPr>
              <w:t>Este dato se obtiene del módulo estadístico del Escritorio Virtual</w:t>
            </w:r>
            <w:r>
              <w:rPr>
                <w:rFonts w:ascii="Book Antiqua" w:eastAsia="Times New Roman" w:hAnsi="Book Antiqua" w:cs="Arial"/>
                <w:lang w:eastAsia="es-CR"/>
              </w:rPr>
              <w:t>.</w:t>
            </w:r>
          </w:p>
        </w:tc>
      </w:tr>
      <w:tr w:rsidR="00215CAB" w:rsidRPr="00A554BE" w14:paraId="2B06CF02" w14:textId="77777777" w:rsidTr="001D0C10">
        <w:trPr>
          <w:cantSplit/>
          <w:trHeight w:val="20"/>
          <w:jc w:val="center"/>
        </w:trPr>
        <w:tc>
          <w:tcPr>
            <w:tcW w:w="760" w:type="pct"/>
            <w:vMerge/>
            <w:shd w:val="clear" w:color="auto" w:fill="FFFFFF"/>
          </w:tcPr>
          <w:p w14:paraId="610B5C12" w14:textId="77777777" w:rsidR="00215CAB" w:rsidRPr="00A554BE" w:rsidRDefault="00215CAB"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0BD7FED3" w14:textId="224306A7" w:rsidR="00215CAB" w:rsidRDefault="00215CAB"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57</w:t>
            </w:r>
          </w:p>
        </w:tc>
        <w:tc>
          <w:tcPr>
            <w:tcW w:w="946" w:type="pct"/>
            <w:shd w:val="clear" w:color="auto" w:fill="auto"/>
            <w:vAlign w:val="center"/>
          </w:tcPr>
          <w:p w14:paraId="7857A7C9" w14:textId="4F2106D6" w:rsidR="00215CAB" w:rsidRPr="00215CAB" w:rsidRDefault="00215CAB" w:rsidP="001D0C10">
            <w:pPr>
              <w:spacing w:after="0" w:line="276" w:lineRule="auto"/>
              <w:jc w:val="both"/>
              <w:rPr>
                <w:rFonts w:ascii="Book Antiqua" w:eastAsia="Times New Roman" w:hAnsi="Book Antiqua" w:cs="Arial"/>
                <w:b/>
                <w:bCs/>
                <w:color w:val="44546A"/>
                <w:lang w:eastAsia="es-CR"/>
              </w:rPr>
            </w:pPr>
            <w:r w:rsidRPr="00215CAB">
              <w:rPr>
                <w:rFonts w:ascii="Book Antiqua" w:eastAsia="Times New Roman" w:hAnsi="Book Antiqua" w:cs="Arial"/>
                <w:b/>
                <w:bCs/>
                <w:color w:val="44546A"/>
                <w:lang w:eastAsia="es-CR"/>
              </w:rPr>
              <w:t>Porcentaje de rendimiento por Técnico o Técnica de Apoyo</w:t>
            </w:r>
          </w:p>
        </w:tc>
        <w:tc>
          <w:tcPr>
            <w:tcW w:w="2795" w:type="pct"/>
            <w:shd w:val="clear" w:color="auto" w:fill="auto"/>
            <w:vAlign w:val="center"/>
          </w:tcPr>
          <w:p w14:paraId="202B4C64" w14:textId="75C466F9" w:rsidR="00215CAB" w:rsidRDefault="00215CAB" w:rsidP="007B5D39">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Se calcula: </w:t>
            </w:r>
            <w:r w:rsidRPr="00215CAB">
              <w:rPr>
                <w:rFonts w:ascii="Book Antiqua" w:eastAsia="Times New Roman" w:hAnsi="Book Antiqua" w:cs="Arial"/>
                <w:lang w:eastAsia="es-CR"/>
              </w:rPr>
              <w:t>(</w:t>
            </w:r>
            <w:r w:rsidRPr="00215CAB">
              <w:rPr>
                <w:rFonts w:ascii="Book Antiqua" w:eastAsia="Times New Roman" w:hAnsi="Book Antiqua" w:cs="Arial"/>
                <w:i/>
                <w:iCs/>
                <w:lang w:eastAsia="es-CR"/>
              </w:rPr>
              <w:t>Cantidad de resoluciones pasadas a firmar / Cantidad de resoluciones a realizar</w:t>
            </w:r>
            <w:r w:rsidRPr="00215CAB">
              <w:rPr>
                <w:rFonts w:ascii="Book Antiqua" w:eastAsia="Times New Roman" w:hAnsi="Book Antiqua" w:cs="Arial"/>
                <w:lang w:eastAsia="es-CR"/>
              </w:rPr>
              <w:t>)</w:t>
            </w:r>
            <w:r>
              <w:rPr>
                <w:rFonts w:ascii="Book Antiqua" w:eastAsia="Times New Roman" w:hAnsi="Book Antiqua" w:cs="Arial"/>
                <w:lang w:eastAsia="es-CR"/>
              </w:rPr>
              <w:t>.</w:t>
            </w:r>
          </w:p>
          <w:p w14:paraId="55CCC0A1" w14:textId="41100F64" w:rsidR="00215CAB" w:rsidRPr="00215CAB" w:rsidRDefault="00215CAB" w:rsidP="007B5D39">
            <w:pPr>
              <w:spacing w:after="0" w:line="276" w:lineRule="auto"/>
              <w:jc w:val="both"/>
              <w:rPr>
                <w:rFonts w:ascii="Book Antiqua" w:eastAsia="Times New Roman" w:hAnsi="Book Antiqua" w:cs="Arial"/>
                <w:lang w:eastAsia="es-CR"/>
              </w:rPr>
            </w:pPr>
            <w:r w:rsidRPr="00215CAB">
              <w:rPr>
                <w:rFonts w:ascii="Book Antiqua" w:eastAsia="Times New Roman" w:hAnsi="Book Antiqua" w:cs="Arial"/>
                <w:lang w:eastAsia="es-CR"/>
              </w:rPr>
              <w:t>Este dato se obtiene del módulo estadístico del Escritorio Virtual</w:t>
            </w:r>
            <w:r>
              <w:rPr>
                <w:rFonts w:ascii="Book Antiqua" w:eastAsia="Times New Roman" w:hAnsi="Book Antiqua" w:cs="Arial"/>
                <w:lang w:eastAsia="es-CR"/>
              </w:rPr>
              <w:t>.</w:t>
            </w:r>
          </w:p>
        </w:tc>
      </w:tr>
      <w:tr w:rsidR="00215CAB" w:rsidRPr="00A554BE" w14:paraId="365120BD" w14:textId="77777777" w:rsidTr="001D0C10">
        <w:trPr>
          <w:cantSplit/>
          <w:trHeight w:val="20"/>
          <w:jc w:val="center"/>
        </w:trPr>
        <w:tc>
          <w:tcPr>
            <w:tcW w:w="760" w:type="pct"/>
            <w:vMerge/>
            <w:shd w:val="clear" w:color="auto" w:fill="FFFFFF"/>
          </w:tcPr>
          <w:p w14:paraId="7E031CC9" w14:textId="77777777" w:rsidR="00215CAB" w:rsidRPr="00A554BE" w:rsidRDefault="00215CAB"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5874496C" w14:textId="0BE05F59" w:rsidR="00215CAB" w:rsidRDefault="00215CAB"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58</w:t>
            </w:r>
          </w:p>
        </w:tc>
        <w:tc>
          <w:tcPr>
            <w:tcW w:w="946" w:type="pct"/>
            <w:shd w:val="clear" w:color="auto" w:fill="auto"/>
            <w:vAlign w:val="center"/>
          </w:tcPr>
          <w:p w14:paraId="00319E90" w14:textId="65622666" w:rsidR="00215CAB" w:rsidRPr="00215CAB" w:rsidRDefault="00215CAB" w:rsidP="001D0C10">
            <w:pPr>
              <w:spacing w:after="0" w:line="276" w:lineRule="auto"/>
              <w:jc w:val="both"/>
              <w:rPr>
                <w:rFonts w:ascii="Book Antiqua" w:eastAsia="Times New Roman" w:hAnsi="Book Antiqua" w:cs="Arial"/>
                <w:b/>
                <w:bCs/>
                <w:color w:val="44546A"/>
                <w:lang w:eastAsia="es-CR"/>
              </w:rPr>
            </w:pPr>
            <w:r w:rsidRPr="00215CAB">
              <w:rPr>
                <w:rFonts w:ascii="Book Antiqua" w:eastAsia="Times New Roman" w:hAnsi="Book Antiqua" w:cs="Arial"/>
                <w:b/>
                <w:bCs/>
                <w:color w:val="44546A"/>
                <w:lang w:eastAsia="es-CR"/>
              </w:rPr>
              <w:t>Cantidad de sentencias, resoluciones realizadas y resoluciones firmadas por persona juzgadora de Apoyo</w:t>
            </w:r>
          </w:p>
        </w:tc>
        <w:tc>
          <w:tcPr>
            <w:tcW w:w="2795" w:type="pct"/>
            <w:shd w:val="clear" w:color="auto" w:fill="auto"/>
            <w:vAlign w:val="center"/>
          </w:tcPr>
          <w:p w14:paraId="49A7CEE7" w14:textId="77777777" w:rsidR="00215CAB" w:rsidRPr="00A554BE" w:rsidRDefault="00215CAB" w:rsidP="00215CAB">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 la cantidad de resoluciones firmadas por cada persona juzgadora.</w:t>
            </w:r>
          </w:p>
          <w:p w14:paraId="0A9CA420" w14:textId="6FD209B1" w:rsidR="00215CAB" w:rsidRDefault="00215CAB" w:rsidP="00215CAB">
            <w:pPr>
              <w:spacing w:after="0" w:line="276" w:lineRule="auto"/>
              <w:jc w:val="both"/>
              <w:rPr>
                <w:rFonts w:ascii="Book Antiqua" w:eastAsia="Times New Roman" w:hAnsi="Book Antiqua" w:cs="Arial"/>
                <w:lang w:eastAsia="es-CR"/>
              </w:rPr>
            </w:pPr>
            <w:r w:rsidRPr="00A554BE">
              <w:rPr>
                <w:rFonts w:ascii="Book Antiqua" w:eastAsia="Times New Roman" w:hAnsi="Book Antiqua"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r>
              <w:rPr>
                <w:rFonts w:ascii="Book Antiqua" w:eastAsia="Times New Roman" w:hAnsi="Book Antiqua" w:cs="Arial"/>
                <w:lang w:eastAsia="es-CR"/>
              </w:rPr>
              <w:t>.</w:t>
            </w:r>
          </w:p>
        </w:tc>
      </w:tr>
      <w:tr w:rsidR="00215CAB" w:rsidRPr="00A554BE" w14:paraId="592E9BE3" w14:textId="77777777" w:rsidTr="001D0C10">
        <w:trPr>
          <w:cantSplit/>
          <w:trHeight w:val="20"/>
          <w:jc w:val="center"/>
        </w:trPr>
        <w:tc>
          <w:tcPr>
            <w:tcW w:w="760" w:type="pct"/>
            <w:vMerge/>
            <w:shd w:val="clear" w:color="auto" w:fill="FFFFFF"/>
          </w:tcPr>
          <w:p w14:paraId="65067135" w14:textId="77777777" w:rsidR="00215CAB" w:rsidRPr="00A554BE" w:rsidRDefault="00215CAB" w:rsidP="007B5D39">
            <w:pPr>
              <w:spacing w:after="0" w:line="276" w:lineRule="auto"/>
              <w:jc w:val="center"/>
              <w:rPr>
                <w:rFonts w:ascii="Book Antiqua" w:eastAsia="Times New Roman" w:hAnsi="Book Antiqua" w:cs="Arial"/>
                <w:b/>
                <w:bCs/>
                <w:color w:val="44546A"/>
                <w:lang w:eastAsia="es-CR"/>
              </w:rPr>
            </w:pPr>
          </w:p>
        </w:tc>
        <w:tc>
          <w:tcPr>
            <w:tcW w:w="499" w:type="pct"/>
            <w:shd w:val="clear" w:color="auto" w:fill="FFFFFF"/>
            <w:vAlign w:val="center"/>
          </w:tcPr>
          <w:p w14:paraId="4331E6C7" w14:textId="021446C8" w:rsidR="00215CAB" w:rsidRDefault="00215CAB" w:rsidP="007B5D39">
            <w:pPr>
              <w:spacing w:after="0" w:line="276" w:lineRule="auto"/>
              <w:jc w:val="center"/>
              <w:rPr>
                <w:rFonts w:ascii="Book Antiqua" w:eastAsia="Times New Roman" w:hAnsi="Book Antiqua" w:cs="Arial"/>
                <w:b/>
                <w:bCs/>
                <w:color w:val="44546A"/>
                <w:lang w:eastAsia="es-CR"/>
              </w:rPr>
            </w:pPr>
            <w:r>
              <w:rPr>
                <w:rFonts w:ascii="Book Antiqua" w:eastAsia="Times New Roman" w:hAnsi="Book Antiqua" w:cs="Arial"/>
                <w:b/>
                <w:bCs/>
                <w:color w:val="44546A"/>
                <w:lang w:eastAsia="es-CR"/>
              </w:rPr>
              <w:t>59</w:t>
            </w:r>
          </w:p>
        </w:tc>
        <w:tc>
          <w:tcPr>
            <w:tcW w:w="946" w:type="pct"/>
            <w:shd w:val="clear" w:color="auto" w:fill="auto"/>
            <w:vAlign w:val="center"/>
          </w:tcPr>
          <w:p w14:paraId="6C6F490A" w14:textId="24DC9FB2" w:rsidR="00215CAB" w:rsidRPr="00215CAB" w:rsidRDefault="00215CAB" w:rsidP="001D0C10">
            <w:pPr>
              <w:spacing w:after="0" w:line="276" w:lineRule="auto"/>
              <w:jc w:val="both"/>
              <w:rPr>
                <w:rFonts w:ascii="Book Antiqua" w:eastAsia="Times New Roman" w:hAnsi="Book Antiqua" w:cs="Arial"/>
                <w:b/>
                <w:bCs/>
                <w:color w:val="44546A"/>
                <w:lang w:eastAsia="es-CR"/>
              </w:rPr>
            </w:pPr>
            <w:r w:rsidRPr="00215CAB">
              <w:rPr>
                <w:rFonts w:ascii="Book Antiqua" w:eastAsia="Times New Roman" w:hAnsi="Book Antiqua" w:cs="Arial"/>
                <w:b/>
                <w:bCs/>
                <w:color w:val="44546A"/>
                <w:lang w:eastAsia="es-CR"/>
              </w:rPr>
              <w:t>Porcentaje de rendimiento por persona juzgadora de Apoyo</w:t>
            </w:r>
          </w:p>
        </w:tc>
        <w:tc>
          <w:tcPr>
            <w:tcW w:w="2795" w:type="pct"/>
            <w:shd w:val="clear" w:color="auto" w:fill="auto"/>
            <w:vAlign w:val="center"/>
          </w:tcPr>
          <w:p w14:paraId="0452024B" w14:textId="219E39BB" w:rsidR="00215CAB" w:rsidRPr="00A554BE" w:rsidRDefault="00215CAB" w:rsidP="00215CAB">
            <w:pPr>
              <w:spacing w:after="0" w:line="276" w:lineRule="auto"/>
              <w:jc w:val="both"/>
              <w:rPr>
                <w:rFonts w:ascii="Book Antiqua" w:eastAsia="Times New Roman" w:hAnsi="Book Antiqua" w:cs="Arial"/>
                <w:lang w:eastAsia="es-CR"/>
              </w:rPr>
            </w:pPr>
            <w:r>
              <w:rPr>
                <w:rFonts w:ascii="Book Antiqua" w:eastAsia="Times New Roman" w:hAnsi="Book Antiqua" w:cs="Arial"/>
                <w:lang w:eastAsia="es-CR"/>
              </w:rPr>
              <w:t xml:space="preserve">Se calcula: </w:t>
            </w:r>
            <w:r w:rsidRPr="00215CAB">
              <w:rPr>
                <w:rFonts w:ascii="Book Antiqua" w:eastAsia="Times New Roman" w:hAnsi="Book Antiqua" w:cs="Arial"/>
                <w:lang w:eastAsia="es-CR"/>
              </w:rPr>
              <w:t>(</w:t>
            </w:r>
            <w:r w:rsidRPr="00215CAB">
              <w:rPr>
                <w:rFonts w:ascii="Book Antiqua" w:eastAsia="Times New Roman" w:hAnsi="Book Antiqua" w:cs="Arial"/>
                <w:i/>
                <w:iCs/>
                <w:lang w:eastAsia="es-CR"/>
              </w:rPr>
              <w:t>Cantidad de sentencias dictadas/ Cantidad de sentencias necesarios</w:t>
            </w:r>
            <w:r w:rsidRPr="00215CAB">
              <w:rPr>
                <w:rFonts w:ascii="Book Antiqua" w:eastAsia="Times New Roman" w:hAnsi="Book Antiqua" w:cs="Arial"/>
                <w:lang w:eastAsia="es-CR"/>
              </w:rPr>
              <w:t>)</w:t>
            </w:r>
          </w:p>
        </w:tc>
      </w:tr>
    </w:tbl>
    <w:p w14:paraId="01689928" w14:textId="06B56718" w:rsidR="00A554BE" w:rsidRDefault="00692388" w:rsidP="00036F7A">
      <w:pPr>
        <w:rPr>
          <w:rFonts w:ascii="Book Antiqua" w:hAnsi="Book Antiqua"/>
          <w:i/>
          <w:iCs/>
          <w:lang w:val="es-ES"/>
        </w:rPr>
      </w:pPr>
      <w:r>
        <w:rPr>
          <w:lang w:val="es-ES"/>
        </w:rPr>
        <w:t xml:space="preserve">  </w:t>
      </w:r>
      <w:r w:rsidRPr="00692388">
        <w:rPr>
          <w:rFonts w:ascii="Book Antiqua" w:hAnsi="Book Antiqua"/>
          <w:i/>
          <w:iCs/>
          <w:lang w:val="es-ES"/>
        </w:rPr>
        <w:t>Fuente: Modernización Institucional</w:t>
      </w:r>
      <w:r>
        <w:rPr>
          <w:rFonts w:ascii="Book Antiqua" w:hAnsi="Book Antiqua"/>
          <w:i/>
          <w:iCs/>
          <w:lang w:val="es-ES"/>
        </w:rPr>
        <w:t>.</w:t>
      </w:r>
    </w:p>
    <w:p w14:paraId="7840AC54" w14:textId="77777777" w:rsidR="00692388" w:rsidRPr="00692388" w:rsidRDefault="00692388" w:rsidP="00036F7A">
      <w:pPr>
        <w:rPr>
          <w:rFonts w:ascii="Book Antiqua" w:hAnsi="Book Antiqua"/>
          <w:i/>
          <w:iCs/>
          <w:lang w:val="es-ES"/>
        </w:rPr>
      </w:pPr>
    </w:p>
    <w:p w14:paraId="5BBC2025" w14:textId="5AA6E5C4" w:rsidR="00692388" w:rsidRPr="00330700" w:rsidRDefault="00692388" w:rsidP="00330700">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64" w:name="_Hlk97041973"/>
      <w:r w:rsidRPr="00330700">
        <w:rPr>
          <w:rFonts w:ascii="Book Antiqua" w:eastAsiaTheme="majorEastAsia" w:hAnsi="Book Antiqua" w:cstheme="majorBidi"/>
          <w:b/>
          <w:color w:val="1F3864" w:themeColor="accent1" w:themeShade="80"/>
          <w:sz w:val="24"/>
          <w:lang w:val="es-ES"/>
        </w:rPr>
        <w:t xml:space="preserve">Impacto del Código Procesal de Familia a partir del 22 de octubre en materia de Pensiones Alimentarias </w:t>
      </w:r>
    </w:p>
    <w:bookmarkEnd w:id="64"/>
    <w:p w14:paraId="1E41933B" w14:textId="36591039" w:rsidR="00A554BE" w:rsidRDefault="00A554BE" w:rsidP="00036F7A">
      <w:pPr>
        <w:rPr>
          <w:lang w:val="es-ES"/>
        </w:rPr>
      </w:pPr>
    </w:p>
    <w:p w14:paraId="07929E7B" w14:textId="53626EC7" w:rsidR="00692388" w:rsidRPr="00330700" w:rsidRDefault="00692388" w:rsidP="00330700">
      <w:pPr>
        <w:spacing w:after="0" w:line="276" w:lineRule="auto"/>
        <w:jc w:val="both"/>
        <w:rPr>
          <w:rFonts w:ascii="Book Antiqua" w:eastAsia="Calibri" w:hAnsi="Book Antiqua" w:cs="Arial"/>
          <w:b/>
          <w:bCs/>
          <w:sz w:val="24"/>
          <w:szCs w:val="24"/>
        </w:rPr>
      </w:pPr>
      <w:r w:rsidRPr="00330700">
        <w:rPr>
          <w:rFonts w:ascii="Book Antiqua" w:eastAsia="Calibri" w:hAnsi="Book Antiqua" w:cs="Arial"/>
          <w:b/>
          <w:bCs/>
          <w:sz w:val="24"/>
          <w:szCs w:val="24"/>
        </w:rPr>
        <w:t>Análisis de cargas de trabajo actual y proyectada</w:t>
      </w:r>
      <w:r w:rsidR="00A46B83" w:rsidRPr="00330700">
        <w:rPr>
          <w:rFonts w:ascii="Book Antiqua" w:eastAsia="Calibri" w:hAnsi="Book Antiqua" w:cs="Arial"/>
          <w:b/>
          <w:bCs/>
          <w:sz w:val="24"/>
          <w:szCs w:val="24"/>
        </w:rPr>
        <w:t>: considerando la entrada de nuevos + procesos de modificación + apremios.</w:t>
      </w:r>
    </w:p>
    <w:p w14:paraId="72072E88" w14:textId="77777777" w:rsidR="006F10C7" w:rsidRDefault="006F10C7" w:rsidP="00692388">
      <w:pPr>
        <w:spacing w:after="0" w:line="276" w:lineRule="auto"/>
        <w:jc w:val="both"/>
        <w:rPr>
          <w:rFonts w:ascii="Book Antiqua" w:eastAsia="Calibri" w:hAnsi="Book Antiqua" w:cs="Arial"/>
          <w:sz w:val="24"/>
          <w:szCs w:val="24"/>
        </w:rPr>
      </w:pPr>
    </w:p>
    <w:p w14:paraId="07487123" w14:textId="1E0CF45C" w:rsidR="00692388" w:rsidRPr="00692388" w:rsidRDefault="00692388" w:rsidP="00692388">
      <w:pPr>
        <w:spacing w:after="0" w:line="276" w:lineRule="auto"/>
        <w:jc w:val="both"/>
        <w:rPr>
          <w:rFonts w:ascii="Book Antiqua" w:eastAsia="Calibri" w:hAnsi="Book Antiqua" w:cs="Arial"/>
          <w:sz w:val="24"/>
          <w:szCs w:val="24"/>
        </w:rPr>
      </w:pPr>
      <w:r w:rsidRPr="00692388">
        <w:rPr>
          <w:rFonts w:ascii="Book Antiqua" w:eastAsia="Calibri" w:hAnsi="Book Antiqua" w:cs="Arial"/>
          <w:sz w:val="24"/>
          <w:szCs w:val="24"/>
        </w:rPr>
        <w:t>Con la finalidad de conocer el estado actual de los juzgados que atienden la materia de Pensiones Alimentarias, se analiza el comportamiento de los 12 despachos especializados que conocen esta materia, según los datos de 2017 a 20</w:t>
      </w:r>
      <w:r w:rsidR="00D13D1F">
        <w:rPr>
          <w:rFonts w:ascii="Book Antiqua" w:eastAsia="Calibri" w:hAnsi="Book Antiqua" w:cs="Arial"/>
          <w:sz w:val="24"/>
          <w:szCs w:val="24"/>
        </w:rPr>
        <w:t>2</w:t>
      </w:r>
      <w:r w:rsidRPr="00692388">
        <w:rPr>
          <w:rFonts w:ascii="Book Antiqua" w:eastAsia="Calibri" w:hAnsi="Book Antiqua" w:cs="Arial"/>
          <w:sz w:val="24"/>
          <w:szCs w:val="24"/>
        </w:rPr>
        <w:t>1, a fin de establecer los valores promedio mensual de asuntos entrados.</w:t>
      </w:r>
    </w:p>
    <w:p w14:paraId="043A3C13" w14:textId="48E24014" w:rsidR="00A554BE" w:rsidRDefault="00A554BE" w:rsidP="00036F7A">
      <w:pPr>
        <w:rPr>
          <w:lang w:val="es-ES"/>
        </w:rPr>
      </w:pPr>
    </w:p>
    <w:p w14:paraId="334B69E8" w14:textId="5C8DE4EA" w:rsidR="00692388" w:rsidRPr="00692388" w:rsidRDefault="00692388" w:rsidP="0069238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2388">
        <w:rPr>
          <w:rFonts w:ascii="Book Antiqua" w:eastAsia="Calibri" w:hAnsi="Book Antiqua" w:cs="Arial"/>
          <w:b/>
          <w:bCs/>
          <w:color w:val="1F497D"/>
          <w:szCs w:val="24"/>
          <w:lang w:val="es-ES" w:eastAsia="es-ES"/>
        </w:rPr>
        <w:lastRenderedPageBreak/>
        <w:t xml:space="preserve">Cuadro </w:t>
      </w:r>
      <w:r w:rsidRPr="00692388">
        <w:rPr>
          <w:rFonts w:ascii="Book Antiqua" w:eastAsia="Calibri" w:hAnsi="Book Antiqua" w:cs="Arial"/>
          <w:b/>
          <w:bCs/>
          <w:color w:val="1F497D"/>
          <w:szCs w:val="24"/>
          <w:lang w:val="es-ES" w:eastAsia="es-ES"/>
        </w:rPr>
        <w:fldChar w:fldCharType="begin"/>
      </w:r>
      <w:r w:rsidRPr="00692388">
        <w:rPr>
          <w:rFonts w:ascii="Book Antiqua" w:eastAsia="Calibri" w:hAnsi="Book Antiqua" w:cs="Arial"/>
          <w:b/>
          <w:bCs/>
          <w:color w:val="1F497D"/>
          <w:szCs w:val="24"/>
          <w:lang w:val="es-ES" w:eastAsia="es-ES"/>
        </w:rPr>
        <w:instrText xml:space="preserve"> SEQ Cuadro \* ARABIC </w:instrText>
      </w:r>
      <w:r w:rsidRPr="00692388">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74</w:t>
      </w:r>
      <w:r w:rsidRPr="00692388">
        <w:rPr>
          <w:rFonts w:ascii="Book Antiqua" w:eastAsia="Calibri" w:hAnsi="Book Antiqua" w:cs="Arial"/>
          <w:b/>
          <w:bCs/>
          <w:color w:val="1F497D"/>
          <w:szCs w:val="24"/>
          <w:lang w:val="es-ES" w:eastAsia="es-ES"/>
        </w:rPr>
        <w:fldChar w:fldCharType="end"/>
      </w:r>
      <w:r w:rsidRPr="00692388">
        <w:rPr>
          <w:rFonts w:ascii="Book Antiqua" w:eastAsia="Calibri" w:hAnsi="Book Antiqua" w:cs="Arial"/>
          <w:b/>
          <w:bCs/>
          <w:color w:val="1F497D"/>
          <w:szCs w:val="24"/>
          <w:lang w:val="es-ES" w:eastAsia="es-ES"/>
        </w:rPr>
        <w:t xml:space="preserve"> </w:t>
      </w:r>
    </w:p>
    <w:p w14:paraId="6F2AB10F" w14:textId="77777777" w:rsidR="00692388" w:rsidRPr="00692388" w:rsidRDefault="00692388" w:rsidP="0069238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2388">
        <w:rPr>
          <w:rFonts w:ascii="Book Antiqua" w:eastAsia="Calibri" w:hAnsi="Book Antiqua" w:cs="Arial"/>
          <w:b/>
          <w:bCs/>
          <w:color w:val="1F497D"/>
          <w:szCs w:val="24"/>
          <w:lang w:val="es-ES" w:eastAsia="es-ES"/>
        </w:rPr>
        <w:t xml:space="preserve">Movimiento histórico de los asuntos en los Juzgados </w:t>
      </w:r>
    </w:p>
    <w:p w14:paraId="53D78D1A" w14:textId="44089A46" w:rsidR="00692388" w:rsidRDefault="00692388" w:rsidP="0069238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92388">
        <w:rPr>
          <w:rFonts w:ascii="Book Antiqua" w:eastAsia="Calibri" w:hAnsi="Book Antiqua" w:cs="Arial"/>
          <w:b/>
          <w:bCs/>
          <w:color w:val="1F497D"/>
          <w:szCs w:val="24"/>
          <w:lang w:val="es-ES" w:eastAsia="es-ES"/>
        </w:rPr>
        <w:t>Especializados de la materia de Pensiones Alimentarias, del 2017 al 20</w:t>
      </w:r>
      <w:r w:rsidR="00D13D1F">
        <w:rPr>
          <w:rFonts w:ascii="Book Antiqua" w:eastAsia="Calibri" w:hAnsi="Book Antiqua" w:cs="Arial"/>
          <w:b/>
          <w:bCs/>
          <w:color w:val="1F497D"/>
          <w:szCs w:val="24"/>
          <w:lang w:val="es-ES" w:eastAsia="es-ES"/>
        </w:rPr>
        <w:t>2</w:t>
      </w:r>
      <w:r w:rsidRPr="00692388">
        <w:rPr>
          <w:rFonts w:ascii="Book Antiqua" w:eastAsia="Calibri" w:hAnsi="Book Antiqua" w:cs="Arial"/>
          <w:b/>
          <w:bCs/>
          <w:color w:val="1F497D"/>
          <w:szCs w:val="24"/>
          <w:lang w:val="es-ES" w:eastAsia="es-ES"/>
        </w:rPr>
        <w:t>1</w:t>
      </w:r>
    </w:p>
    <w:tbl>
      <w:tblPr>
        <w:tblW w:w="5000" w:type="pct"/>
        <w:tblCellMar>
          <w:left w:w="70" w:type="dxa"/>
          <w:right w:w="70" w:type="dxa"/>
        </w:tblCellMar>
        <w:tblLook w:val="04A0" w:firstRow="1" w:lastRow="0" w:firstColumn="1" w:lastColumn="0" w:noHBand="0" w:noVBand="1"/>
      </w:tblPr>
      <w:tblGrid>
        <w:gridCol w:w="3030"/>
        <w:gridCol w:w="941"/>
        <w:gridCol w:w="1220"/>
        <w:gridCol w:w="950"/>
        <w:gridCol w:w="1030"/>
        <w:gridCol w:w="697"/>
        <w:gridCol w:w="950"/>
      </w:tblGrid>
      <w:tr w:rsidR="00397619" w:rsidRPr="00397619" w14:paraId="617B916B" w14:textId="77777777" w:rsidTr="00397619">
        <w:trPr>
          <w:trHeight w:val="710"/>
        </w:trPr>
        <w:tc>
          <w:tcPr>
            <w:tcW w:w="1788"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FA0590A"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Despacho</w:t>
            </w:r>
          </w:p>
        </w:tc>
        <w:tc>
          <w:tcPr>
            <w:tcW w:w="53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0584A123"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Promedio de Entrados totales 2017 a 2021 (A)</w:t>
            </w:r>
          </w:p>
        </w:tc>
        <w:tc>
          <w:tcPr>
            <w:tcW w:w="543"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C2680A6"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Promedio de procesos de modificación de fallo entrados 2017 a 2021 (B)</w:t>
            </w:r>
          </w:p>
        </w:tc>
        <w:tc>
          <w:tcPr>
            <w:tcW w:w="53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7C223E56" w14:textId="037E3E56"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Apremios 2021 (C)</w:t>
            </w:r>
          </w:p>
        </w:tc>
        <w:tc>
          <w:tcPr>
            <w:tcW w:w="53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8BE67DF"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Entrados Mensuales promedio (A+B+C)</w:t>
            </w:r>
          </w:p>
        </w:tc>
        <w:tc>
          <w:tcPr>
            <w:tcW w:w="1068" w:type="pct"/>
            <w:gridSpan w:val="2"/>
            <w:tcBorders>
              <w:top w:val="single" w:sz="8" w:space="0" w:color="auto"/>
              <w:left w:val="nil"/>
              <w:bottom w:val="single" w:sz="8" w:space="0" w:color="auto"/>
              <w:right w:val="single" w:sz="8" w:space="0" w:color="000000"/>
            </w:tcBorders>
            <w:shd w:val="clear" w:color="000000" w:fill="002060"/>
            <w:vAlign w:val="center"/>
            <w:hideMark/>
          </w:tcPr>
          <w:p w14:paraId="4BA3AEF4"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Entrados mensuales</w:t>
            </w:r>
          </w:p>
        </w:tc>
      </w:tr>
      <w:tr w:rsidR="00397619" w:rsidRPr="00397619" w14:paraId="1B050C6B" w14:textId="77777777" w:rsidTr="00397619">
        <w:trPr>
          <w:trHeight w:val="730"/>
        </w:trPr>
        <w:tc>
          <w:tcPr>
            <w:tcW w:w="1788" w:type="pct"/>
            <w:vMerge/>
            <w:tcBorders>
              <w:top w:val="single" w:sz="8" w:space="0" w:color="auto"/>
              <w:left w:val="single" w:sz="8" w:space="0" w:color="auto"/>
              <w:bottom w:val="single" w:sz="8" w:space="0" w:color="000000"/>
              <w:right w:val="single" w:sz="8" w:space="0" w:color="auto"/>
            </w:tcBorders>
            <w:vAlign w:val="center"/>
            <w:hideMark/>
          </w:tcPr>
          <w:p w14:paraId="5C869A59" w14:textId="77777777" w:rsidR="00397619" w:rsidRPr="00397619" w:rsidRDefault="00397619" w:rsidP="00397619">
            <w:pPr>
              <w:spacing w:after="0" w:line="240" w:lineRule="auto"/>
              <w:rPr>
                <w:rFonts w:ascii="Book Antiqua" w:eastAsia="Times New Roman" w:hAnsi="Book Antiqua" w:cs="Calibri"/>
                <w:b/>
                <w:bCs/>
                <w:color w:val="FFFFFF"/>
                <w:sz w:val="18"/>
                <w:szCs w:val="18"/>
                <w:lang w:eastAsia="es-CR"/>
              </w:rPr>
            </w:pPr>
          </w:p>
        </w:tc>
        <w:tc>
          <w:tcPr>
            <w:tcW w:w="534" w:type="pct"/>
            <w:vMerge/>
            <w:tcBorders>
              <w:top w:val="single" w:sz="8" w:space="0" w:color="auto"/>
              <w:left w:val="single" w:sz="8" w:space="0" w:color="auto"/>
              <w:bottom w:val="single" w:sz="8" w:space="0" w:color="000000"/>
              <w:right w:val="single" w:sz="8" w:space="0" w:color="auto"/>
            </w:tcBorders>
            <w:vAlign w:val="center"/>
            <w:hideMark/>
          </w:tcPr>
          <w:p w14:paraId="32DC386D" w14:textId="77777777" w:rsidR="00397619" w:rsidRPr="00397619" w:rsidRDefault="00397619" w:rsidP="00397619">
            <w:pPr>
              <w:spacing w:after="0" w:line="240" w:lineRule="auto"/>
              <w:rPr>
                <w:rFonts w:ascii="Book Antiqua" w:eastAsia="Times New Roman" w:hAnsi="Book Antiqua" w:cs="Calibri"/>
                <w:b/>
                <w:bCs/>
                <w:color w:val="FFFFFF"/>
                <w:sz w:val="18"/>
                <w:szCs w:val="18"/>
                <w:lang w:eastAsia="es-CR"/>
              </w:rPr>
            </w:pPr>
          </w:p>
        </w:tc>
        <w:tc>
          <w:tcPr>
            <w:tcW w:w="543" w:type="pct"/>
            <w:vMerge/>
            <w:tcBorders>
              <w:top w:val="single" w:sz="8" w:space="0" w:color="auto"/>
              <w:left w:val="single" w:sz="8" w:space="0" w:color="auto"/>
              <w:bottom w:val="single" w:sz="8" w:space="0" w:color="000000"/>
              <w:right w:val="single" w:sz="8" w:space="0" w:color="auto"/>
            </w:tcBorders>
            <w:vAlign w:val="center"/>
            <w:hideMark/>
          </w:tcPr>
          <w:p w14:paraId="456D7D3F" w14:textId="77777777" w:rsidR="00397619" w:rsidRPr="00397619" w:rsidRDefault="00397619" w:rsidP="00397619">
            <w:pPr>
              <w:spacing w:after="0" w:line="240" w:lineRule="auto"/>
              <w:rPr>
                <w:rFonts w:ascii="Book Antiqua" w:eastAsia="Times New Roman" w:hAnsi="Book Antiqua" w:cs="Calibri"/>
                <w:b/>
                <w:bCs/>
                <w:color w:val="FFFFFF"/>
                <w:sz w:val="18"/>
                <w:szCs w:val="18"/>
                <w:lang w:eastAsia="es-CR"/>
              </w:rPr>
            </w:pPr>
          </w:p>
        </w:tc>
        <w:tc>
          <w:tcPr>
            <w:tcW w:w="534" w:type="pct"/>
            <w:vMerge/>
            <w:tcBorders>
              <w:top w:val="single" w:sz="8" w:space="0" w:color="auto"/>
              <w:left w:val="single" w:sz="8" w:space="0" w:color="auto"/>
              <w:bottom w:val="single" w:sz="8" w:space="0" w:color="000000"/>
              <w:right w:val="single" w:sz="8" w:space="0" w:color="auto"/>
            </w:tcBorders>
            <w:vAlign w:val="center"/>
            <w:hideMark/>
          </w:tcPr>
          <w:p w14:paraId="146AB6F3" w14:textId="77777777" w:rsidR="00397619" w:rsidRPr="00397619" w:rsidRDefault="00397619" w:rsidP="00397619">
            <w:pPr>
              <w:spacing w:after="0" w:line="240" w:lineRule="auto"/>
              <w:rPr>
                <w:rFonts w:ascii="Book Antiqua" w:eastAsia="Times New Roman" w:hAnsi="Book Antiqua" w:cs="Calibri"/>
                <w:b/>
                <w:bCs/>
                <w:color w:val="FFFFFF"/>
                <w:sz w:val="18"/>
                <w:szCs w:val="18"/>
                <w:lang w:eastAsia="es-CR"/>
              </w:rPr>
            </w:pPr>
          </w:p>
        </w:tc>
        <w:tc>
          <w:tcPr>
            <w:tcW w:w="534" w:type="pct"/>
            <w:vMerge/>
            <w:tcBorders>
              <w:top w:val="single" w:sz="8" w:space="0" w:color="auto"/>
              <w:left w:val="single" w:sz="8" w:space="0" w:color="auto"/>
              <w:bottom w:val="single" w:sz="8" w:space="0" w:color="000000"/>
              <w:right w:val="single" w:sz="8" w:space="0" w:color="auto"/>
            </w:tcBorders>
            <w:vAlign w:val="center"/>
            <w:hideMark/>
          </w:tcPr>
          <w:p w14:paraId="5CF952AE" w14:textId="77777777" w:rsidR="00397619" w:rsidRPr="00397619" w:rsidRDefault="00397619" w:rsidP="00397619">
            <w:pPr>
              <w:spacing w:after="0" w:line="240" w:lineRule="auto"/>
              <w:rPr>
                <w:rFonts w:ascii="Book Antiqua" w:eastAsia="Times New Roman" w:hAnsi="Book Antiqua" w:cs="Calibri"/>
                <w:b/>
                <w:bCs/>
                <w:color w:val="FFFFFF"/>
                <w:sz w:val="18"/>
                <w:szCs w:val="18"/>
                <w:lang w:eastAsia="es-CR"/>
              </w:rPr>
            </w:pPr>
          </w:p>
        </w:tc>
        <w:tc>
          <w:tcPr>
            <w:tcW w:w="534" w:type="pct"/>
            <w:tcBorders>
              <w:top w:val="nil"/>
              <w:left w:val="nil"/>
              <w:bottom w:val="single" w:sz="8" w:space="0" w:color="auto"/>
              <w:right w:val="single" w:sz="8" w:space="0" w:color="auto"/>
            </w:tcBorders>
            <w:shd w:val="clear" w:color="000000" w:fill="002060"/>
            <w:vAlign w:val="center"/>
            <w:hideMark/>
          </w:tcPr>
          <w:p w14:paraId="63E5C536"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Jueza o Juez</w:t>
            </w:r>
          </w:p>
        </w:tc>
        <w:tc>
          <w:tcPr>
            <w:tcW w:w="534" w:type="pct"/>
            <w:tcBorders>
              <w:top w:val="nil"/>
              <w:left w:val="nil"/>
              <w:bottom w:val="single" w:sz="8" w:space="0" w:color="auto"/>
              <w:right w:val="single" w:sz="8" w:space="0" w:color="auto"/>
            </w:tcBorders>
            <w:shd w:val="clear" w:color="000000" w:fill="002060"/>
            <w:vAlign w:val="center"/>
            <w:hideMark/>
          </w:tcPr>
          <w:p w14:paraId="00CB86F5" w14:textId="77777777" w:rsidR="00397619" w:rsidRPr="00397619" w:rsidRDefault="00397619" w:rsidP="00397619">
            <w:pPr>
              <w:spacing w:after="0" w:line="240" w:lineRule="auto"/>
              <w:jc w:val="center"/>
              <w:rPr>
                <w:rFonts w:ascii="Book Antiqua" w:eastAsia="Times New Roman" w:hAnsi="Book Antiqua" w:cs="Calibri"/>
                <w:b/>
                <w:bCs/>
                <w:color w:val="FFFFFF"/>
                <w:sz w:val="18"/>
                <w:szCs w:val="18"/>
                <w:lang w:eastAsia="es-CR"/>
              </w:rPr>
            </w:pPr>
            <w:r w:rsidRPr="00397619">
              <w:rPr>
                <w:rFonts w:ascii="Book Antiqua" w:eastAsia="Times New Roman" w:hAnsi="Book Antiqua" w:cs="Calibri"/>
                <w:b/>
                <w:bCs/>
                <w:color w:val="FFFFFF"/>
                <w:sz w:val="18"/>
                <w:szCs w:val="18"/>
                <w:lang w:eastAsia="es-CR"/>
              </w:rPr>
              <w:t>Técnicas o Técnicos Judiciales</w:t>
            </w:r>
          </w:p>
        </w:tc>
      </w:tr>
      <w:tr w:rsidR="00397619" w:rsidRPr="00397619" w14:paraId="59887BF0"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2BBA2D2E"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Cartago</w:t>
            </w:r>
          </w:p>
        </w:tc>
        <w:tc>
          <w:tcPr>
            <w:tcW w:w="534" w:type="pct"/>
            <w:tcBorders>
              <w:top w:val="nil"/>
              <w:left w:val="nil"/>
              <w:bottom w:val="single" w:sz="8" w:space="0" w:color="auto"/>
              <w:right w:val="single" w:sz="8" w:space="0" w:color="auto"/>
            </w:tcBorders>
            <w:shd w:val="clear" w:color="auto" w:fill="auto"/>
            <w:noWrap/>
            <w:vAlign w:val="center"/>
            <w:hideMark/>
          </w:tcPr>
          <w:p w14:paraId="2064078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2305</w:t>
            </w:r>
          </w:p>
        </w:tc>
        <w:tc>
          <w:tcPr>
            <w:tcW w:w="543" w:type="pct"/>
            <w:tcBorders>
              <w:top w:val="nil"/>
              <w:left w:val="nil"/>
              <w:bottom w:val="single" w:sz="8" w:space="0" w:color="auto"/>
              <w:right w:val="single" w:sz="8" w:space="0" w:color="auto"/>
            </w:tcBorders>
            <w:shd w:val="clear" w:color="auto" w:fill="auto"/>
            <w:noWrap/>
            <w:vAlign w:val="center"/>
            <w:hideMark/>
          </w:tcPr>
          <w:p w14:paraId="38829982"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699</w:t>
            </w:r>
          </w:p>
        </w:tc>
        <w:tc>
          <w:tcPr>
            <w:tcW w:w="534" w:type="pct"/>
            <w:tcBorders>
              <w:top w:val="nil"/>
              <w:left w:val="nil"/>
              <w:bottom w:val="single" w:sz="8" w:space="0" w:color="auto"/>
              <w:right w:val="single" w:sz="8" w:space="0" w:color="auto"/>
            </w:tcBorders>
            <w:shd w:val="clear" w:color="auto" w:fill="auto"/>
            <w:noWrap/>
            <w:vAlign w:val="center"/>
            <w:hideMark/>
          </w:tcPr>
          <w:p w14:paraId="0547D3E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928</w:t>
            </w:r>
          </w:p>
        </w:tc>
        <w:tc>
          <w:tcPr>
            <w:tcW w:w="534" w:type="pct"/>
            <w:tcBorders>
              <w:top w:val="nil"/>
              <w:left w:val="nil"/>
              <w:bottom w:val="single" w:sz="8" w:space="0" w:color="auto"/>
              <w:right w:val="single" w:sz="8" w:space="0" w:color="auto"/>
            </w:tcBorders>
            <w:shd w:val="clear" w:color="auto" w:fill="auto"/>
            <w:noWrap/>
            <w:vAlign w:val="center"/>
            <w:hideMark/>
          </w:tcPr>
          <w:p w14:paraId="2F99F60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350</w:t>
            </w:r>
          </w:p>
        </w:tc>
        <w:tc>
          <w:tcPr>
            <w:tcW w:w="534" w:type="pct"/>
            <w:tcBorders>
              <w:top w:val="nil"/>
              <w:left w:val="nil"/>
              <w:bottom w:val="single" w:sz="8" w:space="0" w:color="auto"/>
              <w:right w:val="single" w:sz="8" w:space="0" w:color="auto"/>
            </w:tcBorders>
            <w:shd w:val="clear" w:color="auto" w:fill="auto"/>
            <w:noWrap/>
            <w:vAlign w:val="center"/>
            <w:hideMark/>
          </w:tcPr>
          <w:p w14:paraId="4080369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53</w:t>
            </w:r>
          </w:p>
        </w:tc>
        <w:tc>
          <w:tcPr>
            <w:tcW w:w="534" w:type="pct"/>
            <w:tcBorders>
              <w:top w:val="nil"/>
              <w:left w:val="nil"/>
              <w:bottom w:val="single" w:sz="8" w:space="0" w:color="auto"/>
              <w:right w:val="single" w:sz="8" w:space="0" w:color="auto"/>
            </w:tcBorders>
            <w:shd w:val="clear" w:color="auto" w:fill="auto"/>
            <w:noWrap/>
            <w:vAlign w:val="center"/>
            <w:hideMark/>
          </w:tcPr>
          <w:p w14:paraId="11BB4D13"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30</w:t>
            </w:r>
          </w:p>
        </w:tc>
      </w:tr>
      <w:tr w:rsidR="00397619" w:rsidRPr="00397619" w14:paraId="0D7063E8"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64077C34"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Heredia</w:t>
            </w:r>
          </w:p>
        </w:tc>
        <w:tc>
          <w:tcPr>
            <w:tcW w:w="534" w:type="pct"/>
            <w:tcBorders>
              <w:top w:val="nil"/>
              <w:left w:val="nil"/>
              <w:bottom w:val="single" w:sz="8" w:space="0" w:color="auto"/>
              <w:right w:val="single" w:sz="8" w:space="0" w:color="auto"/>
            </w:tcBorders>
            <w:shd w:val="clear" w:color="auto" w:fill="auto"/>
            <w:noWrap/>
            <w:vAlign w:val="center"/>
            <w:hideMark/>
          </w:tcPr>
          <w:p w14:paraId="0E34C4D0"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2163</w:t>
            </w:r>
          </w:p>
        </w:tc>
        <w:tc>
          <w:tcPr>
            <w:tcW w:w="543" w:type="pct"/>
            <w:tcBorders>
              <w:top w:val="nil"/>
              <w:left w:val="nil"/>
              <w:bottom w:val="single" w:sz="8" w:space="0" w:color="auto"/>
              <w:right w:val="single" w:sz="8" w:space="0" w:color="auto"/>
            </w:tcBorders>
            <w:shd w:val="clear" w:color="auto" w:fill="auto"/>
            <w:noWrap/>
            <w:vAlign w:val="center"/>
            <w:hideMark/>
          </w:tcPr>
          <w:p w14:paraId="196F24F3"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780</w:t>
            </w:r>
          </w:p>
        </w:tc>
        <w:tc>
          <w:tcPr>
            <w:tcW w:w="534" w:type="pct"/>
            <w:tcBorders>
              <w:top w:val="nil"/>
              <w:left w:val="nil"/>
              <w:bottom w:val="single" w:sz="8" w:space="0" w:color="auto"/>
              <w:right w:val="single" w:sz="8" w:space="0" w:color="auto"/>
            </w:tcBorders>
            <w:shd w:val="clear" w:color="auto" w:fill="auto"/>
            <w:noWrap/>
            <w:vAlign w:val="center"/>
            <w:hideMark/>
          </w:tcPr>
          <w:p w14:paraId="57E9396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652</w:t>
            </w:r>
          </w:p>
        </w:tc>
        <w:tc>
          <w:tcPr>
            <w:tcW w:w="534" w:type="pct"/>
            <w:tcBorders>
              <w:top w:val="nil"/>
              <w:left w:val="nil"/>
              <w:bottom w:val="single" w:sz="8" w:space="0" w:color="auto"/>
              <w:right w:val="single" w:sz="8" w:space="0" w:color="auto"/>
            </w:tcBorders>
            <w:shd w:val="clear" w:color="auto" w:fill="auto"/>
            <w:noWrap/>
            <w:vAlign w:val="center"/>
            <w:hideMark/>
          </w:tcPr>
          <w:p w14:paraId="294BBD9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319</w:t>
            </w:r>
          </w:p>
        </w:tc>
        <w:tc>
          <w:tcPr>
            <w:tcW w:w="534" w:type="pct"/>
            <w:tcBorders>
              <w:top w:val="nil"/>
              <w:left w:val="nil"/>
              <w:bottom w:val="single" w:sz="8" w:space="0" w:color="auto"/>
              <w:right w:val="single" w:sz="8" w:space="0" w:color="auto"/>
            </w:tcBorders>
            <w:shd w:val="clear" w:color="auto" w:fill="auto"/>
            <w:noWrap/>
            <w:vAlign w:val="center"/>
            <w:hideMark/>
          </w:tcPr>
          <w:p w14:paraId="59B54B41"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52</w:t>
            </w:r>
          </w:p>
        </w:tc>
        <w:tc>
          <w:tcPr>
            <w:tcW w:w="534" w:type="pct"/>
            <w:tcBorders>
              <w:top w:val="nil"/>
              <w:left w:val="nil"/>
              <w:bottom w:val="single" w:sz="8" w:space="0" w:color="auto"/>
              <w:right w:val="single" w:sz="8" w:space="0" w:color="auto"/>
            </w:tcBorders>
            <w:shd w:val="clear" w:color="auto" w:fill="auto"/>
            <w:noWrap/>
            <w:vAlign w:val="center"/>
            <w:hideMark/>
          </w:tcPr>
          <w:p w14:paraId="1B14F10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25</w:t>
            </w:r>
          </w:p>
        </w:tc>
      </w:tr>
      <w:tr w:rsidR="00397619" w:rsidRPr="00397619" w14:paraId="62687816"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2BB56924"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 xml:space="preserve">Juzgado Pensiones Alimentarias I Circ. Jud. Alajuela </w:t>
            </w:r>
          </w:p>
        </w:tc>
        <w:tc>
          <w:tcPr>
            <w:tcW w:w="534" w:type="pct"/>
            <w:tcBorders>
              <w:top w:val="nil"/>
              <w:left w:val="nil"/>
              <w:bottom w:val="single" w:sz="8" w:space="0" w:color="auto"/>
              <w:right w:val="single" w:sz="8" w:space="0" w:color="auto"/>
            </w:tcBorders>
            <w:shd w:val="clear" w:color="auto" w:fill="auto"/>
            <w:noWrap/>
            <w:vAlign w:val="center"/>
            <w:hideMark/>
          </w:tcPr>
          <w:p w14:paraId="698F43D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3302</w:t>
            </w:r>
          </w:p>
        </w:tc>
        <w:tc>
          <w:tcPr>
            <w:tcW w:w="543" w:type="pct"/>
            <w:tcBorders>
              <w:top w:val="nil"/>
              <w:left w:val="nil"/>
              <w:bottom w:val="single" w:sz="8" w:space="0" w:color="auto"/>
              <w:right w:val="single" w:sz="8" w:space="0" w:color="auto"/>
            </w:tcBorders>
            <w:shd w:val="clear" w:color="auto" w:fill="auto"/>
            <w:noWrap/>
            <w:vAlign w:val="center"/>
            <w:hideMark/>
          </w:tcPr>
          <w:p w14:paraId="382AB76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691</w:t>
            </w:r>
          </w:p>
        </w:tc>
        <w:tc>
          <w:tcPr>
            <w:tcW w:w="534" w:type="pct"/>
            <w:tcBorders>
              <w:top w:val="nil"/>
              <w:left w:val="nil"/>
              <w:bottom w:val="single" w:sz="8" w:space="0" w:color="auto"/>
              <w:right w:val="single" w:sz="8" w:space="0" w:color="auto"/>
            </w:tcBorders>
            <w:shd w:val="clear" w:color="auto" w:fill="auto"/>
            <w:noWrap/>
            <w:vAlign w:val="center"/>
            <w:hideMark/>
          </w:tcPr>
          <w:p w14:paraId="59CA762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1004</w:t>
            </w:r>
          </w:p>
        </w:tc>
        <w:tc>
          <w:tcPr>
            <w:tcW w:w="534" w:type="pct"/>
            <w:tcBorders>
              <w:top w:val="nil"/>
              <w:left w:val="nil"/>
              <w:bottom w:val="single" w:sz="8" w:space="0" w:color="auto"/>
              <w:right w:val="single" w:sz="8" w:space="0" w:color="auto"/>
            </w:tcBorders>
            <w:shd w:val="clear" w:color="auto" w:fill="auto"/>
            <w:noWrap/>
            <w:vAlign w:val="center"/>
            <w:hideMark/>
          </w:tcPr>
          <w:p w14:paraId="4724B06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444</w:t>
            </w:r>
          </w:p>
        </w:tc>
        <w:tc>
          <w:tcPr>
            <w:tcW w:w="534" w:type="pct"/>
            <w:tcBorders>
              <w:top w:val="nil"/>
              <w:left w:val="nil"/>
              <w:bottom w:val="single" w:sz="8" w:space="0" w:color="auto"/>
              <w:right w:val="single" w:sz="8" w:space="0" w:color="auto"/>
            </w:tcBorders>
            <w:shd w:val="clear" w:color="auto" w:fill="auto"/>
            <w:noWrap/>
            <w:vAlign w:val="center"/>
            <w:hideMark/>
          </w:tcPr>
          <w:p w14:paraId="65905C9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59</w:t>
            </w:r>
          </w:p>
        </w:tc>
        <w:tc>
          <w:tcPr>
            <w:tcW w:w="534" w:type="pct"/>
            <w:tcBorders>
              <w:top w:val="nil"/>
              <w:left w:val="nil"/>
              <w:bottom w:val="single" w:sz="8" w:space="0" w:color="auto"/>
              <w:right w:val="single" w:sz="8" w:space="0" w:color="auto"/>
            </w:tcBorders>
            <w:shd w:val="clear" w:color="auto" w:fill="auto"/>
            <w:noWrap/>
            <w:vAlign w:val="center"/>
            <w:hideMark/>
          </w:tcPr>
          <w:p w14:paraId="6E3E2D9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33</w:t>
            </w:r>
          </w:p>
        </w:tc>
      </w:tr>
      <w:tr w:rsidR="00397619" w:rsidRPr="00397619" w14:paraId="2A1034BB"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5CD3C9AB"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 xml:space="preserve">Juzgado Pensiones Alimentarias I Circ. Jud. San José </w:t>
            </w:r>
          </w:p>
        </w:tc>
        <w:tc>
          <w:tcPr>
            <w:tcW w:w="534" w:type="pct"/>
            <w:tcBorders>
              <w:top w:val="nil"/>
              <w:left w:val="nil"/>
              <w:bottom w:val="single" w:sz="8" w:space="0" w:color="auto"/>
              <w:right w:val="single" w:sz="8" w:space="0" w:color="auto"/>
            </w:tcBorders>
            <w:shd w:val="clear" w:color="auto" w:fill="auto"/>
            <w:noWrap/>
            <w:vAlign w:val="center"/>
            <w:hideMark/>
          </w:tcPr>
          <w:p w14:paraId="43EC919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2351</w:t>
            </w:r>
          </w:p>
        </w:tc>
        <w:tc>
          <w:tcPr>
            <w:tcW w:w="543" w:type="pct"/>
            <w:tcBorders>
              <w:top w:val="nil"/>
              <w:left w:val="nil"/>
              <w:bottom w:val="single" w:sz="8" w:space="0" w:color="auto"/>
              <w:right w:val="single" w:sz="8" w:space="0" w:color="auto"/>
            </w:tcBorders>
            <w:shd w:val="clear" w:color="auto" w:fill="auto"/>
            <w:noWrap/>
            <w:vAlign w:val="center"/>
            <w:hideMark/>
          </w:tcPr>
          <w:p w14:paraId="659B34D6"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361</w:t>
            </w:r>
          </w:p>
        </w:tc>
        <w:tc>
          <w:tcPr>
            <w:tcW w:w="534" w:type="pct"/>
            <w:tcBorders>
              <w:top w:val="nil"/>
              <w:left w:val="nil"/>
              <w:bottom w:val="single" w:sz="8" w:space="0" w:color="auto"/>
              <w:right w:val="single" w:sz="8" w:space="0" w:color="auto"/>
            </w:tcBorders>
            <w:shd w:val="clear" w:color="auto" w:fill="auto"/>
            <w:noWrap/>
            <w:vAlign w:val="center"/>
            <w:hideMark/>
          </w:tcPr>
          <w:p w14:paraId="0E46D8CD"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629</w:t>
            </w:r>
          </w:p>
        </w:tc>
        <w:tc>
          <w:tcPr>
            <w:tcW w:w="534" w:type="pct"/>
            <w:tcBorders>
              <w:top w:val="nil"/>
              <w:left w:val="nil"/>
              <w:bottom w:val="single" w:sz="8" w:space="0" w:color="auto"/>
              <w:right w:val="single" w:sz="8" w:space="0" w:color="auto"/>
            </w:tcBorders>
            <w:shd w:val="clear" w:color="auto" w:fill="auto"/>
            <w:noWrap/>
            <w:vAlign w:val="center"/>
            <w:hideMark/>
          </w:tcPr>
          <w:p w14:paraId="4EF7E8E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297</w:t>
            </w:r>
          </w:p>
        </w:tc>
        <w:tc>
          <w:tcPr>
            <w:tcW w:w="534" w:type="pct"/>
            <w:tcBorders>
              <w:top w:val="nil"/>
              <w:left w:val="nil"/>
              <w:bottom w:val="single" w:sz="8" w:space="0" w:color="auto"/>
              <w:right w:val="single" w:sz="8" w:space="0" w:color="auto"/>
            </w:tcBorders>
            <w:shd w:val="clear" w:color="auto" w:fill="auto"/>
            <w:noWrap/>
            <w:vAlign w:val="center"/>
            <w:hideMark/>
          </w:tcPr>
          <w:p w14:paraId="17AE6A6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60</w:t>
            </w:r>
          </w:p>
        </w:tc>
        <w:tc>
          <w:tcPr>
            <w:tcW w:w="534" w:type="pct"/>
            <w:tcBorders>
              <w:top w:val="nil"/>
              <w:left w:val="nil"/>
              <w:bottom w:val="single" w:sz="8" w:space="0" w:color="auto"/>
              <w:right w:val="single" w:sz="8" w:space="0" w:color="auto"/>
            </w:tcBorders>
            <w:shd w:val="clear" w:color="auto" w:fill="auto"/>
            <w:noWrap/>
            <w:vAlign w:val="center"/>
            <w:hideMark/>
          </w:tcPr>
          <w:p w14:paraId="19353A74"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31</w:t>
            </w:r>
          </w:p>
        </w:tc>
      </w:tr>
      <w:tr w:rsidR="00397619" w:rsidRPr="00397619" w14:paraId="1310156A"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4AC3B370"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 xml:space="preserve">Juzgado Pensiones Alimentarias I Circ. Jud. Zona Atlántica (Limón) </w:t>
            </w:r>
          </w:p>
        </w:tc>
        <w:tc>
          <w:tcPr>
            <w:tcW w:w="534" w:type="pct"/>
            <w:tcBorders>
              <w:top w:val="nil"/>
              <w:left w:val="nil"/>
              <w:bottom w:val="single" w:sz="8" w:space="0" w:color="auto"/>
              <w:right w:val="single" w:sz="8" w:space="0" w:color="auto"/>
            </w:tcBorders>
            <w:shd w:val="clear" w:color="auto" w:fill="auto"/>
            <w:noWrap/>
            <w:vAlign w:val="center"/>
            <w:hideMark/>
          </w:tcPr>
          <w:p w14:paraId="50C7B0C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1512</w:t>
            </w:r>
          </w:p>
        </w:tc>
        <w:tc>
          <w:tcPr>
            <w:tcW w:w="543" w:type="pct"/>
            <w:tcBorders>
              <w:top w:val="nil"/>
              <w:left w:val="nil"/>
              <w:bottom w:val="single" w:sz="8" w:space="0" w:color="auto"/>
              <w:right w:val="single" w:sz="8" w:space="0" w:color="auto"/>
            </w:tcBorders>
            <w:shd w:val="clear" w:color="auto" w:fill="auto"/>
            <w:noWrap/>
            <w:vAlign w:val="center"/>
            <w:hideMark/>
          </w:tcPr>
          <w:p w14:paraId="17D6452C"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376</w:t>
            </w:r>
          </w:p>
        </w:tc>
        <w:tc>
          <w:tcPr>
            <w:tcW w:w="534" w:type="pct"/>
            <w:tcBorders>
              <w:top w:val="nil"/>
              <w:left w:val="nil"/>
              <w:bottom w:val="single" w:sz="8" w:space="0" w:color="auto"/>
              <w:right w:val="single" w:sz="8" w:space="0" w:color="auto"/>
            </w:tcBorders>
            <w:shd w:val="clear" w:color="auto" w:fill="auto"/>
            <w:noWrap/>
            <w:vAlign w:val="center"/>
            <w:hideMark/>
          </w:tcPr>
          <w:p w14:paraId="12287244"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538</w:t>
            </w:r>
          </w:p>
        </w:tc>
        <w:tc>
          <w:tcPr>
            <w:tcW w:w="534" w:type="pct"/>
            <w:tcBorders>
              <w:top w:val="nil"/>
              <w:left w:val="nil"/>
              <w:bottom w:val="single" w:sz="8" w:space="0" w:color="auto"/>
              <w:right w:val="single" w:sz="8" w:space="0" w:color="auto"/>
            </w:tcBorders>
            <w:shd w:val="clear" w:color="auto" w:fill="auto"/>
            <w:noWrap/>
            <w:vAlign w:val="center"/>
            <w:hideMark/>
          </w:tcPr>
          <w:p w14:paraId="34B466E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216</w:t>
            </w:r>
          </w:p>
        </w:tc>
        <w:tc>
          <w:tcPr>
            <w:tcW w:w="534" w:type="pct"/>
            <w:tcBorders>
              <w:top w:val="nil"/>
              <w:left w:val="nil"/>
              <w:bottom w:val="single" w:sz="8" w:space="0" w:color="auto"/>
              <w:right w:val="single" w:sz="8" w:space="0" w:color="auto"/>
            </w:tcBorders>
            <w:shd w:val="clear" w:color="auto" w:fill="auto"/>
            <w:noWrap/>
            <w:vAlign w:val="center"/>
            <w:hideMark/>
          </w:tcPr>
          <w:p w14:paraId="07DCA1B6"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56</w:t>
            </w:r>
          </w:p>
        </w:tc>
        <w:tc>
          <w:tcPr>
            <w:tcW w:w="534" w:type="pct"/>
            <w:tcBorders>
              <w:top w:val="nil"/>
              <w:left w:val="nil"/>
              <w:bottom w:val="single" w:sz="8" w:space="0" w:color="auto"/>
              <w:right w:val="single" w:sz="8" w:space="0" w:color="auto"/>
            </w:tcBorders>
            <w:shd w:val="clear" w:color="auto" w:fill="auto"/>
            <w:noWrap/>
            <w:vAlign w:val="center"/>
            <w:hideMark/>
          </w:tcPr>
          <w:p w14:paraId="363464E9"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25</w:t>
            </w:r>
          </w:p>
        </w:tc>
      </w:tr>
      <w:tr w:rsidR="00397619" w:rsidRPr="00397619" w14:paraId="200DFCC6"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6B124405"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I Circ. Jud. Zona Sur (Pérez Zeledón)</w:t>
            </w:r>
          </w:p>
        </w:tc>
        <w:tc>
          <w:tcPr>
            <w:tcW w:w="534" w:type="pct"/>
            <w:tcBorders>
              <w:top w:val="nil"/>
              <w:left w:val="nil"/>
              <w:bottom w:val="single" w:sz="8" w:space="0" w:color="auto"/>
              <w:right w:val="single" w:sz="8" w:space="0" w:color="auto"/>
            </w:tcBorders>
            <w:shd w:val="clear" w:color="auto" w:fill="auto"/>
            <w:noWrap/>
            <w:vAlign w:val="center"/>
            <w:hideMark/>
          </w:tcPr>
          <w:p w14:paraId="36C85CB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1280</w:t>
            </w:r>
          </w:p>
        </w:tc>
        <w:tc>
          <w:tcPr>
            <w:tcW w:w="543" w:type="pct"/>
            <w:tcBorders>
              <w:top w:val="nil"/>
              <w:left w:val="nil"/>
              <w:bottom w:val="single" w:sz="8" w:space="0" w:color="auto"/>
              <w:right w:val="single" w:sz="8" w:space="0" w:color="auto"/>
            </w:tcBorders>
            <w:shd w:val="clear" w:color="auto" w:fill="auto"/>
            <w:noWrap/>
            <w:vAlign w:val="center"/>
            <w:hideMark/>
          </w:tcPr>
          <w:p w14:paraId="3F99BDB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282</w:t>
            </w:r>
          </w:p>
        </w:tc>
        <w:tc>
          <w:tcPr>
            <w:tcW w:w="534" w:type="pct"/>
            <w:tcBorders>
              <w:top w:val="nil"/>
              <w:left w:val="nil"/>
              <w:bottom w:val="single" w:sz="8" w:space="0" w:color="auto"/>
              <w:right w:val="single" w:sz="8" w:space="0" w:color="auto"/>
            </w:tcBorders>
            <w:shd w:val="clear" w:color="auto" w:fill="auto"/>
            <w:noWrap/>
            <w:vAlign w:val="center"/>
            <w:hideMark/>
          </w:tcPr>
          <w:p w14:paraId="080FB1C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474</w:t>
            </w:r>
          </w:p>
        </w:tc>
        <w:tc>
          <w:tcPr>
            <w:tcW w:w="534" w:type="pct"/>
            <w:tcBorders>
              <w:top w:val="nil"/>
              <w:left w:val="nil"/>
              <w:bottom w:val="single" w:sz="8" w:space="0" w:color="auto"/>
              <w:right w:val="single" w:sz="8" w:space="0" w:color="auto"/>
            </w:tcBorders>
            <w:shd w:val="clear" w:color="auto" w:fill="auto"/>
            <w:noWrap/>
            <w:vAlign w:val="center"/>
            <w:hideMark/>
          </w:tcPr>
          <w:p w14:paraId="5D24F8A3"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181</w:t>
            </w:r>
          </w:p>
        </w:tc>
        <w:tc>
          <w:tcPr>
            <w:tcW w:w="534" w:type="pct"/>
            <w:tcBorders>
              <w:top w:val="nil"/>
              <w:left w:val="nil"/>
              <w:bottom w:val="single" w:sz="8" w:space="0" w:color="auto"/>
              <w:right w:val="single" w:sz="8" w:space="0" w:color="auto"/>
            </w:tcBorders>
            <w:shd w:val="clear" w:color="auto" w:fill="auto"/>
            <w:noWrap/>
            <w:vAlign w:val="center"/>
            <w:hideMark/>
          </w:tcPr>
          <w:p w14:paraId="6E63660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46</w:t>
            </w:r>
          </w:p>
        </w:tc>
        <w:tc>
          <w:tcPr>
            <w:tcW w:w="534" w:type="pct"/>
            <w:tcBorders>
              <w:top w:val="nil"/>
              <w:left w:val="nil"/>
              <w:bottom w:val="single" w:sz="8" w:space="0" w:color="auto"/>
              <w:right w:val="single" w:sz="8" w:space="0" w:color="auto"/>
            </w:tcBorders>
            <w:shd w:val="clear" w:color="auto" w:fill="auto"/>
            <w:noWrap/>
            <w:vAlign w:val="center"/>
            <w:hideMark/>
          </w:tcPr>
          <w:p w14:paraId="764DC1BA"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23</w:t>
            </w:r>
          </w:p>
        </w:tc>
      </w:tr>
      <w:tr w:rsidR="00397619" w:rsidRPr="00397619" w14:paraId="784CC3A1"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53A709AD"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II Circ. Jud. San José (Goicoechea)</w:t>
            </w:r>
          </w:p>
        </w:tc>
        <w:tc>
          <w:tcPr>
            <w:tcW w:w="534" w:type="pct"/>
            <w:tcBorders>
              <w:top w:val="nil"/>
              <w:left w:val="nil"/>
              <w:bottom w:val="single" w:sz="8" w:space="0" w:color="auto"/>
              <w:right w:val="single" w:sz="8" w:space="0" w:color="auto"/>
            </w:tcBorders>
            <w:shd w:val="clear" w:color="auto" w:fill="auto"/>
            <w:noWrap/>
            <w:vAlign w:val="center"/>
            <w:hideMark/>
          </w:tcPr>
          <w:p w14:paraId="4A2B123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4700</w:t>
            </w:r>
          </w:p>
        </w:tc>
        <w:tc>
          <w:tcPr>
            <w:tcW w:w="543" w:type="pct"/>
            <w:tcBorders>
              <w:top w:val="nil"/>
              <w:left w:val="nil"/>
              <w:bottom w:val="single" w:sz="8" w:space="0" w:color="auto"/>
              <w:right w:val="single" w:sz="8" w:space="0" w:color="auto"/>
            </w:tcBorders>
            <w:shd w:val="clear" w:color="auto" w:fill="auto"/>
            <w:noWrap/>
            <w:vAlign w:val="center"/>
            <w:hideMark/>
          </w:tcPr>
          <w:p w14:paraId="7166455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1110</w:t>
            </w:r>
          </w:p>
        </w:tc>
        <w:tc>
          <w:tcPr>
            <w:tcW w:w="534" w:type="pct"/>
            <w:tcBorders>
              <w:top w:val="nil"/>
              <w:left w:val="nil"/>
              <w:bottom w:val="single" w:sz="8" w:space="0" w:color="auto"/>
              <w:right w:val="single" w:sz="8" w:space="0" w:color="auto"/>
            </w:tcBorders>
            <w:shd w:val="clear" w:color="auto" w:fill="auto"/>
            <w:noWrap/>
            <w:vAlign w:val="center"/>
            <w:hideMark/>
          </w:tcPr>
          <w:p w14:paraId="7B7FA68C"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1792</w:t>
            </w:r>
          </w:p>
        </w:tc>
        <w:tc>
          <w:tcPr>
            <w:tcW w:w="534" w:type="pct"/>
            <w:tcBorders>
              <w:top w:val="nil"/>
              <w:left w:val="nil"/>
              <w:bottom w:val="single" w:sz="8" w:space="0" w:color="auto"/>
              <w:right w:val="single" w:sz="8" w:space="0" w:color="auto"/>
            </w:tcBorders>
            <w:shd w:val="clear" w:color="auto" w:fill="auto"/>
            <w:noWrap/>
            <w:vAlign w:val="center"/>
            <w:hideMark/>
          </w:tcPr>
          <w:p w14:paraId="6B2537AD"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676</w:t>
            </w:r>
          </w:p>
        </w:tc>
        <w:tc>
          <w:tcPr>
            <w:tcW w:w="534" w:type="pct"/>
            <w:tcBorders>
              <w:top w:val="nil"/>
              <w:left w:val="nil"/>
              <w:bottom w:val="single" w:sz="8" w:space="0" w:color="auto"/>
              <w:right w:val="single" w:sz="8" w:space="0" w:color="auto"/>
            </w:tcBorders>
            <w:shd w:val="clear" w:color="auto" w:fill="auto"/>
            <w:noWrap/>
            <w:vAlign w:val="center"/>
            <w:hideMark/>
          </w:tcPr>
          <w:p w14:paraId="0DD5DA91"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43</w:t>
            </w:r>
          </w:p>
        </w:tc>
        <w:tc>
          <w:tcPr>
            <w:tcW w:w="534" w:type="pct"/>
            <w:tcBorders>
              <w:top w:val="nil"/>
              <w:left w:val="nil"/>
              <w:bottom w:val="single" w:sz="8" w:space="0" w:color="auto"/>
              <w:right w:val="single" w:sz="8" w:space="0" w:color="auto"/>
            </w:tcBorders>
            <w:shd w:val="clear" w:color="auto" w:fill="auto"/>
            <w:noWrap/>
            <w:vAlign w:val="center"/>
            <w:hideMark/>
          </w:tcPr>
          <w:p w14:paraId="602EA3B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27</w:t>
            </w:r>
          </w:p>
        </w:tc>
      </w:tr>
      <w:tr w:rsidR="00397619" w:rsidRPr="00397619" w14:paraId="3631C6B2"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33F9F13F"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II Circ. Jud. Zona Atlántica (Pococí)</w:t>
            </w:r>
          </w:p>
        </w:tc>
        <w:tc>
          <w:tcPr>
            <w:tcW w:w="534" w:type="pct"/>
            <w:tcBorders>
              <w:top w:val="nil"/>
              <w:left w:val="nil"/>
              <w:bottom w:val="single" w:sz="8" w:space="0" w:color="auto"/>
              <w:right w:val="single" w:sz="8" w:space="0" w:color="auto"/>
            </w:tcBorders>
            <w:shd w:val="clear" w:color="auto" w:fill="auto"/>
            <w:noWrap/>
            <w:vAlign w:val="center"/>
            <w:hideMark/>
          </w:tcPr>
          <w:p w14:paraId="16A8DE2C"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2318</w:t>
            </w:r>
          </w:p>
        </w:tc>
        <w:tc>
          <w:tcPr>
            <w:tcW w:w="543" w:type="pct"/>
            <w:tcBorders>
              <w:top w:val="nil"/>
              <w:left w:val="nil"/>
              <w:bottom w:val="single" w:sz="8" w:space="0" w:color="auto"/>
              <w:right w:val="single" w:sz="8" w:space="0" w:color="auto"/>
            </w:tcBorders>
            <w:shd w:val="clear" w:color="auto" w:fill="auto"/>
            <w:noWrap/>
            <w:vAlign w:val="center"/>
            <w:hideMark/>
          </w:tcPr>
          <w:p w14:paraId="6760011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360</w:t>
            </w:r>
          </w:p>
        </w:tc>
        <w:tc>
          <w:tcPr>
            <w:tcW w:w="534" w:type="pct"/>
            <w:tcBorders>
              <w:top w:val="nil"/>
              <w:left w:val="nil"/>
              <w:bottom w:val="single" w:sz="8" w:space="0" w:color="auto"/>
              <w:right w:val="single" w:sz="8" w:space="0" w:color="auto"/>
            </w:tcBorders>
            <w:shd w:val="clear" w:color="auto" w:fill="auto"/>
            <w:noWrap/>
            <w:vAlign w:val="center"/>
            <w:hideMark/>
          </w:tcPr>
          <w:p w14:paraId="6917D282"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1017</w:t>
            </w:r>
          </w:p>
        </w:tc>
        <w:tc>
          <w:tcPr>
            <w:tcW w:w="534" w:type="pct"/>
            <w:tcBorders>
              <w:top w:val="nil"/>
              <w:left w:val="nil"/>
              <w:bottom w:val="single" w:sz="8" w:space="0" w:color="auto"/>
              <w:right w:val="single" w:sz="8" w:space="0" w:color="auto"/>
            </w:tcBorders>
            <w:shd w:val="clear" w:color="auto" w:fill="auto"/>
            <w:noWrap/>
            <w:vAlign w:val="center"/>
            <w:hideMark/>
          </w:tcPr>
          <w:p w14:paraId="51F3B3AC"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328</w:t>
            </w:r>
          </w:p>
        </w:tc>
        <w:tc>
          <w:tcPr>
            <w:tcW w:w="534" w:type="pct"/>
            <w:tcBorders>
              <w:top w:val="nil"/>
              <w:left w:val="nil"/>
              <w:bottom w:val="single" w:sz="8" w:space="0" w:color="auto"/>
              <w:right w:val="single" w:sz="8" w:space="0" w:color="auto"/>
            </w:tcBorders>
            <w:shd w:val="clear" w:color="auto" w:fill="auto"/>
            <w:noWrap/>
            <w:vAlign w:val="center"/>
            <w:hideMark/>
          </w:tcPr>
          <w:p w14:paraId="0D409D49"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79</w:t>
            </w:r>
          </w:p>
        </w:tc>
        <w:tc>
          <w:tcPr>
            <w:tcW w:w="534" w:type="pct"/>
            <w:tcBorders>
              <w:top w:val="nil"/>
              <w:left w:val="nil"/>
              <w:bottom w:val="single" w:sz="8" w:space="0" w:color="auto"/>
              <w:right w:val="single" w:sz="8" w:space="0" w:color="auto"/>
            </w:tcBorders>
            <w:shd w:val="clear" w:color="auto" w:fill="auto"/>
            <w:noWrap/>
            <w:vAlign w:val="center"/>
            <w:hideMark/>
          </w:tcPr>
          <w:p w14:paraId="02DEBE2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42</w:t>
            </w:r>
          </w:p>
        </w:tc>
      </w:tr>
      <w:tr w:rsidR="00397619" w:rsidRPr="00397619" w14:paraId="6E45A47A"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2EA05D0E"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III Circ. Jud. San José (Desamparados)</w:t>
            </w:r>
          </w:p>
        </w:tc>
        <w:tc>
          <w:tcPr>
            <w:tcW w:w="534" w:type="pct"/>
            <w:tcBorders>
              <w:top w:val="nil"/>
              <w:left w:val="nil"/>
              <w:bottom w:val="single" w:sz="8" w:space="0" w:color="auto"/>
              <w:right w:val="single" w:sz="8" w:space="0" w:color="auto"/>
            </w:tcBorders>
            <w:shd w:val="clear" w:color="auto" w:fill="auto"/>
            <w:noWrap/>
            <w:vAlign w:val="center"/>
            <w:hideMark/>
          </w:tcPr>
          <w:p w14:paraId="591EAA04"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2705</w:t>
            </w:r>
          </w:p>
        </w:tc>
        <w:tc>
          <w:tcPr>
            <w:tcW w:w="543" w:type="pct"/>
            <w:tcBorders>
              <w:top w:val="nil"/>
              <w:left w:val="nil"/>
              <w:bottom w:val="single" w:sz="8" w:space="0" w:color="auto"/>
              <w:right w:val="single" w:sz="8" w:space="0" w:color="auto"/>
            </w:tcBorders>
            <w:shd w:val="clear" w:color="auto" w:fill="auto"/>
            <w:noWrap/>
            <w:vAlign w:val="center"/>
            <w:hideMark/>
          </w:tcPr>
          <w:p w14:paraId="086D43A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476</w:t>
            </w:r>
          </w:p>
        </w:tc>
        <w:tc>
          <w:tcPr>
            <w:tcW w:w="534" w:type="pct"/>
            <w:tcBorders>
              <w:top w:val="nil"/>
              <w:left w:val="nil"/>
              <w:bottom w:val="single" w:sz="8" w:space="0" w:color="auto"/>
              <w:right w:val="single" w:sz="8" w:space="0" w:color="auto"/>
            </w:tcBorders>
            <w:shd w:val="clear" w:color="auto" w:fill="auto"/>
            <w:noWrap/>
            <w:vAlign w:val="center"/>
            <w:hideMark/>
          </w:tcPr>
          <w:p w14:paraId="62CA3716"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1578</w:t>
            </w:r>
          </w:p>
        </w:tc>
        <w:tc>
          <w:tcPr>
            <w:tcW w:w="534" w:type="pct"/>
            <w:tcBorders>
              <w:top w:val="nil"/>
              <w:left w:val="nil"/>
              <w:bottom w:val="single" w:sz="8" w:space="0" w:color="auto"/>
              <w:right w:val="single" w:sz="8" w:space="0" w:color="auto"/>
            </w:tcBorders>
            <w:shd w:val="clear" w:color="auto" w:fill="auto"/>
            <w:noWrap/>
            <w:vAlign w:val="center"/>
            <w:hideMark/>
          </w:tcPr>
          <w:p w14:paraId="02B02EC6"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423</w:t>
            </w:r>
          </w:p>
        </w:tc>
        <w:tc>
          <w:tcPr>
            <w:tcW w:w="534" w:type="pct"/>
            <w:tcBorders>
              <w:top w:val="nil"/>
              <w:left w:val="nil"/>
              <w:bottom w:val="single" w:sz="8" w:space="0" w:color="auto"/>
              <w:right w:val="single" w:sz="8" w:space="0" w:color="auto"/>
            </w:tcBorders>
            <w:shd w:val="clear" w:color="auto" w:fill="auto"/>
            <w:noWrap/>
            <w:vAlign w:val="center"/>
            <w:hideMark/>
          </w:tcPr>
          <w:p w14:paraId="3BFF04F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57</w:t>
            </w:r>
          </w:p>
        </w:tc>
        <w:tc>
          <w:tcPr>
            <w:tcW w:w="534" w:type="pct"/>
            <w:tcBorders>
              <w:top w:val="nil"/>
              <w:left w:val="nil"/>
              <w:bottom w:val="single" w:sz="8" w:space="0" w:color="auto"/>
              <w:right w:val="single" w:sz="8" w:space="0" w:color="auto"/>
            </w:tcBorders>
            <w:shd w:val="clear" w:color="auto" w:fill="auto"/>
            <w:noWrap/>
            <w:vAlign w:val="center"/>
            <w:hideMark/>
          </w:tcPr>
          <w:p w14:paraId="416F84C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25</w:t>
            </w:r>
          </w:p>
        </w:tc>
      </w:tr>
      <w:tr w:rsidR="00397619" w:rsidRPr="00397619" w14:paraId="2F207C8F"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00C3C287"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Puntarenas</w:t>
            </w:r>
          </w:p>
        </w:tc>
        <w:tc>
          <w:tcPr>
            <w:tcW w:w="534" w:type="pct"/>
            <w:tcBorders>
              <w:top w:val="nil"/>
              <w:left w:val="nil"/>
              <w:bottom w:val="single" w:sz="8" w:space="0" w:color="auto"/>
              <w:right w:val="single" w:sz="8" w:space="0" w:color="auto"/>
            </w:tcBorders>
            <w:shd w:val="clear" w:color="auto" w:fill="auto"/>
            <w:noWrap/>
            <w:vAlign w:val="center"/>
            <w:hideMark/>
          </w:tcPr>
          <w:p w14:paraId="710A5F3A"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1740</w:t>
            </w:r>
          </w:p>
        </w:tc>
        <w:tc>
          <w:tcPr>
            <w:tcW w:w="543" w:type="pct"/>
            <w:tcBorders>
              <w:top w:val="nil"/>
              <w:left w:val="nil"/>
              <w:bottom w:val="single" w:sz="8" w:space="0" w:color="auto"/>
              <w:right w:val="single" w:sz="8" w:space="0" w:color="auto"/>
            </w:tcBorders>
            <w:shd w:val="clear" w:color="auto" w:fill="auto"/>
            <w:noWrap/>
            <w:vAlign w:val="center"/>
            <w:hideMark/>
          </w:tcPr>
          <w:p w14:paraId="35F4180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364</w:t>
            </w:r>
          </w:p>
        </w:tc>
        <w:tc>
          <w:tcPr>
            <w:tcW w:w="534" w:type="pct"/>
            <w:tcBorders>
              <w:top w:val="nil"/>
              <w:left w:val="nil"/>
              <w:bottom w:val="single" w:sz="8" w:space="0" w:color="auto"/>
              <w:right w:val="single" w:sz="8" w:space="0" w:color="auto"/>
            </w:tcBorders>
            <w:shd w:val="clear" w:color="auto" w:fill="auto"/>
            <w:noWrap/>
            <w:vAlign w:val="center"/>
            <w:hideMark/>
          </w:tcPr>
          <w:p w14:paraId="704A8F6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614</w:t>
            </w:r>
          </w:p>
        </w:tc>
        <w:tc>
          <w:tcPr>
            <w:tcW w:w="534" w:type="pct"/>
            <w:tcBorders>
              <w:top w:val="nil"/>
              <w:left w:val="nil"/>
              <w:bottom w:val="single" w:sz="8" w:space="0" w:color="auto"/>
              <w:right w:val="single" w:sz="8" w:space="0" w:color="auto"/>
            </w:tcBorders>
            <w:shd w:val="clear" w:color="auto" w:fill="auto"/>
            <w:noWrap/>
            <w:vAlign w:val="center"/>
            <w:hideMark/>
          </w:tcPr>
          <w:p w14:paraId="776C0123"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242</w:t>
            </w:r>
          </w:p>
        </w:tc>
        <w:tc>
          <w:tcPr>
            <w:tcW w:w="534" w:type="pct"/>
            <w:tcBorders>
              <w:top w:val="nil"/>
              <w:left w:val="nil"/>
              <w:bottom w:val="single" w:sz="8" w:space="0" w:color="auto"/>
              <w:right w:val="single" w:sz="8" w:space="0" w:color="auto"/>
            </w:tcBorders>
            <w:shd w:val="clear" w:color="auto" w:fill="auto"/>
            <w:noWrap/>
            <w:vAlign w:val="center"/>
            <w:hideMark/>
          </w:tcPr>
          <w:p w14:paraId="057487D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62</w:t>
            </w:r>
          </w:p>
        </w:tc>
        <w:tc>
          <w:tcPr>
            <w:tcW w:w="534" w:type="pct"/>
            <w:tcBorders>
              <w:top w:val="nil"/>
              <w:left w:val="nil"/>
              <w:bottom w:val="single" w:sz="8" w:space="0" w:color="auto"/>
              <w:right w:val="single" w:sz="8" w:space="0" w:color="auto"/>
            </w:tcBorders>
            <w:shd w:val="clear" w:color="auto" w:fill="auto"/>
            <w:noWrap/>
            <w:vAlign w:val="center"/>
            <w:hideMark/>
          </w:tcPr>
          <w:p w14:paraId="628BFAC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31</w:t>
            </w:r>
          </w:p>
        </w:tc>
      </w:tr>
      <w:tr w:rsidR="00397619" w:rsidRPr="00397619" w14:paraId="7AB28E74"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0C5752BE"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Sarapiquí</w:t>
            </w:r>
          </w:p>
        </w:tc>
        <w:tc>
          <w:tcPr>
            <w:tcW w:w="534" w:type="pct"/>
            <w:tcBorders>
              <w:top w:val="nil"/>
              <w:left w:val="nil"/>
              <w:bottom w:val="single" w:sz="8" w:space="0" w:color="auto"/>
              <w:right w:val="single" w:sz="8" w:space="0" w:color="auto"/>
            </w:tcBorders>
            <w:shd w:val="clear" w:color="auto" w:fill="auto"/>
            <w:noWrap/>
            <w:vAlign w:val="center"/>
            <w:hideMark/>
          </w:tcPr>
          <w:p w14:paraId="0D0DFFD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907</w:t>
            </w:r>
          </w:p>
        </w:tc>
        <w:tc>
          <w:tcPr>
            <w:tcW w:w="543" w:type="pct"/>
            <w:tcBorders>
              <w:top w:val="nil"/>
              <w:left w:val="nil"/>
              <w:bottom w:val="single" w:sz="8" w:space="0" w:color="auto"/>
              <w:right w:val="single" w:sz="8" w:space="0" w:color="auto"/>
            </w:tcBorders>
            <w:shd w:val="clear" w:color="auto" w:fill="auto"/>
            <w:noWrap/>
            <w:vAlign w:val="center"/>
            <w:hideMark/>
          </w:tcPr>
          <w:p w14:paraId="6D1DAE01"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103</w:t>
            </w:r>
          </w:p>
        </w:tc>
        <w:tc>
          <w:tcPr>
            <w:tcW w:w="534" w:type="pct"/>
            <w:tcBorders>
              <w:top w:val="nil"/>
              <w:left w:val="nil"/>
              <w:bottom w:val="single" w:sz="8" w:space="0" w:color="auto"/>
              <w:right w:val="single" w:sz="8" w:space="0" w:color="auto"/>
            </w:tcBorders>
            <w:shd w:val="clear" w:color="auto" w:fill="auto"/>
            <w:noWrap/>
            <w:vAlign w:val="center"/>
            <w:hideMark/>
          </w:tcPr>
          <w:p w14:paraId="26A94BB5"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383</w:t>
            </w:r>
          </w:p>
        </w:tc>
        <w:tc>
          <w:tcPr>
            <w:tcW w:w="534" w:type="pct"/>
            <w:tcBorders>
              <w:top w:val="nil"/>
              <w:left w:val="nil"/>
              <w:bottom w:val="single" w:sz="8" w:space="0" w:color="auto"/>
              <w:right w:val="single" w:sz="8" w:space="0" w:color="auto"/>
            </w:tcBorders>
            <w:shd w:val="clear" w:color="auto" w:fill="auto"/>
            <w:noWrap/>
            <w:vAlign w:val="center"/>
            <w:hideMark/>
          </w:tcPr>
          <w:p w14:paraId="47CA359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124</w:t>
            </w:r>
          </w:p>
        </w:tc>
        <w:tc>
          <w:tcPr>
            <w:tcW w:w="534" w:type="pct"/>
            <w:tcBorders>
              <w:top w:val="nil"/>
              <w:left w:val="nil"/>
              <w:bottom w:val="single" w:sz="8" w:space="0" w:color="auto"/>
              <w:right w:val="single" w:sz="8" w:space="0" w:color="auto"/>
            </w:tcBorders>
            <w:shd w:val="clear" w:color="auto" w:fill="auto"/>
            <w:noWrap/>
            <w:vAlign w:val="center"/>
            <w:hideMark/>
          </w:tcPr>
          <w:p w14:paraId="3376F611"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90</w:t>
            </w:r>
          </w:p>
        </w:tc>
        <w:tc>
          <w:tcPr>
            <w:tcW w:w="534" w:type="pct"/>
            <w:tcBorders>
              <w:top w:val="nil"/>
              <w:left w:val="nil"/>
              <w:bottom w:val="single" w:sz="8" w:space="0" w:color="auto"/>
              <w:right w:val="single" w:sz="8" w:space="0" w:color="auto"/>
            </w:tcBorders>
            <w:shd w:val="clear" w:color="auto" w:fill="auto"/>
            <w:noWrap/>
            <w:vAlign w:val="center"/>
            <w:hideMark/>
          </w:tcPr>
          <w:p w14:paraId="75CAA897"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42</w:t>
            </w:r>
          </w:p>
        </w:tc>
      </w:tr>
      <w:tr w:rsidR="00397619" w:rsidRPr="00397619" w14:paraId="2087B4BB" w14:textId="77777777" w:rsidTr="00397619">
        <w:trPr>
          <w:trHeight w:val="520"/>
        </w:trPr>
        <w:tc>
          <w:tcPr>
            <w:tcW w:w="1788" w:type="pct"/>
            <w:tcBorders>
              <w:top w:val="nil"/>
              <w:left w:val="single" w:sz="8" w:space="0" w:color="auto"/>
              <w:bottom w:val="single" w:sz="8" w:space="0" w:color="auto"/>
              <w:right w:val="single" w:sz="8" w:space="0" w:color="auto"/>
            </w:tcBorders>
            <w:shd w:val="clear" w:color="auto" w:fill="auto"/>
            <w:vAlign w:val="center"/>
            <w:hideMark/>
          </w:tcPr>
          <w:p w14:paraId="2F100408" w14:textId="77777777" w:rsidR="00397619" w:rsidRPr="00397619" w:rsidRDefault="00397619" w:rsidP="00397619">
            <w:pPr>
              <w:spacing w:after="0" w:line="240" w:lineRule="auto"/>
              <w:jc w:val="both"/>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Juzgado Pensiones Alimentarias Nicoya*</w:t>
            </w:r>
          </w:p>
        </w:tc>
        <w:tc>
          <w:tcPr>
            <w:tcW w:w="534" w:type="pct"/>
            <w:tcBorders>
              <w:top w:val="nil"/>
              <w:left w:val="nil"/>
              <w:bottom w:val="single" w:sz="8" w:space="0" w:color="auto"/>
              <w:right w:val="single" w:sz="8" w:space="0" w:color="auto"/>
            </w:tcBorders>
            <w:shd w:val="clear" w:color="auto" w:fill="auto"/>
            <w:noWrap/>
            <w:vAlign w:val="center"/>
            <w:hideMark/>
          </w:tcPr>
          <w:p w14:paraId="1477858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622</w:t>
            </w:r>
          </w:p>
        </w:tc>
        <w:tc>
          <w:tcPr>
            <w:tcW w:w="543" w:type="pct"/>
            <w:tcBorders>
              <w:top w:val="nil"/>
              <w:left w:val="nil"/>
              <w:bottom w:val="single" w:sz="8" w:space="0" w:color="auto"/>
              <w:right w:val="single" w:sz="8" w:space="0" w:color="auto"/>
            </w:tcBorders>
            <w:shd w:val="clear" w:color="auto" w:fill="auto"/>
            <w:noWrap/>
            <w:vAlign w:val="center"/>
            <w:hideMark/>
          </w:tcPr>
          <w:p w14:paraId="484AE8C8"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142</w:t>
            </w:r>
          </w:p>
        </w:tc>
        <w:tc>
          <w:tcPr>
            <w:tcW w:w="534" w:type="pct"/>
            <w:tcBorders>
              <w:top w:val="nil"/>
              <w:left w:val="nil"/>
              <w:bottom w:val="single" w:sz="8" w:space="0" w:color="auto"/>
              <w:right w:val="single" w:sz="8" w:space="0" w:color="auto"/>
            </w:tcBorders>
            <w:shd w:val="clear" w:color="auto" w:fill="auto"/>
            <w:noWrap/>
            <w:vAlign w:val="center"/>
            <w:hideMark/>
          </w:tcPr>
          <w:p w14:paraId="7CD11ED6"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394</w:t>
            </w:r>
          </w:p>
        </w:tc>
        <w:tc>
          <w:tcPr>
            <w:tcW w:w="534" w:type="pct"/>
            <w:tcBorders>
              <w:top w:val="nil"/>
              <w:left w:val="nil"/>
              <w:bottom w:val="single" w:sz="8" w:space="0" w:color="auto"/>
              <w:right w:val="single" w:sz="8" w:space="0" w:color="auto"/>
            </w:tcBorders>
            <w:shd w:val="clear" w:color="auto" w:fill="auto"/>
            <w:noWrap/>
            <w:vAlign w:val="center"/>
            <w:hideMark/>
          </w:tcPr>
          <w:p w14:paraId="7D99044E"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103</w:t>
            </w:r>
          </w:p>
        </w:tc>
        <w:tc>
          <w:tcPr>
            <w:tcW w:w="534" w:type="pct"/>
            <w:tcBorders>
              <w:top w:val="nil"/>
              <w:left w:val="nil"/>
              <w:bottom w:val="single" w:sz="8" w:space="0" w:color="auto"/>
              <w:right w:val="single" w:sz="8" w:space="0" w:color="auto"/>
            </w:tcBorders>
            <w:shd w:val="clear" w:color="auto" w:fill="auto"/>
            <w:noWrap/>
            <w:vAlign w:val="center"/>
            <w:hideMark/>
          </w:tcPr>
          <w:p w14:paraId="72471B3F"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34</w:t>
            </w:r>
          </w:p>
        </w:tc>
        <w:tc>
          <w:tcPr>
            <w:tcW w:w="534" w:type="pct"/>
            <w:tcBorders>
              <w:top w:val="nil"/>
              <w:left w:val="nil"/>
              <w:bottom w:val="single" w:sz="8" w:space="0" w:color="auto"/>
              <w:right w:val="single" w:sz="8" w:space="0" w:color="auto"/>
            </w:tcBorders>
            <w:shd w:val="clear" w:color="auto" w:fill="auto"/>
            <w:noWrap/>
            <w:vAlign w:val="center"/>
            <w:hideMark/>
          </w:tcPr>
          <w:p w14:paraId="2CED23EB" w14:textId="77777777" w:rsidR="00397619" w:rsidRPr="00397619" w:rsidRDefault="00397619" w:rsidP="00397619">
            <w:pPr>
              <w:spacing w:after="0" w:line="240" w:lineRule="auto"/>
              <w:jc w:val="center"/>
              <w:rPr>
                <w:rFonts w:ascii="Book Antiqua" w:eastAsia="Times New Roman" w:hAnsi="Book Antiqua" w:cs="Calibri"/>
                <w:color w:val="000000"/>
                <w:lang w:eastAsia="es-CR"/>
              </w:rPr>
            </w:pPr>
            <w:r w:rsidRPr="00397619">
              <w:rPr>
                <w:rFonts w:ascii="Book Antiqua" w:eastAsia="Times New Roman" w:hAnsi="Book Antiqua" w:cs="Calibri"/>
                <w:color w:val="000000"/>
                <w:lang w:eastAsia="es-CR"/>
              </w:rPr>
              <w:t>21</w:t>
            </w:r>
          </w:p>
        </w:tc>
      </w:tr>
      <w:tr w:rsidR="00397619" w:rsidRPr="00397619" w14:paraId="5ACCBAD2" w14:textId="77777777" w:rsidTr="00397619">
        <w:trPr>
          <w:trHeight w:val="300"/>
        </w:trPr>
        <w:tc>
          <w:tcPr>
            <w:tcW w:w="1788" w:type="pct"/>
            <w:tcBorders>
              <w:top w:val="nil"/>
              <w:left w:val="single" w:sz="8" w:space="0" w:color="auto"/>
              <w:bottom w:val="single" w:sz="8" w:space="0" w:color="auto"/>
              <w:right w:val="single" w:sz="8" w:space="0" w:color="auto"/>
            </w:tcBorders>
            <w:shd w:val="clear" w:color="000000" w:fill="808080"/>
            <w:vAlign w:val="center"/>
            <w:hideMark/>
          </w:tcPr>
          <w:p w14:paraId="112D32EB" w14:textId="77777777" w:rsidR="00397619" w:rsidRPr="00397619" w:rsidRDefault="00397619" w:rsidP="00397619">
            <w:pPr>
              <w:spacing w:after="0" w:line="240" w:lineRule="auto"/>
              <w:jc w:val="right"/>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Total</w:t>
            </w:r>
          </w:p>
        </w:tc>
        <w:tc>
          <w:tcPr>
            <w:tcW w:w="534" w:type="pct"/>
            <w:tcBorders>
              <w:top w:val="nil"/>
              <w:left w:val="nil"/>
              <w:bottom w:val="single" w:sz="8" w:space="0" w:color="auto"/>
              <w:right w:val="single" w:sz="8" w:space="0" w:color="auto"/>
            </w:tcBorders>
            <w:shd w:val="clear" w:color="000000" w:fill="808080"/>
            <w:noWrap/>
            <w:vAlign w:val="center"/>
            <w:hideMark/>
          </w:tcPr>
          <w:p w14:paraId="0E0711B4"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25906</w:t>
            </w:r>
          </w:p>
        </w:tc>
        <w:tc>
          <w:tcPr>
            <w:tcW w:w="543" w:type="pct"/>
            <w:tcBorders>
              <w:top w:val="nil"/>
              <w:left w:val="nil"/>
              <w:bottom w:val="single" w:sz="8" w:space="0" w:color="auto"/>
              <w:right w:val="single" w:sz="8" w:space="0" w:color="auto"/>
            </w:tcBorders>
            <w:shd w:val="clear" w:color="000000" w:fill="808080"/>
            <w:noWrap/>
            <w:vAlign w:val="center"/>
            <w:hideMark/>
          </w:tcPr>
          <w:p w14:paraId="403EDFF0"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5743</w:t>
            </w:r>
          </w:p>
        </w:tc>
        <w:tc>
          <w:tcPr>
            <w:tcW w:w="534" w:type="pct"/>
            <w:tcBorders>
              <w:top w:val="nil"/>
              <w:left w:val="nil"/>
              <w:bottom w:val="single" w:sz="8" w:space="0" w:color="auto"/>
              <w:right w:val="single" w:sz="8" w:space="0" w:color="auto"/>
            </w:tcBorders>
            <w:shd w:val="clear" w:color="000000" w:fill="808080"/>
            <w:noWrap/>
            <w:vAlign w:val="center"/>
            <w:hideMark/>
          </w:tcPr>
          <w:p w14:paraId="4721C0D8"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10003</w:t>
            </w:r>
          </w:p>
        </w:tc>
        <w:tc>
          <w:tcPr>
            <w:tcW w:w="534" w:type="pct"/>
            <w:tcBorders>
              <w:top w:val="nil"/>
              <w:left w:val="nil"/>
              <w:bottom w:val="single" w:sz="8" w:space="0" w:color="auto"/>
              <w:right w:val="single" w:sz="8" w:space="0" w:color="auto"/>
            </w:tcBorders>
            <w:shd w:val="clear" w:color="000000" w:fill="808080"/>
            <w:noWrap/>
            <w:vAlign w:val="center"/>
            <w:hideMark/>
          </w:tcPr>
          <w:p w14:paraId="74F00352"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3702</w:t>
            </w:r>
          </w:p>
        </w:tc>
        <w:tc>
          <w:tcPr>
            <w:tcW w:w="534" w:type="pct"/>
            <w:tcBorders>
              <w:top w:val="nil"/>
              <w:left w:val="nil"/>
              <w:bottom w:val="single" w:sz="8" w:space="0" w:color="auto"/>
              <w:right w:val="single" w:sz="8" w:space="0" w:color="auto"/>
            </w:tcBorders>
            <w:shd w:val="clear" w:color="000000" w:fill="808080"/>
            <w:noWrap/>
            <w:vAlign w:val="center"/>
            <w:hideMark/>
          </w:tcPr>
          <w:p w14:paraId="36BC4D5C" w14:textId="77777777" w:rsidR="00397619" w:rsidRPr="00397619" w:rsidRDefault="00397619" w:rsidP="00397619">
            <w:pPr>
              <w:spacing w:after="0" w:line="240" w:lineRule="auto"/>
              <w:rPr>
                <w:rFonts w:ascii="Calibri" w:eastAsia="Times New Roman" w:hAnsi="Calibri" w:cs="Calibri"/>
                <w:color w:val="000000"/>
                <w:lang w:eastAsia="es-CR"/>
              </w:rPr>
            </w:pPr>
            <w:r w:rsidRPr="00397619">
              <w:rPr>
                <w:rFonts w:ascii="Calibri" w:eastAsia="Times New Roman" w:hAnsi="Calibri" w:cs="Calibri"/>
                <w:color w:val="000000"/>
                <w:lang w:eastAsia="es-CR"/>
              </w:rPr>
              <w:t> </w:t>
            </w:r>
          </w:p>
        </w:tc>
        <w:tc>
          <w:tcPr>
            <w:tcW w:w="534" w:type="pct"/>
            <w:tcBorders>
              <w:top w:val="nil"/>
              <w:left w:val="nil"/>
              <w:bottom w:val="single" w:sz="8" w:space="0" w:color="auto"/>
              <w:right w:val="single" w:sz="8" w:space="0" w:color="auto"/>
            </w:tcBorders>
            <w:shd w:val="clear" w:color="000000" w:fill="808080"/>
            <w:noWrap/>
            <w:vAlign w:val="center"/>
            <w:hideMark/>
          </w:tcPr>
          <w:p w14:paraId="70F0A3E7" w14:textId="77777777" w:rsidR="00397619" w:rsidRPr="00397619" w:rsidRDefault="00397619" w:rsidP="00397619">
            <w:pPr>
              <w:spacing w:after="0" w:line="240" w:lineRule="auto"/>
              <w:rPr>
                <w:rFonts w:ascii="Calibri" w:eastAsia="Times New Roman" w:hAnsi="Calibri" w:cs="Calibri"/>
                <w:color w:val="000000"/>
                <w:lang w:eastAsia="es-CR"/>
              </w:rPr>
            </w:pPr>
            <w:r w:rsidRPr="00397619">
              <w:rPr>
                <w:rFonts w:ascii="Calibri" w:eastAsia="Times New Roman" w:hAnsi="Calibri" w:cs="Calibri"/>
                <w:color w:val="000000"/>
                <w:lang w:eastAsia="es-CR"/>
              </w:rPr>
              <w:t> </w:t>
            </w:r>
          </w:p>
        </w:tc>
      </w:tr>
      <w:tr w:rsidR="00397619" w:rsidRPr="00397619" w14:paraId="5EE367B2" w14:textId="77777777" w:rsidTr="00397619">
        <w:trPr>
          <w:trHeight w:val="300"/>
        </w:trPr>
        <w:tc>
          <w:tcPr>
            <w:tcW w:w="1788" w:type="pct"/>
            <w:tcBorders>
              <w:top w:val="nil"/>
              <w:left w:val="single" w:sz="8" w:space="0" w:color="auto"/>
              <w:bottom w:val="single" w:sz="8" w:space="0" w:color="auto"/>
              <w:right w:val="single" w:sz="8" w:space="0" w:color="auto"/>
            </w:tcBorders>
            <w:shd w:val="clear" w:color="000000" w:fill="808080"/>
            <w:vAlign w:val="center"/>
            <w:hideMark/>
          </w:tcPr>
          <w:p w14:paraId="7B27E553" w14:textId="77777777" w:rsidR="00397619" w:rsidRPr="00397619" w:rsidRDefault="00397619" w:rsidP="00397619">
            <w:pPr>
              <w:spacing w:after="0" w:line="240" w:lineRule="auto"/>
              <w:jc w:val="right"/>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Promedio</w:t>
            </w:r>
          </w:p>
        </w:tc>
        <w:tc>
          <w:tcPr>
            <w:tcW w:w="534" w:type="pct"/>
            <w:tcBorders>
              <w:top w:val="nil"/>
              <w:left w:val="nil"/>
              <w:bottom w:val="single" w:sz="8" w:space="0" w:color="auto"/>
              <w:right w:val="single" w:sz="8" w:space="0" w:color="auto"/>
            </w:tcBorders>
            <w:shd w:val="clear" w:color="000000" w:fill="808080"/>
            <w:noWrap/>
            <w:vAlign w:val="center"/>
            <w:hideMark/>
          </w:tcPr>
          <w:p w14:paraId="44959597"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 </w:t>
            </w:r>
          </w:p>
        </w:tc>
        <w:tc>
          <w:tcPr>
            <w:tcW w:w="543" w:type="pct"/>
            <w:tcBorders>
              <w:top w:val="nil"/>
              <w:left w:val="nil"/>
              <w:bottom w:val="single" w:sz="8" w:space="0" w:color="auto"/>
              <w:right w:val="single" w:sz="8" w:space="0" w:color="auto"/>
            </w:tcBorders>
            <w:shd w:val="clear" w:color="000000" w:fill="808080"/>
            <w:noWrap/>
            <w:vAlign w:val="center"/>
            <w:hideMark/>
          </w:tcPr>
          <w:p w14:paraId="3998A62F"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 </w:t>
            </w:r>
          </w:p>
        </w:tc>
        <w:tc>
          <w:tcPr>
            <w:tcW w:w="534" w:type="pct"/>
            <w:tcBorders>
              <w:top w:val="nil"/>
              <w:left w:val="nil"/>
              <w:bottom w:val="single" w:sz="8" w:space="0" w:color="auto"/>
              <w:right w:val="single" w:sz="8" w:space="0" w:color="auto"/>
            </w:tcBorders>
            <w:shd w:val="clear" w:color="000000" w:fill="808080"/>
            <w:noWrap/>
            <w:vAlign w:val="center"/>
            <w:hideMark/>
          </w:tcPr>
          <w:p w14:paraId="302C3B3B"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 </w:t>
            </w:r>
          </w:p>
        </w:tc>
        <w:tc>
          <w:tcPr>
            <w:tcW w:w="534" w:type="pct"/>
            <w:tcBorders>
              <w:top w:val="nil"/>
              <w:left w:val="nil"/>
              <w:bottom w:val="single" w:sz="8" w:space="0" w:color="auto"/>
              <w:right w:val="single" w:sz="8" w:space="0" w:color="auto"/>
            </w:tcBorders>
            <w:shd w:val="clear" w:color="000000" w:fill="808080"/>
            <w:noWrap/>
            <w:vAlign w:val="center"/>
            <w:hideMark/>
          </w:tcPr>
          <w:p w14:paraId="2BE91E53"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 </w:t>
            </w:r>
          </w:p>
        </w:tc>
        <w:tc>
          <w:tcPr>
            <w:tcW w:w="534" w:type="pct"/>
            <w:tcBorders>
              <w:top w:val="nil"/>
              <w:left w:val="nil"/>
              <w:bottom w:val="single" w:sz="8" w:space="0" w:color="auto"/>
              <w:right w:val="single" w:sz="8" w:space="0" w:color="auto"/>
            </w:tcBorders>
            <w:shd w:val="clear" w:color="000000" w:fill="808080"/>
            <w:noWrap/>
            <w:vAlign w:val="center"/>
            <w:hideMark/>
          </w:tcPr>
          <w:p w14:paraId="293D3277"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58</w:t>
            </w:r>
          </w:p>
        </w:tc>
        <w:tc>
          <w:tcPr>
            <w:tcW w:w="534" w:type="pct"/>
            <w:tcBorders>
              <w:top w:val="nil"/>
              <w:left w:val="nil"/>
              <w:bottom w:val="single" w:sz="8" w:space="0" w:color="auto"/>
              <w:right w:val="single" w:sz="8" w:space="0" w:color="auto"/>
            </w:tcBorders>
            <w:shd w:val="clear" w:color="000000" w:fill="808080"/>
            <w:noWrap/>
            <w:vAlign w:val="center"/>
            <w:hideMark/>
          </w:tcPr>
          <w:p w14:paraId="2BC5D0AE" w14:textId="77777777" w:rsidR="00397619" w:rsidRPr="00397619" w:rsidRDefault="00397619" w:rsidP="00397619">
            <w:pPr>
              <w:spacing w:after="0" w:line="240" w:lineRule="auto"/>
              <w:jc w:val="center"/>
              <w:rPr>
                <w:rFonts w:ascii="Book Antiqua" w:eastAsia="Times New Roman" w:hAnsi="Book Antiqua" w:cs="Calibri"/>
                <w:b/>
                <w:bCs/>
                <w:color w:val="FFFFFF"/>
                <w:lang w:eastAsia="es-CR"/>
              </w:rPr>
            </w:pPr>
            <w:r w:rsidRPr="00397619">
              <w:rPr>
                <w:rFonts w:ascii="Book Antiqua" w:eastAsia="Times New Roman" w:hAnsi="Book Antiqua" w:cs="Calibri"/>
                <w:b/>
                <w:bCs/>
                <w:color w:val="FFFFFF"/>
                <w:lang w:eastAsia="es-CR"/>
              </w:rPr>
              <w:t>30</w:t>
            </w:r>
          </w:p>
        </w:tc>
      </w:tr>
    </w:tbl>
    <w:p w14:paraId="77C9C9DA" w14:textId="77777777" w:rsidR="00397619" w:rsidRDefault="0029413D" w:rsidP="001D0C10">
      <w:pPr>
        <w:jc w:val="both"/>
        <w:rPr>
          <w:rFonts w:ascii="Book Antiqua" w:hAnsi="Book Antiqua"/>
          <w:i/>
          <w:iCs/>
          <w:lang w:val="es-ES"/>
        </w:rPr>
      </w:pPr>
      <w:r w:rsidRPr="0029413D">
        <w:rPr>
          <w:rFonts w:ascii="Book Antiqua" w:hAnsi="Book Antiqua"/>
          <w:i/>
          <w:iCs/>
          <w:lang w:val="es-ES"/>
        </w:rPr>
        <w:lastRenderedPageBreak/>
        <w:t>Fuente: Subproceso de Modernización Institucional, con base en datos de Cuadros Estadísticos 2017 a 20</w:t>
      </w:r>
      <w:r>
        <w:rPr>
          <w:rFonts w:ascii="Book Antiqua" w:hAnsi="Book Antiqua"/>
          <w:i/>
          <w:iCs/>
          <w:lang w:val="es-ES"/>
        </w:rPr>
        <w:t>2</w:t>
      </w:r>
      <w:r w:rsidRPr="0029413D">
        <w:rPr>
          <w:rFonts w:ascii="Book Antiqua" w:hAnsi="Book Antiqua"/>
          <w:i/>
          <w:iCs/>
          <w:lang w:val="es-ES"/>
        </w:rPr>
        <w:t xml:space="preserve">1 del Subproceso de Estadística de la Dirección de Planificación. </w:t>
      </w:r>
    </w:p>
    <w:p w14:paraId="667E3A21" w14:textId="1E6DDD26" w:rsidR="0029413D" w:rsidRPr="0029413D" w:rsidRDefault="0029413D" w:rsidP="001D0C10">
      <w:pPr>
        <w:jc w:val="both"/>
        <w:rPr>
          <w:rFonts w:ascii="Book Antiqua" w:hAnsi="Book Antiqua"/>
          <w:i/>
          <w:iCs/>
          <w:lang w:val="es-ES"/>
        </w:rPr>
      </w:pPr>
      <w:r w:rsidRPr="0029413D">
        <w:rPr>
          <w:rFonts w:ascii="Book Antiqua" w:hAnsi="Book Antiqua"/>
          <w:i/>
          <w:iCs/>
          <w:lang w:val="es-ES"/>
        </w:rPr>
        <w:t>La información de la cantidad de casos entrados de 2017 a 20</w:t>
      </w:r>
      <w:r>
        <w:rPr>
          <w:rFonts w:ascii="Book Antiqua" w:hAnsi="Book Antiqua"/>
          <w:i/>
          <w:iCs/>
          <w:lang w:val="es-ES"/>
        </w:rPr>
        <w:t>2</w:t>
      </w:r>
      <w:r w:rsidRPr="0029413D">
        <w:rPr>
          <w:rFonts w:ascii="Book Antiqua" w:hAnsi="Book Antiqua"/>
          <w:i/>
          <w:iCs/>
          <w:lang w:val="es-ES"/>
        </w:rPr>
        <w:t>1 incluye: Principales, Reentrados, Procesos de Modificación de Fallo y Apremios (solo 20</w:t>
      </w:r>
      <w:r>
        <w:rPr>
          <w:rFonts w:ascii="Book Antiqua" w:hAnsi="Book Antiqua"/>
          <w:i/>
          <w:iCs/>
          <w:lang w:val="es-ES"/>
        </w:rPr>
        <w:t>2</w:t>
      </w:r>
      <w:r w:rsidRPr="0029413D">
        <w:rPr>
          <w:rFonts w:ascii="Book Antiqua" w:hAnsi="Book Antiqua"/>
          <w:i/>
          <w:iCs/>
          <w:lang w:val="es-ES"/>
        </w:rPr>
        <w:t>1) para las personas técnicas judiciales.</w:t>
      </w:r>
    </w:p>
    <w:p w14:paraId="2AC125FE" w14:textId="730BD262" w:rsidR="00A554BE" w:rsidRPr="0029413D" w:rsidRDefault="0029413D" w:rsidP="001D0C10">
      <w:pPr>
        <w:jc w:val="both"/>
        <w:rPr>
          <w:rFonts w:ascii="Book Antiqua" w:hAnsi="Book Antiqua"/>
          <w:i/>
          <w:iCs/>
          <w:lang w:val="es-ES"/>
        </w:rPr>
      </w:pPr>
      <w:r w:rsidRPr="0029413D">
        <w:rPr>
          <w:rFonts w:ascii="Book Antiqua" w:hAnsi="Book Antiqua"/>
          <w:i/>
          <w:iCs/>
          <w:lang w:val="es-ES"/>
        </w:rPr>
        <w:t xml:space="preserve">Nota *: Juzgado especializado a partir del acuerdo del Consejo Superior en sesión 34-19 celebrada el 19 de agosto de 2019, Artículo XIX, se incluye la información estadística del 2019.  </w:t>
      </w:r>
      <w:r w:rsidR="00A46B83">
        <w:rPr>
          <w:rFonts w:ascii="Book Antiqua" w:hAnsi="Book Antiqua"/>
          <w:i/>
          <w:iCs/>
          <w:lang w:val="es-ES"/>
        </w:rPr>
        <w:t xml:space="preserve">Estudio en proceso de revisión. </w:t>
      </w:r>
    </w:p>
    <w:p w14:paraId="0EF90DCD" w14:textId="03933CA1" w:rsidR="00692388" w:rsidRDefault="00692388" w:rsidP="00036F7A">
      <w:pPr>
        <w:rPr>
          <w:lang w:val="es-ES"/>
        </w:rPr>
      </w:pPr>
    </w:p>
    <w:p w14:paraId="35DBAC1E" w14:textId="480CADE9" w:rsidR="00692388" w:rsidRPr="00692388" w:rsidRDefault="00692388" w:rsidP="00692388">
      <w:pPr>
        <w:spacing w:after="0" w:line="276" w:lineRule="auto"/>
        <w:jc w:val="both"/>
        <w:rPr>
          <w:rFonts w:ascii="Book Antiqua" w:eastAsia="Calibri" w:hAnsi="Book Antiqua" w:cs="Arial"/>
          <w:sz w:val="24"/>
          <w:szCs w:val="24"/>
        </w:rPr>
      </w:pPr>
      <w:r w:rsidRPr="00692388">
        <w:rPr>
          <w:rFonts w:ascii="Book Antiqua" w:eastAsia="Calibri" w:hAnsi="Book Antiqua" w:cs="Arial"/>
          <w:sz w:val="24"/>
          <w:szCs w:val="24"/>
        </w:rPr>
        <w:t xml:space="preserve">En relación con la información del cuadro anterior, se destaca que la carga de trabajo de asuntos entrados es de </w:t>
      </w:r>
      <w:r w:rsidR="00397619" w:rsidRPr="00397619">
        <w:rPr>
          <w:rFonts w:ascii="Book Antiqua" w:eastAsia="Calibri" w:hAnsi="Book Antiqua" w:cs="Arial"/>
          <w:sz w:val="24"/>
          <w:szCs w:val="24"/>
        </w:rPr>
        <w:t>58</w:t>
      </w:r>
      <w:r w:rsidRPr="00692388">
        <w:rPr>
          <w:rFonts w:ascii="Book Antiqua" w:eastAsia="Calibri" w:hAnsi="Book Antiqua" w:cs="Arial"/>
          <w:sz w:val="24"/>
          <w:szCs w:val="24"/>
        </w:rPr>
        <w:t xml:space="preserve"> al mes por persona juzgadora, contabilizando los casos entrados y las modificaciones de fallo, y de 3</w:t>
      </w:r>
      <w:r w:rsidR="00397619" w:rsidRPr="00397619">
        <w:rPr>
          <w:rFonts w:ascii="Book Antiqua" w:eastAsia="Calibri" w:hAnsi="Book Antiqua" w:cs="Arial"/>
          <w:sz w:val="24"/>
          <w:szCs w:val="24"/>
        </w:rPr>
        <w:t>0</w:t>
      </w:r>
      <w:r w:rsidRPr="00692388">
        <w:rPr>
          <w:rFonts w:ascii="Book Antiqua" w:eastAsia="Calibri" w:hAnsi="Book Antiqua" w:cs="Arial"/>
          <w:sz w:val="24"/>
          <w:szCs w:val="24"/>
        </w:rPr>
        <w:t xml:space="preserve"> al mes por persona técnica judicial de trámite, contabilizando los casos entrados</w:t>
      </w:r>
      <w:r w:rsidR="00397619" w:rsidRPr="00397619">
        <w:rPr>
          <w:rFonts w:ascii="Book Antiqua" w:eastAsia="Calibri" w:hAnsi="Book Antiqua" w:cs="Arial"/>
          <w:sz w:val="24"/>
          <w:szCs w:val="24"/>
        </w:rPr>
        <w:t>,</w:t>
      </w:r>
      <w:r w:rsidRPr="00692388">
        <w:rPr>
          <w:rFonts w:ascii="Book Antiqua" w:eastAsia="Calibri" w:hAnsi="Book Antiqua" w:cs="Arial"/>
          <w:sz w:val="24"/>
          <w:szCs w:val="24"/>
        </w:rPr>
        <w:t xml:space="preserve"> las modificaciones de fallo</w:t>
      </w:r>
      <w:r w:rsidR="00397619" w:rsidRPr="00397619">
        <w:rPr>
          <w:rFonts w:ascii="Book Antiqua" w:eastAsia="Calibri" w:hAnsi="Book Antiqua" w:cs="Arial"/>
          <w:sz w:val="24"/>
          <w:szCs w:val="24"/>
        </w:rPr>
        <w:t xml:space="preserve"> y los</w:t>
      </w:r>
      <w:r w:rsidR="00397619">
        <w:rPr>
          <w:rFonts w:ascii="Book Antiqua" w:eastAsia="Calibri" w:hAnsi="Book Antiqua" w:cs="Arial"/>
          <w:sz w:val="24"/>
          <w:szCs w:val="24"/>
        </w:rPr>
        <w:t xml:space="preserve"> apremios</w:t>
      </w:r>
      <w:r w:rsidRPr="00692388">
        <w:rPr>
          <w:rFonts w:ascii="Book Antiqua" w:eastAsia="Calibri" w:hAnsi="Book Antiqua" w:cs="Arial"/>
          <w:sz w:val="24"/>
          <w:szCs w:val="24"/>
        </w:rPr>
        <w:t>.</w:t>
      </w:r>
    </w:p>
    <w:p w14:paraId="4DBD16B0" w14:textId="0535475D" w:rsidR="00692388" w:rsidRPr="00692388" w:rsidRDefault="00692388" w:rsidP="00692388">
      <w:pPr>
        <w:spacing w:after="0" w:line="276" w:lineRule="auto"/>
        <w:jc w:val="both"/>
        <w:rPr>
          <w:rFonts w:ascii="Book Antiqua" w:eastAsia="Calibri" w:hAnsi="Book Antiqua" w:cs="Arial"/>
          <w:sz w:val="24"/>
          <w:szCs w:val="24"/>
        </w:rPr>
      </w:pPr>
      <w:r w:rsidRPr="00692388">
        <w:rPr>
          <w:rFonts w:ascii="Book Antiqua" w:eastAsia="Calibri" w:hAnsi="Book Antiqua" w:cs="Arial"/>
          <w:sz w:val="24"/>
          <w:szCs w:val="24"/>
        </w:rPr>
        <w:t xml:space="preserve">Al analizar el movimiento histórico de la entrada y la salida de los juzgados se hace necesario revisar el comportamiento del circulante distribuido entre las fases de trámite que corresponde a demanda, demostrativa y conclusiva, es decir, cuando la persona usuaria no cuenta aún con solución a su conflicto debido a que </w:t>
      </w:r>
      <w:r w:rsidRPr="00692388" w:rsidDel="00BB5E63">
        <w:rPr>
          <w:rFonts w:ascii="Book Antiqua" w:eastAsia="Calibri" w:hAnsi="Book Antiqua" w:cs="Arial"/>
          <w:sz w:val="24"/>
          <w:szCs w:val="24"/>
        </w:rPr>
        <w:t xml:space="preserve">no se </w:t>
      </w:r>
      <w:r w:rsidRPr="00692388">
        <w:rPr>
          <w:rFonts w:ascii="Book Antiqua" w:eastAsia="Calibri" w:hAnsi="Book Antiqua" w:cs="Arial"/>
          <w:sz w:val="24"/>
          <w:szCs w:val="24"/>
        </w:rPr>
        <w:t xml:space="preserve">ha logrado llegar </w:t>
      </w:r>
      <w:r w:rsidR="00D13D1F">
        <w:rPr>
          <w:rFonts w:ascii="Book Antiqua" w:eastAsia="Calibri" w:hAnsi="Book Antiqua" w:cs="Arial"/>
          <w:sz w:val="24"/>
          <w:szCs w:val="24"/>
        </w:rPr>
        <w:t xml:space="preserve">a </w:t>
      </w:r>
      <w:r w:rsidRPr="00692388">
        <w:rPr>
          <w:rFonts w:ascii="Book Antiqua" w:eastAsia="Calibri" w:hAnsi="Book Antiqua" w:cs="Arial"/>
          <w:sz w:val="24"/>
          <w:szCs w:val="24"/>
        </w:rPr>
        <w:t xml:space="preserve">un acuerdo conciliatorio homologado o al dictado de una sentencia; y la fase de Ejecución, que contempla la ejecución pasiva y la ejecución activa, en la cual se ejecutará lo dispuesto en la sentencia o acuerdo homologado. </w:t>
      </w:r>
    </w:p>
    <w:p w14:paraId="4289A715" w14:textId="4552B4DE" w:rsidR="00692388" w:rsidRDefault="00692388" w:rsidP="00036F7A">
      <w:pPr>
        <w:rPr>
          <w:lang w:val="es-ES"/>
        </w:rPr>
      </w:pPr>
    </w:p>
    <w:p w14:paraId="10F180FE" w14:textId="1BEE49AC" w:rsidR="00FC140B" w:rsidRDefault="00FC140B" w:rsidP="00036F7A">
      <w:pPr>
        <w:rPr>
          <w:lang w:val="es-ES"/>
        </w:rPr>
      </w:pPr>
    </w:p>
    <w:p w14:paraId="1F8D0435" w14:textId="7FE72BFC" w:rsidR="00FC140B" w:rsidRDefault="00FC140B" w:rsidP="00036F7A">
      <w:pPr>
        <w:rPr>
          <w:lang w:val="es-ES"/>
        </w:rPr>
      </w:pPr>
    </w:p>
    <w:p w14:paraId="628F4E5E" w14:textId="2EBE54AD" w:rsidR="00FC140B" w:rsidRDefault="00FC140B" w:rsidP="00036F7A">
      <w:pPr>
        <w:rPr>
          <w:lang w:val="es-ES"/>
        </w:rPr>
      </w:pPr>
    </w:p>
    <w:p w14:paraId="56C3333C" w14:textId="19915C17" w:rsidR="00FC140B" w:rsidRDefault="00FC140B" w:rsidP="00036F7A">
      <w:pPr>
        <w:rPr>
          <w:lang w:val="es-ES"/>
        </w:rPr>
      </w:pPr>
    </w:p>
    <w:p w14:paraId="7886A948" w14:textId="61192192" w:rsidR="00FC140B" w:rsidRDefault="00FC140B" w:rsidP="00036F7A">
      <w:pPr>
        <w:rPr>
          <w:lang w:val="es-ES"/>
        </w:rPr>
      </w:pPr>
    </w:p>
    <w:p w14:paraId="1C29C5F8" w14:textId="099C6C1A" w:rsidR="00FC140B" w:rsidRDefault="00FC140B" w:rsidP="00036F7A">
      <w:pPr>
        <w:rPr>
          <w:lang w:val="es-ES"/>
        </w:rPr>
      </w:pPr>
    </w:p>
    <w:p w14:paraId="50EBCCFA" w14:textId="0123811E" w:rsidR="00FC140B" w:rsidRDefault="00FC140B" w:rsidP="00036F7A">
      <w:pPr>
        <w:rPr>
          <w:lang w:val="es-ES"/>
        </w:rPr>
      </w:pPr>
    </w:p>
    <w:p w14:paraId="4A1D1DC3" w14:textId="5A0B8EB7" w:rsidR="00FC140B" w:rsidRDefault="00FC140B" w:rsidP="00036F7A">
      <w:pPr>
        <w:rPr>
          <w:lang w:val="es-ES"/>
        </w:rPr>
      </w:pPr>
    </w:p>
    <w:p w14:paraId="086EF5B9" w14:textId="77777777" w:rsidR="00FC140B" w:rsidRDefault="00FC140B" w:rsidP="00036F7A">
      <w:pPr>
        <w:rPr>
          <w:lang w:val="es-ES"/>
        </w:rPr>
      </w:pPr>
    </w:p>
    <w:p w14:paraId="4FDF65A2" w14:textId="33D2F66C" w:rsidR="00D13D1F" w:rsidRPr="00D13D1F" w:rsidRDefault="00D13D1F" w:rsidP="00D13D1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13D1F">
        <w:rPr>
          <w:rFonts w:ascii="Book Antiqua" w:eastAsia="Calibri" w:hAnsi="Book Antiqua" w:cs="Arial"/>
          <w:b/>
          <w:bCs/>
          <w:color w:val="1F497D"/>
          <w:szCs w:val="24"/>
          <w:lang w:val="es-ES" w:eastAsia="es-ES"/>
        </w:rPr>
        <w:lastRenderedPageBreak/>
        <w:t xml:space="preserve">Gráfico </w:t>
      </w:r>
      <w:r w:rsidRPr="00D13D1F">
        <w:rPr>
          <w:rFonts w:ascii="Book Antiqua" w:eastAsia="Calibri" w:hAnsi="Book Antiqua" w:cs="Arial"/>
          <w:b/>
          <w:bCs/>
          <w:color w:val="1F497D"/>
          <w:szCs w:val="24"/>
          <w:lang w:val="es-ES" w:eastAsia="es-ES"/>
        </w:rPr>
        <w:fldChar w:fldCharType="begin"/>
      </w:r>
      <w:r w:rsidRPr="00D13D1F">
        <w:rPr>
          <w:rFonts w:ascii="Book Antiqua" w:eastAsia="Calibri" w:hAnsi="Book Antiqua" w:cs="Arial"/>
          <w:b/>
          <w:bCs/>
          <w:color w:val="1F497D"/>
          <w:szCs w:val="24"/>
          <w:lang w:val="es-ES" w:eastAsia="es-ES"/>
        </w:rPr>
        <w:instrText xml:space="preserve"> SEQ Gráfico \* ARABIC </w:instrText>
      </w:r>
      <w:r w:rsidRPr="00D13D1F">
        <w:rPr>
          <w:rFonts w:ascii="Book Antiqua" w:eastAsia="Calibri" w:hAnsi="Book Antiqua" w:cs="Arial"/>
          <w:b/>
          <w:bCs/>
          <w:color w:val="1F497D"/>
          <w:szCs w:val="24"/>
          <w:lang w:val="es-ES" w:eastAsia="es-ES"/>
        </w:rPr>
        <w:fldChar w:fldCharType="separate"/>
      </w:r>
      <w:r w:rsidR="009B739E">
        <w:rPr>
          <w:rFonts w:ascii="Book Antiqua" w:eastAsia="Calibri" w:hAnsi="Book Antiqua" w:cs="Arial"/>
          <w:b/>
          <w:bCs/>
          <w:noProof/>
          <w:color w:val="1F497D"/>
          <w:szCs w:val="24"/>
          <w:lang w:val="es-ES" w:eastAsia="es-ES"/>
        </w:rPr>
        <w:t>9</w:t>
      </w:r>
      <w:r w:rsidRPr="00D13D1F">
        <w:rPr>
          <w:rFonts w:ascii="Book Antiqua" w:eastAsia="Calibri" w:hAnsi="Book Antiqua" w:cs="Arial"/>
          <w:b/>
          <w:bCs/>
          <w:color w:val="1F497D"/>
          <w:szCs w:val="24"/>
          <w:lang w:val="es-ES" w:eastAsia="es-ES"/>
        </w:rPr>
        <w:fldChar w:fldCharType="end"/>
      </w:r>
    </w:p>
    <w:p w14:paraId="484AC5DA" w14:textId="77777777" w:rsidR="00D13D1F" w:rsidRPr="00D13D1F" w:rsidRDefault="00D13D1F" w:rsidP="00D13D1F">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13D1F">
        <w:rPr>
          <w:rFonts w:ascii="Book Antiqua" w:eastAsia="Calibri" w:hAnsi="Book Antiqua" w:cs="Arial"/>
          <w:b/>
          <w:bCs/>
          <w:color w:val="1F497D"/>
          <w:szCs w:val="24"/>
          <w:lang w:val="es-ES" w:eastAsia="es-ES"/>
        </w:rPr>
        <w:t>Movimiento histórico del circulante en los Juzgados</w:t>
      </w:r>
    </w:p>
    <w:p w14:paraId="77951967" w14:textId="5F218D14" w:rsidR="00D13D1F" w:rsidRDefault="00D13D1F" w:rsidP="00D13D1F">
      <w:pPr>
        <w:spacing w:after="0" w:line="276" w:lineRule="auto"/>
        <w:jc w:val="center"/>
        <w:rPr>
          <w:rFonts w:ascii="Book Antiqua" w:eastAsia="Calibri" w:hAnsi="Book Antiqua" w:cs="Arial"/>
          <w:b/>
          <w:color w:val="1F497D"/>
          <w:lang w:val="es-ES" w:eastAsia="es-ES"/>
        </w:rPr>
      </w:pPr>
      <w:r w:rsidRPr="00D13D1F">
        <w:rPr>
          <w:rFonts w:ascii="Book Antiqua" w:eastAsia="Calibri" w:hAnsi="Book Antiqua" w:cs="Arial"/>
          <w:b/>
          <w:color w:val="1F497D"/>
          <w:lang w:val="es-ES" w:eastAsia="es-ES"/>
        </w:rPr>
        <w:t>Especializados de la materia de Pensiones Alimentarias, del 201</w:t>
      </w:r>
      <w:r>
        <w:rPr>
          <w:rFonts w:ascii="Book Antiqua" w:eastAsia="Calibri" w:hAnsi="Book Antiqua" w:cs="Arial"/>
          <w:b/>
          <w:bCs/>
          <w:color w:val="1F497D"/>
          <w:lang w:val="es-ES" w:eastAsia="es-ES"/>
        </w:rPr>
        <w:t>7</w:t>
      </w:r>
      <w:r w:rsidRPr="00D13D1F">
        <w:rPr>
          <w:rFonts w:ascii="Book Antiqua" w:eastAsia="Calibri" w:hAnsi="Book Antiqua" w:cs="Arial"/>
          <w:b/>
          <w:color w:val="1F497D"/>
          <w:lang w:val="es-ES" w:eastAsia="es-ES"/>
        </w:rPr>
        <w:t xml:space="preserve"> al 20</w:t>
      </w:r>
      <w:r>
        <w:rPr>
          <w:rFonts w:ascii="Book Antiqua" w:eastAsia="Calibri" w:hAnsi="Book Antiqua" w:cs="Arial"/>
          <w:b/>
          <w:color w:val="1F497D"/>
          <w:lang w:val="es-ES" w:eastAsia="es-ES"/>
        </w:rPr>
        <w:t>2</w:t>
      </w:r>
      <w:r w:rsidRPr="00D13D1F">
        <w:rPr>
          <w:rFonts w:ascii="Book Antiqua" w:eastAsia="Calibri" w:hAnsi="Book Antiqua" w:cs="Arial"/>
          <w:b/>
          <w:color w:val="1F497D"/>
          <w:lang w:val="es-ES" w:eastAsia="es-ES"/>
        </w:rPr>
        <w:t>1</w:t>
      </w:r>
    </w:p>
    <w:p w14:paraId="252E24FD" w14:textId="7C13056D" w:rsidR="001B2EAA" w:rsidRDefault="001B2EAA" w:rsidP="00D13D1F">
      <w:pPr>
        <w:spacing w:after="0" w:line="276" w:lineRule="auto"/>
        <w:jc w:val="center"/>
        <w:rPr>
          <w:rFonts w:ascii="Book Antiqua" w:eastAsia="Calibri" w:hAnsi="Book Antiqua" w:cs="Arial"/>
          <w:b/>
          <w:color w:val="1F497D"/>
          <w:lang w:val="es-ES" w:eastAsia="es-ES"/>
        </w:rPr>
      </w:pPr>
      <w:r>
        <w:rPr>
          <w:noProof/>
        </w:rPr>
        <w:drawing>
          <wp:inline distT="0" distB="0" distL="0" distR="0" wp14:anchorId="00C42B99" wp14:editId="00C94FF2">
            <wp:extent cx="4572000" cy="2743200"/>
            <wp:effectExtent l="0" t="0" r="0" b="0"/>
            <wp:docPr id="14" name="Gráfico 14">
              <a:extLst xmlns:a="http://schemas.openxmlformats.org/drawingml/2006/main">
                <a:ext uri="{FF2B5EF4-FFF2-40B4-BE49-F238E27FC236}">
                  <a16:creationId xmlns:a16="http://schemas.microsoft.com/office/drawing/2014/main" id="{561748B2-EE12-4BE9-8EA9-8002D1C91C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9460C49" w14:textId="77777777" w:rsidR="001B2EAA" w:rsidRDefault="001B2EAA" w:rsidP="001B2EAA">
      <w:pPr>
        <w:spacing w:after="0" w:line="276" w:lineRule="auto"/>
        <w:rPr>
          <w:rFonts w:ascii="Book Antiqua" w:eastAsia="Calibri" w:hAnsi="Book Antiqua" w:cs="Arial"/>
          <w:bCs/>
          <w:i/>
          <w:iCs/>
          <w:lang w:val="es-ES" w:eastAsia="es-ES"/>
        </w:rPr>
      </w:pPr>
      <w:r>
        <w:rPr>
          <w:rFonts w:ascii="Book Antiqua" w:eastAsia="Calibri" w:hAnsi="Book Antiqua" w:cs="Arial"/>
          <w:b/>
          <w:color w:val="1F497D"/>
          <w:lang w:val="es-ES" w:eastAsia="es-ES"/>
        </w:rPr>
        <w:t xml:space="preserve">               </w:t>
      </w:r>
      <w:r w:rsidRPr="001B2EAA">
        <w:rPr>
          <w:rFonts w:ascii="Book Antiqua" w:eastAsia="Calibri" w:hAnsi="Book Antiqua" w:cs="Arial"/>
          <w:bCs/>
          <w:i/>
          <w:iCs/>
          <w:lang w:val="es-ES" w:eastAsia="es-ES"/>
        </w:rPr>
        <w:t xml:space="preserve">Fuente: Subproceso de Modernización Institucional, con base en datos de Cuadros </w:t>
      </w:r>
    </w:p>
    <w:p w14:paraId="78609083" w14:textId="3DA1DE7C" w:rsidR="001B2EAA" w:rsidRDefault="001B2EAA" w:rsidP="001B2EAA">
      <w:pPr>
        <w:spacing w:after="0" w:line="276" w:lineRule="auto"/>
        <w:rPr>
          <w:rFonts w:ascii="Book Antiqua" w:eastAsia="Calibri" w:hAnsi="Book Antiqua" w:cs="Arial"/>
          <w:bCs/>
          <w:i/>
          <w:iCs/>
          <w:lang w:val="es-ES" w:eastAsia="es-ES"/>
        </w:rPr>
      </w:pPr>
      <w:r>
        <w:rPr>
          <w:rFonts w:ascii="Book Antiqua" w:eastAsia="Calibri" w:hAnsi="Book Antiqua" w:cs="Arial"/>
          <w:bCs/>
          <w:i/>
          <w:iCs/>
          <w:lang w:val="es-ES" w:eastAsia="es-ES"/>
        </w:rPr>
        <w:t xml:space="preserve">              </w:t>
      </w:r>
      <w:r w:rsidRPr="001B2EAA">
        <w:rPr>
          <w:rFonts w:ascii="Book Antiqua" w:eastAsia="Calibri" w:hAnsi="Book Antiqua" w:cs="Arial"/>
          <w:bCs/>
          <w:i/>
          <w:iCs/>
          <w:lang w:val="es-ES" w:eastAsia="es-ES"/>
        </w:rPr>
        <w:t>Estadísticos 2017 a 20</w:t>
      </w:r>
      <w:r>
        <w:rPr>
          <w:rFonts w:ascii="Book Antiqua" w:eastAsia="Calibri" w:hAnsi="Book Antiqua" w:cs="Arial"/>
          <w:bCs/>
          <w:i/>
          <w:iCs/>
          <w:lang w:val="es-ES" w:eastAsia="es-ES"/>
        </w:rPr>
        <w:t>2</w:t>
      </w:r>
      <w:r w:rsidRPr="001B2EAA">
        <w:rPr>
          <w:rFonts w:ascii="Book Antiqua" w:eastAsia="Calibri" w:hAnsi="Book Antiqua" w:cs="Arial"/>
          <w:bCs/>
          <w:i/>
          <w:iCs/>
          <w:lang w:val="es-ES" w:eastAsia="es-ES"/>
        </w:rPr>
        <w:t xml:space="preserve">1 del Subproceso de Estadística. </w:t>
      </w:r>
    </w:p>
    <w:p w14:paraId="1BADDC02" w14:textId="77777777" w:rsidR="001B2EAA" w:rsidRPr="00D13D1F" w:rsidRDefault="001B2EAA" w:rsidP="00D13D1F">
      <w:pPr>
        <w:spacing w:after="0" w:line="276" w:lineRule="auto"/>
        <w:jc w:val="center"/>
        <w:rPr>
          <w:rFonts w:ascii="Book Antiqua" w:eastAsia="Calibri" w:hAnsi="Book Antiqua" w:cs="Arial"/>
          <w:b/>
          <w:color w:val="1F497D"/>
          <w:lang w:val="es-ES" w:eastAsia="es-ES"/>
        </w:rPr>
      </w:pPr>
    </w:p>
    <w:p w14:paraId="131556D0" w14:textId="4A4FA613" w:rsidR="00D13D1F" w:rsidRPr="00D13D1F" w:rsidRDefault="00D13D1F" w:rsidP="00D13D1F">
      <w:pPr>
        <w:spacing w:after="0" w:line="276" w:lineRule="auto"/>
        <w:jc w:val="both"/>
        <w:rPr>
          <w:rFonts w:ascii="Book Antiqua" w:eastAsia="Calibri" w:hAnsi="Book Antiqua" w:cs="Arial"/>
          <w:sz w:val="24"/>
          <w:szCs w:val="24"/>
        </w:rPr>
      </w:pPr>
      <w:r w:rsidRPr="00D13D1F">
        <w:rPr>
          <w:rFonts w:ascii="Book Antiqua" w:eastAsia="Calibri" w:hAnsi="Book Antiqua" w:cs="Arial"/>
          <w:sz w:val="24"/>
          <w:szCs w:val="24"/>
        </w:rPr>
        <w:t>A través de los años en estudio</w:t>
      </w:r>
      <w:r>
        <w:rPr>
          <w:rFonts w:ascii="Book Antiqua" w:eastAsia="Calibri" w:hAnsi="Book Antiqua" w:cs="Arial"/>
          <w:sz w:val="24"/>
          <w:szCs w:val="24"/>
        </w:rPr>
        <w:t>,</w:t>
      </w:r>
      <w:r w:rsidRPr="00D13D1F">
        <w:rPr>
          <w:rFonts w:ascii="Book Antiqua" w:eastAsia="Calibri" w:hAnsi="Book Antiqua" w:cs="Arial"/>
          <w:sz w:val="24"/>
          <w:szCs w:val="24"/>
        </w:rPr>
        <w:t xml:space="preserve"> se identifica que el circulante en fase </w:t>
      </w:r>
      <w:r w:rsidRPr="00BD27C2">
        <w:rPr>
          <w:rFonts w:ascii="Book Antiqua" w:eastAsia="Calibri" w:hAnsi="Book Antiqua" w:cs="Arial"/>
          <w:sz w:val="24"/>
          <w:szCs w:val="24"/>
        </w:rPr>
        <w:t xml:space="preserve">de ejecución presenta una tendencia creciente, </w:t>
      </w:r>
      <w:r w:rsidR="008E0DA7" w:rsidRPr="00BD27C2">
        <w:rPr>
          <w:rFonts w:ascii="Book Antiqua" w:eastAsia="Calibri" w:hAnsi="Book Antiqua" w:cs="Arial"/>
          <w:sz w:val="24"/>
          <w:szCs w:val="24"/>
        </w:rPr>
        <w:t xml:space="preserve">con un aumento de un 11% para el 2021 respecto al 2017, </w:t>
      </w:r>
      <w:r w:rsidR="007B1A75" w:rsidRPr="00BD27C2">
        <w:rPr>
          <w:rFonts w:ascii="Book Antiqua" w:eastAsia="Calibri" w:hAnsi="Book Antiqua" w:cs="Arial"/>
          <w:sz w:val="24"/>
          <w:szCs w:val="24"/>
        </w:rPr>
        <w:t>con excepción del 2020 que disminuye</w:t>
      </w:r>
      <w:r w:rsidR="008E0DA7" w:rsidRPr="00BD27C2">
        <w:rPr>
          <w:rFonts w:ascii="Book Antiqua" w:eastAsia="Calibri" w:hAnsi="Book Antiqua" w:cs="Arial"/>
          <w:sz w:val="24"/>
          <w:szCs w:val="24"/>
        </w:rPr>
        <w:t>,</w:t>
      </w:r>
      <w:r w:rsidR="007B1A75" w:rsidRPr="00BD27C2">
        <w:rPr>
          <w:rFonts w:ascii="Book Antiqua" w:eastAsia="Calibri" w:hAnsi="Book Antiqua" w:cs="Arial"/>
          <w:sz w:val="24"/>
          <w:szCs w:val="24"/>
        </w:rPr>
        <w:t xml:space="preserve"> lo cual es producto de la pandemia del Covid-19 que afectó al </w:t>
      </w:r>
      <w:r w:rsidR="00BD27C2" w:rsidRPr="00BD27C2">
        <w:rPr>
          <w:rFonts w:ascii="Book Antiqua" w:eastAsia="Calibri" w:hAnsi="Book Antiqua" w:cs="Arial"/>
          <w:sz w:val="24"/>
          <w:szCs w:val="24"/>
        </w:rPr>
        <w:t>país,</w:t>
      </w:r>
      <w:r w:rsidRPr="00BD27C2">
        <w:rPr>
          <w:rFonts w:ascii="Book Antiqua" w:eastAsia="Calibri" w:hAnsi="Book Antiqua" w:cs="Arial"/>
          <w:sz w:val="24"/>
          <w:szCs w:val="24"/>
        </w:rPr>
        <w:t xml:space="preserve"> mientras que el circulante en trámite (demanda + demostrativa + conclusiva) presenta un</w:t>
      </w:r>
      <w:r w:rsidR="008E0DA7" w:rsidRPr="00BD27C2">
        <w:rPr>
          <w:rFonts w:ascii="Book Antiqua" w:eastAsia="Calibri" w:hAnsi="Book Antiqua" w:cs="Arial"/>
          <w:sz w:val="24"/>
          <w:szCs w:val="24"/>
        </w:rPr>
        <w:t>a</w:t>
      </w:r>
      <w:r w:rsidRPr="00BD27C2">
        <w:rPr>
          <w:rFonts w:ascii="Book Antiqua" w:eastAsia="Calibri" w:hAnsi="Book Antiqua" w:cs="Arial"/>
          <w:sz w:val="24"/>
          <w:szCs w:val="24"/>
        </w:rPr>
        <w:t xml:space="preserve"> </w:t>
      </w:r>
      <w:r w:rsidR="008E0DA7" w:rsidRPr="00BD27C2">
        <w:rPr>
          <w:rFonts w:ascii="Book Antiqua" w:eastAsia="Calibri" w:hAnsi="Book Antiqua" w:cs="Arial"/>
          <w:sz w:val="24"/>
          <w:szCs w:val="24"/>
        </w:rPr>
        <w:t>disminución del</w:t>
      </w:r>
      <w:r w:rsidRPr="00BD27C2">
        <w:rPr>
          <w:rFonts w:ascii="Book Antiqua" w:eastAsia="Calibri" w:hAnsi="Book Antiqua" w:cs="Arial"/>
          <w:sz w:val="24"/>
          <w:szCs w:val="24"/>
        </w:rPr>
        <w:t xml:space="preserve"> </w:t>
      </w:r>
      <w:r w:rsidR="008E0DA7" w:rsidRPr="00BD27C2">
        <w:rPr>
          <w:rFonts w:ascii="Book Antiqua" w:eastAsia="Calibri" w:hAnsi="Book Antiqua" w:cs="Arial"/>
          <w:sz w:val="24"/>
          <w:szCs w:val="24"/>
        </w:rPr>
        <w:t>30</w:t>
      </w:r>
      <w:r w:rsidRPr="00BD27C2">
        <w:rPr>
          <w:rFonts w:ascii="Book Antiqua" w:eastAsia="Calibri" w:hAnsi="Book Antiqua" w:cs="Arial"/>
          <w:sz w:val="24"/>
          <w:szCs w:val="24"/>
        </w:rPr>
        <w:t>% en el mismo período.</w:t>
      </w:r>
      <w:r w:rsidRPr="00D13D1F">
        <w:rPr>
          <w:rFonts w:ascii="Book Antiqua" w:eastAsia="Calibri" w:hAnsi="Book Antiqua" w:cs="Arial"/>
          <w:sz w:val="24"/>
          <w:szCs w:val="24"/>
        </w:rPr>
        <w:t xml:space="preserve">  </w:t>
      </w:r>
    </w:p>
    <w:p w14:paraId="6206896F" w14:textId="5C3DF9D0" w:rsidR="00D13D1F" w:rsidRPr="00D13D1F" w:rsidRDefault="00D13D1F" w:rsidP="00D13D1F">
      <w:pPr>
        <w:spacing w:after="0" w:line="276" w:lineRule="auto"/>
        <w:jc w:val="both"/>
        <w:rPr>
          <w:rFonts w:ascii="Book Antiqua" w:eastAsia="Calibri" w:hAnsi="Book Antiqua" w:cs="Arial"/>
          <w:sz w:val="24"/>
          <w:szCs w:val="24"/>
        </w:rPr>
      </w:pPr>
      <w:r w:rsidRPr="00D13D1F">
        <w:rPr>
          <w:rFonts w:ascii="Book Antiqua" w:eastAsia="Calibri" w:hAnsi="Book Antiqua" w:cs="Arial"/>
          <w:sz w:val="24"/>
          <w:szCs w:val="24"/>
        </w:rPr>
        <w:t>En línea con el análisis de las fases del proceso, se presenta a continuación el resumen de las distribuciones del circulante al finalizar el 202</w:t>
      </w:r>
      <w:r w:rsidR="00D31DE7">
        <w:rPr>
          <w:rFonts w:ascii="Book Antiqua" w:eastAsia="Calibri" w:hAnsi="Book Antiqua" w:cs="Arial"/>
          <w:sz w:val="24"/>
          <w:szCs w:val="24"/>
        </w:rPr>
        <w:t>1</w:t>
      </w:r>
      <w:r w:rsidRPr="00D13D1F">
        <w:rPr>
          <w:rFonts w:ascii="Book Antiqua" w:eastAsia="Calibri" w:hAnsi="Book Antiqua" w:cs="Arial"/>
          <w:sz w:val="24"/>
          <w:szCs w:val="24"/>
        </w:rPr>
        <w:t xml:space="preserve"> por fase:</w:t>
      </w:r>
    </w:p>
    <w:p w14:paraId="0B4DC544" w14:textId="23D57B9F" w:rsidR="00A65874" w:rsidRDefault="00A65874" w:rsidP="00A65874"/>
    <w:p w14:paraId="4FF44C31" w14:textId="6A1BCDF0" w:rsidR="00FC140B" w:rsidRDefault="00FC140B" w:rsidP="00A65874"/>
    <w:p w14:paraId="47B85DBC" w14:textId="06F0BE35" w:rsidR="00FC140B" w:rsidRDefault="00FC140B" w:rsidP="00A65874"/>
    <w:p w14:paraId="5CBDA09D" w14:textId="71C78B10" w:rsidR="00FC140B" w:rsidRDefault="00FC140B" w:rsidP="00A65874"/>
    <w:p w14:paraId="0F2ED176" w14:textId="12265E08" w:rsidR="00FC140B" w:rsidRDefault="00FC140B" w:rsidP="00A65874"/>
    <w:p w14:paraId="64F21B4A" w14:textId="77777777" w:rsidR="00FC140B" w:rsidRDefault="00FC140B" w:rsidP="00A65874"/>
    <w:p w14:paraId="3673048E" w14:textId="32573715" w:rsidR="00D31DE7" w:rsidRPr="00D31DE7" w:rsidRDefault="00D31DE7" w:rsidP="00D31DE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31DE7">
        <w:rPr>
          <w:rFonts w:ascii="Book Antiqua" w:eastAsia="Calibri" w:hAnsi="Book Antiqua" w:cs="Arial"/>
          <w:b/>
          <w:bCs/>
          <w:color w:val="1F497D"/>
          <w:szCs w:val="24"/>
          <w:lang w:val="es-ES" w:eastAsia="es-ES"/>
        </w:rPr>
        <w:lastRenderedPageBreak/>
        <w:t xml:space="preserve">Cuadro </w:t>
      </w:r>
      <w:r w:rsidRPr="00D31DE7">
        <w:rPr>
          <w:rFonts w:ascii="Book Antiqua" w:eastAsia="Calibri" w:hAnsi="Book Antiqua" w:cs="Arial"/>
          <w:b/>
          <w:bCs/>
          <w:color w:val="1F497D"/>
          <w:szCs w:val="24"/>
          <w:lang w:val="es-ES" w:eastAsia="es-ES"/>
        </w:rPr>
        <w:fldChar w:fldCharType="begin"/>
      </w:r>
      <w:r w:rsidRPr="00D31DE7">
        <w:rPr>
          <w:rFonts w:ascii="Book Antiqua" w:eastAsia="Calibri" w:hAnsi="Book Antiqua" w:cs="Arial"/>
          <w:b/>
          <w:bCs/>
          <w:color w:val="1F497D"/>
          <w:szCs w:val="24"/>
          <w:lang w:val="es-ES" w:eastAsia="es-ES"/>
        </w:rPr>
        <w:instrText xml:space="preserve"> SEQ Cuadro \* ARABIC </w:instrText>
      </w:r>
      <w:r w:rsidRPr="00D31DE7">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75</w:t>
      </w:r>
      <w:r w:rsidRPr="00D31DE7">
        <w:rPr>
          <w:rFonts w:ascii="Book Antiqua" w:eastAsia="Calibri" w:hAnsi="Book Antiqua" w:cs="Arial"/>
          <w:b/>
          <w:bCs/>
          <w:color w:val="1F497D"/>
          <w:szCs w:val="24"/>
          <w:lang w:val="es-ES" w:eastAsia="es-ES"/>
        </w:rPr>
        <w:fldChar w:fldCharType="end"/>
      </w:r>
    </w:p>
    <w:p w14:paraId="75828FA7" w14:textId="77777777" w:rsidR="00D31DE7" w:rsidRPr="00D31DE7" w:rsidRDefault="00D31DE7" w:rsidP="00D31DE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31DE7">
        <w:rPr>
          <w:rFonts w:ascii="Book Antiqua" w:eastAsia="Calibri" w:hAnsi="Book Antiqua" w:cs="Arial"/>
          <w:b/>
          <w:bCs/>
          <w:color w:val="1F497D"/>
          <w:szCs w:val="24"/>
          <w:lang w:val="es-ES" w:eastAsia="es-ES"/>
        </w:rPr>
        <w:t>Circulante por Fases en los Juzgados</w:t>
      </w:r>
    </w:p>
    <w:p w14:paraId="2CCDF23B" w14:textId="1838BC11" w:rsidR="00D31DE7" w:rsidRPr="00D31DE7" w:rsidRDefault="00D31DE7" w:rsidP="00D31DE7">
      <w:pPr>
        <w:spacing w:after="0" w:line="276" w:lineRule="auto"/>
        <w:jc w:val="center"/>
        <w:rPr>
          <w:rFonts w:ascii="Book Antiqua" w:eastAsia="Calibri" w:hAnsi="Book Antiqua" w:cs="Arial"/>
          <w:b/>
          <w:bCs/>
          <w:color w:val="1F497D"/>
          <w:szCs w:val="24"/>
          <w:lang w:val="es-ES" w:eastAsia="es-ES"/>
        </w:rPr>
      </w:pPr>
      <w:r w:rsidRPr="00D31DE7">
        <w:rPr>
          <w:rFonts w:ascii="Book Antiqua" w:eastAsia="Calibri" w:hAnsi="Book Antiqua" w:cs="Arial"/>
          <w:b/>
          <w:bCs/>
          <w:color w:val="1F497D"/>
          <w:szCs w:val="24"/>
          <w:lang w:val="es-ES" w:eastAsia="es-ES"/>
        </w:rPr>
        <w:t>Especializados de la materia de Pensiones Alimentarias al finalizar el 202</w:t>
      </w:r>
      <w:r>
        <w:rPr>
          <w:rFonts w:ascii="Book Antiqua" w:eastAsia="Calibri" w:hAnsi="Book Antiqua" w:cs="Arial"/>
          <w:b/>
          <w:bCs/>
          <w:color w:val="1F497D"/>
          <w:szCs w:val="24"/>
          <w:lang w:val="es-ES" w:eastAsia="es-ES"/>
        </w:rPr>
        <w:t>1</w:t>
      </w:r>
    </w:p>
    <w:tbl>
      <w:tblPr>
        <w:tblW w:w="5540" w:type="pct"/>
        <w:tblLayout w:type="fixed"/>
        <w:tblCellMar>
          <w:left w:w="70" w:type="dxa"/>
          <w:right w:w="70" w:type="dxa"/>
        </w:tblCellMar>
        <w:tblLook w:val="04A0" w:firstRow="1" w:lastRow="0" w:firstColumn="1" w:lastColumn="0" w:noHBand="0" w:noVBand="1"/>
      </w:tblPr>
      <w:tblGrid>
        <w:gridCol w:w="4384"/>
        <w:gridCol w:w="610"/>
        <w:gridCol w:w="528"/>
        <w:gridCol w:w="565"/>
        <w:gridCol w:w="707"/>
        <w:gridCol w:w="711"/>
        <w:gridCol w:w="422"/>
        <w:gridCol w:w="776"/>
        <w:gridCol w:w="514"/>
        <w:gridCol w:w="553"/>
      </w:tblGrid>
      <w:tr w:rsidR="00456779" w:rsidRPr="00672F59" w14:paraId="4798515C" w14:textId="77777777" w:rsidTr="001D0C10">
        <w:trPr>
          <w:trHeight w:val="1460"/>
        </w:trPr>
        <w:tc>
          <w:tcPr>
            <w:tcW w:w="2244"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021EFF66"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Despacho</w:t>
            </w:r>
          </w:p>
        </w:tc>
        <w:tc>
          <w:tcPr>
            <w:tcW w:w="312"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7A38A167"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Demanda</w:t>
            </w:r>
          </w:p>
        </w:tc>
        <w:tc>
          <w:tcPr>
            <w:tcW w:w="270"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6994D2D8"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Demostrativa</w:t>
            </w:r>
          </w:p>
        </w:tc>
        <w:tc>
          <w:tcPr>
            <w:tcW w:w="289"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D69A4EE"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Conclusiva</w:t>
            </w:r>
          </w:p>
        </w:tc>
        <w:tc>
          <w:tcPr>
            <w:tcW w:w="362"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28E8E6A0"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Ejecución activa</w:t>
            </w:r>
          </w:p>
        </w:tc>
        <w:tc>
          <w:tcPr>
            <w:tcW w:w="364"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9E44964"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Ejecución pasiva</w:t>
            </w:r>
          </w:p>
        </w:tc>
        <w:tc>
          <w:tcPr>
            <w:tcW w:w="216"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15E03CD3"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xml:space="preserve">Sin fase </w:t>
            </w:r>
            <w:r w:rsidRPr="001D0C10">
              <w:rPr>
                <w:rFonts w:ascii="Book Antiqua" w:eastAsia="Times New Roman" w:hAnsi="Book Antiqua" w:cs="Calibri"/>
                <w:b/>
                <w:bCs/>
                <w:color w:val="FFFFFF"/>
                <w:sz w:val="18"/>
                <w:szCs w:val="18"/>
                <w:vertAlign w:val="superscript"/>
                <w:lang w:eastAsia="es-CR"/>
              </w:rPr>
              <w:t>(1)</w:t>
            </w:r>
          </w:p>
        </w:tc>
        <w:tc>
          <w:tcPr>
            <w:tcW w:w="397"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568A26AB"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Circulante Total</w:t>
            </w:r>
          </w:p>
        </w:tc>
        <w:tc>
          <w:tcPr>
            <w:tcW w:w="263"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0CFA5AEC"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Circulante Trámite (Demanda+ Demostrativa+Conclusiva+Sin Fase)</w:t>
            </w:r>
          </w:p>
        </w:tc>
        <w:tc>
          <w:tcPr>
            <w:tcW w:w="284" w:type="pct"/>
            <w:tcBorders>
              <w:top w:val="single" w:sz="8" w:space="0" w:color="auto"/>
              <w:left w:val="nil"/>
              <w:bottom w:val="single" w:sz="8" w:space="0" w:color="auto"/>
              <w:right w:val="single" w:sz="8" w:space="0" w:color="auto"/>
            </w:tcBorders>
            <w:shd w:val="clear" w:color="000000" w:fill="002060"/>
            <w:textDirection w:val="btLr"/>
            <w:vAlign w:val="center"/>
            <w:hideMark/>
          </w:tcPr>
          <w:p w14:paraId="7B7EB951"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Circulante Ejecución</w:t>
            </w:r>
          </w:p>
        </w:tc>
      </w:tr>
      <w:tr w:rsidR="00456779" w:rsidRPr="00672F59" w14:paraId="1AE5576F"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397616DB"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II Circ. Jud. San José (Goicoechea)</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7A0A3"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685</w:t>
            </w:r>
          </w:p>
        </w:tc>
        <w:tc>
          <w:tcPr>
            <w:tcW w:w="270" w:type="pct"/>
            <w:tcBorders>
              <w:top w:val="single" w:sz="4" w:space="0" w:color="auto"/>
              <w:left w:val="nil"/>
              <w:bottom w:val="single" w:sz="4" w:space="0" w:color="auto"/>
              <w:right w:val="single" w:sz="4" w:space="0" w:color="auto"/>
            </w:tcBorders>
            <w:shd w:val="clear" w:color="auto" w:fill="auto"/>
            <w:noWrap/>
            <w:vAlign w:val="center"/>
            <w:hideMark/>
          </w:tcPr>
          <w:p w14:paraId="76BA2ED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166</w:t>
            </w:r>
          </w:p>
        </w:tc>
        <w:tc>
          <w:tcPr>
            <w:tcW w:w="289" w:type="pct"/>
            <w:tcBorders>
              <w:top w:val="single" w:sz="4" w:space="0" w:color="auto"/>
              <w:left w:val="nil"/>
              <w:bottom w:val="single" w:sz="4" w:space="0" w:color="auto"/>
              <w:right w:val="single" w:sz="4" w:space="0" w:color="auto"/>
            </w:tcBorders>
            <w:shd w:val="clear" w:color="auto" w:fill="auto"/>
            <w:noWrap/>
            <w:vAlign w:val="center"/>
            <w:hideMark/>
          </w:tcPr>
          <w:p w14:paraId="5FA476C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158</w:t>
            </w:r>
          </w:p>
        </w:tc>
        <w:tc>
          <w:tcPr>
            <w:tcW w:w="362" w:type="pct"/>
            <w:tcBorders>
              <w:top w:val="single" w:sz="4" w:space="0" w:color="auto"/>
              <w:left w:val="nil"/>
              <w:bottom w:val="single" w:sz="4" w:space="0" w:color="auto"/>
              <w:right w:val="single" w:sz="4" w:space="0" w:color="auto"/>
            </w:tcBorders>
            <w:shd w:val="clear" w:color="auto" w:fill="auto"/>
            <w:noWrap/>
            <w:vAlign w:val="center"/>
            <w:hideMark/>
          </w:tcPr>
          <w:p w14:paraId="436CA9F2"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8 793</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3AC08EF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5 278</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14:paraId="083982B5"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w:t>
            </w:r>
          </w:p>
        </w:tc>
        <w:tc>
          <w:tcPr>
            <w:tcW w:w="397" w:type="pct"/>
            <w:tcBorders>
              <w:top w:val="single" w:sz="4" w:space="0" w:color="auto"/>
              <w:left w:val="nil"/>
              <w:bottom w:val="single" w:sz="4" w:space="0" w:color="auto"/>
              <w:right w:val="single" w:sz="4" w:space="0" w:color="auto"/>
            </w:tcBorders>
            <w:shd w:val="clear" w:color="auto" w:fill="auto"/>
            <w:noWrap/>
            <w:vAlign w:val="center"/>
            <w:hideMark/>
          </w:tcPr>
          <w:p w14:paraId="21581F9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15 086</w:t>
            </w:r>
          </w:p>
        </w:tc>
        <w:tc>
          <w:tcPr>
            <w:tcW w:w="263" w:type="pct"/>
            <w:tcBorders>
              <w:top w:val="nil"/>
              <w:left w:val="nil"/>
              <w:bottom w:val="single" w:sz="8" w:space="0" w:color="auto"/>
              <w:right w:val="single" w:sz="8" w:space="0" w:color="auto"/>
            </w:tcBorders>
            <w:shd w:val="clear" w:color="000000" w:fill="DBE5F1"/>
            <w:noWrap/>
            <w:vAlign w:val="center"/>
            <w:hideMark/>
          </w:tcPr>
          <w:p w14:paraId="4CC0A26C"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w:t>
            </w:r>
          </w:p>
        </w:tc>
        <w:tc>
          <w:tcPr>
            <w:tcW w:w="284" w:type="pct"/>
            <w:tcBorders>
              <w:top w:val="nil"/>
              <w:left w:val="nil"/>
              <w:bottom w:val="single" w:sz="8" w:space="0" w:color="auto"/>
              <w:right w:val="single" w:sz="8" w:space="0" w:color="auto"/>
            </w:tcBorders>
            <w:shd w:val="clear" w:color="000000" w:fill="FDE9D9"/>
            <w:noWrap/>
            <w:vAlign w:val="center"/>
            <w:hideMark/>
          </w:tcPr>
          <w:p w14:paraId="1523D66A"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93%</w:t>
            </w:r>
          </w:p>
        </w:tc>
      </w:tr>
      <w:tr w:rsidR="00456779" w:rsidRPr="00672F59" w14:paraId="2800ED2B"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6B57F644"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 Circ. Jud. Alajuela</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288F90B5"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553</w:t>
            </w:r>
          </w:p>
        </w:tc>
        <w:tc>
          <w:tcPr>
            <w:tcW w:w="270" w:type="pct"/>
            <w:tcBorders>
              <w:top w:val="nil"/>
              <w:left w:val="nil"/>
              <w:bottom w:val="single" w:sz="4" w:space="0" w:color="auto"/>
              <w:right w:val="single" w:sz="4" w:space="0" w:color="auto"/>
            </w:tcBorders>
            <w:shd w:val="clear" w:color="auto" w:fill="auto"/>
            <w:noWrap/>
            <w:vAlign w:val="center"/>
            <w:hideMark/>
          </w:tcPr>
          <w:p w14:paraId="26AF28ED"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60</w:t>
            </w:r>
          </w:p>
        </w:tc>
        <w:tc>
          <w:tcPr>
            <w:tcW w:w="289" w:type="pct"/>
            <w:tcBorders>
              <w:top w:val="nil"/>
              <w:left w:val="nil"/>
              <w:bottom w:val="single" w:sz="4" w:space="0" w:color="auto"/>
              <w:right w:val="single" w:sz="4" w:space="0" w:color="auto"/>
            </w:tcBorders>
            <w:shd w:val="clear" w:color="auto" w:fill="auto"/>
            <w:noWrap/>
            <w:vAlign w:val="center"/>
            <w:hideMark/>
          </w:tcPr>
          <w:p w14:paraId="28C1D64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61</w:t>
            </w:r>
          </w:p>
        </w:tc>
        <w:tc>
          <w:tcPr>
            <w:tcW w:w="362" w:type="pct"/>
            <w:tcBorders>
              <w:top w:val="nil"/>
              <w:left w:val="nil"/>
              <w:bottom w:val="single" w:sz="4" w:space="0" w:color="auto"/>
              <w:right w:val="single" w:sz="4" w:space="0" w:color="auto"/>
            </w:tcBorders>
            <w:shd w:val="clear" w:color="auto" w:fill="auto"/>
            <w:noWrap/>
            <w:vAlign w:val="center"/>
            <w:hideMark/>
          </w:tcPr>
          <w:p w14:paraId="2F4634E4"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6 394</w:t>
            </w:r>
          </w:p>
        </w:tc>
        <w:tc>
          <w:tcPr>
            <w:tcW w:w="364" w:type="pct"/>
            <w:tcBorders>
              <w:top w:val="nil"/>
              <w:left w:val="nil"/>
              <w:bottom w:val="single" w:sz="4" w:space="0" w:color="auto"/>
              <w:right w:val="single" w:sz="4" w:space="0" w:color="auto"/>
            </w:tcBorders>
            <w:shd w:val="clear" w:color="auto" w:fill="auto"/>
            <w:noWrap/>
            <w:vAlign w:val="center"/>
            <w:hideMark/>
          </w:tcPr>
          <w:p w14:paraId="3367D32A"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728</w:t>
            </w:r>
          </w:p>
        </w:tc>
        <w:tc>
          <w:tcPr>
            <w:tcW w:w="216" w:type="pct"/>
            <w:tcBorders>
              <w:top w:val="nil"/>
              <w:left w:val="nil"/>
              <w:bottom w:val="single" w:sz="8" w:space="0" w:color="auto"/>
              <w:right w:val="single" w:sz="8" w:space="0" w:color="auto"/>
            </w:tcBorders>
            <w:shd w:val="clear" w:color="auto" w:fill="auto"/>
            <w:noWrap/>
            <w:vAlign w:val="center"/>
            <w:hideMark/>
          </w:tcPr>
          <w:p w14:paraId="311CBEE9"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w:t>
            </w:r>
          </w:p>
        </w:tc>
        <w:tc>
          <w:tcPr>
            <w:tcW w:w="397" w:type="pct"/>
            <w:tcBorders>
              <w:top w:val="nil"/>
              <w:left w:val="nil"/>
              <w:bottom w:val="single" w:sz="8" w:space="0" w:color="auto"/>
              <w:right w:val="single" w:sz="8" w:space="0" w:color="auto"/>
            </w:tcBorders>
            <w:shd w:val="clear" w:color="auto" w:fill="auto"/>
            <w:noWrap/>
            <w:vAlign w:val="center"/>
            <w:hideMark/>
          </w:tcPr>
          <w:p w14:paraId="36D4C384"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7804</w:t>
            </w:r>
          </w:p>
        </w:tc>
        <w:tc>
          <w:tcPr>
            <w:tcW w:w="263" w:type="pct"/>
            <w:tcBorders>
              <w:top w:val="nil"/>
              <w:left w:val="nil"/>
              <w:bottom w:val="single" w:sz="8" w:space="0" w:color="auto"/>
              <w:right w:val="single" w:sz="8" w:space="0" w:color="auto"/>
            </w:tcBorders>
            <w:shd w:val="clear" w:color="000000" w:fill="DBE5F1"/>
            <w:noWrap/>
            <w:vAlign w:val="center"/>
            <w:hideMark/>
          </w:tcPr>
          <w:p w14:paraId="1B5D74C0"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w:t>
            </w:r>
          </w:p>
        </w:tc>
        <w:tc>
          <w:tcPr>
            <w:tcW w:w="284" w:type="pct"/>
            <w:tcBorders>
              <w:top w:val="nil"/>
              <w:left w:val="nil"/>
              <w:bottom w:val="single" w:sz="8" w:space="0" w:color="auto"/>
              <w:right w:val="single" w:sz="8" w:space="0" w:color="auto"/>
            </w:tcBorders>
            <w:shd w:val="clear" w:color="000000" w:fill="FDE9D9"/>
            <w:noWrap/>
            <w:vAlign w:val="center"/>
            <w:hideMark/>
          </w:tcPr>
          <w:p w14:paraId="6B549C66"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91%</w:t>
            </w:r>
          </w:p>
        </w:tc>
      </w:tr>
      <w:tr w:rsidR="00456779" w:rsidRPr="00672F59" w14:paraId="181C16C9"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469744B1"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III Circ. Jud. San José (Desamparados)</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34330B60"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18</w:t>
            </w:r>
          </w:p>
        </w:tc>
        <w:tc>
          <w:tcPr>
            <w:tcW w:w="270" w:type="pct"/>
            <w:tcBorders>
              <w:top w:val="nil"/>
              <w:left w:val="nil"/>
              <w:bottom w:val="single" w:sz="4" w:space="0" w:color="auto"/>
              <w:right w:val="single" w:sz="4" w:space="0" w:color="auto"/>
            </w:tcBorders>
            <w:shd w:val="clear" w:color="auto" w:fill="auto"/>
            <w:noWrap/>
            <w:vAlign w:val="center"/>
            <w:hideMark/>
          </w:tcPr>
          <w:p w14:paraId="254829E2"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203</w:t>
            </w:r>
          </w:p>
        </w:tc>
        <w:tc>
          <w:tcPr>
            <w:tcW w:w="289" w:type="pct"/>
            <w:tcBorders>
              <w:top w:val="nil"/>
              <w:left w:val="nil"/>
              <w:bottom w:val="single" w:sz="4" w:space="0" w:color="auto"/>
              <w:right w:val="single" w:sz="4" w:space="0" w:color="auto"/>
            </w:tcBorders>
            <w:shd w:val="clear" w:color="auto" w:fill="auto"/>
            <w:noWrap/>
            <w:vAlign w:val="center"/>
            <w:hideMark/>
          </w:tcPr>
          <w:p w14:paraId="5C7B8BEE"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50</w:t>
            </w:r>
          </w:p>
        </w:tc>
        <w:tc>
          <w:tcPr>
            <w:tcW w:w="362" w:type="pct"/>
            <w:tcBorders>
              <w:top w:val="nil"/>
              <w:left w:val="nil"/>
              <w:bottom w:val="single" w:sz="4" w:space="0" w:color="auto"/>
              <w:right w:val="single" w:sz="4" w:space="0" w:color="auto"/>
            </w:tcBorders>
            <w:shd w:val="clear" w:color="auto" w:fill="auto"/>
            <w:noWrap/>
            <w:vAlign w:val="center"/>
            <w:hideMark/>
          </w:tcPr>
          <w:p w14:paraId="0AB41895"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7 280</w:t>
            </w:r>
          </w:p>
        </w:tc>
        <w:tc>
          <w:tcPr>
            <w:tcW w:w="364" w:type="pct"/>
            <w:tcBorders>
              <w:top w:val="nil"/>
              <w:left w:val="nil"/>
              <w:bottom w:val="single" w:sz="4" w:space="0" w:color="auto"/>
              <w:right w:val="single" w:sz="4" w:space="0" w:color="auto"/>
            </w:tcBorders>
            <w:shd w:val="clear" w:color="auto" w:fill="auto"/>
            <w:noWrap/>
            <w:vAlign w:val="center"/>
            <w:hideMark/>
          </w:tcPr>
          <w:p w14:paraId="3A1FCDE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2 423</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14:paraId="712B764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0</w:t>
            </w:r>
          </w:p>
        </w:tc>
        <w:tc>
          <w:tcPr>
            <w:tcW w:w="397" w:type="pct"/>
            <w:tcBorders>
              <w:top w:val="nil"/>
              <w:left w:val="nil"/>
              <w:bottom w:val="single" w:sz="8" w:space="0" w:color="auto"/>
              <w:right w:val="single" w:sz="8" w:space="0" w:color="auto"/>
            </w:tcBorders>
            <w:shd w:val="clear" w:color="auto" w:fill="auto"/>
            <w:noWrap/>
            <w:vAlign w:val="center"/>
            <w:hideMark/>
          </w:tcPr>
          <w:p w14:paraId="2B656DB1"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9974</w:t>
            </w:r>
          </w:p>
        </w:tc>
        <w:tc>
          <w:tcPr>
            <w:tcW w:w="263" w:type="pct"/>
            <w:tcBorders>
              <w:top w:val="nil"/>
              <w:left w:val="nil"/>
              <w:bottom w:val="single" w:sz="8" w:space="0" w:color="auto"/>
              <w:right w:val="single" w:sz="8" w:space="0" w:color="auto"/>
            </w:tcBorders>
            <w:shd w:val="clear" w:color="000000" w:fill="DBE5F1"/>
            <w:noWrap/>
            <w:vAlign w:val="center"/>
            <w:hideMark/>
          </w:tcPr>
          <w:p w14:paraId="6D2DE85A"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284" w:type="pct"/>
            <w:tcBorders>
              <w:top w:val="nil"/>
              <w:left w:val="nil"/>
              <w:bottom w:val="single" w:sz="8" w:space="0" w:color="auto"/>
              <w:right w:val="single" w:sz="8" w:space="0" w:color="auto"/>
            </w:tcBorders>
            <w:shd w:val="clear" w:color="000000" w:fill="FDE9D9"/>
            <w:noWrap/>
            <w:vAlign w:val="center"/>
            <w:hideMark/>
          </w:tcPr>
          <w:p w14:paraId="1537C8B9"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w:t>
            </w:r>
          </w:p>
        </w:tc>
      </w:tr>
      <w:tr w:rsidR="00456779" w:rsidRPr="00672F59" w14:paraId="32E8D0CF"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08A2CBA1"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Cartago</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686A9236"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524</w:t>
            </w:r>
          </w:p>
        </w:tc>
        <w:tc>
          <w:tcPr>
            <w:tcW w:w="270" w:type="pct"/>
            <w:tcBorders>
              <w:top w:val="nil"/>
              <w:left w:val="nil"/>
              <w:bottom w:val="single" w:sz="4" w:space="0" w:color="auto"/>
              <w:right w:val="single" w:sz="4" w:space="0" w:color="auto"/>
            </w:tcBorders>
            <w:shd w:val="clear" w:color="auto" w:fill="auto"/>
            <w:noWrap/>
            <w:vAlign w:val="center"/>
            <w:hideMark/>
          </w:tcPr>
          <w:p w14:paraId="5B7820B2"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45</w:t>
            </w:r>
          </w:p>
        </w:tc>
        <w:tc>
          <w:tcPr>
            <w:tcW w:w="289" w:type="pct"/>
            <w:tcBorders>
              <w:top w:val="nil"/>
              <w:left w:val="nil"/>
              <w:bottom w:val="single" w:sz="4" w:space="0" w:color="auto"/>
              <w:right w:val="single" w:sz="4" w:space="0" w:color="auto"/>
            </w:tcBorders>
            <w:shd w:val="clear" w:color="auto" w:fill="auto"/>
            <w:noWrap/>
            <w:vAlign w:val="center"/>
            <w:hideMark/>
          </w:tcPr>
          <w:p w14:paraId="2A8B28E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311</w:t>
            </w:r>
          </w:p>
        </w:tc>
        <w:tc>
          <w:tcPr>
            <w:tcW w:w="362" w:type="pct"/>
            <w:tcBorders>
              <w:top w:val="nil"/>
              <w:left w:val="nil"/>
              <w:bottom w:val="single" w:sz="4" w:space="0" w:color="auto"/>
              <w:right w:val="single" w:sz="4" w:space="0" w:color="auto"/>
            </w:tcBorders>
            <w:shd w:val="clear" w:color="auto" w:fill="auto"/>
            <w:noWrap/>
            <w:vAlign w:val="center"/>
            <w:hideMark/>
          </w:tcPr>
          <w:p w14:paraId="37ACF066"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3 380</w:t>
            </w:r>
          </w:p>
        </w:tc>
        <w:tc>
          <w:tcPr>
            <w:tcW w:w="364" w:type="pct"/>
            <w:tcBorders>
              <w:top w:val="nil"/>
              <w:left w:val="nil"/>
              <w:bottom w:val="single" w:sz="4" w:space="0" w:color="auto"/>
              <w:right w:val="single" w:sz="4" w:space="0" w:color="auto"/>
            </w:tcBorders>
            <w:shd w:val="clear" w:color="auto" w:fill="auto"/>
            <w:noWrap/>
            <w:vAlign w:val="center"/>
            <w:hideMark/>
          </w:tcPr>
          <w:p w14:paraId="008F41AA"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3 379</w:t>
            </w:r>
          </w:p>
        </w:tc>
        <w:tc>
          <w:tcPr>
            <w:tcW w:w="216" w:type="pct"/>
            <w:tcBorders>
              <w:top w:val="nil"/>
              <w:left w:val="nil"/>
              <w:bottom w:val="single" w:sz="8" w:space="0" w:color="auto"/>
              <w:right w:val="single" w:sz="8" w:space="0" w:color="auto"/>
            </w:tcBorders>
            <w:shd w:val="clear" w:color="auto" w:fill="auto"/>
            <w:noWrap/>
            <w:vAlign w:val="center"/>
            <w:hideMark/>
          </w:tcPr>
          <w:p w14:paraId="12D6CA9C"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86</w:t>
            </w:r>
          </w:p>
        </w:tc>
        <w:tc>
          <w:tcPr>
            <w:tcW w:w="397" w:type="pct"/>
            <w:tcBorders>
              <w:top w:val="nil"/>
              <w:left w:val="nil"/>
              <w:bottom w:val="single" w:sz="8" w:space="0" w:color="auto"/>
              <w:right w:val="single" w:sz="8" w:space="0" w:color="auto"/>
            </w:tcBorders>
            <w:shd w:val="clear" w:color="auto" w:fill="auto"/>
            <w:noWrap/>
            <w:vAlign w:val="center"/>
            <w:hideMark/>
          </w:tcPr>
          <w:p w14:paraId="552790D3"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7725</w:t>
            </w:r>
          </w:p>
        </w:tc>
        <w:tc>
          <w:tcPr>
            <w:tcW w:w="263" w:type="pct"/>
            <w:tcBorders>
              <w:top w:val="nil"/>
              <w:left w:val="nil"/>
              <w:bottom w:val="single" w:sz="8" w:space="0" w:color="auto"/>
              <w:right w:val="single" w:sz="8" w:space="0" w:color="auto"/>
            </w:tcBorders>
            <w:shd w:val="clear" w:color="000000" w:fill="DBE5F1"/>
            <w:noWrap/>
            <w:vAlign w:val="center"/>
            <w:hideMark/>
          </w:tcPr>
          <w:p w14:paraId="69EBBEF0"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11%</w:t>
            </w:r>
          </w:p>
        </w:tc>
        <w:tc>
          <w:tcPr>
            <w:tcW w:w="284" w:type="pct"/>
            <w:tcBorders>
              <w:top w:val="nil"/>
              <w:left w:val="nil"/>
              <w:bottom w:val="single" w:sz="8" w:space="0" w:color="auto"/>
              <w:right w:val="single" w:sz="8" w:space="0" w:color="auto"/>
            </w:tcBorders>
            <w:shd w:val="clear" w:color="000000" w:fill="FDE9D9"/>
            <w:noWrap/>
            <w:vAlign w:val="center"/>
            <w:hideMark/>
          </w:tcPr>
          <w:p w14:paraId="1408DBE6"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w:t>
            </w:r>
          </w:p>
        </w:tc>
      </w:tr>
      <w:tr w:rsidR="00456779" w:rsidRPr="00672F59" w14:paraId="65F85EF4"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289F6F44"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Heredia</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077C43E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216</w:t>
            </w:r>
          </w:p>
        </w:tc>
        <w:tc>
          <w:tcPr>
            <w:tcW w:w="270" w:type="pct"/>
            <w:tcBorders>
              <w:top w:val="nil"/>
              <w:left w:val="nil"/>
              <w:bottom w:val="single" w:sz="4" w:space="0" w:color="auto"/>
              <w:right w:val="single" w:sz="4" w:space="0" w:color="auto"/>
            </w:tcBorders>
            <w:shd w:val="clear" w:color="auto" w:fill="auto"/>
            <w:noWrap/>
            <w:vAlign w:val="center"/>
            <w:hideMark/>
          </w:tcPr>
          <w:p w14:paraId="45465B66"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22</w:t>
            </w:r>
          </w:p>
        </w:tc>
        <w:tc>
          <w:tcPr>
            <w:tcW w:w="289" w:type="pct"/>
            <w:tcBorders>
              <w:top w:val="nil"/>
              <w:left w:val="nil"/>
              <w:bottom w:val="single" w:sz="4" w:space="0" w:color="auto"/>
              <w:right w:val="single" w:sz="4" w:space="0" w:color="auto"/>
            </w:tcBorders>
            <w:shd w:val="clear" w:color="auto" w:fill="auto"/>
            <w:noWrap/>
            <w:vAlign w:val="center"/>
            <w:hideMark/>
          </w:tcPr>
          <w:p w14:paraId="372D276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240</w:t>
            </w:r>
          </w:p>
        </w:tc>
        <w:tc>
          <w:tcPr>
            <w:tcW w:w="362" w:type="pct"/>
            <w:tcBorders>
              <w:top w:val="nil"/>
              <w:left w:val="nil"/>
              <w:bottom w:val="single" w:sz="4" w:space="0" w:color="auto"/>
              <w:right w:val="single" w:sz="4" w:space="0" w:color="auto"/>
            </w:tcBorders>
            <w:shd w:val="clear" w:color="auto" w:fill="auto"/>
            <w:noWrap/>
            <w:vAlign w:val="center"/>
            <w:hideMark/>
          </w:tcPr>
          <w:p w14:paraId="5A4D81F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7 825</w:t>
            </w:r>
          </w:p>
        </w:tc>
        <w:tc>
          <w:tcPr>
            <w:tcW w:w="364" w:type="pct"/>
            <w:tcBorders>
              <w:top w:val="nil"/>
              <w:left w:val="nil"/>
              <w:bottom w:val="single" w:sz="4" w:space="0" w:color="auto"/>
              <w:right w:val="single" w:sz="4" w:space="0" w:color="auto"/>
            </w:tcBorders>
            <w:shd w:val="clear" w:color="auto" w:fill="auto"/>
            <w:noWrap/>
            <w:vAlign w:val="center"/>
            <w:hideMark/>
          </w:tcPr>
          <w:p w14:paraId="6A7FE1F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576</w:t>
            </w:r>
          </w:p>
        </w:tc>
        <w:tc>
          <w:tcPr>
            <w:tcW w:w="216" w:type="pct"/>
            <w:tcBorders>
              <w:top w:val="nil"/>
              <w:left w:val="nil"/>
              <w:bottom w:val="single" w:sz="8" w:space="0" w:color="auto"/>
              <w:right w:val="single" w:sz="8" w:space="0" w:color="auto"/>
            </w:tcBorders>
            <w:shd w:val="clear" w:color="auto" w:fill="auto"/>
            <w:noWrap/>
            <w:vAlign w:val="center"/>
            <w:hideMark/>
          </w:tcPr>
          <w:p w14:paraId="470D40AF"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w:t>
            </w:r>
          </w:p>
        </w:tc>
        <w:tc>
          <w:tcPr>
            <w:tcW w:w="397" w:type="pct"/>
            <w:tcBorders>
              <w:top w:val="nil"/>
              <w:left w:val="nil"/>
              <w:bottom w:val="single" w:sz="8" w:space="0" w:color="auto"/>
              <w:right w:val="single" w:sz="8" w:space="0" w:color="auto"/>
            </w:tcBorders>
            <w:shd w:val="clear" w:color="auto" w:fill="auto"/>
            <w:noWrap/>
            <w:vAlign w:val="center"/>
            <w:hideMark/>
          </w:tcPr>
          <w:p w14:paraId="627765FE"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8883</w:t>
            </w:r>
          </w:p>
        </w:tc>
        <w:tc>
          <w:tcPr>
            <w:tcW w:w="263" w:type="pct"/>
            <w:tcBorders>
              <w:top w:val="nil"/>
              <w:left w:val="nil"/>
              <w:bottom w:val="single" w:sz="8" w:space="0" w:color="auto"/>
              <w:right w:val="single" w:sz="8" w:space="0" w:color="auto"/>
            </w:tcBorders>
            <w:shd w:val="clear" w:color="000000" w:fill="DBE5F1"/>
            <w:noWrap/>
            <w:vAlign w:val="center"/>
            <w:hideMark/>
          </w:tcPr>
          <w:p w14:paraId="1990BB1C"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w:t>
            </w:r>
          </w:p>
        </w:tc>
        <w:tc>
          <w:tcPr>
            <w:tcW w:w="284" w:type="pct"/>
            <w:tcBorders>
              <w:top w:val="nil"/>
              <w:left w:val="nil"/>
              <w:bottom w:val="single" w:sz="8" w:space="0" w:color="auto"/>
              <w:right w:val="single" w:sz="8" w:space="0" w:color="auto"/>
            </w:tcBorders>
            <w:shd w:val="clear" w:color="000000" w:fill="FDE9D9"/>
            <w:noWrap/>
            <w:vAlign w:val="center"/>
            <w:hideMark/>
          </w:tcPr>
          <w:p w14:paraId="6066E1FC"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95%</w:t>
            </w:r>
          </w:p>
        </w:tc>
      </w:tr>
      <w:tr w:rsidR="00456779" w:rsidRPr="00672F59" w14:paraId="1E525BC1"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045FB1C0"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II Circ. Jud. Zona Atlántica (Pococí)</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6632D6EF"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217</w:t>
            </w:r>
          </w:p>
        </w:tc>
        <w:tc>
          <w:tcPr>
            <w:tcW w:w="270" w:type="pct"/>
            <w:tcBorders>
              <w:top w:val="nil"/>
              <w:left w:val="nil"/>
              <w:bottom w:val="single" w:sz="4" w:space="0" w:color="auto"/>
              <w:right w:val="single" w:sz="4" w:space="0" w:color="auto"/>
            </w:tcBorders>
            <w:shd w:val="clear" w:color="auto" w:fill="auto"/>
            <w:noWrap/>
            <w:vAlign w:val="center"/>
            <w:hideMark/>
          </w:tcPr>
          <w:p w14:paraId="476C73E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11</w:t>
            </w:r>
          </w:p>
        </w:tc>
        <w:tc>
          <w:tcPr>
            <w:tcW w:w="289" w:type="pct"/>
            <w:tcBorders>
              <w:top w:val="nil"/>
              <w:left w:val="nil"/>
              <w:bottom w:val="single" w:sz="4" w:space="0" w:color="auto"/>
              <w:right w:val="single" w:sz="4" w:space="0" w:color="auto"/>
            </w:tcBorders>
            <w:shd w:val="clear" w:color="auto" w:fill="auto"/>
            <w:noWrap/>
            <w:vAlign w:val="center"/>
            <w:hideMark/>
          </w:tcPr>
          <w:p w14:paraId="26A7400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33</w:t>
            </w:r>
          </w:p>
        </w:tc>
        <w:tc>
          <w:tcPr>
            <w:tcW w:w="362" w:type="pct"/>
            <w:tcBorders>
              <w:top w:val="nil"/>
              <w:left w:val="nil"/>
              <w:bottom w:val="single" w:sz="4" w:space="0" w:color="auto"/>
              <w:right w:val="single" w:sz="4" w:space="0" w:color="auto"/>
            </w:tcBorders>
            <w:shd w:val="clear" w:color="auto" w:fill="auto"/>
            <w:noWrap/>
            <w:vAlign w:val="center"/>
            <w:hideMark/>
          </w:tcPr>
          <w:p w14:paraId="795047F2"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4 332</w:t>
            </w:r>
          </w:p>
        </w:tc>
        <w:tc>
          <w:tcPr>
            <w:tcW w:w="364" w:type="pct"/>
            <w:tcBorders>
              <w:top w:val="nil"/>
              <w:left w:val="nil"/>
              <w:bottom w:val="single" w:sz="4" w:space="0" w:color="auto"/>
              <w:right w:val="single" w:sz="4" w:space="0" w:color="auto"/>
            </w:tcBorders>
            <w:shd w:val="clear" w:color="auto" w:fill="auto"/>
            <w:noWrap/>
            <w:vAlign w:val="center"/>
            <w:hideMark/>
          </w:tcPr>
          <w:p w14:paraId="17E5155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2 125</w:t>
            </w:r>
          </w:p>
        </w:tc>
        <w:tc>
          <w:tcPr>
            <w:tcW w:w="216" w:type="pct"/>
            <w:tcBorders>
              <w:top w:val="nil"/>
              <w:left w:val="nil"/>
              <w:bottom w:val="single" w:sz="8" w:space="0" w:color="auto"/>
              <w:right w:val="single" w:sz="8" w:space="0" w:color="auto"/>
            </w:tcBorders>
            <w:shd w:val="clear" w:color="auto" w:fill="auto"/>
            <w:noWrap/>
            <w:vAlign w:val="center"/>
            <w:hideMark/>
          </w:tcPr>
          <w:p w14:paraId="4A7058FC"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0</w:t>
            </w:r>
          </w:p>
        </w:tc>
        <w:tc>
          <w:tcPr>
            <w:tcW w:w="397" w:type="pct"/>
            <w:tcBorders>
              <w:top w:val="nil"/>
              <w:left w:val="nil"/>
              <w:bottom w:val="single" w:sz="8" w:space="0" w:color="auto"/>
              <w:right w:val="single" w:sz="8" w:space="0" w:color="auto"/>
            </w:tcBorders>
            <w:shd w:val="clear" w:color="auto" w:fill="auto"/>
            <w:noWrap/>
            <w:vAlign w:val="center"/>
            <w:hideMark/>
          </w:tcPr>
          <w:p w14:paraId="5312A618"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6718</w:t>
            </w:r>
          </w:p>
        </w:tc>
        <w:tc>
          <w:tcPr>
            <w:tcW w:w="263" w:type="pct"/>
            <w:tcBorders>
              <w:top w:val="nil"/>
              <w:left w:val="nil"/>
              <w:bottom w:val="single" w:sz="8" w:space="0" w:color="auto"/>
              <w:right w:val="single" w:sz="8" w:space="0" w:color="auto"/>
            </w:tcBorders>
            <w:shd w:val="clear" w:color="000000" w:fill="DBE5F1"/>
            <w:noWrap/>
            <w:vAlign w:val="center"/>
            <w:hideMark/>
          </w:tcPr>
          <w:p w14:paraId="0D7ACBCD"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w:t>
            </w:r>
          </w:p>
        </w:tc>
        <w:tc>
          <w:tcPr>
            <w:tcW w:w="284" w:type="pct"/>
            <w:tcBorders>
              <w:top w:val="nil"/>
              <w:left w:val="nil"/>
              <w:bottom w:val="single" w:sz="8" w:space="0" w:color="auto"/>
              <w:right w:val="single" w:sz="8" w:space="0" w:color="auto"/>
            </w:tcBorders>
            <w:shd w:val="clear" w:color="000000" w:fill="FDE9D9"/>
            <w:noWrap/>
            <w:vAlign w:val="center"/>
            <w:hideMark/>
          </w:tcPr>
          <w:p w14:paraId="3AE92C39"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96%</w:t>
            </w:r>
          </w:p>
        </w:tc>
      </w:tr>
      <w:tr w:rsidR="00456779" w:rsidRPr="00672F59" w14:paraId="4435D85C"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5896B4CF"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 Circ. Jud. Zona Sur (Pérez Zeledón)</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28A33DC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165</w:t>
            </w:r>
          </w:p>
        </w:tc>
        <w:tc>
          <w:tcPr>
            <w:tcW w:w="270" w:type="pct"/>
            <w:tcBorders>
              <w:top w:val="nil"/>
              <w:left w:val="nil"/>
              <w:bottom w:val="single" w:sz="4" w:space="0" w:color="auto"/>
              <w:right w:val="single" w:sz="4" w:space="0" w:color="auto"/>
            </w:tcBorders>
            <w:shd w:val="clear" w:color="auto" w:fill="auto"/>
            <w:noWrap/>
            <w:vAlign w:val="center"/>
            <w:hideMark/>
          </w:tcPr>
          <w:p w14:paraId="1986715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w:t>
            </w:r>
          </w:p>
        </w:tc>
        <w:tc>
          <w:tcPr>
            <w:tcW w:w="289" w:type="pct"/>
            <w:tcBorders>
              <w:top w:val="nil"/>
              <w:left w:val="nil"/>
              <w:bottom w:val="single" w:sz="4" w:space="0" w:color="auto"/>
              <w:right w:val="single" w:sz="4" w:space="0" w:color="auto"/>
            </w:tcBorders>
            <w:shd w:val="clear" w:color="auto" w:fill="auto"/>
            <w:noWrap/>
            <w:vAlign w:val="center"/>
            <w:hideMark/>
          </w:tcPr>
          <w:p w14:paraId="55B79D6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13</w:t>
            </w:r>
          </w:p>
        </w:tc>
        <w:tc>
          <w:tcPr>
            <w:tcW w:w="362" w:type="pct"/>
            <w:tcBorders>
              <w:top w:val="nil"/>
              <w:left w:val="nil"/>
              <w:bottom w:val="single" w:sz="4" w:space="0" w:color="auto"/>
              <w:right w:val="single" w:sz="4" w:space="0" w:color="auto"/>
            </w:tcBorders>
            <w:shd w:val="clear" w:color="auto" w:fill="auto"/>
            <w:noWrap/>
            <w:vAlign w:val="center"/>
            <w:hideMark/>
          </w:tcPr>
          <w:p w14:paraId="001D6C9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5 458</w:t>
            </w:r>
          </w:p>
        </w:tc>
        <w:tc>
          <w:tcPr>
            <w:tcW w:w="364" w:type="pct"/>
            <w:tcBorders>
              <w:top w:val="nil"/>
              <w:left w:val="nil"/>
              <w:bottom w:val="single" w:sz="4" w:space="0" w:color="auto"/>
              <w:right w:val="single" w:sz="4" w:space="0" w:color="auto"/>
            </w:tcBorders>
            <w:shd w:val="clear" w:color="auto" w:fill="auto"/>
            <w:noWrap/>
            <w:vAlign w:val="center"/>
            <w:hideMark/>
          </w:tcPr>
          <w:p w14:paraId="03DC2C09"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428</w:t>
            </w:r>
          </w:p>
        </w:tc>
        <w:tc>
          <w:tcPr>
            <w:tcW w:w="216" w:type="pct"/>
            <w:tcBorders>
              <w:top w:val="nil"/>
              <w:left w:val="nil"/>
              <w:bottom w:val="single" w:sz="8" w:space="0" w:color="auto"/>
              <w:right w:val="single" w:sz="8" w:space="0" w:color="auto"/>
            </w:tcBorders>
            <w:shd w:val="clear" w:color="auto" w:fill="auto"/>
            <w:noWrap/>
            <w:vAlign w:val="center"/>
            <w:hideMark/>
          </w:tcPr>
          <w:p w14:paraId="309211D0"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w:t>
            </w:r>
          </w:p>
        </w:tc>
        <w:tc>
          <w:tcPr>
            <w:tcW w:w="397" w:type="pct"/>
            <w:tcBorders>
              <w:top w:val="nil"/>
              <w:left w:val="nil"/>
              <w:bottom w:val="single" w:sz="8" w:space="0" w:color="auto"/>
              <w:right w:val="single" w:sz="8" w:space="0" w:color="auto"/>
            </w:tcBorders>
            <w:shd w:val="clear" w:color="auto" w:fill="auto"/>
            <w:noWrap/>
            <w:vAlign w:val="center"/>
            <w:hideMark/>
          </w:tcPr>
          <w:p w14:paraId="6EC237C8"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6080</w:t>
            </w:r>
          </w:p>
        </w:tc>
        <w:tc>
          <w:tcPr>
            <w:tcW w:w="263" w:type="pct"/>
            <w:tcBorders>
              <w:top w:val="nil"/>
              <w:left w:val="nil"/>
              <w:bottom w:val="single" w:sz="8" w:space="0" w:color="auto"/>
              <w:right w:val="single" w:sz="8" w:space="0" w:color="auto"/>
            </w:tcBorders>
            <w:shd w:val="clear" w:color="000000" w:fill="DBE5F1"/>
            <w:noWrap/>
            <w:vAlign w:val="center"/>
            <w:hideMark/>
          </w:tcPr>
          <w:p w14:paraId="2BE2D7CD"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284" w:type="pct"/>
            <w:tcBorders>
              <w:top w:val="nil"/>
              <w:left w:val="nil"/>
              <w:bottom w:val="single" w:sz="8" w:space="0" w:color="auto"/>
              <w:right w:val="single" w:sz="8" w:space="0" w:color="auto"/>
            </w:tcBorders>
            <w:shd w:val="clear" w:color="000000" w:fill="FDE9D9"/>
            <w:noWrap/>
            <w:vAlign w:val="center"/>
            <w:hideMark/>
          </w:tcPr>
          <w:p w14:paraId="387D9124"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w:t>
            </w:r>
          </w:p>
        </w:tc>
      </w:tr>
      <w:tr w:rsidR="00456779" w:rsidRPr="00672F59" w14:paraId="7DDC9573"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60BA29CC"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Pensiones Alimentarias I Circ. Jud. Zona Atlántica (Limón)</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60E251E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147</w:t>
            </w:r>
          </w:p>
        </w:tc>
        <w:tc>
          <w:tcPr>
            <w:tcW w:w="270" w:type="pct"/>
            <w:tcBorders>
              <w:top w:val="nil"/>
              <w:left w:val="nil"/>
              <w:bottom w:val="single" w:sz="4" w:space="0" w:color="auto"/>
              <w:right w:val="single" w:sz="4" w:space="0" w:color="auto"/>
            </w:tcBorders>
            <w:shd w:val="clear" w:color="auto" w:fill="auto"/>
            <w:noWrap/>
            <w:vAlign w:val="center"/>
            <w:hideMark/>
          </w:tcPr>
          <w:p w14:paraId="656DAA44"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0</w:t>
            </w:r>
          </w:p>
        </w:tc>
        <w:tc>
          <w:tcPr>
            <w:tcW w:w="289" w:type="pct"/>
            <w:tcBorders>
              <w:top w:val="nil"/>
              <w:left w:val="nil"/>
              <w:bottom w:val="single" w:sz="4" w:space="0" w:color="auto"/>
              <w:right w:val="single" w:sz="4" w:space="0" w:color="auto"/>
            </w:tcBorders>
            <w:shd w:val="clear" w:color="auto" w:fill="auto"/>
            <w:noWrap/>
            <w:vAlign w:val="center"/>
            <w:hideMark/>
          </w:tcPr>
          <w:p w14:paraId="3B29E33F"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95</w:t>
            </w:r>
          </w:p>
        </w:tc>
        <w:tc>
          <w:tcPr>
            <w:tcW w:w="362" w:type="pct"/>
            <w:tcBorders>
              <w:top w:val="nil"/>
              <w:left w:val="nil"/>
              <w:bottom w:val="single" w:sz="4" w:space="0" w:color="auto"/>
              <w:right w:val="single" w:sz="4" w:space="0" w:color="auto"/>
            </w:tcBorders>
            <w:shd w:val="clear" w:color="auto" w:fill="auto"/>
            <w:noWrap/>
            <w:vAlign w:val="center"/>
            <w:hideMark/>
          </w:tcPr>
          <w:p w14:paraId="50FFBAF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3 653</w:t>
            </w:r>
          </w:p>
        </w:tc>
        <w:tc>
          <w:tcPr>
            <w:tcW w:w="364" w:type="pct"/>
            <w:tcBorders>
              <w:top w:val="nil"/>
              <w:left w:val="nil"/>
              <w:bottom w:val="single" w:sz="4" w:space="0" w:color="auto"/>
              <w:right w:val="single" w:sz="4" w:space="0" w:color="auto"/>
            </w:tcBorders>
            <w:shd w:val="clear" w:color="auto" w:fill="auto"/>
            <w:noWrap/>
            <w:vAlign w:val="center"/>
            <w:hideMark/>
          </w:tcPr>
          <w:p w14:paraId="7DB519E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1 638</w:t>
            </w:r>
          </w:p>
        </w:tc>
        <w:tc>
          <w:tcPr>
            <w:tcW w:w="216" w:type="pct"/>
            <w:tcBorders>
              <w:top w:val="nil"/>
              <w:left w:val="nil"/>
              <w:bottom w:val="single" w:sz="8" w:space="0" w:color="auto"/>
              <w:right w:val="single" w:sz="8" w:space="0" w:color="auto"/>
            </w:tcBorders>
            <w:shd w:val="clear" w:color="auto" w:fill="auto"/>
            <w:noWrap/>
            <w:vAlign w:val="center"/>
            <w:hideMark/>
          </w:tcPr>
          <w:p w14:paraId="27AEBFC1"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397" w:type="pct"/>
            <w:tcBorders>
              <w:top w:val="nil"/>
              <w:left w:val="nil"/>
              <w:bottom w:val="single" w:sz="8" w:space="0" w:color="auto"/>
              <w:right w:val="single" w:sz="8" w:space="0" w:color="auto"/>
            </w:tcBorders>
            <w:shd w:val="clear" w:color="auto" w:fill="auto"/>
            <w:noWrap/>
            <w:vAlign w:val="center"/>
            <w:hideMark/>
          </w:tcPr>
          <w:p w14:paraId="75FF220E"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5534</w:t>
            </w:r>
          </w:p>
        </w:tc>
        <w:tc>
          <w:tcPr>
            <w:tcW w:w="263" w:type="pct"/>
            <w:tcBorders>
              <w:top w:val="nil"/>
              <w:left w:val="nil"/>
              <w:bottom w:val="single" w:sz="8" w:space="0" w:color="auto"/>
              <w:right w:val="single" w:sz="8" w:space="0" w:color="auto"/>
            </w:tcBorders>
            <w:shd w:val="clear" w:color="000000" w:fill="DBE5F1"/>
            <w:noWrap/>
            <w:vAlign w:val="center"/>
            <w:hideMark/>
          </w:tcPr>
          <w:p w14:paraId="57CA7636"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4%</w:t>
            </w:r>
          </w:p>
        </w:tc>
        <w:tc>
          <w:tcPr>
            <w:tcW w:w="284" w:type="pct"/>
            <w:tcBorders>
              <w:top w:val="nil"/>
              <w:left w:val="nil"/>
              <w:bottom w:val="single" w:sz="8" w:space="0" w:color="auto"/>
              <w:right w:val="single" w:sz="8" w:space="0" w:color="auto"/>
            </w:tcBorders>
            <w:shd w:val="clear" w:color="000000" w:fill="FDE9D9"/>
            <w:noWrap/>
            <w:vAlign w:val="center"/>
            <w:hideMark/>
          </w:tcPr>
          <w:p w14:paraId="0D25CAAA"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96%</w:t>
            </w:r>
          </w:p>
        </w:tc>
      </w:tr>
      <w:tr w:rsidR="00456779" w:rsidRPr="00672F59" w14:paraId="0C13FC34"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125E57BD"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 xml:space="preserve">Juzgado Pensiones Alimentarias Puntarenas </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4858A3F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56</w:t>
            </w:r>
          </w:p>
        </w:tc>
        <w:tc>
          <w:tcPr>
            <w:tcW w:w="270" w:type="pct"/>
            <w:tcBorders>
              <w:top w:val="nil"/>
              <w:left w:val="nil"/>
              <w:bottom w:val="single" w:sz="4" w:space="0" w:color="auto"/>
              <w:right w:val="single" w:sz="4" w:space="0" w:color="auto"/>
            </w:tcBorders>
            <w:shd w:val="clear" w:color="auto" w:fill="auto"/>
            <w:noWrap/>
            <w:vAlign w:val="center"/>
            <w:hideMark/>
          </w:tcPr>
          <w:p w14:paraId="0B97C87A"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105</w:t>
            </w:r>
          </w:p>
        </w:tc>
        <w:tc>
          <w:tcPr>
            <w:tcW w:w="289" w:type="pct"/>
            <w:tcBorders>
              <w:top w:val="nil"/>
              <w:left w:val="nil"/>
              <w:bottom w:val="single" w:sz="4" w:space="0" w:color="auto"/>
              <w:right w:val="single" w:sz="4" w:space="0" w:color="auto"/>
            </w:tcBorders>
            <w:shd w:val="clear" w:color="auto" w:fill="auto"/>
            <w:noWrap/>
            <w:vAlign w:val="center"/>
            <w:hideMark/>
          </w:tcPr>
          <w:p w14:paraId="58F2A033"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344</w:t>
            </w:r>
          </w:p>
        </w:tc>
        <w:tc>
          <w:tcPr>
            <w:tcW w:w="362" w:type="pct"/>
            <w:tcBorders>
              <w:top w:val="nil"/>
              <w:left w:val="nil"/>
              <w:bottom w:val="single" w:sz="4" w:space="0" w:color="auto"/>
              <w:right w:val="single" w:sz="4" w:space="0" w:color="auto"/>
            </w:tcBorders>
            <w:shd w:val="clear" w:color="auto" w:fill="auto"/>
            <w:noWrap/>
            <w:vAlign w:val="center"/>
            <w:hideMark/>
          </w:tcPr>
          <w:p w14:paraId="6EF8A0F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1 347</w:t>
            </w:r>
          </w:p>
        </w:tc>
        <w:tc>
          <w:tcPr>
            <w:tcW w:w="364" w:type="pct"/>
            <w:tcBorders>
              <w:top w:val="nil"/>
              <w:left w:val="nil"/>
              <w:bottom w:val="single" w:sz="4" w:space="0" w:color="auto"/>
              <w:right w:val="single" w:sz="4" w:space="0" w:color="auto"/>
            </w:tcBorders>
            <w:shd w:val="clear" w:color="auto" w:fill="auto"/>
            <w:noWrap/>
            <w:vAlign w:val="center"/>
            <w:hideMark/>
          </w:tcPr>
          <w:p w14:paraId="5344E94B"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3 862</w:t>
            </w:r>
          </w:p>
        </w:tc>
        <w:tc>
          <w:tcPr>
            <w:tcW w:w="216" w:type="pct"/>
            <w:tcBorders>
              <w:top w:val="nil"/>
              <w:left w:val="nil"/>
              <w:bottom w:val="single" w:sz="8" w:space="0" w:color="auto"/>
              <w:right w:val="single" w:sz="8" w:space="0" w:color="auto"/>
            </w:tcBorders>
            <w:shd w:val="clear" w:color="auto" w:fill="auto"/>
            <w:noWrap/>
            <w:vAlign w:val="center"/>
            <w:hideMark/>
          </w:tcPr>
          <w:p w14:paraId="15B6C4EE"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0</w:t>
            </w:r>
          </w:p>
        </w:tc>
        <w:tc>
          <w:tcPr>
            <w:tcW w:w="397" w:type="pct"/>
            <w:tcBorders>
              <w:top w:val="nil"/>
              <w:left w:val="nil"/>
              <w:bottom w:val="single" w:sz="8" w:space="0" w:color="auto"/>
              <w:right w:val="single" w:sz="8" w:space="0" w:color="auto"/>
            </w:tcBorders>
            <w:shd w:val="clear" w:color="auto" w:fill="auto"/>
            <w:noWrap/>
            <w:vAlign w:val="center"/>
            <w:hideMark/>
          </w:tcPr>
          <w:p w14:paraId="1FAD9A68"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5714</w:t>
            </w:r>
          </w:p>
        </w:tc>
        <w:tc>
          <w:tcPr>
            <w:tcW w:w="263" w:type="pct"/>
            <w:tcBorders>
              <w:top w:val="nil"/>
              <w:left w:val="nil"/>
              <w:bottom w:val="single" w:sz="8" w:space="0" w:color="auto"/>
              <w:right w:val="single" w:sz="8" w:space="0" w:color="auto"/>
            </w:tcBorders>
            <w:shd w:val="clear" w:color="000000" w:fill="DBE5F1"/>
            <w:noWrap/>
            <w:vAlign w:val="center"/>
            <w:hideMark/>
          </w:tcPr>
          <w:p w14:paraId="6209473E"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w:t>
            </w:r>
          </w:p>
        </w:tc>
        <w:tc>
          <w:tcPr>
            <w:tcW w:w="284" w:type="pct"/>
            <w:tcBorders>
              <w:top w:val="nil"/>
              <w:left w:val="nil"/>
              <w:bottom w:val="single" w:sz="8" w:space="0" w:color="auto"/>
              <w:right w:val="single" w:sz="8" w:space="0" w:color="auto"/>
            </w:tcBorders>
            <w:shd w:val="clear" w:color="000000" w:fill="FDE9D9"/>
            <w:noWrap/>
            <w:vAlign w:val="center"/>
            <w:hideMark/>
          </w:tcPr>
          <w:p w14:paraId="18FF0FF5"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91%</w:t>
            </w:r>
          </w:p>
        </w:tc>
      </w:tr>
      <w:tr w:rsidR="00456779" w:rsidRPr="00672F59" w14:paraId="4EB2C8E0"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75BF1454"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 xml:space="preserve">Juzgado Pensiones Alimentarias I Circ. Jud. San José </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3E7BD89F"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110</w:t>
            </w:r>
          </w:p>
        </w:tc>
        <w:tc>
          <w:tcPr>
            <w:tcW w:w="270" w:type="pct"/>
            <w:tcBorders>
              <w:top w:val="nil"/>
              <w:left w:val="nil"/>
              <w:bottom w:val="single" w:sz="4" w:space="0" w:color="auto"/>
              <w:right w:val="single" w:sz="4" w:space="0" w:color="auto"/>
            </w:tcBorders>
            <w:shd w:val="clear" w:color="auto" w:fill="auto"/>
            <w:noWrap/>
            <w:vAlign w:val="center"/>
            <w:hideMark/>
          </w:tcPr>
          <w:p w14:paraId="30321A3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29</w:t>
            </w:r>
          </w:p>
        </w:tc>
        <w:tc>
          <w:tcPr>
            <w:tcW w:w="289" w:type="pct"/>
            <w:tcBorders>
              <w:top w:val="nil"/>
              <w:left w:val="nil"/>
              <w:bottom w:val="single" w:sz="4" w:space="0" w:color="auto"/>
              <w:right w:val="single" w:sz="4" w:space="0" w:color="auto"/>
            </w:tcBorders>
            <w:shd w:val="clear" w:color="auto" w:fill="auto"/>
            <w:noWrap/>
            <w:vAlign w:val="center"/>
            <w:hideMark/>
          </w:tcPr>
          <w:p w14:paraId="0D246A4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116</w:t>
            </w:r>
          </w:p>
        </w:tc>
        <w:tc>
          <w:tcPr>
            <w:tcW w:w="362" w:type="pct"/>
            <w:tcBorders>
              <w:top w:val="nil"/>
              <w:left w:val="nil"/>
              <w:bottom w:val="single" w:sz="4" w:space="0" w:color="auto"/>
              <w:right w:val="single" w:sz="4" w:space="0" w:color="auto"/>
            </w:tcBorders>
            <w:shd w:val="clear" w:color="auto" w:fill="auto"/>
            <w:noWrap/>
            <w:vAlign w:val="center"/>
            <w:hideMark/>
          </w:tcPr>
          <w:p w14:paraId="490DE56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4 060</w:t>
            </w:r>
          </w:p>
        </w:tc>
        <w:tc>
          <w:tcPr>
            <w:tcW w:w="364" w:type="pct"/>
            <w:tcBorders>
              <w:top w:val="nil"/>
              <w:left w:val="nil"/>
              <w:bottom w:val="single" w:sz="4" w:space="0" w:color="auto"/>
              <w:right w:val="single" w:sz="4" w:space="0" w:color="auto"/>
            </w:tcBorders>
            <w:shd w:val="clear" w:color="auto" w:fill="auto"/>
            <w:noWrap/>
            <w:vAlign w:val="center"/>
            <w:hideMark/>
          </w:tcPr>
          <w:p w14:paraId="3526A8CA"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782</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14:paraId="27261757"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0</w:t>
            </w:r>
          </w:p>
        </w:tc>
        <w:tc>
          <w:tcPr>
            <w:tcW w:w="397" w:type="pct"/>
            <w:tcBorders>
              <w:top w:val="nil"/>
              <w:left w:val="nil"/>
              <w:bottom w:val="single" w:sz="8" w:space="0" w:color="auto"/>
              <w:right w:val="single" w:sz="8" w:space="0" w:color="auto"/>
            </w:tcBorders>
            <w:shd w:val="clear" w:color="auto" w:fill="auto"/>
            <w:noWrap/>
            <w:vAlign w:val="center"/>
            <w:hideMark/>
          </w:tcPr>
          <w:p w14:paraId="7B5A22CB"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5097</w:t>
            </w:r>
          </w:p>
        </w:tc>
        <w:tc>
          <w:tcPr>
            <w:tcW w:w="263" w:type="pct"/>
            <w:tcBorders>
              <w:top w:val="nil"/>
              <w:left w:val="nil"/>
              <w:bottom w:val="single" w:sz="8" w:space="0" w:color="auto"/>
              <w:right w:val="single" w:sz="8" w:space="0" w:color="auto"/>
            </w:tcBorders>
            <w:shd w:val="clear" w:color="000000" w:fill="DBE5F1"/>
            <w:noWrap/>
            <w:vAlign w:val="center"/>
            <w:hideMark/>
          </w:tcPr>
          <w:p w14:paraId="4BF5BCCF"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w:t>
            </w:r>
          </w:p>
        </w:tc>
        <w:tc>
          <w:tcPr>
            <w:tcW w:w="284" w:type="pct"/>
            <w:tcBorders>
              <w:top w:val="nil"/>
              <w:left w:val="nil"/>
              <w:bottom w:val="single" w:sz="8" w:space="0" w:color="auto"/>
              <w:right w:val="single" w:sz="8" w:space="0" w:color="auto"/>
            </w:tcBorders>
            <w:shd w:val="clear" w:color="000000" w:fill="FDE9D9"/>
            <w:noWrap/>
            <w:vAlign w:val="center"/>
            <w:hideMark/>
          </w:tcPr>
          <w:p w14:paraId="2D591CCE"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95%</w:t>
            </w:r>
          </w:p>
        </w:tc>
      </w:tr>
      <w:tr w:rsidR="00456779" w:rsidRPr="00672F59" w14:paraId="5480B5DA"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3BD12280"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lastRenderedPageBreak/>
              <w:t>Juzgado Pensiones Alimentarias Sarapiquí</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61255C45"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369</w:t>
            </w:r>
          </w:p>
        </w:tc>
        <w:tc>
          <w:tcPr>
            <w:tcW w:w="270" w:type="pct"/>
            <w:tcBorders>
              <w:top w:val="nil"/>
              <w:left w:val="nil"/>
              <w:bottom w:val="single" w:sz="4" w:space="0" w:color="auto"/>
              <w:right w:val="single" w:sz="4" w:space="0" w:color="auto"/>
            </w:tcBorders>
            <w:shd w:val="clear" w:color="auto" w:fill="auto"/>
            <w:noWrap/>
            <w:vAlign w:val="center"/>
            <w:hideMark/>
          </w:tcPr>
          <w:p w14:paraId="71519FC0"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66</w:t>
            </w:r>
          </w:p>
        </w:tc>
        <w:tc>
          <w:tcPr>
            <w:tcW w:w="289" w:type="pct"/>
            <w:tcBorders>
              <w:top w:val="nil"/>
              <w:left w:val="nil"/>
              <w:bottom w:val="single" w:sz="4" w:space="0" w:color="auto"/>
              <w:right w:val="single" w:sz="4" w:space="0" w:color="auto"/>
            </w:tcBorders>
            <w:shd w:val="clear" w:color="auto" w:fill="auto"/>
            <w:noWrap/>
            <w:vAlign w:val="center"/>
            <w:hideMark/>
          </w:tcPr>
          <w:p w14:paraId="636A7D09"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30</w:t>
            </w:r>
          </w:p>
        </w:tc>
        <w:tc>
          <w:tcPr>
            <w:tcW w:w="362" w:type="pct"/>
            <w:tcBorders>
              <w:top w:val="nil"/>
              <w:left w:val="nil"/>
              <w:bottom w:val="single" w:sz="4" w:space="0" w:color="auto"/>
              <w:right w:val="single" w:sz="4" w:space="0" w:color="auto"/>
            </w:tcBorders>
            <w:shd w:val="clear" w:color="auto" w:fill="auto"/>
            <w:noWrap/>
            <w:vAlign w:val="center"/>
            <w:hideMark/>
          </w:tcPr>
          <w:p w14:paraId="074BBEE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1 312</w:t>
            </w:r>
          </w:p>
        </w:tc>
        <w:tc>
          <w:tcPr>
            <w:tcW w:w="364" w:type="pct"/>
            <w:tcBorders>
              <w:top w:val="nil"/>
              <w:left w:val="nil"/>
              <w:bottom w:val="single" w:sz="4" w:space="0" w:color="auto"/>
              <w:right w:val="single" w:sz="4" w:space="0" w:color="auto"/>
            </w:tcBorders>
            <w:shd w:val="clear" w:color="auto" w:fill="auto"/>
            <w:noWrap/>
            <w:vAlign w:val="center"/>
            <w:hideMark/>
          </w:tcPr>
          <w:p w14:paraId="7FE673D5"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1 776</w:t>
            </w:r>
          </w:p>
        </w:tc>
        <w:tc>
          <w:tcPr>
            <w:tcW w:w="216" w:type="pct"/>
            <w:tcBorders>
              <w:top w:val="nil"/>
              <w:left w:val="nil"/>
              <w:bottom w:val="single" w:sz="8" w:space="0" w:color="auto"/>
              <w:right w:val="single" w:sz="8" w:space="0" w:color="auto"/>
            </w:tcBorders>
            <w:shd w:val="clear" w:color="auto" w:fill="auto"/>
            <w:noWrap/>
            <w:vAlign w:val="center"/>
            <w:hideMark/>
          </w:tcPr>
          <w:p w14:paraId="46F6B820"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397" w:type="pct"/>
            <w:tcBorders>
              <w:top w:val="nil"/>
              <w:left w:val="nil"/>
              <w:bottom w:val="single" w:sz="8" w:space="0" w:color="auto"/>
              <w:right w:val="single" w:sz="8" w:space="0" w:color="auto"/>
            </w:tcBorders>
            <w:shd w:val="clear" w:color="auto" w:fill="auto"/>
            <w:noWrap/>
            <w:vAlign w:val="center"/>
            <w:hideMark/>
          </w:tcPr>
          <w:p w14:paraId="0202864F"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3554</w:t>
            </w:r>
          </w:p>
        </w:tc>
        <w:tc>
          <w:tcPr>
            <w:tcW w:w="263" w:type="pct"/>
            <w:tcBorders>
              <w:top w:val="nil"/>
              <w:left w:val="nil"/>
              <w:bottom w:val="single" w:sz="8" w:space="0" w:color="auto"/>
              <w:right w:val="single" w:sz="8" w:space="0" w:color="auto"/>
            </w:tcBorders>
            <w:shd w:val="clear" w:color="000000" w:fill="DBE5F1"/>
            <w:noWrap/>
            <w:vAlign w:val="center"/>
            <w:hideMark/>
          </w:tcPr>
          <w:p w14:paraId="35E740A5"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13%</w:t>
            </w:r>
          </w:p>
        </w:tc>
        <w:tc>
          <w:tcPr>
            <w:tcW w:w="284" w:type="pct"/>
            <w:tcBorders>
              <w:top w:val="nil"/>
              <w:left w:val="nil"/>
              <w:bottom w:val="single" w:sz="8" w:space="0" w:color="auto"/>
              <w:right w:val="single" w:sz="8" w:space="0" w:color="auto"/>
            </w:tcBorders>
            <w:shd w:val="clear" w:color="000000" w:fill="FDE9D9"/>
            <w:noWrap/>
            <w:vAlign w:val="center"/>
            <w:hideMark/>
          </w:tcPr>
          <w:p w14:paraId="03A7B969"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87%</w:t>
            </w:r>
          </w:p>
        </w:tc>
      </w:tr>
      <w:tr w:rsidR="00456779" w:rsidRPr="00672F59" w14:paraId="779F0A60" w14:textId="77777777" w:rsidTr="001D0C10">
        <w:trPr>
          <w:trHeight w:val="920"/>
        </w:trPr>
        <w:tc>
          <w:tcPr>
            <w:tcW w:w="2244" w:type="pct"/>
            <w:tcBorders>
              <w:top w:val="nil"/>
              <w:left w:val="single" w:sz="8" w:space="0" w:color="auto"/>
              <w:bottom w:val="single" w:sz="8" w:space="0" w:color="auto"/>
              <w:right w:val="single" w:sz="8" w:space="0" w:color="auto"/>
            </w:tcBorders>
            <w:shd w:val="clear" w:color="auto" w:fill="auto"/>
            <w:noWrap/>
            <w:vAlign w:val="center"/>
            <w:hideMark/>
          </w:tcPr>
          <w:p w14:paraId="68CD5BB0" w14:textId="77777777" w:rsidR="00C52573" w:rsidRPr="001D0C10" w:rsidRDefault="00C52573" w:rsidP="00C52573">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de Pensiones Alimentarias de Nicoya*</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14:paraId="2943539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57</w:t>
            </w:r>
          </w:p>
        </w:tc>
        <w:tc>
          <w:tcPr>
            <w:tcW w:w="270" w:type="pct"/>
            <w:tcBorders>
              <w:top w:val="nil"/>
              <w:left w:val="nil"/>
              <w:bottom w:val="single" w:sz="4" w:space="0" w:color="auto"/>
              <w:right w:val="single" w:sz="4" w:space="0" w:color="auto"/>
            </w:tcBorders>
            <w:shd w:val="clear" w:color="auto" w:fill="auto"/>
            <w:noWrap/>
            <w:vAlign w:val="center"/>
            <w:hideMark/>
          </w:tcPr>
          <w:p w14:paraId="16E9B958"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19</w:t>
            </w:r>
          </w:p>
        </w:tc>
        <w:tc>
          <w:tcPr>
            <w:tcW w:w="289" w:type="pct"/>
            <w:tcBorders>
              <w:top w:val="nil"/>
              <w:left w:val="nil"/>
              <w:bottom w:val="single" w:sz="4" w:space="0" w:color="auto"/>
              <w:right w:val="single" w:sz="4" w:space="0" w:color="auto"/>
            </w:tcBorders>
            <w:shd w:val="clear" w:color="auto" w:fill="auto"/>
            <w:noWrap/>
            <w:vAlign w:val="center"/>
            <w:hideMark/>
          </w:tcPr>
          <w:p w14:paraId="1F782C61"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27</w:t>
            </w:r>
          </w:p>
        </w:tc>
        <w:tc>
          <w:tcPr>
            <w:tcW w:w="362" w:type="pct"/>
            <w:tcBorders>
              <w:top w:val="nil"/>
              <w:left w:val="nil"/>
              <w:bottom w:val="single" w:sz="4" w:space="0" w:color="auto"/>
              <w:right w:val="single" w:sz="4" w:space="0" w:color="auto"/>
            </w:tcBorders>
            <w:shd w:val="clear" w:color="auto" w:fill="auto"/>
            <w:noWrap/>
            <w:vAlign w:val="center"/>
            <w:hideMark/>
          </w:tcPr>
          <w:p w14:paraId="604B3CAF"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2 951</w:t>
            </w:r>
          </w:p>
        </w:tc>
        <w:tc>
          <w:tcPr>
            <w:tcW w:w="364" w:type="pct"/>
            <w:tcBorders>
              <w:top w:val="nil"/>
              <w:left w:val="nil"/>
              <w:bottom w:val="single" w:sz="4" w:space="0" w:color="auto"/>
              <w:right w:val="single" w:sz="4" w:space="0" w:color="auto"/>
            </w:tcBorders>
            <w:shd w:val="clear" w:color="auto" w:fill="auto"/>
            <w:noWrap/>
            <w:vAlign w:val="center"/>
            <w:hideMark/>
          </w:tcPr>
          <w:p w14:paraId="4163EF4C" w14:textId="77777777" w:rsidR="00C52573" w:rsidRPr="001D0C10" w:rsidRDefault="00C52573" w:rsidP="00C52573">
            <w:pPr>
              <w:spacing w:after="0" w:line="240" w:lineRule="auto"/>
              <w:jc w:val="center"/>
              <w:rPr>
                <w:rFonts w:ascii="Times New Roman" w:eastAsia="Times New Roman" w:hAnsi="Times New Roman" w:cs="Times New Roman"/>
                <w:sz w:val="18"/>
                <w:szCs w:val="18"/>
                <w:lang w:eastAsia="es-CR"/>
              </w:rPr>
            </w:pPr>
            <w:r w:rsidRPr="001D0C10">
              <w:rPr>
                <w:rFonts w:ascii="Times New Roman" w:eastAsia="Times New Roman" w:hAnsi="Times New Roman" w:cs="Times New Roman"/>
                <w:sz w:val="18"/>
                <w:szCs w:val="18"/>
                <w:lang w:eastAsia="es-CR"/>
              </w:rPr>
              <w:t>787</w:t>
            </w:r>
          </w:p>
        </w:tc>
        <w:tc>
          <w:tcPr>
            <w:tcW w:w="216" w:type="pct"/>
            <w:tcBorders>
              <w:top w:val="nil"/>
              <w:left w:val="nil"/>
              <w:bottom w:val="single" w:sz="8" w:space="0" w:color="auto"/>
              <w:right w:val="single" w:sz="8" w:space="0" w:color="auto"/>
            </w:tcBorders>
            <w:shd w:val="clear" w:color="auto" w:fill="auto"/>
            <w:noWrap/>
            <w:vAlign w:val="center"/>
            <w:hideMark/>
          </w:tcPr>
          <w:p w14:paraId="31E01BC4"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5</w:t>
            </w:r>
          </w:p>
        </w:tc>
        <w:tc>
          <w:tcPr>
            <w:tcW w:w="397" w:type="pct"/>
            <w:tcBorders>
              <w:top w:val="nil"/>
              <w:left w:val="nil"/>
              <w:bottom w:val="single" w:sz="8" w:space="0" w:color="auto"/>
              <w:right w:val="single" w:sz="8" w:space="0" w:color="auto"/>
            </w:tcBorders>
            <w:shd w:val="clear" w:color="auto" w:fill="auto"/>
            <w:noWrap/>
            <w:vAlign w:val="center"/>
            <w:hideMark/>
          </w:tcPr>
          <w:p w14:paraId="7D95E9EB"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3846</w:t>
            </w:r>
          </w:p>
        </w:tc>
        <w:tc>
          <w:tcPr>
            <w:tcW w:w="263" w:type="pct"/>
            <w:tcBorders>
              <w:top w:val="nil"/>
              <w:left w:val="nil"/>
              <w:bottom w:val="single" w:sz="8" w:space="0" w:color="auto"/>
              <w:right w:val="single" w:sz="8" w:space="0" w:color="auto"/>
            </w:tcBorders>
            <w:shd w:val="clear" w:color="000000" w:fill="DBE5F1"/>
            <w:noWrap/>
            <w:vAlign w:val="center"/>
            <w:hideMark/>
          </w:tcPr>
          <w:p w14:paraId="7B3BD3A7"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3%</w:t>
            </w:r>
          </w:p>
        </w:tc>
        <w:tc>
          <w:tcPr>
            <w:tcW w:w="284" w:type="pct"/>
            <w:tcBorders>
              <w:top w:val="nil"/>
              <w:left w:val="nil"/>
              <w:bottom w:val="single" w:sz="8" w:space="0" w:color="auto"/>
              <w:right w:val="single" w:sz="8" w:space="0" w:color="auto"/>
            </w:tcBorders>
            <w:shd w:val="clear" w:color="000000" w:fill="FDE9D9"/>
            <w:noWrap/>
            <w:vAlign w:val="center"/>
            <w:hideMark/>
          </w:tcPr>
          <w:p w14:paraId="4133B477" w14:textId="77777777" w:rsidR="00C52573" w:rsidRPr="001D0C10" w:rsidRDefault="00C52573" w:rsidP="00C52573">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97%</w:t>
            </w:r>
          </w:p>
        </w:tc>
      </w:tr>
      <w:tr w:rsidR="00456779" w:rsidRPr="00672F59" w14:paraId="48878B1A" w14:textId="77777777" w:rsidTr="001D0C10">
        <w:trPr>
          <w:trHeight w:val="300"/>
        </w:trPr>
        <w:tc>
          <w:tcPr>
            <w:tcW w:w="2244" w:type="pct"/>
            <w:tcBorders>
              <w:top w:val="nil"/>
              <w:left w:val="single" w:sz="8" w:space="0" w:color="auto"/>
              <w:bottom w:val="single" w:sz="8" w:space="0" w:color="auto"/>
              <w:right w:val="single" w:sz="8" w:space="0" w:color="auto"/>
            </w:tcBorders>
            <w:shd w:val="clear" w:color="000000" w:fill="808080"/>
            <w:noWrap/>
            <w:vAlign w:val="center"/>
            <w:hideMark/>
          </w:tcPr>
          <w:p w14:paraId="2B5DFA37" w14:textId="77777777" w:rsidR="00C52573" w:rsidRPr="001D0C10" w:rsidRDefault="00C52573" w:rsidP="00C52573">
            <w:pPr>
              <w:spacing w:after="0" w:line="240" w:lineRule="auto"/>
              <w:jc w:val="right"/>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Total</w:t>
            </w:r>
          </w:p>
        </w:tc>
        <w:tc>
          <w:tcPr>
            <w:tcW w:w="312" w:type="pct"/>
            <w:tcBorders>
              <w:top w:val="nil"/>
              <w:left w:val="nil"/>
              <w:bottom w:val="single" w:sz="8" w:space="0" w:color="auto"/>
              <w:right w:val="single" w:sz="8" w:space="0" w:color="auto"/>
            </w:tcBorders>
            <w:shd w:val="clear" w:color="000000" w:fill="808080"/>
            <w:noWrap/>
            <w:vAlign w:val="center"/>
            <w:hideMark/>
          </w:tcPr>
          <w:p w14:paraId="4F54D4D7"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3117</w:t>
            </w:r>
          </w:p>
        </w:tc>
        <w:tc>
          <w:tcPr>
            <w:tcW w:w="270" w:type="pct"/>
            <w:tcBorders>
              <w:top w:val="nil"/>
              <w:left w:val="nil"/>
              <w:bottom w:val="single" w:sz="8" w:space="0" w:color="auto"/>
              <w:right w:val="single" w:sz="8" w:space="0" w:color="auto"/>
            </w:tcBorders>
            <w:shd w:val="clear" w:color="000000" w:fill="808080"/>
            <w:noWrap/>
            <w:vAlign w:val="center"/>
            <w:hideMark/>
          </w:tcPr>
          <w:p w14:paraId="0476132D"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733</w:t>
            </w:r>
          </w:p>
        </w:tc>
        <w:tc>
          <w:tcPr>
            <w:tcW w:w="289" w:type="pct"/>
            <w:tcBorders>
              <w:top w:val="nil"/>
              <w:left w:val="nil"/>
              <w:bottom w:val="single" w:sz="8" w:space="0" w:color="auto"/>
              <w:right w:val="single" w:sz="8" w:space="0" w:color="auto"/>
            </w:tcBorders>
            <w:shd w:val="clear" w:color="000000" w:fill="808080"/>
            <w:noWrap/>
            <w:vAlign w:val="center"/>
            <w:hideMark/>
          </w:tcPr>
          <w:p w14:paraId="40CA5B5F"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1478</w:t>
            </w:r>
          </w:p>
        </w:tc>
        <w:tc>
          <w:tcPr>
            <w:tcW w:w="362" w:type="pct"/>
            <w:tcBorders>
              <w:top w:val="nil"/>
              <w:left w:val="nil"/>
              <w:bottom w:val="single" w:sz="8" w:space="0" w:color="auto"/>
              <w:right w:val="single" w:sz="8" w:space="0" w:color="auto"/>
            </w:tcBorders>
            <w:shd w:val="clear" w:color="000000" w:fill="808080"/>
            <w:noWrap/>
            <w:vAlign w:val="center"/>
            <w:hideMark/>
          </w:tcPr>
          <w:p w14:paraId="2E2023EE"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56785</w:t>
            </w:r>
          </w:p>
        </w:tc>
        <w:tc>
          <w:tcPr>
            <w:tcW w:w="364" w:type="pct"/>
            <w:tcBorders>
              <w:top w:val="nil"/>
              <w:left w:val="nil"/>
              <w:bottom w:val="single" w:sz="8" w:space="0" w:color="auto"/>
              <w:right w:val="single" w:sz="8" w:space="0" w:color="auto"/>
            </w:tcBorders>
            <w:shd w:val="clear" w:color="000000" w:fill="808080"/>
            <w:noWrap/>
            <w:vAlign w:val="center"/>
            <w:hideMark/>
          </w:tcPr>
          <w:p w14:paraId="220F21D4"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23782</w:t>
            </w:r>
          </w:p>
        </w:tc>
        <w:tc>
          <w:tcPr>
            <w:tcW w:w="216" w:type="pct"/>
            <w:tcBorders>
              <w:top w:val="nil"/>
              <w:left w:val="nil"/>
              <w:bottom w:val="single" w:sz="8" w:space="0" w:color="auto"/>
              <w:right w:val="single" w:sz="8" w:space="0" w:color="auto"/>
            </w:tcBorders>
            <w:shd w:val="clear" w:color="000000" w:fill="808080"/>
            <w:noWrap/>
            <w:vAlign w:val="center"/>
            <w:hideMark/>
          </w:tcPr>
          <w:p w14:paraId="3991769E"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120</w:t>
            </w:r>
          </w:p>
        </w:tc>
        <w:tc>
          <w:tcPr>
            <w:tcW w:w="397" w:type="pct"/>
            <w:tcBorders>
              <w:top w:val="nil"/>
              <w:left w:val="nil"/>
              <w:bottom w:val="single" w:sz="8" w:space="0" w:color="auto"/>
              <w:right w:val="single" w:sz="8" w:space="0" w:color="auto"/>
            </w:tcBorders>
            <w:shd w:val="clear" w:color="000000" w:fill="808080"/>
            <w:noWrap/>
            <w:vAlign w:val="center"/>
            <w:hideMark/>
          </w:tcPr>
          <w:p w14:paraId="1C805282"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86015</w:t>
            </w:r>
          </w:p>
        </w:tc>
        <w:tc>
          <w:tcPr>
            <w:tcW w:w="263" w:type="pct"/>
            <w:tcBorders>
              <w:top w:val="nil"/>
              <w:left w:val="nil"/>
              <w:bottom w:val="single" w:sz="8" w:space="0" w:color="auto"/>
              <w:right w:val="single" w:sz="8" w:space="0" w:color="auto"/>
            </w:tcBorders>
            <w:shd w:val="clear" w:color="000000" w:fill="808080"/>
            <w:noWrap/>
            <w:vAlign w:val="center"/>
            <w:hideMark/>
          </w:tcPr>
          <w:p w14:paraId="01EA072B" w14:textId="77777777" w:rsidR="00C52573" w:rsidRPr="001D0C10" w:rsidRDefault="00C52573" w:rsidP="00C52573">
            <w:pPr>
              <w:spacing w:after="0" w:line="240" w:lineRule="auto"/>
              <w:jc w:val="both"/>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284" w:type="pct"/>
            <w:tcBorders>
              <w:top w:val="nil"/>
              <w:left w:val="nil"/>
              <w:bottom w:val="single" w:sz="8" w:space="0" w:color="auto"/>
              <w:right w:val="single" w:sz="8" w:space="0" w:color="auto"/>
            </w:tcBorders>
            <w:shd w:val="clear" w:color="000000" w:fill="808080"/>
            <w:noWrap/>
            <w:vAlign w:val="center"/>
            <w:hideMark/>
          </w:tcPr>
          <w:p w14:paraId="0A21AA1B"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r>
      <w:tr w:rsidR="00456779" w:rsidRPr="00672F59" w14:paraId="0D075FB4" w14:textId="77777777" w:rsidTr="001D0C10">
        <w:trPr>
          <w:trHeight w:val="300"/>
        </w:trPr>
        <w:tc>
          <w:tcPr>
            <w:tcW w:w="2244" w:type="pct"/>
            <w:tcBorders>
              <w:top w:val="nil"/>
              <w:left w:val="single" w:sz="8" w:space="0" w:color="auto"/>
              <w:bottom w:val="single" w:sz="8" w:space="0" w:color="auto"/>
              <w:right w:val="single" w:sz="8" w:space="0" w:color="auto"/>
            </w:tcBorders>
            <w:shd w:val="clear" w:color="000000" w:fill="808080"/>
            <w:noWrap/>
            <w:vAlign w:val="center"/>
            <w:hideMark/>
          </w:tcPr>
          <w:p w14:paraId="12F0453F" w14:textId="77777777" w:rsidR="00C52573" w:rsidRPr="001D0C10" w:rsidRDefault="00C52573" w:rsidP="00C52573">
            <w:pPr>
              <w:spacing w:after="0" w:line="240" w:lineRule="auto"/>
              <w:jc w:val="right"/>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Promedio</w:t>
            </w:r>
          </w:p>
        </w:tc>
        <w:tc>
          <w:tcPr>
            <w:tcW w:w="312" w:type="pct"/>
            <w:tcBorders>
              <w:top w:val="nil"/>
              <w:left w:val="nil"/>
              <w:bottom w:val="single" w:sz="8" w:space="0" w:color="auto"/>
              <w:right w:val="single" w:sz="8" w:space="0" w:color="auto"/>
            </w:tcBorders>
            <w:shd w:val="clear" w:color="000000" w:fill="808080"/>
            <w:noWrap/>
            <w:vAlign w:val="center"/>
            <w:hideMark/>
          </w:tcPr>
          <w:p w14:paraId="269D4027"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270" w:type="pct"/>
            <w:tcBorders>
              <w:top w:val="nil"/>
              <w:left w:val="nil"/>
              <w:bottom w:val="single" w:sz="8" w:space="0" w:color="auto"/>
              <w:right w:val="single" w:sz="8" w:space="0" w:color="auto"/>
            </w:tcBorders>
            <w:shd w:val="clear" w:color="000000" w:fill="808080"/>
            <w:noWrap/>
            <w:vAlign w:val="center"/>
            <w:hideMark/>
          </w:tcPr>
          <w:p w14:paraId="79B2EFD5"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289" w:type="pct"/>
            <w:tcBorders>
              <w:top w:val="nil"/>
              <w:left w:val="nil"/>
              <w:bottom w:val="single" w:sz="8" w:space="0" w:color="auto"/>
              <w:right w:val="single" w:sz="8" w:space="0" w:color="auto"/>
            </w:tcBorders>
            <w:shd w:val="clear" w:color="000000" w:fill="808080"/>
            <w:noWrap/>
            <w:vAlign w:val="center"/>
            <w:hideMark/>
          </w:tcPr>
          <w:p w14:paraId="60A7AC26"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362" w:type="pct"/>
            <w:tcBorders>
              <w:top w:val="nil"/>
              <w:left w:val="nil"/>
              <w:bottom w:val="single" w:sz="8" w:space="0" w:color="auto"/>
              <w:right w:val="single" w:sz="8" w:space="0" w:color="auto"/>
            </w:tcBorders>
            <w:shd w:val="clear" w:color="000000" w:fill="808080"/>
            <w:noWrap/>
            <w:vAlign w:val="center"/>
            <w:hideMark/>
          </w:tcPr>
          <w:p w14:paraId="1B840BB1"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364" w:type="pct"/>
            <w:tcBorders>
              <w:top w:val="nil"/>
              <w:left w:val="nil"/>
              <w:bottom w:val="single" w:sz="8" w:space="0" w:color="auto"/>
              <w:right w:val="single" w:sz="8" w:space="0" w:color="auto"/>
            </w:tcBorders>
            <w:shd w:val="clear" w:color="000000" w:fill="808080"/>
            <w:noWrap/>
            <w:vAlign w:val="center"/>
            <w:hideMark/>
          </w:tcPr>
          <w:p w14:paraId="33C14FA1"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216" w:type="pct"/>
            <w:tcBorders>
              <w:top w:val="nil"/>
              <w:left w:val="nil"/>
              <w:bottom w:val="single" w:sz="8" w:space="0" w:color="auto"/>
              <w:right w:val="single" w:sz="8" w:space="0" w:color="auto"/>
            </w:tcBorders>
            <w:shd w:val="clear" w:color="000000" w:fill="808080"/>
            <w:noWrap/>
            <w:vAlign w:val="center"/>
            <w:hideMark/>
          </w:tcPr>
          <w:p w14:paraId="1A18B486"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397" w:type="pct"/>
            <w:tcBorders>
              <w:top w:val="nil"/>
              <w:left w:val="nil"/>
              <w:bottom w:val="single" w:sz="8" w:space="0" w:color="auto"/>
              <w:right w:val="single" w:sz="8" w:space="0" w:color="auto"/>
            </w:tcBorders>
            <w:shd w:val="clear" w:color="000000" w:fill="808080"/>
            <w:noWrap/>
            <w:vAlign w:val="center"/>
            <w:hideMark/>
          </w:tcPr>
          <w:p w14:paraId="40D234C6"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 </w:t>
            </w:r>
          </w:p>
        </w:tc>
        <w:tc>
          <w:tcPr>
            <w:tcW w:w="263" w:type="pct"/>
            <w:tcBorders>
              <w:top w:val="nil"/>
              <w:left w:val="nil"/>
              <w:bottom w:val="single" w:sz="8" w:space="0" w:color="auto"/>
              <w:right w:val="single" w:sz="8" w:space="0" w:color="auto"/>
            </w:tcBorders>
            <w:shd w:val="clear" w:color="000000" w:fill="808080"/>
            <w:noWrap/>
            <w:vAlign w:val="center"/>
            <w:hideMark/>
          </w:tcPr>
          <w:p w14:paraId="5B3F5D54"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6%</w:t>
            </w:r>
          </w:p>
        </w:tc>
        <w:tc>
          <w:tcPr>
            <w:tcW w:w="284" w:type="pct"/>
            <w:tcBorders>
              <w:top w:val="nil"/>
              <w:left w:val="nil"/>
              <w:bottom w:val="single" w:sz="8" w:space="0" w:color="auto"/>
              <w:right w:val="single" w:sz="8" w:space="0" w:color="auto"/>
            </w:tcBorders>
            <w:shd w:val="clear" w:color="000000" w:fill="808080"/>
            <w:noWrap/>
            <w:vAlign w:val="center"/>
            <w:hideMark/>
          </w:tcPr>
          <w:p w14:paraId="28EC51B5" w14:textId="77777777" w:rsidR="00C52573" w:rsidRPr="001D0C10" w:rsidRDefault="00C52573" w:rsidP="00C52573">
            <w:pPr>
              <w:spacing w:after="0" w:line="240" w:lineRule="auto"/>
              <w:jc w:val="center"/>
              <w:rPr>
                <w:rFonts w:ascii="Book Antiqua" w:eastAsia="Times New Roman" w:hAnsi="Book Antiqua" w:cs="Calibri"/>
                <w:b/>
                <w:bCs/>
                <w:color w:val="FFFFFF"/>
                <w:sz w:val="18"/>
                <w:szCs w:val="18"/>
                <w:lang w:eastAsia="es-CR"/>
              </w:rPr>
            </w:pPr>
            <w:r w:rsidRPr="001D0C10">
              <w:rPr>
                <w:rFonts w:ascii="Book Antiqua" w:eastAsia="Times New Roman" w:hAnsi="Book Antiqua" w:cs="Calibri"/>
                <w:b/>
                <w:bCs/>
                <w:color w:val="FFFFFF"/>
                <w:sz w:val="18"/>
                <w:szCs w:val="18"/>
                <w:lang w:eastAsia="es-CR"/>
              </w:rPr>
              <w:t>94%</w:t>
            </w:r>
          </w:p>
        </w:tc>
      </w:tr>
    </w:tbl>
    <w:p w14:paraId="1BE3361F" w14:textId="65721508" w:rsidR="00C52573" w:rsidRPr="00C52573" w:rsidRDefault="00C52573" w:rsidP="00C52573">
      <w:pPr>
        <w:spacing w:after="0" w:line="240" w:lineRule="auto"/>
        <w:jc w:val="both"/>
        <w:rPr>
          <w:rFonts w:ascii="Book Antiqua" w:eastAsia="Calibri" w:hAnsi="Book Antiqua" w:cs="Arial"/>
          <w:i/>
          <w:iCs/>
          <w:szCs w:val="24"/>
          <w:lang w:val="es-ES" w:eastAsia="es-ES"/>
        </w:rPr>
      </w:pPr>
      <w:r w:rsidRPr="00C52573">
        <w:rPr>
          <w:rFonts w:ascii="Book Antiqua" w:eastAsia="Calibri" w:hAnsi="Book Antiqua" w:cs="Arial"/>
          <w:i/>
          <w:iCs/>
          <w:szCs w:val="24"/>
          <w:lang w:val="es-ES" w:eastAsia="es-ES"/>
        </w:rPr>
        <w:t>Fuente: Subproceso de Modernización Institucional, con base en datos de Cuadros Estadísticos 202</w:t>
      </w:r>
      <w:r>
        <w:rPr>
          <w:rFonts w:ascii="Book Antiqua" w:eastAsia="Calibri" w:hAnsi="Book Antiqua" w:cs="Arial"/>
          <w:i/>
          <w:iCs/>
          <w:szCs w:val="24"/>
          <w:lang w:val="es-ES" w:eastAsia="es-ES"/>
        </w:rPr>
        <w:t>1</w:t>
      </w:r>
      <w:r w:rsidRPr="00C52573">
        <w:rPr>
          <w:rFonts w:ascii="Book Antiqua" w:eastAsia="Calibri" w:hAnsi="Book Antiqua" w:cs="Arial"/>
          <w:i/>
          <w:iCs/>
          <w:szCs w:val="24"/>
          <w:lang w:val="es-ES" w:eastAsia="es-ES"/>
        </w:rPr>
        <w:t xml:space="preserve"> del Subproceso de Estadística de la Dirección de Planificación. </w:t>
      </w:r>
    </w:p>
    <w:p w14:paraId="73D27EF2" w14:textId="76A00E43" w:rsidR="00D31DE7" w:rsidRPr="001D0C10" w:rsidRDefault="00C52573" w:rsidP="00C52573">
      <w:pPr>
        <w:spacing w:after="0" w:line="240" w:lineRule="auto"/>
        <w:jc w:val="both"/>
        <w:rPr>
          <w:rFonts w:ascii="Book Antiqua" w:eastAsia="Calibri" w:hAnsi="Book Antiqua" w:cs="Arial"/>
          <w:i/>
          <w:iCs/>
          <w:szCs w:val="24"/>
          <w:lang w:val="es-ES" w:eastAsia="es-ES"/>
        </w:rPr>
      </w:pPr>
      <w:r w:rsidRPr="001D0C10">
        <w:rPr>
          <w:rFonts w:ascii="Book Antiqua" w:eastAsia="Calibri" w:hAnsi="Book Antiqua" w:cs="Arial"/>
          <w:i/>
          <w:iCs/>
          <w:szCs w:val="24"/>
          <w:lang w:val="es-ES" w:eastAsia="es-ES"/>
        </w:rPr>
        <w:t xml:space="preserve">Nota *: Juzgado Especializado a partir del acuerdo del Consejo Superior en sesión 34-19 celebrada el 19 de agosto de 2019, artículo XIX.  </w:t>
      </w:r>
    </w:p>
    <w:p w14:paraId="475E6C8B" w14:textId="0C76DC8D" w:rsidR="00C52573" w:rsidRDefault="00C52573" w:rsidP="00D31DE7">
      <w:pPr>
        <w:spacing w:after="0" w:line="240" w:lineRule="auto"/>
        <w:jc w:val="both"/>
        <w:rPr>
          <w:rFonts w:ascii="Book Antiqua" w:eastAsia="Calibri" w:hAnsi="Book Antiqua" w:cs="Arial"/>
          <w:szCs w:val="24"/>
          <w:lang w:val="es-ES" w:eastAsia="es-ES"/>
        </w:rPr>
      </w:pPr>
    </w:p>
    <w:p w14:paraId="132E8DC1" w14:textId="0D517D73"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Los datos del circulante al finalizar el 20</w:t>
      </w:r>
      <w:r w:rsidR="003F5D0B">
        <w:rPr>
          <w:rFonts w:ascii="Book Antiqua" w:eastAsia="Calibri" w:hAnsi="Book Antiqua" w:cs="Arial"/>
          <w:sz w:val="24"/>
          <w:szCs w:val="24"/>
        </w:rPr>
        <w:t>2</w:t>
      </w:r>
      <w:r w:rsidRPr="00D31DE7">
        <w:rPr>
          <w:rFonts w:ascii="Book Antiqua" w:eastAsia="Calibri" w:hAnsi="Book Antiqua" w:cs="Arial"/>
          <w:sz w:val="24"/>
          <w:szCs w:val="24"/>
        </w:rPr>
        <w:t xml:space="preserve">1 fue </w:t>
      </w:r>
      <w:r w:rsidRPr="003F5D0B">
        <w:rPr>
          <w:rFonts w:ascii="Book Antiqua" w:eastAsia="Calibri" w:hAnsi="Book Antiqua" w:cs="Arial"/>
          <w:sz w:val="24"/>
          <w:szCs w:val="24"/>
        </w:rPr>
        <w:t>de 8</w:t>
      </w:r>
      <w:r w:rsidR="003F5D0B" w:rsidRPr="003F5D0B">
        <w:rPr>
          <w:rFonts w:ascii="Book Antiqua" w:eastAsia="Calibri" w:hAnsi="Book Antiqua" w:cs="Arial"/>
          <w:sz w:val="24"/>
          <w:szCs w:val="24"/>
        </w:rPr>
        <w:t>6 015</w:t>
      </w:r>
      <w:r w:rsidRPr="003F5D0B">
        <w:rPr>
          <w:rFonts w:ascii="Book Antiqua" w:eastAsia="Calibri" w:hAnsi="Book Antiqua" w:cs="Arial"/>
          <w:sz w:val="24"/>
          <w:szCs w:val="24"/>
        </w:rPr>
        <w:t xml:space="preserve"> (</w:t>
      </w:r>
      <w:r w:rsidR="003F5D0B" w:rsidRPr="003F5D0B">
        <w:rPr>
          <w:rFonts w:ascii="Book Antiqua" w:eastAsia="Calibri" w:hAnsi="Book Antiqua" w:cs="Arial"/>
          <w:sz w:val="24"/>
          <w:szCs w:val="24"/>
        </w:rPr>
        <w:t>3 117</w:t>
      </w:r>
      <w:r w:rsidRPr="003F5D0B">
        <w:rPr>
          <w:rFonts w:ascii="Book Antiqua" w:eastAsia="Calibri" w:hAnsi="Book Antiqua" w:cs="Arial"/>
          <w:sz w:val="24"/>
          <w:szCs w:val="24"/>
        </w:rPr>
        <w:t xml:space="preserve"> en demanda, </w:t>
      </w:r>
      <w:r w:rsidR="003F5D0B" w:rsidRPr="003F5D0B">
        <w:rPr>
          <w:rFonts w:ascii="Book Antiqua" w:eastAsia="Calibri" w:hAnsi="Book Antiqua" w:cs="Arial"/>
          <w:sz w:val="24"/>
          <w:szCs w:val="24"/>
        </w:rPr>
        <w:t>733</w:t>
      </w:r>
      <w:r w:rsidRPr="003F5D0B">
        <w:rPr>
          <w:rFonts w:ascii="Book Antiqua" w:eastAsia="Calibri" w:hAnsi="Book Antiqua" w:cs="Arial"/>
          <w:sz w:val="24"/>
          <w:szCs w:val="24"/>
        </w:rPr>
        <w:t xml:space="preserve"> en demostrativa, </w:t>
      </w:r>
      <w:r w:rsidR="003F5D0B" w:rsidRPr="003F5D0B">
        <w:rPr>
          <w:rFonts w:ascii="Book Antiqua" w:eastAsia="Calibri" w:hAnsi="Book Antiqua" w:cs="Arial"/>
          <w:sz w:val="24"/>
          <w:szCs w:val="24"/>
        </w:rPr>
        <w:t>1 478</w:t>
      </w:r>
      <w:r w:rsidRPr="003F5D0B">
        <w:rPr>
          <w:rFonts w:ascii="Book Antiqua" w:eastAsia="Calibri" w:hAnsi="Book Antiqua" w:cs="Arial"/>
          <w:sz w:val="24"/>
          <w:szCs w:val="24"/>
        </w:rPr>
        <w:t xml:space="preserve"> en conclusiva, 5</w:t>
      </w:r>
      <w:r w:rsidR="003F5D0B" w:rsidRPr="003F5D0B">
        <w:rPr>
          <w:rFonts w:ascii="Book Antiqua" w:eastAsia="Calibri" w:hAnsi="Book Antiqua" w:cs="Arial"/>
          <w:sz w:val="24"/>
          <w:szCs w:val="24"/>
        </w:rPr>
        <w:t>6 785</w:t>
      </w:r>
      <w:r w:rsidRPr="003F5D0B">
        <w:rPr>
          <w:rFonts w:ascii="Book Antiqua" w:eastAsia="Calibri" w:hAnsi="Book Antiqua" w:cs="Arial"/>
          <w:sz w:val="24"/>
          <w:szCs w:val="24"/>
        </w:rPr>
        <w:t xml:space="preserve"> en fase de ejecución activa, 23</w:t>
      </w:r>
      <w:r w:rsidR="003F5D0B" w:rsidRPr="003F5D0B">
        <w:rPr>
          <w:rFonts w:ascii="Book Antiqua" w:eastAsia="Calibri" w:hAnsi="Book Antiqua" w:cs="Arial"/>
          <w:sz w:val="24"/>
          <w:szCs w:val="24"/>
        </w:rPr>
        <w:t xml:space="preserve"> 782</w:t>
      </w:r>
      <w:r w:rsidRPr="003F5D0B">
        <w:rPr>
          <w:rFonts w:ascii="Book Antiqua" w:eastAsia="Calibri" w:hAnsi="Book Antiqua" w:cs="Arial"/>
          <w:sz w:val="24"/>
          <w:szCs w:val="24"/>
        </w:rPr>
        <w:t xml:space="preserve"> en ejecución pasiva y </w:t>
      </w:r>
      <w:r w:rsidR="003F5D0B" w:rsidRPr="003F5D0B">
        <w:rPr>
          <w:rFonts w:ascii="Book Antiqua" w:eastAsia="Calibri" w:hAnsi="Book Antiqua" w:cs="Arial"/>
          <w:sz w:val="24"/>
          <w:szCs w:val="24"/>
        </w:rPr>
        <w:t>1</w:t>
      </w:r>
      <w:r w:rsidRPr="003F5D0B">
        <w:rPr>
          <w:rFonts w:ascii="Book Antiqua" w:eastAsia="Calibri" w:hAnsi="Book Antiqua" w:cs="Arial"/>
          <w:sz w:val="24"/>
          <w:szCs w:val="24"/>
        </w:rPr>
        <w:t>2</w:t>
      </w:r>
      <w:r w:rsidR="003F5D0B" w:rsidRPr="003F5D0B">
        <w:rPr>
          <w:rFonts w:ascii="Book Antiqua" w:eastAsia="Calibri" w:hAnsi="Book Antiqua" w:cs="Arial"/>
          <w:sz w:val="24"/>
          <w:szCs w:val="24"/>
        </w:rPr>
        <w:t>0</w:t>
      </w:r>
      <w:r w:rsidRPr="003F5D0B">
        <w:rPr>
          <w:rFonts w:ascii="Book Antiqua" w:eastAsia="Calibri" w:hAnsi="Book Antiqua" w:cs="Arial"/>
          <w:sz w:val="24"/>
          <w:szCs w:val="24"/>
        </w:rPr>
        <w:t xml:space="preserve"> sin fase actualizada), lo que representó para ese año un promedio </w:t>
      </w:r>
      <w:r w:rsidR="003F5D0B" w:rsidRPr="003F5D0B">
        <w:rPr>
          <w:rFonts w:ascii="Book Antiqua" w:eastAsia="Calibri" w:hAnsi="Book Antiqua" w:cs="Arial"/>
          <w:sz w:val="24"/>
          <w:szCs w:val="24"/>
        </w:rPr>
        <w:t>d</w:t>
      </w:r>
      <w:r w:rsidRPr="003F5D0B">
        <w:rPr>
          <w:rFonts w:ascii="Book Antiqua" w:eastAsia="Calibri" w:hAnsi="Book Antiqua" w:cs="Arial"/>
          <w:sz w:val="24"/>
          <w:szCs w:val="24"/>
        </w:rPr>
        <w:t xml:space="preserve">e </w:t>
      </w:r>
      <w:r w:rsidR="003F5D0B">
        <w:rPr>
          <w:rFonts w:ascii="Book Antiqua" w:eastAsia="Calibri" w:hAnsi="Book Antiqua" w:cs="Arial"/>
          <w:sz w:val="24"/>
          <w:szCs w:val="24"/>
        </w:rPr>
        <w:t xml:space="preserve">un </w:t>
      </w:r>
      <w:r w:rsidR="003F5D0B" w:rsidRPr="003F5D0B">
        <w:rPr>
          <w:rFonts w:ascii="Book Antiqua" w:eastAsia="Calibri" w:hAnsi="Book Antiqua" w:cs="Arial"/>
          <w:sz w:val="24"/>
          <w:szCs w:val="24"/>
        </w:rPr>
        <w:t>6</w:t>
      </w:r>
      <w:r w:rsidRPr="003F5D0B">
        <w:rPr>
          <w:rFonts w:ascii="Book Antiqua" w:eastAsia="Calibri" w:hAnsi="Book Antiqua" w:cs="Arial"/>
          <w:sz w:val="24"/>
          <w:szCs w:val="24"/>
        </w:rPr>
        <w:t>% del circulante de los Juzgados Especializados</w:t>
      </w:r>
      <w:r w:rsidRPr="00D31DE7">
        <w:rPr>
          <w:rFonts w:ascii="Book Antiqua" w:eastAsia="Calibri" w:hAnsi="Book Antiqua" w:cs="Arial"/>
          <w:sz w:val="24"/>
          <w:szCs w:val="24"/>
        </w:rPr>
        <w:t xml:space="preserve"> de Pensiones Alimentarias se encuentra en fases de demanda, demostrativa y conclusiva, muestra que el </w:t>
      </w:r>
      <w:r w:rsidR="003F5D0B">
        <w:rPr>
          <w:rFonts w:ascii="Book Antiqua" w:eastAsia="Calibri" w:hAnsi="Book Antiqua" w:cs="Arial"/>
          <w:sz w:val="24"/>
          <w:szCs w:val="24"/>
        </w:rPr>
        <w:t>94%</w:t>
      </w:r>
      <w:r w:rsidRPr="00D31DE7">
        <w:rPr>
          <w:rFonts w:ascii="Book Antiqua" w:eastAsia="Calibri" w:hAnsi="Book Antiqua" w:cs="Arial"/>
          <w:sz w:val="24"/>
          <w:szCs w:val="24"/>
        </w:rPr>
        <w:t xml:space="preserve"> se encuentra en fase de ejecución; por lo cual un </w:t>
      </w:r>
      <w:r w:rsidR="00D85008" w:rsidRPr="00D85008">
        <w:rPr>
          <w:rFonts w:ascii="Book Antiqua" w:eastAsia="Calibri" w:hAnsi="Book Antiqua" w:cs="Arial"/>
          <w:sz w:val="24"/>
          <w:szCs w:val="24"/>
        </w:rPr>
        <w:t>94</w:t>
      </w:r>
      <w:r w:rsidRPr="00D85008">
        <w:rPr>
          <w:rFonts w:ascii="Book Antiqua" w:eastAsia="Calibri" w:hAnsi="Book Antiqua" w:cs="Arial"/>
          <w:sz w:val="24"/>
          <w:szCs w:val="24"/>
        </w:rPr>
        <w:t>%</w:t>
      </w:r>
      <w:r w:rsidRPr="00D31DE7">
        <w:rPr>
          <w:rFonts w:ascii="Book Antiqua" w:eastAsia="Calibri" w:hAnsi="Book Antiqua" w:cs="Arial"/>
          <w:sz w:val="24"/>
          <w:szCs w:val="24"/>
        </w:rPr>
        <w:t xml:space="preserve"> de los casos ya cuenta con sentencia o acuerdo homologatorio. Es importante indicar que el circulante en ejecución activa genera trabajo para el juzgado en mayor grado que para el circulante en ejecución pasiva. </w:t>
      </w:r>
    </w:p>
    <w:p w14:paraId="7C00D237" w14:textId="77777777" w:rsidR="00D31DE7" w:rsidRPr="00D31DE7" w:rsidRDefault="00D31DE7" w:rsidP="00D31DE7">
      <w:pPr>
        <w:spacing w:after="0" w:line="276" w:lineRule="auto"/>
        <w:jc w:val="both"/>
        <w:rPr>
          <w:rFonts w:ascii="Book Antiqua" w:eastAsia="Calibri" w:hAnsi="Book Antiqua" w:cs="Arial"/>
          <w:sz w:val="24"/>
          <w:szCs w:val="24"/>
        </w:rPr>
      </w:pPr>
    </w:p>
    <w:p w14:paraId="468D9585" w14:textId="18480880"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 xml:space="preserve">Debe considerarse que estas oficinas a nivel nacional iniciaron con inventarios en noviembre 2020 </w:t>
      </w:r>
      <w:r w:rsidR="00F24F7D">
        <w:rPr>
          <w:rFonts w:ascii="Book Antiqua" w:eastAsia="Calibri" w:hAnsi="Book Antiqua" w:cs="Arial"/>
          <w:sz w:val="24"/>
          <w:szCs w:val="24"/>
        </w:rPr>
        <w:t xml:space="preserve">que finalizaron hasta en 2021, por eso en ese año ellos no realizaron el inventario anual. </w:t>
      </w:r>
      <w:r w:rsidRPr="00457CD6">
        <w:rPr>
          <w:rFonts w:ascii="Book Antiqua" w:eastAsia="Calibri" w:hAnsi="Book Antiqua" w:cs="Arial"/>
          <w:sz w:val="24"/>
          <w:szCs w:val="24"/>
        </w:rPr>
        <w:t xml:space="preserve"> Lo</w:t>
      </w:r>
      <w:r w:rsidRPr="00D31DE7">
        <w:rPr>
          <w:rFonts w:ascii="Book Antiqua" w:eastAsia="Calibri" w:hAnsi="Book Antiqua" w:cs="Arial"/>
          <w:sz w:val="24"/>
          <w:szCs w:val="24"/>
        </w:rPr>
        <w:t xml:space="preserve"> anterior como parte del inventario anual </w:t>
      </w:r>
      <w:r w:rsidR="005008DD">
        <w:rPr>
          <w:rFonts w:ascii="Book Antiqua" w:eastAsia="Calibri" w:hAnsi="Book Antiqua" w:cs="Arial"/>
          <w:sz w:val="24"/>
          <w:szCs w:val="24"/>
        </w:rPr>
        <w:t xml:space="preserve">2020 </w:t>
      </w:r>
      <w:r w:rsidRPr="00D31DE7">
        <w:rPr>
          <w:rFonts w:ascii="Book Antiqua" w:eastAsia="Calibri" w:hAnsi="Book Antiqua" w:cs="Arial"/>
          <w:sz w:val="24"/>
          <w:szCs w:val="24"/>
        </w:rPr>
        <w:t xml:space="preserve">en la materia y además como una de las tareas asociadas a la depuración de la información en los sistemas de conformidad con las recomendaciones emitidas por la Contraloría General de la República. </w:t>
      </w:r>
    </w:p>
    <w:p w14:paraId="40ADEDCD" w14:textId="1E7AD4B1"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 xml:space="preserve">Cabe mencionar que como parte de las acciones institucionales para garantizar la depuración de la información </w:t>
      </w:r>
      <w:r w:rsidR="005008DD">
        <w:rPr>
          <w:rFonts w:ascii="Book Antiqua" w:eastAsia="Calibri" w:hAnsi="Book Antiqua" w:cs="Arial"/>
          <w:sz w:val="24"/>
          <w:szCs w:val="24"/>
        </w:rPr>
        <w:t>a partir del 2020, dentro d</w:t>
      </w:r>
      <w:r w:rsidRPr="00D31DE7">
        <w:rPr>
          <w:rFonts w:ascii="Book Antiqua" w:eastAsia="Calibri" w:hAnsi="Book Antiqua" w:cs="Arial"/>
          <w:sz w:val="24"/>
          <w:szCs w:val="24"/>
        </w:rPr>
        <w:t xml:space="preserve">el informe de inconsistencias mensual de los despachos, 5 variables adicionales </w:t>
      </w:r>
      <w:r w:rsidR="005008DD">
        <w:rPr>
          <w:rFonts w:ascii="Book Antiqua" w:eastAsia="Calibri" w:hAnsi="Book Antiqua" w:cs="Arial"/>
          <w:sz w:val="24"/>
          <w:szCs w:val="24"/>
        </w:rPr>
        <w:t xml:space="preserve">de revisión obligatoria </w:t>
      </w:r>
      <w:r w:rsidRPr="00D31DE7">
        <w:rPr>
          <w:rFonts w:ascii="Book Antiqua" w:eastAsia="Calibri" w:hAnsi="Book Antiqua" w:cs="Arial"/>
          <w:sz w:val="24"/>
          <w:szCs w:val="24"/>
        </w:rPr>
        <w:t>(comunicado mediante circular 191-2020).</w:t>
      </w:r>
    </w:p>
    <w:p w14:paraId="6B88AD2F" w14:textId="77777777"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 xml:space="preserve"> </w:t>
      </w:r>
    </w:p>
    <w:p w14:paraId="7568CA80" w14:textId="77777777"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t>•   Expedientes con fecha de entrada mayor a la fecha de término.</w:t>
      </w:r>
    </w:p>
    <w:p w14:paraId="502D7607" w14:textId="77777777"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t xml:space="preserve">•  Expedientes donde la clase de asunto asignada no corresponde a las aprobadas por la Comisión de Familia, Niñez y Adolescencia. </w:t>
      </w:r>
    </w:p>
    <w:p w14:paraId="0DD3AD00" w14:textId="41B9F436"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lastRenderedPageBreak/>
        <w:t xml:space="preserve"> • Expedientes donde el procedimiento asignado no corresponde a los aprobados por la Comisión de Familia, Niñez y Adolescencia.</w:t>
      </w:r>
    </w:p>
    <w:p w14:paraId="0CA090FA" w14:textId="77777777"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t>• Expedientes donde el principal se encuentra cerrado estadísticamente, pero tiene un incidente o legajo de apremio que se está tramitando.</w:t>
      </w:r>
    </w:p>
    <w:p w14:paraId="06E66E3D" w14:textId="77777777" w:rsidR="00D31DE7" w:rsidRPr="00D31DE7" w:rsidRDefault="00D31DE7" w:rsidP="00D31DE7">
      <w:pPr>
        <w:spacing w:after="0" w:line="276" w:lineRule="auto"/>
        <w:ind w:left="708"/>
        <w:jc w:val="both"/>
        <w:rPr>
          <w:rFonts w:ascii="Book Antiqua" w:eastAsia="Calibri" w:hAnsi="Book Antiqua" w:cs="Arial"/>
          <w:sz w:val="24"/>
        </w:rPr>
      </w:pPr>
      <w:r w:rsidRPr="00D31DE7">
        <w:rPr>
          <w:rFonts w:ascii="Book Antiqua" w:eastAsia="Calibri" w:hAnsi="Book Antiqua" w:cs="Arial"/>
          <w:sz w:val="24"/>
        </w:rPr>
        <w:t>Expedientes donde la fecha de pase a fallo sea menor a la fecha de dictado de sentencia.”</w:t>
      </w:r>
    </w:p>
    <w:p w14:paraId="511FBC1A" w14:textId="77777777" w:rsidR="00D31DE7" w:rsidRPr="00D31DE7" w:rsidRDefault="00D31DE7" w:rsidP="00D31DE7">
      <w:pPr>
        <w:spacing w:after="0" w:line="276" w:lineRule="auto"/>
        <w:jc w:val="both"/>
        <w:rPr>
          <w:rFonts w:ascii="Book Antiqua" w:eastAsia="Calibri" w:hAnsi="Book Antiqua" w:cs="Arial"/>
          <w:sz w:val="24"/>
          <w:szCs w:val="24"/>
        </w:rPr>
      </w:pPr>
    </w:p>
    <w:p w14:paraId="49801626" w14:textId="458847E0" w:rsidR="00D31DE7" w:rsidRPr="00D31DE7" w:rsidRDefault="00D31DE7" w:rsidP="00D31DE7">
      <w:pPr>
        <w:spacing w:after="0" w:line="276" w:lineRule="auto"/>
        <w:jc w:val="both"/>
        <w:rPr>
          <w:rFonts w:ascii="Book Antiqua" w:eastAsia="Calibri" w:hAnsi="Book Antiqua" w:cs="Arial"/>
          <w:sz w:val="24"/>
          <w:szCs w:val="24"/>
        </w:rPr>
      </w:pPr>
      <w:r w:rsidRPr="00D31DE7">
        <w:rPr>
          <w:rFonts w:ascii="Book Antiqua" w:eastAsia="Calibri" w:hAnsi="Book Antiqua" w:cs="Arial"/>
          <w:sz w:val="24"/>
          <w:szCs w:val="24"/>
        </w:rPr>
        <w:t>Para monitorear con mayor detalle la materia</w:t>
      </w:r>
      <w:r w:rsidR="005008DD">
        <w:rPr>
          <w:rFonts w:ascii="Book Antiqua" w:eastAsia="Calibri" w:hAnsi="Book Antiqua" w:cs="Arial"/>
          <w:sz w:val="24"/>
          <w:szCs w:val="24"/>
        </w:rPr>
        <w:t xml:space="preserve"> a partir del 2020</w:t>
      </w:r>
      <w:r w:rsidRPr="00D31DE7">
        <w:rPr>
          <w:rFonts w:ascii="Book Antiqua" w:eastAsia="Calibri" w:hAnsi="Book Antiqua" w:cs="Arial"/>
          <w:sz w:val="24"/>
          <w:szCs w:val="24"/>
        </w:rPr>
        <w:t>, se creó el reporte “Informe de Inconsistencias para Familia y Pensiones Alimentarias” en la plataforma SIGMA; además de un cambio en la fórmula estadística (comunicado mediante circular 207-2020</w:t>
      </w:r>
      <w:r w:rsidR="00672F59">
        <w:rPr>
          <w:rFonts w:ascii="Book Antiqua" w:eastAsia="Calibri" w:hAnsi="Book Antiqua" w:cs="Arial"/>
          <w:sz w:val="24"/>
          <w:szCs w:val="24"/>
        </w:rPr>
        <w:t>)</w:t>
      </w:r>
      <w:r w:rsidRPr="00D31DE7">
        <w:rPr>
          <w:rFonts w:ascii="Book Antiqua" w:eastAsia="Calibri" w:hAnsi="Book Antiqua" w:cs="Arial"/>
          <w:sz w:val="24"/>
          <w:szCs w:val="24"/>
        </w:rPr>
        <w:t>.</w:t>
      </w:r>
    </w:p>
    <w:p w14:paraId="5C327C3B" w14:textId="1DEE431B" w:rsidR="00D13D1F" w:rsidRDefault="00D13D1F" w:rsidP="00A65874"/>
    <w:p w14:paraId="3ADBD2EE" w14:textId="505BC405" w:rsidR="006566E3" w:rsidRPr="006566E3" w:rsidRDefault="006566E3" w:rsidP="006566E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566E3">
        <w:rPr>
          <w:rFonts w:ascii="Book Antiqua" w:eastAsia="Calibri" w:hAnsi="Book Antiqua" w:cs="Arial"/>
          <w:b/>
          <w:bCs/>
          <w:color w:val="1F497D"/>
          <w:szCs w:val="24"/>
          <w:lang w:val="es-ES" w:eastAsia="es-ES"/>
        </w:rPr>
        <w:t xml:space="preserve">Ilustración </w:t>
      </w:r>
      <w:r w:rsidR="00E8664C">
        <w:rPr>
          <w:rFonts w:ascii="Book Antiqua" w:eastAsia="Calibri" w:hAnsi="Book Antiqua" w:cs="Arial"/>
          <w:b/>
          <w:bCs/>
          <w:color w:val="1F497D"/>
          <w:szCs w:val="24"/>
          <w:lang w:val="es-ES" w:eastAsia="es-ES"/>
        </w:rPr>
        <w:t>4</w:t>
      </w:r>
    </w:p>
    <w:p w14:paraId="43FE8330" w14:textId="77777777" w:rsidR="00457CD6" w:rsidRDefault="006566E3" w:rsidP="006566E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566E3">
        <w:rPr>
          <w:rFonts w:ascii="Book Antiqua" w:eastAsia="Calibri" w:hAnsi="Book Antiqua" w:cs="Arial"/>
          <w:b/>
          <w:bCs/>
          <w:color w:val="1F497D"/>
          <w:szCs w:val="24"/>
          <w:lang w:val="es-ES" w:eastAsia="es-ES"/>
        </w:rPr>
        <w:t>Contenido del reporte “Informe de Inconsistencias para Familia y</w:t>
      </w:r>
    </w:p>
    <w:p w14:paraId="1E37CA55" w14:textId="693E5AFF" w:rsidR="006566E3" w:rsidRPr="006566E3" w:rsidRDefault="006566E3" w:rsidP="006566E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6566E3">
        <w:rPr>
          <w:rFonts w:ascii="Book Antiqua" w:eastAsia="Calibri" w:hAnsi="Book Antiqua" w:cs="Arial"/>
          <w:b/>
          <w:bCs/>
          <w:color w:val="1F497D"/>
          <w:szCs w:val="24"/>
          <w:lang w:val="es-ES" w:eastAsia="es-ES"/>
        </w:rPr>
        <w:t xml:space="preserve"> Pensiones Alimentarias”,</w:t>
      </w:r>
      <w:r w:rsidR="005008DD">
        <w:rPr>
          <w:rFonts w:ascii="Book Antiqua" w:eastAsia="Calibri" w:hAnsi="Book Antiqua" w:cs="Arial"/>
          <w:b/>
          <w:bCs/>
          <w:color w:val="1F497D"/>
          <w:szCs w:val="24"/>
          <w:lang w:val="es-ES" w:eastAsia="es-ES"/>
        </w:rPr>
        <w:t xml:space="preserve"> existente en Sigma a partir del</w:t>
      </w:r>
      <w:r w:rsidRPr="006566E3">
        <w:rPr>
          <w:rFonts w:ascii="Book Antiqua" w:eastAsia="Calibri" w:hAnsi="Book Antiqua" w:cs="Arial"/>
          <w:b/>
          <w:bCs/>
          <w:color w:val="1F497D"/>
          <w:szCs w:val="24"/>
          <w:lang w:val="es-ES" w:eastAsia="es-ES"/>
        </w:rPr>
        <w:t>2020</w:t>
      </w:r>
    </w:p>
    <w:p w14:paraId="58911203" w14:textId="6550F11B" w:rsidR="006566E3" w:rsidRDefault="006566E3" w:rsidP="006566E3">
      <w:pPr>
        <w:jc w:val="center"/>
      </w:pPr>
      <w:r w:rsidRPr="006566E3">
        <w:rPr>
          <w:rFonts w:ascii="Book Antiqua" w:eastAsia="Calibri" w:hAnsi="Book Antiqua" w:cs="Arial"/>
          <w:noProof/>
        </w:rPr>
        <w:drawing>
          <wp:inline distT="0" distB="0" distL="0" distR="0" wp14:anchorId="6D3E7D96" wp14:editId="1164C919">
            <wp:extent cx="2816768" cy="2918129"/>
            <wp:effectExtent l="0" t="0" r="3175" b="0"/>
            <wp:docPr id="1263269099" name="Imagen 126326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25901" cy="2927590"/>
                    </a:xfrm>
                    <a:prstGeom prst="rect">
                      <a:avLst/>
                    </a:prstGeom>
                  </pic:spPr>
                </pic:pic>
              </a:graphicData>
            </a:graphic>
          </wp:inline>
        </w:drawing>
      </w:r>
    </w:p>
    <w:p w14:paraId="36ADB46D" w14:textId="77777777" w:rsidR="006566E3" w:rsidRPr="006566E3" w:rsidRDefault="006566E3" w:rsidP="006566E3">
      <w:pPr>
        <w:spacing w:after="0" w:line="276" w:lineRule="auto"/>
        <w:ind w:firstLine="2268"/>
        <w:jc w:val="both"/>
        <w:rPr>
          <w:rFonts w:ascii="Book Antiqua" w:eastAsia="Calibri" w:hAnsi="Book Antiqua" w:cs="Arial"/>
          <w:i/>
          <w:iCs/>
          <w:sz w:val="20"/>
          <w:szCs w:val="20"/>
        </w:rPr>
      </w:pPr>
      <w:r w:rsidRPr="006566E3">
        <w:rPr>
          <w:rFonts w:ascii="Book Antiqua" w:eastAsia="Calibri" w:hAnsi="Book Antiqua" w:cs="Arial"/>
          <w:i/>
          <w:iCs/>
          <w:sz w:val="20"/>
          <w:szCs w:val="20"/>
        </w:rPr>
        <w:t>Fuente: SIGMA.</w:t>
      </w:r>
    </w:p>
    <w:p w14:paraId="7CFC5D6B" w14:textId="7898D777" w:rsidR="006566E3" w:rsidRDefault="006566E3" w:rsidP="00A65874"/>
    <w:p w14:paraId="2DBDFD4F" w14:textId="7323B5AC" w:rsidR="006566E3" w:rsidRDefault="006566E3" w:rsidP="006566E3">
      <w:pPr>
        <w:spacing w:after="0" w:line="276" w:lineRule="auto"/>
        <w:jc w:val="both"/>
        <w:rPr>
          <w:rFonts w:ascii="Book Antiqua" w:eastAsia="Calibri" w:hAnsi="Book Antiqua" w:cs="Arial"/>
          <w:sz w:val="24"/>
          <w:szCs w:val="24"/>
        </w:rPr>
      </w:pPr>
      <w:r w:rsidRPr="006566E3">
        <w:rPr>
          <w:rFonts w:ascii="Book Antiqua" w:eastAsia="Calibri" w:hAnsi="Book Antiqua" w:cs="Arial"/>
          <w:sz w:val="24"/>
          <w:szCs w:val="24"/>
        </w:rPr>
        <w:t>Utilizando los resultados de carga de trabajo calculada, se puede realizar la comparación con la cantidad de puestos que deberían tener cada despacho especializados según los niveles de entrada mensual, tomando en cuenta que al menos se requieren de 2 personas técnicas judicial</w:t>
      </w:r>
      <w:r w:rsidR="00572DB3">
        <w:rPr>
          <w:rFonts w:ascii="Book Antiqua" w:eastAsia="Calibri" w:hAnsi="Book Antiqua" w:cs="Arial"/>
          <w:sz w:val="24"/>
          <w:szCs w:val="24"/>
        </w:rPr>
        <w:t>es</w:t>
      </w:r>
      <w:r w:rsidRPr="006566E3">
        <w:rPr>
          <w:rFonts w:ascii="Book Antiqua" w:eastAsia="Calibri" w:hAnsi="Book Antiqua" w:cs="Arial"/>
          <w:sz w:val="24"/>
          <w:szCs w:val="24"/>
        </w:rPr>
        <w:t xml:space="preserve"> en la manifestación, </w:t>
      </w:r>
      <w:r w:rsidRPr="006566E3">
        <w:rPr>
          <w:rFonts w:ascii="Book Antiqua" w:eastAsia="Calibri" w:hAnsi="Book Antiqua" w:cs="Arial"/>
          <w:sz w:val="24"/>
          <w:szCs w:val="24"/>
        </w:rPr>
        <w:lastRenderedPageBreak/>
        <w:t xml:space="preserve">comparando contra los valores promedio de entrada de personal juzgador y personal técnico judicial, que tienen un promedio país de </w:t>
      </w:r>
      <w:r w:rsidR="00C70DCB" w:rsidRPr="00C70DCB">
        <w:rPr>
          <w:rFonts w:ascii="Book Antiqua" w:eastAsia="Calibri" w:hAnsi="Book Antiqua" w:cs="Arial"/>
          <w:sz w:val="24"/>
          <w:szCs w:val="24"/>
        </w:rPr>
        <w:t>58</w:t>
      </w:r>
      <w:r w:rsidRPr="00C70DCB">
        <w:rPr>
          <w:rFonts w:ascii="Book Antiqua" w:eastAsia="Calibri" w:hAnsi="Book Antiqua" w:cs="Arial"/>
          <w:sz w:val="24"/>
          <w:szCs w:val="24"/>
        </w:rPr>
        <w:t xml:space="preserve"> y 3</w:t>
      </w:r>
      <w:r w:rsidR="00C70DCB" w:rsidRPr="00C70DCB">
        <w:rPr>
          <w:rFonts w:ascii="Book Antiqua" w:eastAsia="Calibri" w:hAnsi="Book Antiqua" w:cs="Arial"/>
          <w:sz w:val="24"/>
          <w:szCs w:val="24"/>
        </w:rPr>
        <w:t>0</w:t>
      </w:r>
      <w:r w:rsidRPr="006566E3">
        <w:rPr>
          <w:rFonts w:ascii="Book Antiqua" w:eastAsia="Calibri" w:hAnsi="Book Antiqua" w:cs="Arial"/>
          <w:sz w:val="24"/>
          <w:szCs w:val="24"/>
        </w:rPr>
        <w:t xml:space="preserve"> asuntos de entrada mensual.</w:t>
      </w:r>
    </w:p>
    <w:p w14:paraId="1A8EEB57" w14:textId="195C6077" w:rsidR="006566E3" w:rsidRDefault="006566E3" w:rsidP="00A65874"/>
    <w:p w14:paraId="78BF1B58" w14:textId="77777777" w:rsidR="005008DD" w:rsidRPr="00330700" w:rsidRDefault="005008DD" w:rsidP="00330700">
      <w:pPr>
        <w:spacing w:after="0" w:line="276" w:lineRule="auto"/>
        <w:jc w:val="both"/>
        <w:rPr>
          <w:rFonts w:ascii="Book Antiqua" w:eastAsia="Calibri" w:hAnsi="Book Antiqua" w:cs="Arial"/>
          <w:b/>
          <w:bCs/>
          <w:sz w:val="24"/>
          <w:szCs w:val="24"/>
        </w:rPr>
      </w:pPr>
      <w:r w:rsidRPr="00330700">
        <w:rPr>
          <w:rFonts w:ascii="Book Antiqua" w:eastAsia="Calibri" w:hAnsi="Book Antiqua" w:cs="Arial"/>
          <w:b/>
          <w:bCs/>
          <w:sz w:val="24"/>
          <w:szCs w:val="24"/>
        </w:rPr>
        <w:t>Plazos por tipo de proceso</w:t>
      </w:r>
    </w:p>
    <w:p w14:paraId="5688F7C1" w14:textId="77777777" w:rsidR="005008DD" w:rsidRPr="009C6BEF" w:rsidRDefault="005008DD" w:rsidP="005008DD">
      <w:pPr>
        <w:spacing w:after="0" w:line="240" w:lineRule="auto"/>
        <w:jc w:val="both"/>
        <w:rPr>
          <w:rFonts w:ascii="Book Antiqua" w:eastAsia="Calibri" w:hAnsi="Book Antiqua" w:cs="Arial"/>
          <w:lang w:val="es-ES_tradnl"/>
        </w:rPr>
      </w:pPr>
    </w:p>
    <w:p w14:paraId="5F957975" w14:textId="77777777" w:rsidR="005008DD" w:rsidRPr="004B0BF5" w:rsidRDefault="005008DD" w:rsidP="005008DD">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Los </w:t>
      </w:r>
      <w:r w:rsidRPr="004B0BF5">
        <w:rPr>
          <w:rFonts w:ascii="Book Antiqua" w:eastAsia="Calibri" w:hAnsi="Book Antiqua" w:cs="Arial"/>
          <w:sz w:val="24"/>
          <w:szCs w:val="24"/>
        </w:rPr>
        <w:t xml:space="preserve">rangos de duración </w:t>
      </w:r>
      <w:r>
        <w:rPr>
          <w:rFonts w:ascii="Book Antiqua" w:eastAsia="Calibri" w:hAnsi="Book Antiqua" w:cs="Arial"/>
          <w:sz w:val="24"/>
          <w:szCs w:val="24"/>
        </w:rPr>
        <w:t xml:space="preserve">corresponden al </w:t>
      </w:r>
      <w:r w:rsidRPr="004B0BF5">
        <w:rPr>
          <w:rFonts w:ascii="Book Antiqua" w:eastAsia="Calibri" w:hAnsi="Book Antiqua" w:cs="Arial"/>
          <w:sz w:val="24"/>
          <w:szCs w:val="24"/>
        </w:rPr>
        <w:t xml:space="preserve">plazo legal, </w:t>
      </w:r>
      <w:r>
        <w:rPr>
          <w:rFonts w:ascii="Book Antiqua" w:eastAsia="Calibri" w:hAnsi="Book Antiqua" w:cs="Arial"/>
          <w:sz w:val="24"/>
          <w:szCs w:val="24"/>
        </w:rPr>
        <w:t xml:space="preserve">o </w:t>
      </w:r>
      <w:r w:rsidRPr="004B0BF5">
        <w:rPr>
          <w:rFonts w:ascii="Book Antiqua" w:eastAsia="Calibri" w:hAnsi="Book Antiqua" w:cs="Arial"/>
          <w:sz w:val="24"/>
          <w:szCs w:val="24"/>
        </w:rPr>
        <w:t>se encuentran dentro del criterio experto según informe 1212-PLA-EV-2020</w:t>
      </w:r>
      <w:r>
        <w:rPr>
          <w:rFonts w:ascii="Book Antiqua" w:eastAsia="Calibri" w:hAnsi="Book Antiqua" w:cs="Arial"/>
          <w:sz w:val="24"/>
          <w:szCs w:val="24"/>
        </w:rPr>
        <w:t xml:space="preserve">, aprobado por Consejo Superior en sesión </w:t>
      </w:r>
      <w:r w:rsidRPr="00D44759">
        <w:rPr>
          <w:rFonts w:ascii="Book Antiqua" w:eastAsia="Calibri" w:hAnsi="Book Antiqua" w:cs="Arial"/>
          <w:sz w:val="24"/>
          <w:szCs w:val="24"/>
        </w:rPr>
        <w:t xml:space="preserve">82-2020 celebrada el 20 de agosto del 2020, </w:t>
      </w:r>
      <w:r>
        <w:rPr>
          <w:rFonts w:ascii="Book Antiqua" w:eastAsia="Calibri" w:hAnsi="Book Antiqua" w:cs="Arial"/>
          <w:sz w:val="24"/>
          <w:szCs w:val="24"/>
        </w:rPr>
        <w:t>artículo</w:t>
      </w:r>
      <w:r w:rsidRPr="00D44759">
        <w:rPr>
          <w:rFonts w:ascii="Book Antiqua" w:eastAsia="Calibri" w:hAnsi="Book Antiqua" w:cs="Arial"/>
          <w:sz w:val="24"/>
          <w:szCs w:val="24"/>
        </w:rPr>
        <w:t xml:space="preserve"> XLI</w:t>
      </w:r>
      <w:r>
        <w:rPr>
          <w:rFonts w:ascii="Book Antiqua" w:eastAsia="Calibri" w:hAnsi="Book Antiqua" w:cs="Arial"/>
          <w:sz w:val="24"/>
          <w:szCs w:val="24"/>
        </w:rPr>
        <w:t>-Circulares 96-2021 y 213-2021</w:t>
      </w:r>
    </w:p>
    <w:p w14:paraId="04616F40" w14:textId="1835DA88" w:rsidR="005008DD" w:rsidRPr="00352675" w:rsidRDefault="005008DD" w:rsidP="005008DD">
      <w:pPr>
        <w:keepNext/>
        <w:numPr>
          <w:ilvl w:val="12"/>
          <w:numId w:val="0"/>
        </w:numPr>
        <w:spacing w:after="0" w:line="276" w:lineRule="auto"/>
        <w:jc w:val="center"/>
        <w:rPr>
          <w:rFonts w:ascii="Book Antiqua" w:eastAsia="Calibri" w:hAnsi="Book Antiqua" w:cs="Arial"/>
          <w:b/>
          <w:bCs/>
          <w:color w:val="1F497D"/>
          <w:szCs w:val="24"/>
          <w:lang w:val="es-ES" w:eastAsia="es-ES"/>
        </w:rPr>
      </w:pPr>
      <w:r w:rsidRPr="00352675">
        <w:rPr>
          <w:rFonts w:ascii="Book Antiqua" w:eastAsia="Calibri" w:hAnsi="Book Antiqua" w:cs="Arial"/>
          <w:b/>
          <w:bCs/>
          <w:color w:val="1F497D"/>
          <w:szCs w:val="24"/>
          <w:lang w:val="es-ES" w:eastAsia="es-ES"/>
        </w:rPr>
        <w:t xml:space="preserve">Ilustración </w:t>
      </w:r>
      <w:r w:rsidR="00E8664C">
        <w:rPr>
          <w:rFonts w:ascii="Book Antiqua" w:eastAsia="Calibri" w:hAnsi="Book Antiqua" w:cs="Arial"/>
          <w:b/>
          <w:bCs/>
          <w:color w:val="1F497D"/>
          <w:szCs w:val="24"/>
          <w:lang w:val="es-ES" w:eastAsia="es-ES"/>
        </w:rPr>
        <w:t>5</w:t>
      </w:r>
    </w:p>
    <w:p w14:paraId="28F59363" w14:textId="77777777" w:rsidR="005008DD" w:rsidRPr="00352675" w:rsidRDefault="005008DD" w:rsidP="005008DD">
      <w:pPr>
        <w:spacing w:after="0" w:line="240" w:lineRule="auto"/>
        <w:jc w:val="center"/>
        <w:rPr>
          <w:rFonts w:ascii="Book Antiqua" w:eastAsia="Calibri" w:hAnsi="Book Antiqua" w:cs="Arial"/>
          <w:b/>
          <w:bCs/>
          <w:color w:val="1F497D"/>
          <w:szCs w:val="24"/>
          <w:lang w:val="es-ES" w:eastAsia="es-ES"/>
        </w:rPr>
      </w:pPr>
      <w:r w:rsidRPr="00352675">
        <w:rPr>
          <w:rFonts w:ascii="Book Antiqua" w:eastAsia="Calibri" w:hAnsi="Book Antiqua" w:cs="Arial"/>
          <w:b/>
          <w:bCs/>
          <w:color w:val="1F497D"/>
          <w:szCs w:val="24"/>
          <w:lang w:val="es-ES" w:eastAsia="es-ES"/>
        </w:rPr>
        <w:t xml:space="preserve">Plazos legales y según criterio experto </w:t>
      </w:r>
    </w:p>
    <w:p w14:paraId="70240C16" w14:textId="77777777" w:rsidR="005008DD" w:rsidRPr="00352675" w:rsidRDefault="005008DD" w:rsidP="005008DD">
      <w:pPr>
        <w:spacing w:after="0" w:line="276" w:lineRule="auto"/>
        <w:jc w:val="center"/>
        <w:rPr>
          <w:rFonts w:ascii="Book Antiqua" w:eastAsia="Calibri" w:hAnsi="Book Antiqua" w:cs="Arial"/>
          <w:sz w:val="24"/>
          <w:szCs w:val="24"/>
        </w:rPr>
      </w:pPr>
    </w:p>
    <w:p w14:paraId="31F0A101" w14:textId="77777777" w:rsidR="005008DD" w:rsidRDefault="005008DD" w:rsidP="001D0C10">
      <w:pPr>
        <w:spacing w:after="0" w:line="276" w:lineRule="auto"/>
        <w:jc w:val="center"/>
        <w:rPr>
          <w:rFonts w:ascii="Book Antiqua" w:eastAsia="Calibri" w:hAnsi="Book Antiqua" w:cs="Arial"/>
          <w:i/>
          <w:iCs/>
          <w:sz w:val="20"/>
          <w:szCs w:val="20"/>
        </w:rPr>
      </w:pPr>
      <w:r>
        <w:rPr>
          <w:noProof/>
        </w:rPr>
        <w:drawing>
          <wp:inline distT="0" distB="0" distL="0" distR="0" wp14:anchorId="7632A95A" wp14:editId="12B940E8">
            <wp:extent cx="3566160" cy="1170159"/>
            <wp:effectExtent l="0" t="0" r="0" b="0"/>
            <wp:docPr id="13"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Tabla&#10;&#10;Descripción generada automáticamente"/>
                    <pic:cNvPicPr/>
                  </pic:nvPicPr>
                  <pic:blipFill>
                    <a:blip r:embed="rId19"/>
                    <a:stretch>
                      <a:fillRect/>
                    </a:stretch>
                  </pic:blipFill>
                  <pic:spPr>
                    <a:xfrm>
                      <a:off x="0" y="0"/>
                      <a:ext cx="3597341" cy="1180390"/>
                    </a:xfrm>
                    <a:prstGeom prst="rect">
                      <a:avLst/>
                    </a:prstGeom>
                  </pic:spPr>
                </pic:pic>
              </a:graphicData>
            </a:graphic>
          </wp:inline>
        </w:drawing>
      </w:r>
    </w:p>
    <w:p w14:paraId="775D6453" w14:textId="13E596BE" w:rsidR="005008DD" w:rsidRPr="00352675" w:rsidRDefault="00E8664C" w:rsidP="005008DD">
      <w:pPr>
        <w:spacing w:after="0" w:line="276" w:lineRule="auto"/>
        <w:rPr>
          <w:rFonts w:ascii="Book Antiqua" w:eastAsia="Calibri" w:hAnsi="Book Antiqua" w:cs="Arial"/>
          <w:sz w:val="24"/>
          <w:szCs w:val="24"/>
        </w:rPr>
      </w:pPr>
      <w:r>
        <w:rPr>
          <w:rFonts w:ascii="Book Antiqua" w:eastAsia="Calibri" w:hAnsi="Book Antiqua" w:cs="Arial"/>
          <w:i/>
          <w:iCs/>
          <w:sz w:val="20"/>
          <w:szCs w:val="20"/>
        </w:rPr>
        <w:t xml:space="preserve">                   </w:t>
      </w:r>
      <w:r w:rsidR="00456779">
        <w:rPr>
          <w:rFonts w:ascii="Book Antiqua" w:eastAsia="Calibri" w:hAnsi="Book Antiqua" w:cs="Arial"/>
          <w:i/>
          <w:iCs/>
          <w:sz w:val="20"/>
          <w:szCs w:val="20"/>
        </w:rPr>
        <w:t xml:space="preserve">                  </w:t>
      </w:r>
      <w:r w:rsidR="005008DD" w:rsidRPr="00352675">
        <w:rPr>
          <w:rFonts w:ascii="Book Antiqua" w:eastAsia="Calibri" w:hAnsi="Book Antiqua" w:cs="Arial"/>
          <w:i/>
          <w:iCs/>
          <w:sz w:val="20"/>
          <w:szCs w:val="20"/>
        </w:rPr>
        <w:t xml:space="preserve">Fuente. </w:t>
      </w:r>
      <w:r w:rsidR="005008DD">
        <w:rPr>
          <w:rFonts w:ascii="Book Antiqua" w:eastAsia="Calibri" w:hAnsi="Book Antiqua" w:cs="Arial"/>
          <w:i/>
          <w:iCs/>
          <w:sz w:val="20"/>
          <w:szCs w:val="20"/>
        </w:rPr>
        <w:t>Circular 213-2021</w:t>
      </w:r>
      <w:r w:rsidR="005008DD" w:rsidRPr="00352675">
        <w:rPr>
          <w:rFonts w:ascii="Book Antiqua" w:eastAsia="Calibri" w:hAnsi="Book Antiqua" w:cs="Arial"/>
          <w:i/>
          <w:iCs/>
          <w:sz w:val="20"/>
          <w:szCs w:val="20"/>
        </w:rPr>
        <w:t>.</w:t>
      </w:r>
      <w:r w:rsidR="005008DD" w:rsidRPr="00352675">
        <w:rPr>
          <w:rFonts w:ascii="Book Antiqua" w:eastAsia="Calibri" w:hAnsi="Book Antiqua" w:cs="Arial"/>
          <w:sz w:val="24"/>
          <w:szCs w:val="24"/>
        </w:rPr>
        <w:t xml:space="preserve"> </w:t>
      </w:r>
    </w:p>
    <w:p w14:paraId="54DEB07F" w14:textId="77777777" w:rsidR="005008DD" w:rsidRDefault="005008DD" w:rsidP="005008DD">
      <w:pPr>
        <w:spacing w:line="276" w:lineRule="auto"/>
        <w:jc w:val="both"/>
        <w:rPr>
          <w:rFonts w:ascii="Book Antiqua" w:hAnsi="Book Antiqua"/>
          <w:sz w:val="24"/>
          <w:szCs w:val="24"/>
        </w:rPr>
      </w:pPr>
    </w:p>
    <w:p w14:paraId="7E25EB26" w14:textId="77777777" w:rsidR="005008DD" w:rsidRDefault="005008DD" w:rsidP="005008DD">
      <w:pPr>
        <w:spacing w:after="0" w:line="276" w:lineRule="auto"/>
        <w:jc w:val="both"/>
        <w:rPr>
          <w:rFonts w:ascii="Book Antiqua" w:eastAsia="Calibri" w:hAnsi="Book Antiqua" w:cs="Arial"/>
          <w:sz w:val="24"/>
          <w:szCs w:val="24"/>
        </w:rPr>
      </w:pPr>
      <w:r w:rsidRPr="00B80873">
        <w:rPr>
          <w:rFonts w:ascii="Book Antiqua" w:eastAsia="Calibri" w:hAnsi="Book Antiqua" w:cs="Arial"/>
          <w:sz w:val="24"/>
          <w:szCs w:val="24"/>
        </w:rPr>
        <w:t>Cabe mencionar que como oportunidad de mejora se gestionó con la Dirección de Tecnología de la Información</w:t>
      </w:r>
      <w:r>
        <w:rPr>
          <w:rFonts w:ascii="Book Antiqua" w:eastAsia="Calibri" w:hAnsi="Book Antiqua" w:cs="Arial"/>
          <w:sz w:val="24"/>
          <w:szCs w:val="24"/>
        </w:rPr>
        <w:t xml:space="preserve"> desde el 2020, la creación de</w:t>
      </w:r>
      <w:r w:rsidRPr="00B80873">
        <w:rPr>
          <w:rFonts w:ascii="Book Antiqua" w:eastAsia="Calibri" w:hAnsi="Book Antiqua" w:cs="Arial"/>
          <w:sz w:val="24"/>
          <w:szCs w:val="24"/>
        </w:rPr>
        <w:t xml:space="preserve"> </w:t>
      </w:r>
      <w:r>
        <w:rPr>
          <w:rFonts w:ascii="Book Antiqua" w:eastAsia="Calibri" w:hAnsi="Book Antiqua" w:cs="Arial"/>
          <w:sz w:val="24"/>
          <w:szCs w:val="24"/>
        </w:rPr>
        <w:t>un reporte en SIGMA</w:t>
      </w:r>
      <w:r w:rsidRPr="00756438">
        <w:rPr>
          <w:rFonts w:ascii="Book Antiqua" w:eastAsia="Calibri" w:hAnsi="Book Antiqua" w:cs="Arial"/>
          <w:sz w:val="24"/>
          <w:szCs w:val="24"/>
        </w:rPr>
        <w:t xml:space="preserve"> para visualizar por código</w:t>
      </w:r>
      <w:r w:rsidRPr="00792F0C">
        <w:rPr>
          <w:rFonts w:ascii="Book Antiqua" w:eastAsia="Calibri" w:hAnsi="Book Antiqua" w:cs="Arial"/>
          <w:sz w:val="24"/>
          <w:szCs w:val="24"/>
        </w:rPr>
        <w:t xml:space="preserve"> de colores aquellos rangos de duración que sobrepas</w:t>
      </w:r>
      <w:r>
        <w:rPr>
          <w:rFonts w:ascii="Book Antiqua" w:eastAsia="Calibri" w:hAnsi="Book Antiqua" w:cs="Arial"/>
          <w:sz w:val="24"/>
          <w:szCs w:val="24"/>
        </w:rPr>
        <w:t>a</w:t>
      </w:r>
      <w:r w:rsidRPr="00792F0C">
        <w:rPr>
          <w:rFonts w:ascii="Book Antiqua" w:eastAsia="Calibri" w:hAnsi="Book Antiqua" w:cs="Arial"/>
          <w:sz w:val="24"/>
          <w:szCs w:val="24"/>
        </w:rPr>
        <w:t>n los parámetros legales o de criterio experto, de forma que las mismas oficinas</w:t>
      </w:r>
      <w:r w:rsidRPr="00B80873">
        <w:rPr>
          <w:rFonts w:ascii="Book Antiqua" w:eastAsia="Calibri" w:hAnsi="Book Antiqua" w:cs="Arial"/>
          <w:sz w:val="24"/>
          <w:szCs w:val="24"/>
        </w:rPr>
        <w:t xml:space="preserve"> se autogestionen y puedan dar atención a aquellas causas que superen los rangos estándar; tanto para la cejilla de duración de casos activos como la cejilla de duraciones de casos terminados.</w:t>
      </w:r>
      <w:r>
        <w:rPr>
          <w:rFonts w:ascii="Book Antiqua" w:eastAsia="Calibri" w:hAnsi="Book Antiqua" w:cs="Arial"/>
          <w:sz w:val="24"/>
          <w:szCs w:val="24"/>
        </w:rPr>
        <w:t xml:space="preserve"> </w:t>
      </w:r>
    </w:p>
    <w:p w14:paraId="0FBB0A0B" w14:textId="77777777" w:rsidR="005008DD" w:rsidRDefault="005008DD" w:rsidP="005008DD">
      <w:pPr>
        <w:spacing w:after="0" w:line="276" w:lineRule="auto"/>
        <w:jc w:val="both"/>
        <w:rPr>
          <w:rFonts w:ascii="Book Antiqua" w:eastAsia="Calibri" w:hAnsi="Book Antiqua" w:cs="Arial"/>
          <w:sz w:val="24"/>
          <w:szCs w:val="24"/>
        </w:rPr>
      </w:pPr>
    </w:p>
    <w:p w14:paraId="45550265" w14:textId="57111D0B" w:rsidR="00D01F98" w:rsidRDefault="00D01F98" w:rsidP="00A65874"/>
    <w:p w14:paraId="46940863" w14:textId="221AC37C" w:rsidR="00D01F98" w:rsidRDefault="00D01F98" w:rsidP="00A65874"/>
    <w:p w14:paraId="77CA3D0B" w14:textId="5BA58892" w:rsidR="00D01F98" w:rsidRDefault="00D01F98" w:rsidP="00A65874"/>
    <w:p w14:paraId="78752FFD" w14:textId="0505B623" w:rsidR="00D01F98" w:rsidRDefault="00D01F98" w:rsidP="00A65874"/>
    <w:p w14:paraId="7BA390A5" w14:textId="21BBF8F3" w:rsidR="00572DB3" w:rsidRPr="00572DB3" w:rsidRDefault="00572DB3" w:rsidP="00572DB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72DB3">
        <w:rPr>
          <w:rFonts w:ascii="Book Antiqua" w:eastAsia="Calibri" w:hAnsi="Book Antiqua" w:cs="Arial"/>
          <w:b/>
          <w:bCs/>
          <w:color w:val="1F497D"/>
          <w:szCs w:val="24"/>
          <w:lang w:val="es-ES" w:eastAsia="es-ES"/>
        </w:rPr>
        <w:lastRenderedPageBreak/>
        <w:t xml:space="preserve">Cuadro </w:t>
      </w:r>
      <w:r w:rsidRPr="00572DB3">
        <w:rPr>
          <w:rFonts w:ascii="Book Antiqua" w:eastAsia="Calibri" w:hAnsi="Book Antiqua" w:cs="Arial"/>
          <w:b/>
          <w:bCs/>
          <w:color w:val="1F497D"/>
          <w:szCs w:val="24"/>
          <w:lang w:val="es-ES" w:eastAsia="es-ES"/>
        </w:rPr>
        <w:fldChar w:fldCharType="begin"/>
      </w:r>
      <w:r w:rsidRPr="00572DB3">
        <w:rPr>
          <w:rFonts w:ascii="Book Antiqua" w:eastAsia="Calibri" w:hAnsi="Book Antiqua" w:cs="Arial"/>
          <w:b/>
          <w:bCs/>
          <w:color w:val="1F497D"/>
          <w:szCs w:val="24"/>
          <w:lang w:val="es-ES" w:eastAsia="es-ES"/>
        </w:rPr>
        <w:instrText xml:space="preserve"> SEQ Cuadro \* ARABIC </w:instrText>
      </w:r>
      <w:r w:rsidRPr="00572DB3">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76</w:t>
      </w:r>
      <w:r w:rsidRPr="00572DB3">
        <w:rPr>
          <w:rFonts w:ascii="Book Antiqua" w:eastAsia="Calibri" w:hAnsi="Book Antiqua" w:cs="Arial"/>
          <w:b/>
          <w:bCs/>
          <w:color w:val="1F497D"/>
          <w:szCs w:val="24"/>
          <w:lang w:val="es-ES" w:eastAsia="es-ES"/>
        </w:rPr>
        <w:fldChar w:fldCharType="end"/>
      </w:r>
    </w:p>
    <w:p w14:paraId="2E951AFB" w14:textId="77777777" w:rsidR="00D95481" w:rsidRDefault="00572DB3" w:rsidP="00572DB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72DB3">
        <w:rPr>
          <w:rFonts w:ascii="Book Antiqua" w:eastAsia="Calibri" w:hAnsi="Book Antiqua" w:cs="Arial"/>
          <w:b/>
          <w:bCs/>
          <w:color w:val="1F497D"/>
          <w:szCs w:val="24"/>
          <w:lang w:val="es-ES" w:eastAsia="es-ES"/>
        </w:rPr>
        <w:t xml:space="preserve">Cantidad de persona juzgadora y persona técnica judicial requeridas </w:t>
      </w:r>
    </w:p>
    <w:p w14:paraId="4CF104AC" w14:textId="54F74EC1" w:rsidR="00572DB3" w:rsidRPr="00572DB3" w:rsidRDefault="00572DB3" w:rsidP="00572DB3">
      <w:pPr>
        <w:keepNext/>
        <w:numPr>
          <w:ilvl w:val="12"/>
          <w:numId w:val="0"/>
        </w:numPr>
        <w:spacing w:after="0" w:line="276" w:lineRule="auto"/>
        <w:jc w:val="center"/>
        <w:rPr>
          <w:rFonts w:ascii="Book Antiqua" w:eastAsia="Calibri" w:hAnsi="Book Antiqua" w:cs="Arial"/>
          <w:b/>
          <w:bCs/>
          <w:color w:val="1F497D"/>
          <w:szCs w:val="24"/>
          <w:lang w:val="es-ES" w:eastAsia="es-ES"/>
        </w:rPr>
      </w:pPr>
      <w:r w:rsidRPr="00572DB3">
        <w:rPr>
          <w:rFonts w:ascii="Book Antiqua" w:eastAsia="Calibri" w:hAnsi="Book Antiqua" w:cs="Arial"/>
          <w:b/>
          <w:bCs/>
          <w:color w:val="1F497D"/>
          <w:szCs w:val="24"/>
          <w:lang w:val="es-ES" w:eastAsia="es-ES"/>
        </w:rPr>
        <w:t>según promedio de entrada de casos</w:t>
      </w:r>
    </w:p>
    <w:tbl>
      <w:tblPr>
        <w:tblW w:w="5000" w:type="pct"/>
        <w:tblCellMar>
          <w:left w:w="70" w:type="dxa"/>
          <w:right w:w="70" w:type="dxa"/>
        </w:tblCellMar>
        <w:tblLook w:val="04A0" w:firstRow="1" w:lastRow="0" w:firstColumn="1" w:lastColumn="0" w:noHBand="0" w:noVBand="1"/>
      </w:tblPr>
      <w:tblGrid>
        <w:gridCol w:w="1905"/>
        <w:gridCol w:w="941"/>
        <w:gridCol w:w="1040"/>
        <w:gridCol w:w="950"/>
        <w:gridCol w:w="1040"/>
        <w:gridCol w:w="951"/>
        <w:gridCol w:w="1041"/>
        <w:gridCol w:w="950"/>
      </w:tblGrid>
      <w:tr w:rsidR="00D95481" w:rsidRPr="00D95481" w14:paraId="6536440C" w14:textId="77777777" w:rsidTr="00D95481">
        <w:trPr>
          <w:trHeight w:val="300"/>
        </w:trPr>
        <w:tc>
          <w:tcPr>
            <w:tcW w:w="1081"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67F68B2" w14:textId="77777777" w:rsidR="00D95481" w:rsidRPr="00D95481" w:rsidRDefault="00D95481" w:rsidP="00456779">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Despacho</w:t>
            </w:r>
          </w:p>
        </w:tc>
        <w:tc>
          <w:tcPr>
            <w:tcW w:w="534" w:type="pct"/>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30E03E78"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Promedio mensual de Entrada</w:t>
            </w:r>
          </w:p>
        </w:tc>
        <w:tc>
          <w:tcPr>
            <w:tcW w:w="1128" w:type="pct"/>
            <w:gridSpan w:val="2"/>
            <w:tcBorders>
              <w:top w:val="single" w:sz="8" w:space="0" w:color="auto"/>
              <w:left w:val="nil"/>
              <w:bottom w:val="single" w:sz="8" w:space="0" w:color="auto"/>
              <w:right w:val="single" w:sz="8" w:space="0" w:color="000000"/>
            </w:tcBorders>
            <w:shd w:val="clear" w:color="000000" w:fill="002060"/>
            <w:vAlign w:val="center"/>
            <w:hideMark/>
          </w:tcPr>
          <w:p w14:paraId="25C95836"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Recurso humano actual</w:t>
            </w:r>
          </w:p>
        </w:tc>
        <w:tc>
          <w:tcPr>
            <w:tcW w:w="1128" w:type="pct"/>
            <w:gridSpan w:val="2"/>
            <w:tcBorders>
              <w:top w:val="single" w:sz="8" w:space="0" w:color="auto"/>
              <w:left w:val="nil"/>
              <w:bottom w:val="single" w:sz="8" w:space="0" w:color="auto"/>
              <w:right w:val="single" w:sz="8" w:space="0" w:color="000000"/>
            </w:tcBorders>
            <w:shd w:val="clear" w:color="000000" w:fill="002060"/>
            <w:vAlign w:val="center"/>
            <w:hideMark/>
          </w:tcPr>
          <w:p w14:paraId="3849E88F"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Recurso humano requerido</w:t>
            </w:r>
          </w:p>
        </w:tc>
        <w:tc>
          <w:tcPr>
            <w:tcW w:w="1128" w:type="pct"/>
            <w:gridSpan w:val="2"/>
            <w:tcBorders>
              <w:top w:val="single" w:sz="8" w:space="0" w:color="auto"/>
              <w:left w:val="nil"/>
              <w:bottom w:val="single" w:sz="8" w:space="0" w:color="auto"/>
              <w:right w:val="single" w:sz="8" w:space="0" w:color="000000"/>
            </w:tcBorders>
            <w:shd w:val="clear" w:color="000000" w:fill="002060"/>
            <w:vAlign w:val="center"/>
            <w:hideMark/>
          </w:tcPr>
          <w:p w14:paraId="066B80BB"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Variación</w:t>
            </w:r>
          </w:p>
        </w:tc>
      </w:tr>
      <w:tr w:rsidR="00D95481" w:rsidRPr="00D95481" w14:paraId="153E30D0" w14:textId="77777777" w:rsidTr="00D95481">
        <w:trPr>
          <w:trHeight w:val="970"/>
        </w:trPr>
        <w:tc>
          <w:tcPr>
            <w:tcW w:w="1081" w:type="pct"/>
            <w:vMerge/>
            <w:tcBorders>
              <w:top w:val="single" w:sz="8" w:space="0" w:color="auto"/>
              <w:left w:val="single" w:sz="8" w:space="0" w:color="auto"/>
              <w:bottom w:val="single" w:sz="8" w:space="0" w:color="000000"/>
              <w:right w:val="single" w:sz="8" w:space="0" w:color="auto"/>
            </w:tcBorders>
            <w:vAlign w:val="center"/>
            <w:hideMark/>
          </w:tcPr>
          <w:p w14:paraId="6DDD7073" w14:textId="77777777" w:rsidR="00D95481" w:rsidRPr="00D95481" w:rsidRDefault="00D95481" w:rsidP="001D0C10">
            <w:pPr>
              <w:spacing w:after="0" w:line="240" w:lineRule="auto"/>
              <w:jc w:val="both"/>
              <w:rPr>
                <w:rFonts w:ascii="Book Antiqua" w:eastAsia="Times New Roman" w:hAnsi="Book Antiqua" w:cs="Calibri"/>
                <w:b/>
                <w:bCs/>
                <w:color w:val="FFFFFF"/>
                <w:sz w:val="18"/>
                <w:szCs w:val="18"/>
                <w:lang w:eastAsia="es-CR"/>
              </w:rPr>
            </w:pPr>
          </w:p>
        </w:tc>
        <w:tc>
          <w:tcPr>
            <w:tcW w:w="534" w:type="pct"/>
            <w:vMerge/>
            <w:tcBorders>
              <w:top w:val="single" w:sz="8" w:space="0" w:color="auto"/>
              <w:left w:val="single" w:sz="8" w:space="0" w:color="auto"/>
              <w:bottom w:val="single" w:sz="8" w:space="0" w:color="000000"/>
              <w:right w:val="single" w:sz="8" w:space="0" w:color="auto"/>
            </w:tcBorders>
            <w:vAlign w:val="center"/>
            <w:hideMark/>
          </w:tcPr>
          <w:p w14:paraId="632FE1CA" w14:textId="77777777" w:rsidR="00D95481" w:rsidRPr="00D95481" w:rsidRDefault="00D95481" w:rsidP="00D95481">
            <w:pPr>
              <w:spacing w:after="0" w:line="240" w:lineRule="auto"/>
              <w:rPr>
                <w:rFonts w:ascii="Book Antiqua" w:eastAsia="Times New Roman" w:hAnsi="Book Antiqua" w:cs="Calibri"/>
                <w:b/>
                <w:bCs/>
                <w:color w:val="FFFFFF"/>
                <w:sz w:val="18"/>
                <w:szCs w:val="18"/>
                <w:lang w:eastAsia="es-CR"/>
              </w:rPr>
            </w:pPr>
          </w:p>
        </w:tc>
        <w:tc>
          <w:tcPr>
            <w:tcW w:w="590" w:type="pct"/>
            <w:tcBorders>
              <w:top w:val="nil"/>
              <w:left w:val="nil"/>
              <w:bottom w:val="single" w:sz="8" w:space="0" w:color="auto"/>
              <w:right w:val="single" w:sz="8" w:space="0" w:color="auto"/>
            </w:tcBorders>
            <w:shd w:val="clear" w:color="000000" w:fill="002060"/>
            <w:vAlign w:val="center"/>
            <w:hideMark/>
          </w:tcPr>
          <w:p w14:paraId="3EF5DF85"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juzgadoras</w:t>
            </w:r>
          </w:p>
        </w:tc>
        <w:tc>
          <w:tcPr>
            <w:tcW w:w="539" w:type="pct"/>
            <w:tcBorders>
              <w:top w:val="nil"/>
              <w:left w:val="nil"/>
              <w:bottom w:val="single" w:sz="8" w:space="0" w:color="auto"/>
              <w:right w:val="single" w:sz="8" w:space="0" w:color="auto"/>
            </w:tcBorders>
            <w:shd w:val="clear" w:color="000000" w:fill="002060"/>
            <w:vAlign w:val="center"/>
            <w:hideMark/>
          </w:tcPr>
          <w:p w14:paraId="798CC2AF"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Técnicas Judiciales de trámite</w:t>
            </w:r>
          </w:p>
        </w:tc>
        <w:tc>
          <w:tcPr>
            <w:tcW w:w="590" w:type="pct"/>
            <w:tcBorders>
              <w:top w:val="nil"/>
              <w:left w:val="nil"/>
              <w:bottom w:val="single" w:sz="8" w:space="0" w:color="auto"/>
              <w:right w:val="single" w:sz="8" w:space="0" w:color="auto"/>
            </w:tcBorders>
            <w:shd w:val="clear" w:color="000000" w:fill="002060"/>
            <w:vAlign w:val="center"/>
            <w:hideMark/>
          </w:tcPr>
          <w:p w14:paraId="2815BDD2"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juzgadoras</w:t>
            </w:r>
          </w:p>
        </w:tc>
        <w:tc>
          <w:tcPr>
            <w:tcW w:w="539" w:type="pct"/>
            <w:tcBorders>
              <w:top w:val="nil"/>
              <w:left w:val="nil"/>
              <w:bottom w:val="single" w:sz="8" w:space="0" w:color="auto"/>
              <w:right w:val="single" w:sz="8" w:space="0" w:color="auto"/>
            </w:tcBorders>
            <w:shd w:val="clear" w:color="000000" w:fill="002060"/>
            <w:vAlign w:val="center"/>
            <w:hideMark/>
          </w:tcPr>
          <w:p w14:paraId="651FD9B5"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Técnicas Judiciales de trámite</w:t>
            </w:r>
          </w:p>
        </w:tc>
        <w:tc>
          <w:tcPr>
            <w:tcW w:w="590" w:type="pct"/>
            <w:tcBorders>
              <w:top w:val="nil"/>
              <w:left w:val="nil"/>
              <w:bottom w:val="single" w:sz="8" w:space="0" w:color="auto"/>
              <w:right w:val="single" w:sz="8" w:space="0" w:color="auto"/>
            </w:tcBorders>
            <w:shd w:val="clear" w:color="000000" w:fill="002060"/>
            <w:vAlign w:val="center"/>
            <w:hideMark/>
          </w:tcPr>
          <w:p w14:paraId="11EFEC58"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juzgadoras</w:t>
            </w:r>
          </w:p>
        </w:tc>
        <w:tc>
          <w:tcPr>
            <w:tcW w:w="539" w:type="pct"/>
            <w:tcBorders>
              <w:top w:val="nil"/>
              <w:left w:val="nil"/>
              <w:bottom w:val="single" w:sz="8" w:space="0" w:color="auto"/>
              <w:right w:val="single" w:sz="8" w:space="0" w:color="auto"/>
            </w:tcBorders>
            <w:shd w:val="clear" w:color="000000" w:fill="002060"/>
            <w:vAlign w:val="center"/>
            <w:hideMark/>
          </w:tcPr>
          <w:p w14:paraId="3C4A9B8C" w14:textId="77777777" w:rsidR="00D95481" w:rsidRPr="00D95481" w:rsidRDefault="00D95481" w:rsidP="00D95481">
            <w:pPr>
              <w:spacing w:after="0" w:line="240" w:lineRule="auto"/>
              <w:jc w:val="center"/>
              <w:rPr>
                <w:rFonts w:ascii="Book Antiqua" w:eastAsia="Times New Roman" w:hAnsi="Book Antiqua" w:cs="Calibri"/>
                <w:b/>
                <w:bCs/>
                <w:color w:val="FFFFFF"/>
                <w:sz w:val="18"/>
                <w:szCs w:val="18"/>
                <w:lang w:eastAsia="es-CR"/>
              </w:rPr>
            </w:pPr>
            <w:r w:rsidRPr="00D95481">
              <w:rPr>
                <w:rFonts w:ascii="Book Antiqua" w:eastAsia="Times New Roman" w:hAnsi="Book Antiqua" w:cs="Calibri"/>
                <w:b/>
                <w:bCs/>
                <w:color w:val="FFFFFF"/>
                <w:sz w:val="18"/>
                <w:szCs w:val="18"/>
                <w:lang w:eastAsia="es-CR"/>
              </w:rPr>
              <w:t>Personas Técnicas Judiciales</w:t>
            </w:r>
          </w:p>
        </w:tc>
      </w:tr>
      <w:tr w:rsidR="00D95481" w:rsidRPr="00D95481" w14:paraId="1FD9D247"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0DE36512"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Juzgado Pensiones Alimentarias Cartago</w:t>
            </w:r>
          </w:p>
        </w:tc>
        <w:tc>
          <w:tcPr>
            <w:tcW w:w="534" w:type="pct"/>
            <w:tcBorders>
              <w:top w:val="nil"/>
              <w:left w:val="nil"/>
              <w:bottom w:val="single" w:sz="8" w:space="0" w:color="auto"/>
              <w:right w:val="single" w:sz="8" w:space="0" w:color="auto"/>
            </w:tcBorders>
            <w:shd w:val="clear" w:color="auto" w:fill="auto"/>
            <w:noWrap/>
            <w:vAlign w:val="center"/>
            <w:hideMark/>
          </w:tcPr>
          <w:p w14:paraId="67A91E4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350</w:t>
            </w:r>
          </w:p>
        </w:tc>
        <w:tc>
          <w:tcPr>
            <w:tcW w:w="590" w:type="pct"/>
            <w:tcBorders>
              <w:top w:val="nil"/>
              <w:left w:val="nil"/>
              <w:bottom w:val="single" w:sz="8" w:space="0" w:color="auto"/>
              <w:right w:val="single" w:sz="8" w:space="0" w:color="auto"/>
            </w:tcBorders>
            <w:shd w:val="clear" w:color="auto" w:fill="auto"/>
            <w:noWrap/>
            <w:vAlign w:val="center"/>
            <w:hideMark/>
          </w:tcPr>
          <w:p w14:paraId="5DFB999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auto" w:fill="auto"/>
            <w:noWrap/>
            <w:vAlign w:val="center"/>
            <w:hideMark/>
          </w:tcPr>
          <w:p w14:paraId="183FB269"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12</w:t>
            </w:r>
          </w:p>
        </w:tc>
        <w:tc>
          <w:tcPr>
            <w:tcW w:w="590" w:type="pct"/>
            <w:tcBorders>
              <w:top w:val="nil"/>
              <w:left w:val="nil"/>
              <w:bottom w:val="single" w:sz="8" w:space="0" w:color="auto"/>
              <w:right w:val="single" w:sz="8" w:space="0" w:color="auto"/>
            </w:tcBorders>
            <w:shd w:val="clear" w:color="000000" w:fill="DBE5F1"/>
            <w:noWrap/>
            <w:vAlign w:val="center"/>
            <w:hideMark/>
          </w:tcPr>
          <w:p w14:paraId="5EAC325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000000" w:fill="DBE5F1"/>
            <w:noWrap/>
            <w:vAlign w:val="center"/>
            <w:hideMark/>
          </w:tcPr>
          <w:p w14:paraId="0F144FC2"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12</w:t>
            </w:r>
          </w:p>
        </w:tc>
        <w:tc>
          <w:tcPr>
            <w:tcW w:w="590" w:type="pct"/>
            <w:tcBorders>
              <w:top w:val="nil"/>
              <w:left w:val="nil"/>
              <w:bottom w:val="single" w:sz="8" w:space="0" w:color="auto"/>
              <w:right w:val="single" w:sz="8" w:space="0" w:color="auto"/>
            </w:tcBorders>
            <w:shd w:val="clear" w:color="000000" w:fill="FDE9D9"/>
            <w:noWrap/>
            <w:vAlign w:val="center"/>
            <w:hideMark/>
          </w:tcPr>
          <w:p w14:paraId="19448DA3"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75FA569E"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0</w:t>
            </w:r>
          </w:p>
        </w:tc>
      </w:tr>
      <w:tr w:rsidR="00D95481" w:rsidRPr="00D95481" w14:paraId="4F58B800"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0264B069"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Juzgado Pensiones Alimentarias Heredia</w:t>
            </w:r>
          </w:p>
        </w:tc>
        <w:tc>
          <w:tcPr>
            <w:tcW w:w="534" w:type="pct"/>
            <w:tcBorders>
              <w:top w:val="nil"/>
              <w:left w:val="nil"/>
              <w:bottom w:val="single" w:sz="8" w:space="0" w:color="auto"/>
              <w:right w:val="single" w:sz="8" w:space="0" w:color="auto"/>
            </w:tcBorders>
            <w:shd w:val="clear" w:color="auto" w:fill="auto"/>
            <w:noWrap/>
            <w:vAlign w:val="center"/>
            <w:hideMark/>
          </w:tcPr>
          <w:p w14:paraId="6BD04B9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319</w:t>
            </w:r>
          </w:p>
        </w:tc>
        <w:tc>
          <w:tcPr>
            <w:tcW w:w="590" w:type="pct"/>
            <w:tcBorders>
              <w:top w:val="nil"/>
              <w:left w:val="nil"/>
              <w:bottom w:val="single" w:sz="8" w:space="0" w:color="auto"/>
              <w:right w:val="single" w:sz="8" w:space="0" w:color="auto"/>
            </w:tcBorders>
            <w:shd w:val="clear" w:color="auto" w:fill="auto"/>
            <w:noWrap/>
            <w:vAlign w:val="center"/>
            <w:hideMark/>
          </w:tcPr>
          <w:p w14:paraId="30F1AAF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auto" w:fill="auto"/>
            <w:noWrap/>
            <w:vAlign w:val="center"/>
            <w:hideMark/>
          </w:tcPr>
          <w:p w14:paraId="4238A9E9"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13</w:t>
            </w:r>
          </w:p>
        </w:tc>
        <w:tc>
          <w:tcPr>
            <w:tcW w:w="590" w:type="pct"/>
            <w:tcBorders>
              <w:top w:val="nil"/>
              <w:left w:val="nil"/>
              <w:bottom w:val="single" w:sz="8" w:space="0" w:color="auto"/>
              <w:right w:val="single" w:sz="8" w:space="0" w:color="auto"/>
            </w:tcBorders>
            <w:shd w:val="clear" w:color="000000" w:fill="DBE5F1"/>
            <w:noWrap/>
            <w:vAlign w:val="center"/>
            <w:hideMark/>
          </w:tcPr>
          <w:p w14:paraId="12DB23DE"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000000" w:fill="DBE5F1"/>
            <w:noWrap/>
            <w:vAlign w:val="center"/>
            <w:hideMark/>
          </w:tcPr>
          <w:p w14:paraId="7BFBB56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11</w:t>
            </w:r>
          </w:p>
        </w:tc>
        <w:tc>
          <w:tcPr>
            <w:tcW w:w="590" w:type="pct"/>
            <w:tcBorders>
              <w:top w:val="nil"/>
              <w:left w:val="nil"/>
              <w:bottom w:val="single" w:sz="8" w:space="0" w:color="auto"/>
              <w:right w:val="single" w:sz="8" w:space="0" w:color="auto"/>
            </w:tcBorders>
            <w:shd w:val="clear" w:color="000000" w:fill="FDE9D9"/>
            <w:noWrap/>
            <w:vAlign w:val="center"/>
            <w:hideMark/>
          </w:tcPr>
          <w:p w14:paraId="026BA57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76B66BF6"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w:t>
            </w:r>
          </w:p>
        </w:tc>
      </w:tr>
      <w:tr w:rsidR="00D95481" w:rsidRPr="00D95481" w14:paraId="2140857F"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1997BDAE"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 Circ. Jud. Alajuela </w:t>
            </w:r>
          </w:p>
        </w:tc>
        <w:tc>
          <w:tcPr>
            <w:tcW w:w="534" w:type="pct"/>
            <w:tcBorders>
              <w:top w:val="nil"/>
              <w:left w:val="nil"/>
              <w:bottom w:val="single" w:sz="8" w:space="0" w:color="auto"/>
              <w:right w:val="single" w:sz="8" w:space="0" w:color="auto"/>
            </w:tcBorders>
            <w:shd w:val="clear" w:color="auto" w:fill="auto"/>
            <w:noWrap/>
            <w:vAlign w:val="center"/>
            <w:hideMark/>
          </w:tcPr>
          <w:p w14:paraId="6D548257"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444</w:t>
            </w:r>
          </w:p>
        </w:tc>
        <w:tc>
          <w:tcPr>
            <w:tcW w:w="590" w:type="pct"/>
            <w:tcBorders>
              <w:top w:val="nil"/>
              <w:left w:val="nil"/>
              <w:bottom w:val="single" w:sz="8" w:space="0" w:color="auto"/>
              <w:right w:val="single" w:sz="8" w:space="0" w:color="auto"/>
            </w:tcBorders>
            <w:shd w:val="clear" w:color="auto" w:fill="auto"/>
            <w:noWrap/>
            <w:vAlign w:val="center"/>
            <w:hideMark/>
          </w:tcPr>
          <w:p w14:paraId="5E19446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6</w:t>
            </w:r>
          </w:p>
        </w:tc>
        <w:tc>
          <w:tcPr>
            <w:tcW w:w="539" w:type="pct"/>
            <w:tcBorders>
              <w:top w:val="nil"/>
              <w:left w:val="nil"/>
              <w:bottom w:val="single" w:sz="8" w:space="0" w:color="auto"/>
              <w:right w:val="single" w:sz="8" w:space="0" w:color="auto"/>
            </w:tcBorders>
            <w:shd w:val="clear" w:color="auto" w:fill="auto"/>
            <w:noWrap/>
            <w:vAlign w:val="center"/>
            <w:hideMark/>
          </w:tcPr>
          <w:p w14:paraId="0A622CE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14</w:t>
            </w:r>
          </w:p>
        </w:tc>
        <w:tc>
          <w:tcPr>
            <w:tcW w:w="590" w:type="pct"/>
            <w:tcBorders>
              <w:top w:val="nil"/>
              <w:left w:val="nil"/>
              <w:bottom w:val="single" w:sz="8" w:space="0" w:color="auto"/>
              <w:right w:val="single" w:sz="8" w:space="0" w:color="auto"/>
            </w:tcBorders>
            <w:shd w:val="clear" w:color="000000" w:fill="DBE5F1"/>
            <w:noWrap/>
            <w:vAlign w:val="center"/>
            <w:hideMark/>
          </w:tcPr>
          <w:p w14:paraId="7361CC6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6</w:t>
            </w:r>
          </w:p>
        </w:tc>
        <w:tc>
          <w:tcPr>
            <w:tcW w:w="539" w:type="pct"/>
            <w:tcBorders>
              <w:top w:val="nil"/>
              <w:left w:val="nil"/>
              <w:bottom w:val="single" w:sz="8" w:space="0" w:color="auto"/>
              <w:right w:val="single" w:sz="8" w:space="0" w:color="auto"/>
            </w:tcBorders>
            <w:shd w:val="clear" w:color="000000" w:fill="DBE5F1"/>
            <w:noWrap/>
            <w:vAlign w:val="center"/>
            <w:hideMark/>
          </w:tcPr>
          <w:p w14:paraId="09EB3229"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15</w:t>
            </w:r>
          </w:p>
        </w:tc>
        <w:tc>
          <w:tcPr>
            <w:tcW w:w="590" w:type="pct"/>
            <w:tcBorders>
              <w:top w:val="nil"/>
              <w:left w:val="nil"/>
              <w:bottom w:val="single" w:sz="8" w:space="0" w:color="auto"/>
              <w:right w:val="single" w:sz="8" w:space="0" w:color="auto"/>
            </w:tcBorders>
            <w:shd w:val="clear" w:color="000000" w:fill="FDE9D9"/>
            <w:noWrap/>
            <w:vAlign w:val="center"/>
            <w:hideMark/>
          </w:tcPr>
          <w:p w14:paraId="1EEFFEE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78138E21" w14:textId="6E1741C4" w:rsidR="00D95481" w:rsidRPr="00D95481" w:rsidRDefault="00D95481" w:rsidP="00D95481">
            <w:pPr>
              <w:spacing w:after="0" w:line="240" w:lineRule="auto"/>
              <w:jc w:val="center"/>
              <w:rPr>
                <w:rFonts w:ascii="Book Antiqua" w:eastAsia="Times New Roman" w:hAnsi="Book Antiqua" w:cs="Calibri"/>
                <w:color w:val="000000"/>
                <w:lang w:eastAsia="es-CR"/>
              </w:rPr>
            </w:pPr>
            <w:r w:rsidRPr="008D166F">
              <w:rPr>
                <w:rFonts w:cs="Calibri"/>
              </w:rPr>
              <w:t>+</w:t>
            </w:r>
            <w:r w:rsidRPr="008D166F">
              <w:rPr>
                <w:rFonts w:ascii="Book Antiqua" w:eastAsia="Times New Roman" w:hAnsi="Book Antiqua" w:cs="Calibri"/>
                <w:color w:val="000000"/>
                <w:lang w:eastAsia="es-CR"/>
              </w:rPr>
              <w:t>1</w:t>
            </w:r>
          </w:p>
        </w:tc>
      </w:tr>
      <w:tr w:rsidR="00D95481" w:rsidRPr="00D95481" w14:paraId="30CD1149"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434E1634"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 Circ. Jud. San José </w:t>
            </w:r>
          </w:p>
        </w:tc>
        <w:tc>
          <w:tcPr>
            <w:tcW w:w="534" w:type="pct"/>
            <w:tcBorders>
              <w:top w:val="nil"/>
              <w:left w:val="nil"/>
              <w:bottom w:val="single" w:sz="8" w:space="0" w:color="auto"/>
              <w:right w:val="single" w:sz="8" w:space="0" w:color="auto"/>
            </w:tcBorders>
            <w:shd w:val="clear" w:color="auto" w:fill="auto"/>
            <w:noWrap/>
            <w:vAlign w:val="center"/>
            <w:hideMark/>
          </w:tcPr>
          <w:p w14:paraId="25B6A42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297</w:t>
            </w:r>
          </w:p>
        </w:tc>
        <w:tc>
          <w:tcPr>
            <w:tcW w:w="590" w:type="pct"/>
            <w:tcBorders>
              <w:top w:val="nil"/>
              <w:left w:val="nil"/>
              <w:bottom w:val="single" w:sz="8" w:space="0" w:color="auto"/>
              <w:right w:val="single" w:sz="8" w:space="0" w:color="auto"/>
            </w:tcBorders>
            <w:shd w:val="clear" w:color="auto" w:fill="auto"/>
            <w:noWrap/>
            <w:vAlign w:val="center"/>
            <w:hideMark/>
          </w:tcPr>
          <w:p w14:paraId="6AC44F2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w:t>
            </w:r>
          </w:p>
        </w:tc>
        <w:tc>
          <w:tcPr>
            <w:tcW w:w="539" w:type="pct"/>
            <w:tcBorders>
              <w:top w:val="nil"/>
              <w:left w:val="nil"/>
              <w:bottom w:val="single" w:sz="8" w:space="0" w:color="auto"/>
              <w:right w:val="single" w:sz="8" w:space="0" w:color="auto"/>
            </w:tcBorders>
            <w:shd w:val="clear" w:color="auto" w:fill="auto"/>
            <w:noWrap/>
            <w:vAlign w:val="center"/>
            <w:hideMark/>
          </w:tcPr>
          <w:p w14:paraId="081D3CA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11</w:t>
            </w:r>
          </w:p>
        </w:tc>
        <w:tc>
          <w:tcPr>
            <w:tcW w:w="590" w:type="pct"/>
            <w:tcBorders>
              <w:top w:val="nil"/>
              <w:left w:val="nil"/>
              <w:bottom w:val="single" w:sz="8" w:space="0" w:color="auto"/>
              <w:right w:val="single" w:sz="8" w:space="0" w:color="auto"/>
            </w:tcBorders>
            <w:shd w:val="clear" w:color="000000" w:fill="DBE5F1"/>
            <w:noWrap/>
            <w:vAlign w:val="center"/>
            <w:hideMark/>
          </w:tcPr>
          <w:p w14:paraId="64AB751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w:t>
            </w:r>
          </w:p>
        </w:tc>
        <w:tc>
          <w:tcPr>
            <w:tcW w:w="539" w:type="pct"/>
            <w:tcBorders>
              <w:top w:val="nil"/>
              <w:left w:val="nil"/>
              <w:bottom w:val="single" w:sz="8" w:space="0" w:color="auto"/>
              <w:right w:val="single" w:sz="8" w:space="0" w:color="auto"/>
            </w:tcBorders>
            <w:shd w:val="clear" w:color="000000" w:fill="DBE5F1"/>
            <w:noWrap/>
            <w:vAlign w:val="center"/>
            <w:hideMark/>
          </w:tcPr>
          <w:p w14:paraId="20B86261"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10</w:t>
            </w:r>
          </w:p>
        </w:tc>
        <w:tc>
          <w:tcPr>
            <w:tcW w:w="590" w:type="pct"/>
            <w:tcBorders>
              <w:top w:val="nil"/>
              <w:left w:val="nil"/>
              <w:bottom w:val="single" w:sz="8" w:space="0" w:color="auto"/>
              <w:right w:val="single" w:sz="8" w:space="0" w:color="auto"/>
            </w:tcBorders>
            <w:shd w:val="clear" w:color="000000" w:fill="FDE9D9"/>
            <w:noWrap/>
            <w:vAlign w:val="center"/>
            <w:hideMark/>
          </w:tcPr>
          <w:p w14:paraId="5CA2E759"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70921F7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-1</w:t>
            </w:r>
          </w:p>
        </w:tc>
      </w:tr>
      <w:tr w:rsidR="00D95481" w:rsidRPr="00D95481" w14:paraId="7DD3BECF"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461CF243"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 Circ. Jud. Zona Atlántica (Limón) </w:t>
            </w:r>
          </w:p>
        </w:tc>
        <w:tc>
          <w:tcPr>
            <w:tcW w:w="534" w:type="pct"/>
            <w:tcBorders>
              <w:top w:val="nil"/>
              <w:left w:val="nil"/>
              <w:bottom w:val="single" w:sz="8" w:space="0" w:color="auto"/>
              <w:right w:val="single" w:sz="8" w:space="0" w:color="auto"/>
            </w:tcBorders>
            <w:shd w:val="clear" w:color="auto" w:fill="auto"/>
            <w:noWrap/>
            <w:vAlign w:val="center"/>
            <w:hideMark/>
          </w:tcPr>
          <w:p w14:paraId="5F86DEE3"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216</w:t>
            </w:r>
          </w:p>
        </w:tc>
        <w:tc>
          <w:tcPr>
            <w:tcW w:w="590" w:type="pct"/>
            <w:tcBorders>
              <w:top w:val="nil"/>
              <w:left w:val="nil"/>
              <w:bottom w:val="single" w:sz="8" w:space="0" w:color="auto"/>
              <w:right w:val="single" w:sz="8" w:space="0" w:color="auto"/>
            </w:tcBorders>
            <w:shd w:val="clear" w:color="auto" w:fill="auto"/>
            <w:noWrap/>
            <w:vAlign w:val="center"/>
            <w:hideMark/>
          </w:tcPr>
          <w:p w14:paraId="54218F8B"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auto" w:fill="auto"/>
            <w:noWrap/>
            <w:vAlign w:val="center"/>
            <w:hideMark/>
          </w:tcPr>
          <w:p w14:paraId="268CA29C"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9</w:t>
            </w:r>
          </w:p>
        </w:tc>
        <w:tc>
          <w:tcPr>
            <w:tcW w:w="590" w:type="pct"/>
            <w:tcBorders>
              <w:top w:val="nil"/>
              <w:left w:val="nil"/>
              <w:bottom w:val="single" w:sz="8" w:space="0" w:color="auto"/>
              <w:right w:val="single" w:sz="8" w:space="0" w:color="auto"/>
            </w:tcBorders>
            <w:shd w:val="clear" w:color="000000" w:fill="DBE5F1"/>
            <w:noWrap/>
            <w:vAlign w:val="center"/>
            <w:hideMark/>
          </w:tcPr>
          <w:p w14:paraId="7C470FB6"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000000" w:fill="DBE5F1"/>
            <w:noWrap/>
            <w:vAlign w:val="center"/>
            <w:hideMark/>
          </w:tcPr>
          <w:p w14:paraId="4D32BF8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7</w:t>
            </w:r>
          </w:p>
        </w:tc>
        <w:tc>
          <w:tcPr>
            <w:tcW w:w="590" w:type="pct"/>
            <w:tcBorders>
              <w:top w:val="nil"/>
              <w:left w:val="nil"/>
              <w:bottom w:val="single" w:sz="8" w:space="0" w:color="auto"/>
              <w:right w:val="single" w:sz="8" w:space="0" w:color="auto"/>
            </w:tcBorders>
            <w:shd w:val="clear" w:color="000000" w:fill="FDE9D9"/>
            <w:noWrap/>
            <w:vAlign w:val="center"/>
            <w:hideMark/>
          </w:tcPr>
          <w:p w14:paraId="2EEAE5E1"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0481ACE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-2</w:t>
            </w:r>
          </w:p>
        </w:tc>
      </w:tr>
      <w:tr w:rsidR="00D95481" w:rsidRPr="00D95481" w14:paraId="74771AC3"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3F4C0CAD"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 Circ. Jud. Zona Sur </w:t>
            </w:r>
          </w:p>
        </w:tc>
        <w:tc>
          <w:tcPr>
            <w:tcW w:w="534" w:type="pct"/>
            <w:tcBorders>
              <w:top w:val="nil"/>
              <w:left w:val="nil"/>
              <w:bottom w:val="single" w:sz="8" w:space="0" w:color="auto"/>
              <w:right w:val="single" w:sz="8" w:space="0" w:color="auto"/>
            </w:tcBorders>
            <w:shd w:val="clear" w:color="auto" w:fill="auto"/>
            <w:noWrap/>
            <w:vAlign w:val="center"/>
            <w:hideMark/>
          </w:tcPr>
          <w:p w14:paraId="638F1DE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181</w:t>
            </w:r>
          </w:p>
        </w:tc>
        <w:tc>
          <w:tcPr>
            <w:tcW w:w="590" w:type="pct"/>
            <w:tcBorders>
              <w:top w:val="nil"/>
              <w:left w:val="nil"/>
              <w:bottom w:val="single" w:sz="8" w:space="0" w:color="auto"/>
              <w:right w:val="single" w:sz="8" w:space="0" w:color="auto"/>
            </w:tcBorders>
            <w:shd w:val="clear" w:color="auto" w:fill="auto"/>
            <w:noWrap/>
            <w:vAlign w:val="center"/>
            <w:hideMark/>
          </w:tcPr>
          <w:p w14:paraId="047A93E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auto" w:fill="auto"/>
            <w:noWrap/>
            <w:vAlign w:val="center"/>
            <w:hideMark/>
          </w:tcPr>
          <w:p w14:paraId="6D88400E"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8</w:t>
            </w:r>
          </w:p>
        </w:tc>
        <w:tc>
          <w:tcPr>
            <w:tcW w:w="590" w:type="pct"/>
            <w:tcBorders>
              <w:top w:val="nil"/>
              <w:left w:val="nil"/>
              <w:bottom w:val="single" w:sz="8" w:space="0" w:color="auto"/>
              <w:right w:val="single" w:sz="8" w:space="0" w:color="auto"/>
            </w:tcBorders>
            <w:shd w:val="clear" w:color="000000" w:fill="DBE5F1"/>
            <w:noWrap/>
            <w:vAlign w:val="center"/>
            <w:hideMark/>
          </w:tcPr>
          <w:p w14:paraId="1F0E5C1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w:t>
            </w:r>
          </w:p>
        </w:tc>
        <w:tc>
          <w:tcPr>
            <w:tcW w:w="539" w:type="pct"/>
            <w:tcBorders>
              <w:top w:val="nil"/>
              <w:left w:val="nil"/>
              <w:bottom w:val="single" w:sz="8" w:space="0" w:color="auto"/>
              <w:right w:val="single" w:sz="8" w:space="0" w:color="auto"/>
            </w:tcBorders>
            <w:shd w:val="clear" w:color="000000" w:fill="DBE5F1"/>
            <w:noWrap/>
            <w:vAlign w:val="center"/>
            <w:hideMark/>
          </w:tcPr>
          <w:p w14:paraId="04EE98C6"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6</w:t>
            </w:r>
          </w:p>
        </w:tc>
        <w:tc>
          <w:tcPr>
            <w:tcW w:w="590" w:type="pct"/>
            <w:tcBorders>
              <w:top w:val="nil"/>
              <w:left w:val="nil"/>
              <w:bottom w:val="single" w:sz="8" w:space="0" w:color="auto"/>
              <w:right w:val="single" w:sz="8" w:space="0" w:color="auto"/>
            </w:tcBorders>
            <w:shd w:val="clear" w:color="000000" w:fill="FDE9D9"/>
            <w:noWrap/>
            <w:vAlign w:val="center"/>
            <w:hideMark/>
          </w:tcPr>
          <w:p w14:paraId="506797EE"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-1</w:t>
            </w:r>
          </w:p>
        </w:tc>
        <w:tc>
          <w:tcPr>
            <w:tcW w:w="539" w:type="pct"/>
            <w:tcBorders>
              <w:top w:val="nil"/>
              <w:left w:val="nil"/>
              <w:bottom w:val="single" w:sz="8" w:space="0" w:color="auto"/>
              <w:right w:val="single" w:sz="8" w:space="0" w:color="auto"/>
            </w:tcBorders>
            <w:shd w:val="clear" w:color="000000" w:fill="FDE9D9"/>
            <w:noWrap/>
            <w:vAlign w:val="center"/>
            <w:hideMark/>
          </w:tcPr>
          <w:p w14:paraId="313C618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-2</w:t>
            </w:r>
          </w:p>
        </w:tc>
      </w:tr>
      <w:tr w:rsidR="00D95481" w:rsidRPr="00D95481" w14:paraId="538AD9CF"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184AA20E"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II Circ. Jud. San José </w:t>
            </w:r>
          </w:p>
        </w:tc>
        <w:tc>
          <w:tcPr>
            <w:tcW w:w="534" w:type="pct"/>
            <w:tcBorders>
              <w:top w:val="nil"/>
              <w:left w:val="nil"/>
              <w:bottom w:val="single" w:sz="8" w:space="0" w:color="auto"/>
              <w:right w:val="single" w:sz="8" w:space="0" w:color="auto"/>
            </w:tcBorders>
            <w:shd w:val="clear" w:color="auto" w:fill="auto"/>
            <w:noWrap/>
            <w:vAlign w:val="center"/>
            <w:hideMark/>
          </w:tcPr>
          <w:p w14:paraId="0237A64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676</w:t>
            </w:r>
          </w:p>
        </w:tc>
        <w:tc>
          <w:tcPr>
            <w:tcW w:w="590" w:type="pct"/>
            <w:tcBorders>
              <w:top w:val="nil"/>
              <w:left w:val="nil"/>
              <w:bottom w:val="single" w:sz="8" w:space="0" w:color="auto"/>
              <w:right w:val="single" w:sz="8" w:space="0" w:color="auto"/>
            </w:tcBorders>
            <w:shd w:val="clear" w:color="auto" w:fill="auto"/>
            <w:noWrap/>
            <w:vAlign w:val="center"/>
            <w:hideMark/>
          </w:tcPr>
          <w:p w14:paraId="2BF23481"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12</w:t>
            </w:r>
          </w:p>
        </w:tc>
        <w:tc>
          <w:tcPr>
            <w:tcW w:w="539" w:type="pct"/>
            <w:tcBorders>
              <w:top w:val="nil"/>
              <w:left w:val="nil"/>
              <w:bottom w:val="single" w:sz="8" w:space="0" w:color="auto"/>
              <w:right w:val="single" w:sz="8" w:space="0" w:color="auto"/>
            </w:tcBorders>
            <w:shd w:val="clear" w:color="auto" w:fill="auto"/>
            <w:noWrap/>
            <w:vAlign w:val="center"/>
            <w:hideMark/>
          </w:tcPr>
          <w:p w14:paraId="05D4FC61"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26</w:t>
            </w:r>
          </w:p>
        </w:tc>
        <w:tc>
          <w:tcPr>
            <w:tcW w:w="590" w:type="pct"/>
            <w:tcBorders>
              <w:top w:val="nil"/>
              <w:left w:val="nil"/>
              <w:bottom w:val="single" w:sz="8" w:space="0" w:color="auto"/>
              <w:right w:val="single" w:sz="8" w:space="0" w:color="auto"/>
            </w:tcBorders>
            <w:shd w:val="clear" w:color="000000" w:fill="DBE5F1"/>
            <w:noWrap/>
            <w:vAlign w:val="center"/>
            <w:hideMark/>
          </w:tcPr>
          <w:p w14:paraId="56E2D29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9</w:t>
            </w:r>
          </w:p>
        </w:tc>
        <w:tc>
          <w:tcPr>
            <w:tcW w:w="539" w:type="pct"/>
            <w:tcBorders>
              <w:top w:val="nil"/>
              <w:left w:val="nil"/>
              <w:bottom w:val="single" w:sz="8" w:space="0" w:color="auto"/>
              <w:right w:val="single" w:sz="8" w:space="0" w:color="auto"/>
            </w:tcBorders>
            <w:shd w:val="clear" w:color="000000" w:fill="DBE5F1"/>
            <w:noWrap/>
            <w:vAlign w:val="center"/>
            <w:hideMark/>
          </w:tcPr>
          <w:p w14:paraId="56B6551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23</w:t>
            </w:r>
          </w:p>
        </w:tc>
        <w:tc>
          <w:tcPr>
            <w:tcW w:w="590" w:type="pct"/>
            <w:tcBorders>
              <w:top w:val="nil"/>
              <w:left w:val="nil"/>
              <w:bottom w:val="single" w:sz="8" w:space="0" w:color="auto"/>
              <w:right w:val="single" w:sz="8" w:space="0" w:color="auto"/>
            </w:tcBorders>
            <w:shd w:val="clear" w:color="000000" w:fill="FDE9D9"/>
            <w:noWrap/>
            <w:vAlign w:val="center"/>
            <w:hideMark/>
          </w:tcPr>
          <w:p w14:paraId="2BEAD92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-3</w:t>
            </w:r>
          </w:p>
        </w:tc>
        <w:tc>
          <w:tcPr>
            <w:tcW w:w="539" w:type="pct"/>
            <w:tcBorders>
              <w:top w:val="nil"/>
              <w:left w:val="nil"/>
              <w:bottom w:val="single" w:sz="8" w:space="0" w:color="auto"/>
              <w:right w:val="single" w:sz="8" w:space="0" w:color="auto"/>
            </w:tcBorders>
            <w:shd w:val="clear" w:color="000000" w:fill="FDE9D9"/>
            <w:noWrap/>
            <w:vAlign w:val="center"/>
            <w:hideMark/>
          </w:tcPr>
          <w:p w14:paraId="6B9879F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-3</w:t>
            </w:r>
          </w:p>
        </w:tc>
      </w:tr>
      <w:tr w:rsidR="00D95481" w:rsidRPr="00D95481" w14:paraId="5070344E"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10D2AA27"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lastRenderedPageBreak/>
              <w:t xml:space="preserve">Juzgado Pensiones Alimentarias II Circ. Jud. Zona Atlántica </w:t>
            </w:r>
          </w:p>
        </w:tc>
        <w:tc>
          <w:tcPr>
            <w:tcW w:w="534" w:type="pct"/>
            <w:tcBorders>
              <w:top w:val="nil"/>
              <w:left w:val="nil"/>
              <w:bottom w:val="single" w:sz="8" w:space="0" w:color="auto"/>
              <w:right w:val="single" w:sz="8" w:space="0" w:color="auto"/>
            </w:tcBorders>
            <w:shd w:val="clear" w:color="auto" w:fill="auto"/>
            <w:noWrap/>
            <w:vAlign w:val="center"/>
            <w:hideMark/>
          </w:tcPr>
          <w:p w14:paraId="7CD6465F"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328</w:t>
            </w:r>
          </w:p>
        </w:tc>
        <w:tc>
          <w:tcPr>
            <w:tcW w:w="590" w:type="pct"/>
            <w:tcBorders>
              <w:top w:val="nil"/>
              <w:left w:val="nil"/>
              <w:bottom w:val="single" w:sz="8" w:space="0" w:color="auto"/>
              <w:right w:val="single" w:sz="8" w:space="0" w:color="auto"/>
            </w:tcBorders>
            <w:shd w:val="clear" w:color="auto" w:fill="auto"/>
            <w:noWrap/>
            <w:vAlign w:val="center"/>
            <w:hideMark/>
          </w:tcPr>
          <w:p w14:paraId="4356B128"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auto" w:fill="auto"/>
            <w:noWrap/>
            <w:vAlign w:val="center"/>
            <w:hideMark/>
          </w:tcPr>
          <w:p w14:paraId="6FD7351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8</w:t>
            </w:r>
          </w:p>
        </w:tc>
        <w:tc>
          <w:tcPr>
            <w:tcW w:w="590" w:type="pct"/>
            <w:tcBorders>
              <w:top w:val="nil"/>
              <w:left w:val="nil"/>
              <w:bottom w:val="single" w:sz="8" w:space="0" w:color="auto"/>
              <w:right w:val="single" w:sz="8" w:space="0" w:color="auto"/>
            </w:tcBorders>
            <w:shd w:val="clear" w:color="000000" w:fill="DBE5F1"/>
            <w:noWrap/>
            <w:vAlign w:val="center"/>
            <w:hideMark/>
          </w:tcPr>
          <w:p w14:paraId="2E1D2407"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w:t>
            </w:r>
          </w:p>
        </w:tc>
        <w:tc>
          <w:tcPr>
            <w:tcW w:w="539" w:type="pct"/>
            <w:tcBorders>
              <w:top w:val="nil"/>
              <w:left w:val="nil"/>
              <w:bottom w:val="single" w:sz="8" w:space="0" w:color="auto"/>
              <w:right w:val="single" w:sz="8" w:space="0" w:color="auto"/>
            </w:tcBorders>
            <w:shd w:val="clear" w:color="000000" w:fill="DBE5F1"/>
            <w:noWrap/>
            <w:vAlign w:val="center"/>
            <w:hideMark/>
          </w:tcPr>
          <w:p w14:paraId="2EFBE481"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11</w:t>
            </w:r>
          </w:p>
        </w:tc>
        <w:tc>
          <w:tcPr>
            <w:tcW w:w="590" w:type="pct"/>
            <w:tcBorders>
              <w:top w:val="nil"/>
              <w:left w:val="nil"/>
              <w:bottom w:val="single" w:sz="8" w:space="0" w:color="auto"/>
              <w:right w:val="single" w:sz="8" w:space="0" w:color="auto"/>
            </w:tcBorders>
            <w:shd w:val="clear" w:color="000000" w:fill="FDE9D9"/>
            <w:noWrap/>
            <w:vAlign w:val="center"/>
            <w:hideMark/>
          </w:tcPr>
          <w:p w14:paraId="1079F90A" w14:textId="6593C497" w:rsidR="00D95481" w:rsidRPr="00D95481" w:rsidRDefault="00D95481" w:rsidP="00D95481">
            <w:pPr>
              <w:spacing w:after="0" w:line="240" w:lineRule="auto"/>
              <w:jc w:val="center"/>
              <w:rPr>
                <w:rFonts w:ascii="Book Antiqua" w:eastAsia="Times New Roman" w:hAnsi="Book Antiqua" w:cs="Calibri"/>
                <w:color w:val="000000"/>
                <w:lang w:eastAsia="es-CR"/>
              </w:rPr>
            </w:pPr>
            <w:r w:rsidRPr="00982DA9">
              <w:rPr>
                <w:rFonts w:cs="Calibri"/>
              </w:rPr>
              <w:t>+</w:t>
            </w:r>
            <w:r w:rsidRPr="00D95481">
              <w:rPr>
                <w:rFonts w:ascii="Book Antiqua" w:eastAsia="Times New Roman" w:hAnsi="Book Antiqua" w:cs="Calibri"/>
                <w:lang w:eastAsia="es-CR"/>
              </w:rPr>
              <w:t>1</w:t>
            </w:r>
          </w:p>
        </w:tc>
        <w:tc>
          <w:tcPr>
            <w:tcW w:w="539" w:type="pct"/>
            <w:tcBorders>
              <w:top w:val="nil"/>
              <w:left w:val="nil"/>
              <w:bottom w:val="single" w:sz="8" w:space="0" w:color="auto"/>
              <w:right w:val="single" w:sz="8" w:space="0" w:color="auto"/>
            </w:tcBorders>
            <w:shd w:val="clear" w:color="000000" w:fill="FDE9D9"/>
            <w:noWrap/>
            <w:vAlign w:val="center"/>
            <w:hideMark/>
          </w:tcPr>
          <w:p w14:paraId="3253B5BF" w14:textId="3E918B5D" w:rsidR="00D95481" w:rsidRPr="00D95481" w:rsidRDefault="00D95481" w:rsidP="00D95481">
            <w:pPr>
              <w:spacing w:after="0" w:line="240" w:lineRule="auto"/>
              <w:jc w:val="center"/>
              <w:rPr>
                <w:rFonts w:ascii="Book Antiqua" w:eastAsia="Times New Roman" w:hAnsi="Book Antiqua" w:cs="Calibri"/>
                <w:color w:val="000000"/>
                <w:lang w:eastAsia="es-CR"/>
              </w:rPr>
            </w:pPr>
            <w:r w:rsidRPr="001314D6">
              <w:rPr>
                <w:rFonts w:cs="Calibri"/>
              </w:rPr>
              <w:t>+</w:t>
            </w:r>
            <w:r w:rsidRPr="001314D6">
              <w:rPr>
                <w:rFonts w:ascii="Book Antiqua" w:eastAsia="Times New Roman" w:hAnsi="Book Antiqua" w:cs="Calibri"/>
                <w:lang w:eastAsia="es-CR"/>
              </w:rPr>
              <w:t>3</w:t>
            </w:r>
          </w:p>
        </w:tc>
      </w:tr>
      <w:tr w:rsidR="00D95481" w:rsidRPr="00D95481" w14:paraId="12D099C0"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7B937EF5"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 xml:space="preserve">Juzgado Pensiones Alimentarias III Circ. Jud. San José </w:t>
            </w:r>
          </w:p>
        </w:tc>
        <w:tc>
          <w:tcPr>
            <w:tcW w:w="534" w:type="pct"/>
            <w:tcBorders>
              <w:top w:val="nil"/>
              <w:left w:val="nil"/>
              <w:bottom w:val="single" w:sz="8" w:space="0" w:color="auto"/>
              <w:right w:val="single" w:sz="8" w:space="0" w:color="auto"/>
            </w:tcBorders>
            <w:shd w:val="clear" w:color="auto" w:fill="auto"/>
            <w:noWrap/>
            <w:vAlign w:val="center"/>
            <w:hideMark/>
          </w:tcPr>
          <w:p w14:paraId="647A690C"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423</w:t>
            </w:r>
          </w:p>
        </w:tc>
        <w:tc>
          <w:tcPr>
            <w:tcW w:w="590" w:type="pct"/>
            <w:tcBorders>
              <w:top w:val="nil"/>
              <w:left w:val="nil"/>
              <w:bottom w:val="single" w:sz="8" w:space="0" w:color="auto"/>
              <w:right w:val="single" w:sz="8" w:space="0" w:color="auto"/>
            </w:tcBorders>
            <w:shd w:val="clear" w:color="auto" w:fill="auto"/>
            <w:noWrap/>
            <w:vAlign w:val="center"/>
            <w:hideMark/>
          </w:tcPr>
          <w:p w14:paraId="471CEED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auto" w:fill="auto"/>
            <w:noWrap/>
            <w:vAlign w:val="center"/>
            <w:hideMark/>
          </w:tcPr>
          <w:p w14:paraId="3C0477A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17</w:t>
            </w:r>
          </w:p>
        </w:tc>
        <w:tc>
          <w:tcPr>
            <w:tcW w:w="590" w:type="pct"/>
            <w:tcBorders>
              <w:top w:val="nil"/>
              <w:left w:val="nil"/>
              <w:bottom w:val="single" w:sz="8" w:space="0" w:color="auto"/>
              <w:right w:val="single" w:sz="8" w:space="0" w:color="auto"/>
            </w:tcBorders>
            <w:shd w:val="clear" w:color="000000" w:fill="DBE5F1"/>
            <w:noWrap/>
            <w:vAlign w:val="center"/>
            <w:hideMark/>
          </w:tcPr>
          <w:p w14:paraId="126EA2E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5</w:t>
            </w:r>
          </w:p>
        </w:tc>
        <w:tc>
          <w:tcPr>
            <w:tcW w:w="539" w:type="pct"/>
            <w:tcBorders>
              <w:top w:val="nil"/>
              <w:left w:val="nil"/>
              <w:bottom w:val="single" w:sz="8" w:space="0" w:color="auto"/>
              <w:right w:val="single" w:sz="8" w:space="0" w:color="auto"/>
            </w:tcBorders>
            <w:shd w:val="clear" w:color="000000" w:fill="DBE5F1"/>
            <w:noWrap/>
            <w:vAlign w:val="center"/>
            <w:hideMark/>
          </w:tcPr>
          <w:p w14:paraId="396B2C1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14</w:t>
            </w:r>
          </w:p>
        </w:tc>
        <w:tc>
          <w:tcPr>
            <w:tcW w:w="590" w:type="pct"/>
            <w:tcBorders>
              <w:top w:val="nil"/>
              <w:left w:val="nil"/>
              <w:bottom w:val="single" w:sz="8" w:space="0" w:color="auto"/>
              <w:right w:val="single" w:sz="8" w:space="0" w:color="auto"/>
            </w:tcBorders>
            <w:shd w:val="clear" w:color="000000" w:fill="FDE9D9"/>
            <w:noWrap/>
            <w:vAlign w:val="center"/>
            <w:hideMark/>
          </w:tcPr>
          <w:p w14:paraId="5F882BF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060BEEB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-3</w:t>
            </w:r>
          </w:p>
        </w:tc>
      </w:tr>
      <w:tr w:rsidR="00D95481" w:rsidRPr="00D95481" w14:paraId="49C27D13"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67A71CFC"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Juzgado Pensiones Alimentarias Puntarenas</w:t>
            </w:r>
          </w:p>
        </w:tc>
        <w:tc>
          <w:tcPr>
            <w:tcW w:w="534" w:type="pct"/>
            <w:tcBorders>
              <w:top w:val="nil"/>
              <w:left w:val="nil"/>
              <w:bottom w:val="single" w:sz="8" w:space="0" w:color="auto"/>
              <w:right w:val="single" w:sz="8" w:space="0" w:color="auto"/>
            </w:tcBorders>
            <w:shd w:val="clear" w:color="auto" w:fill="auto"/>
            <w:noWrap/>
            <w:vAlign w:val="center"/>
            <w:hideMark/>
          </w:tcPr>
          <w:p w14:paraId="110FDF4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242</w:t>
            </w:r>
          </w:p>
        </w:tc>
        <w:tc>
          <w:tcPr>
            <w:tcW w:w="590" w:type="pct"/>
            <w:tcBorders>
              <w:top w:val="nil"/>
              <w:left w:val="nil"/>
              <w:bottom w:val="single" w:sz="8" w:space="0" w:color="auto"/>
              <w:right w:val="single" w:sz="8" w:space="0" w:color="auto"/>
            </w:tcBorders>
            <w:shd w:val="clear" w:color="auto" w:fill="auto"/>
            <w:noWrap/>
            <w:vAlign w:val="center"/>
            <w:hideMark/>
          </w:tcPr>
          <w:p w14:paraId="28F506E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auto" w:fill="auto"/>
            <w:noWrap/>
            <w:vAlign w:val="center"/>
            <w:hideMark/>
          </w:tcPr>
          <w:p w14:paraId="5B158AA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8</w:t>
            </w:r>
          </w:p>
        </w:tc>
        <w:tc>
          <w:tcPr>
            <w:tcW w:w="590" w:type="pct"/>
            <w:tcBorders>
              <w:top w:val="nil"/>
              <w:left w:val="nil"/>
              <w:bottom w:val="single" w:sz="8" w:space="0" w:color="auto"/>
              <w:right w:val="single" w:sz="8" w:space="0" w:color="auto"/>
            </w:tcBorders>
            <w:shd w:val="clear" w:color="000000" w:fill="DBE5F1"/>
            <w:noWrap/>
            <w:vAlign w:val="center"/>
            <w:hideMark/>
          </w:tcPr>
          <w:p w14:paraId="6475FDBD"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39" w:type="pct"/>
            <w:tcBorders>
              <w:top w:val="nil"/>
              <w:left w:val="nil"/>
              <w:bottom w:val="single" w:sz="8" w:space="0" w:color="auto"/>
              <w:right w:val="single" w:sz="8" w:space="0" w:color="auto"/>
            </w:tcBorders>
            <w:shd w:val="clear" w:color="000000" w:fill="DBE5F1"/>
            <w:noWrap/>
            <w:vAlign w:val="center"/>
            <w:hideMark/>
          </w:tcPr>
          <w:p w14:paraId="1D94354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8</w:t>
            </w:r>
          </w:p>
        </w:tc>
        <w:tc>
          <w:tcPr>
            <w:tcW w:w="590" w:type="pct"/>
            <w:tcBorders>
              <w:top w:val="nil"/>
              <w:left w:val="nil"/>
              <w:bottom w:val="single" w:sz="8" w:space="0" w:color="auto"/>
              <w:right w:val="single" w:sz="8" w:space="0" w:color="auto"/>
            </w:tcBorders>
            <w:shd w:val="clear" w:color="000000" w:fill="FDE9D9"/>
            <w:noWrap/>
            <w:vAlign w:val="center"/>
            <w:hideMark/>
          </w:tcPr>
          <w:p w14:paraId="59CC6A56"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0</w:t>
            </w:r>
          </w:p>
        </w:tc>
        <w:tc>
          <w:tcPr>
            <w:tcW w:w="539" w:type="pct"/>
            <w:tcBorders>
              <w:top w:val="nil"/>
              <w:left w:val="nil"/>
              <w:bottom w:val="single" w:sz="8" w:space="0" w:color="auto"/>
              <w:right w:val="single" w:sz="8" w:space="0" w:color="auto"/>
            </w:tcBorders>
            <w:shd w:val="clear" w:color="000000" w:fill="FDE9D9"/>
            <w:noWrap/>
            <w:vAlign w:val="center"/>
            <w:hideMark/>
          </w:tcPr>
          <w:p w14:paraId="12185005"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0</w:t>
            </w:r>
          </w:p>
        </w:tc>
      </w:tr>
      <w:tr w:rsidR="001A4BBA" w:rsidRPr="00D95481" w14:paraId="5F458CB5" w14:textId="77777777" w:rsidTr="001A4BBA">
        <w:trPr>
          <w:trHeight w:val="900"/>
        </w:trPr>
        <w:tc>
          <w:tcPr>
            <w:tcW w:w="1081" w:type="pct"/>
            <w:tcBorders>
              <w:top w:val="nil"/>
              <w:left w:val="single" w:sz="8" w:space="0" w:color="auto"/>
              <w:bottom w:val="single" w:sz="8" w:space="0" w:color="auto"/>
              <w:right w:val="single" w:sz="8" w:space="0" w:color="auto"/>
            </w:tcBorders>
            <w:shd w:val="clear" w:color="auto" w:fill="FFFFFF" w:themeFill="background1"/>
            <w:vAlign w:val="center"/>
            <w:hideMark/>
          </w:tcPr>
          <w:p w14:paraId="454510A7" w14:textId="77777777" w:rsidR="00D95481" w:rsidRPr="001314D6" w:rsidRDefault="00D95481" w:rsidP="001D0C10">
            <w:pPr>
              <w:spacing w:after="0" w:line="240" w:lineRule="auto"/>
              <w:jc w:val="both"/>
              <w:rPr>
                <w:rFonts w:ascii="Book Antiqua" w:eastAsia="Times New Roman" w:hAnsi="Book Antiqua" w:cs="Calibri"/>
                <w:b/>
                <w:bCs/>
                <w:color w:val="000000"/>
                <w:lang w:eastAsia="es-CR"/>
              </w:rPr>
            </w:pPr>
            <w:r w:rsidRPr="001314D6">
              <w:rPr>
                <w:rFonts w:ascii="Book Antiqua" w:eastAsia="Times New Roman" w:hAnsi="Book Antiqua" w:cs="Calibri"/>
                <w:b/>
                <w:bCs/>
                <w:color w:val="000000"/>
                <w:lang w:eastAsia="es-CR"/>
              </w:rPr>
              <w:t>Juzgado Pensiones Alimentarias Sarapiquí</w:t>
            </w:r>
          </w:p>
        </w:tc>
        <w:tc>
          <w:tcPr>
            <w:tcW w:w="534" w:type="pct"/>
            <w:tcBorders>
              <w:top w:val="nil"/>
              <w:left w:val="nil"/>
              <w:bottom w:val="single" w:sz="8" w:space="0" w:color="auto"/>
              <w:right w:val="single" w:sz="8" w:space="0" w:color="auto"/>
            </w:tcBorders>
            <w:shd w:val="clear" w:color="auto" w:fill="FFFFFF" w:themeFill="background1"/>
            <w:noWrap/>
            <w:vAlign w:val="center"/>
            <w:hideMark/>
          </w:tcPr>
          <w:p w14:paraId="059CACD7" w14:textId="77777777" w:rsidR="00D95481" w:rsidRPr="001314D6" w:rsidRDefault="00D95481"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color w:val="000000"/>
                <w:lang w:eastAsia="es-CR"/>
              </w:rPr>
              <w:t>124</w:t>
            </w:r>
          </w:p>
        </w:tc>
        <w:tc>
          <w:tcPr>
            <w:tcW w:w="590" w:type="pct"/>
            <w:tcBorders>
              <w:top w:val="nil"/>
              <w:left w:val="nil"/>
              <w:bottom w:val="single" w:sz="8" w:space="0" w:color="auto"/>
              <w:right w:val="single" w:sz="8" w:space="0" w:color="auto"/>
            </w:tcBorders>
            <w:shd w:val="clear" w:color="auto" w:fill="FFFFFF" w:themeFill="background1"/>
            <w:noWrap/>
            <w:vAlign w:val="center"/>
            <w:hideMark/>
          </w:tcPr>
          <w:p w14:paraId="669F633C" w14:textId="013C224C" w:rsidR="00D95481" w:rsidRPr="001314D6" w:rsidRDefault="00584BE8"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color w:val="000000"/>
                <w:lang w:eastAsia="es-CR"/>
              </w:rPr>
              <w:t>2</w:t>
            </w:r>
          </w:p>
        </w:tc>
        <w:tc>
          <w:tcPr>
            <w:tcW w:w="539" w:type="pct"/>
            <w:tcBorders>
              <w:top w:val="nil"/>
              <w:left w:val="nil"/>
              <w:bottom w:val="single" w:sz="8" w:space="0" w:color="auto"/>
              <w:right w:val="single" w:sz="8" w:space="0" w:color="auto"/>
            </w:tcBorders>
            <w:shd w:val="clear" w:color="auto" w:fill="FFFFFF" w:themeFill="background1"/>
            <w:noWrap/>
            <w:vAlign w:val="center"/>
            <w:hideMark/>
          </w:tcPr>
          <w:p w14:paraId="0BAED84E" w14:textId="7AFC6970" w:rsidR="00D95481" w:rsidRPr="001314D6" w:rsidRDefault="00584BE8"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color w:val="000000"/>
                <w:lang w:eastAsia="es-CR"/>
              </w:rPr>
              <w:t>4</w:t>
            </w:r>
          </w:p>
        </w:tc>
        <w:tc>
          <w:tcPr>
            <w:tcW w:w="590" w:type="pct"/>
            <w:tcBorders>
              <w:top w:val="nil"/>
              <w:left w:val="nil"/>
              <w:bottom w:val="single" w:sz="8" w:space="0" w:color="auto"/>
              <w:right w:val="single" w:sz="8" w:space="0" w:color="auto"/>
            </w:tcBorders>
            <w:shd w:val="clear" w:color="auto" w:fill="D9E2F3" w:themeFill="accent1" w:themeFillTint="33"/>
            <w:noWrap/>
            <w:vAlign w:val="center"/>
            <w:hideMark/>
          </w:tcPr>
          <w:p w14:paraId="4DACE434" w14:textId="77777777" w:rsidR="00D95481" w:rsidRPr="001314D6" w:rsidRDefault="00D95481"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color w:val="000000"/>
                <w:lang w:eastAsia="es-CR"/>
              </w:rPr>
              <w:t>2</w:t>
            </w:r>
          </w:p>
        </w:tc>
        <w:tc>
          <w:tcPr>
            <w:tcW w:w="539" w:type="pct"/>
            <w:tcBorders>
              <w:top w:val="nil"/>
              <w:left w:val="nil"/>
              <w:bottom w:val="single" w:sz="8" w:space="0" w:color="auto"/>
              <w:right w:val="single" w:sz="8" w:space="0" w:color="auto"/>
            </w:tcBorders>
            <w:shd w:val="clear" w:color="auto" w:fill="D9E2F3" w:themeFill="accent1" w:themeFillTint="33"/>
            <w:noWrap/>
            <w:vAlign w:val="center"/>
            <w:hideMark/>
          </w:tcPr>
          <w:p w14:paraId="7CBB7DBF" w14:textId="77777777" w:rsidR="00D95481" w:rsidRPr="001314D6" w:rsidRDefault="00D95481"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color w:val="000000"/>
                <w:lang w:eastAsia="es-CR"/>
              </w:rPr>
              <w:t>4</w:t>
            </w:r>
          </w:p>
        </w:tc>
        <w:tc>
          <w:tcPr>
            <w:tcW w:w="590" w:type="pct"/>
            <w:tcBorders>
              <w:top w:val="nil"/>
              <w:left w:val="nil"/>
              <w:bottom w:val="single" w:sz="8" w:space="0" w:color="auto"/>
              <w:right w:val="single" w:sz="8" w:space="0" w:color="auto"/>
            </w:tcBorders>
            <w:shd w:val="clear" w:color="auto" w:fill="FBE4D5" w:themeFill="accent2" w:themeFillTint="33"/>
            <w:noWrap/>
            <w:vAlign w:val="center"/>
            <w:hideMark/>
          </w:tcPr>
          <w:p w14:paraId="3FD406F1" w14:textId="22E26FD7" w:rsidR="00D95481" w:rsidRPr="001314D6" w:rsidRDefault="00584BE8"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lang w:eastAsia="es-CR"/>
              </w:rPr>
              <w:t>0</w:t>
            </w:r>
          </w:p>
        </w:tc>
        <w:tc>
          <w:tcPr>
            <w:tcW w:w="539" w:type="pct"/>
            <w:tcBorders>
              <w:top w:val="nil"/>
              <w:left w:val="nil"/>
              <w:bottom w:val="single" w:sz="8" w:space="0" w:color="auto"/>
              <w:right w:val="single" w:sz="8" w:space="0" w:color="auto"/>
            </w:tcBorders>
            <w:shd w:val="clear" w:color="auto" w:fill="FBE4D5" w:themeFill="accent2" w:themeFillTint="33"/>
            <w:noWrap/>
            <w:vAlign w:val="center"/>
            <w:hideMark/>
          </w:tcPr>
          <w:p w14:paraId="441B1D73" w14:textId="09F25F30" w:rsidR="00D95481" w:rsidRPr="001314D6" w:rsidRDefault="00584BE8" w:rsidP="00D95481">
            <w:pPr>
              <w:spacing w:after="0" w:line="240" w:lineRule="auto"/>
              <w:jc w:val="center"/>
              <w:rPr>
                <w:rFonts w:ascii="Book Antiqua" w:eastAsia="Times New Roman" w:hAnsi="Book Antiqua" w:cs="Calibri"/>
                <w:color w:val="000000"/>
                <w:lang w:eastAsia="es-CR"/>
              </w:rPr>
            </w:pPr>
            <w:r w:rsidRPr="001314D6">
              <w:rPr>
                <w:rFonts w:ascii="Book Antiqua" w:eastAsia="Times New Roman" w:hAnsi="Book Antiqua" w:cs="Calibri"/>
                <w:lang w:eastAsia="es-CR"/>
              </w:rPr>
              <w:t>0</w:t>
            </w:r>
          </w:p>
        </w:tc>
      </w:tr>
      <w:tr w:rsidR="00D95481" w:rsidRPr="00D95481" w14:paraId="04639213" w14:textId="77777777" w:rsidTr="00D95481">
        <w:trPr>
          <w:trHeight w:val="900"/>
        </w:trPr>
        <w:tc>
          <w:tcPr>
            <w:tcW w:w="1081" w:type="pct"/>
            <w:tcBorders>
              <w:top w:val="nil"/>
              <w:left w:val="single" w:sz="8" w:space="0" w:color="auto"/>
              <w:bottom w:val="single" w:sz="8" w:space="0" w:color="auto"/>
              <w:right w:val="single" w:sz="8" w:space="0" w:color="auto"/>
            </w:tcBorders>
            <w:shd w:val="clear" w:color="auto" w:fill="auto"/>
            <w:vAlign w:val="center"/>
            <w:hideMark/>
          </w:tcPr>
          <w:p w14:paraId="0A33E3FC" w14:textId="77777777" w:rsidR="00D95481" w:rsidRPr="00D95481" w:rsidRDefault="00D95481" w:rsidP="001D0C10">
            <w:pPr>
              <w:spacing w:after="0" w:line="240" w:lineRule="auto"/>
              <w:jc w:val="both"/>
              <w:rPr>
                <w:rFonts w:ascii="Book Antiqua" w:eastAsia="Times New Roman" w:hAnsi="Book Antiqua" w:cs="Calibri"/>
                <w:b/>
                <w:bCs/>
                <w:color w:val="000000"/>
                <w:lang w:eastAsia="es-CR"/>
              </w:rPr>
            </w:pPr>
            <w:r w:rsidRPr="00D95481">
              <w:rPr>
                <w:rFonts w:ascii="Book Antiqua" w:eastAsia="Times New Roman" w:hAnsi="Book Antiqua" w:cs="Calibri"/>
                <w:b/>
                <w:bCs/>
                <w:color w:val="000000"/>
                <w:lang w:eastAsia="es-CR"/>
              </w:rPr>
              <w:t>Juzgado Pensiones Alimentarias Nicoya</w:t>
            </w:r>
          </w:p>
        </w:tc>
        <w:tc>
          <w:tcPr>
            <w:tcW w:w="534" w:type="pct"/>
            <w:tcBorders>
              <w:top w:val="nil"/>
              <w:left w:val="nil"/>
              <w:bottom w:val="single" w:sz="8" w:space="0" w:color="auto"/>
              <w:right w:val="single" w:sz="8" w:space="0" w:color="auto"/>
            </w:tcBorders>
            <w:shd w:val="clear" w:color="auto" w:fill="auto"/>
            <w:noWrap/>
            <w:vAlign w:val="center"/>
            <w:hideMark/>
          </w:tcPr>
          <w:p w14:paraId="03BDE11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103</w:t>
            </w:r>
          </w:p>
        </w:tc>
        <w:tc>
          <w:tcPr>
            <w:tcW w:w="590" w:type="pct"/>
            <w:tcBorders>
              <w:top w:val="nil"/>
              <w:left w:val="nil"/>
              <w:bottom w:val="single" w:sz="8" w:space="0" w:color="auto"/>
              <w:right w:val="single" w:sz="8" w:space="0" w:color="auto"/>
            </w:tcBorders>
            <w:shd w:val="clear" w:color="auto" w:fill="auto"/>
            <w:noWrap/>
            <w:vAlign w:val="center"/>
            <w:hideMark/>
          </w:tcPr>
          <w:p w14:paraId="266FE43A"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2</w:t>
            </w:r>
          </w:p>
        </w:tc>
        <w:tc>
          <w:tcPr>
            <w:tcW w:w="539" w:type="pct"/>
            <w:tcBorders>
              <w:top w:val="nil"/>
              <w:left w:val="nil"/>
              <w:bottom w:val="single" w:sz="8" w:space="0" w:color="auto"/>
              <w:right w:val="single" w:sz="8" w:space="0" w:color="auto"/>
            </w:tcBorders>
            <w:shd w:val="clear" w:color="auto" w:fill="auto"/>
            <w:noWrap/>
            <w:vAlign w:val="center"/>
            <w:hideMark/>
          </w:tcPr>
          <w:p w14:paraId="2D934E8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4</w:t>
            </w:r>
          </w:p>
        </w:tc>
        <w:tc>
          <w:tcPr>
            <w:tcW w:w="590" w:type="pct"/>
            <w:tcBorders>
              <w:top w:val="nil"/>
              <w:left w:val="nil"/>
              <w:bottom w:val="single" w:sz="8" w:space="0" w:color="auto"/>
              <w:right w:val="single" w:sz="8" w:space="0" w:color="auto"/>
            </w:tcBorders>
            <w:shd w:val="clear" w:color="000000" w:fill="DBE5F1"/>
            <w:noWrap/>
            <w:vAlign w:val="center"/>
            <w:hideMark/>
          </w:tcPr>
          <w:p w14:paraId="07375EA4"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1</w:t>
            </w:r>
          </w:p>
        </w:tc>
        <w:tc>
          <w:tcPr>
            <w:tcW w:w="539" w:type="pct"/>
            <w:tcBorders>
              <w:top w:val="nil"/>
              <w:left w:val="nil"/>
              <w:bottom w:val="single" w:sz="8" w:space="0" w:color="auto"/>
              <w:right w:val="single" w:sz="8" w:space="0" w:color="auto"/>
            </w:tcBorders>
            <w:shd w:val="clear" w:color="000000" w:fill="DBE5F1"/>
            <w:noWrap/>
            <w:vAlign w:val="center"/>
            <w:hideMark/>
          </w:tcPr>
          <w:p w14:paraId="723680C2"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color w:val="000000"/>
                <w:lang w:eastAsia="es-CR"/>
              </w:rPr>
              <w:t>3</w:t>
            </w:r>
          </w:p>
        </w:tc>
        <w:tc>
          <w:tcPr>
            <w:tcW w:w="590" w:type="pct"/>
            <w:tcBorders>
              <w:top w:val="nil"/>
              <w:left w:val="nil"/>
              <w:bottom w:val="single" w:sz="8" w:space="0" w:color="auto"/>
              <w:right w:val="single" w:sz="8" w:space="0" w:color="auto"/>
            </w:tcBorders>
            <w:shd w:val="clear" w:color="000000" w:fill="FDE9D9"/>
            <w:noWrap/>
            <w:vAlign w:val="center"/>
            <w:hideMark/>
          </w:tcPr>
          <w:p w14:paraId="2FF681BF"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-1</w:t>
            </w:r>
          </w:p>
        </w:tc>
        <w:tc>
          <w:tcPr>
            <w:tcW w:w="539" w:type="pct"/>
            <w:tcBorders>
              <w:top w:val="nil"/>
              <w:left w:val="nil"/>
              <w:bottom w:val="single" w:sz="8" w:space="0" w:color="auto"/>
              <w:right w:val="single" w:sz="8" w:space="0" w:color="auto"/>
            </w:tcBorders>
            <w:shd w:val="clear" w:color="000000" w:fill="FDE9D9"/>
            <w:noWrap/>
            <w:vAlign w:val="center"/>
            <w:hideMark/>
          </w:tcPr>
          <w:p w14:paraId="1EDC4C30" w14:textId="77777777" w:rsidR="00D95481" w:rsidRPr="00D95481" w:rsidRDefault="00D95481" w:rsidP="00D95481">
            <w:pPr>
              <w:spacing w:after="0" w:line="240" w:lineRule="auto"/>
              <w:jc w:val="center"/>
              <w:rPr>
                <w:rFonts w:ascii="Book Antiqua" w:eastAsia="Times New Roman" w:hAnsi="Book Antiqua" w:cs="Calibri"/>
                <w:color w:val="000000"/>
                <w:lang w:eastAsia="es-CR"/>
              </w:rPr>
            </w:pPr>
            <w:r w:rsidRPr="00D95481">
              <w:rPr>
                <w:rFonts w:ascii="Book Antiqua" w:eastAsia="Times New Roman" w:hAnsi="Book Antiqua" w:cs="Calibri"/>
                <w:lang w:eastAsia="es-CR"/>
              </w:rPr>
              <w:t>-1</w:t>
            </w:r>
          </w:p>
        </w:tc>
      </w:tr>
    </w:tbl>
    <w:p w14:paraId="7BD9F142" w14:textId="3B9FF732" w:rsidR="00D95481" w:rsidRPr="00D95481" w:rsidRDefault="00D95481" w:rsidP="00A65874">
      <w:pPr>
        <w:rPr>
          <w:rFonts w:ascii="Book Antiqua" w:hAnsi="Book Antiqua"/>
          <w:i/>
          <w:iCs/>
        </w:rPr>
      </w:pPr>
      <w:r w:rsidRPr="00D95481">
        <w:rPr>
          <w:rFonts w:ascii="Book Antiqua" w:hAnsi="Book Antiqua"/>
          <w:i/>
          <w:iCs/>
        </w:rPr>
        <w:t>Fuente: Modernización Institucional.</w:t>
      </w:r>
    </w:p>
    <w:p w14:paraId="191463CA" w14:textId="01D19570" w:rsidR="00F94535" w:rsidRDefault="00572DB3" w:rsidP="001D0C10">
      <w:pPr>
        <w:spacing w:line="276" w:lineRule="auto"/>
        <w:jc w:val="both"/>
        <w:rPr>
          <w:rFonts w:ascii="Book Antiqua" w:eastAsia="Calibri" w:hAnsi="Book Antiqua" w:cs="Arial"/>
          <w:sz w:val="24"/>
          <w:szCs w:val="24"/>
        </w:rPr>
      </w:pPr>
      <w:r w:rsidRPr="00572DB3">
        <w:rPr>
          <w:rFonts w:ascii="Book Antiqua" w:eastAsia="Calibri" w:hAnsi="Book Antiqua" w:cs="Arial"/>
          <w:sz w:val="24"/>
          <w:szCs w:val="24"/>
        </w:rPr>
        <w:t>De los resultados anteriores</w:t>
      </w:r>
      <w:r w:rsidR="00456779">
        <w:rPr>
          <w:rFonts w:ascii="Book Antiqua" w:eastAsia="Calibri" w:hAnsi="Book Antiqua" w:cs="Arial"/>
          <w:sz w:val="24"/>
          <w:szCs w:val="24"/>
        </w:rPr>
        <w:t xml:space="preserve">, que es una análisis macro, </w:t>
      </w:r>
      <w:r w:rsidRPr="00572DB3">
        <w:rPr>
          <w:rFonts w:ascii="Book Antiqua" w:eastAsia="Calibri" w:hAnsi="Book Antiqua" w:cs="Arial"/>
          <w:sz w:val="24"/>
          <w:szCs w:val="24"/>
        </w:rPr>
        <w:t xml:space="preserve">se identifica que los Juzgados de Pensiones Alimentarias del </w:t>
      </w:r>
      <w:r w:rsidR="00B95F0A">
        <w:rPr>
          <w:rFonts w:ascii="Book Antiqua" w:eastAsia="Calibri" w:hAnsi="Book Antiqua" w:cs="Arial"/>
          <w:sz w:val="24"/>
          <w:szCs w:val="24"/>
        </w:rPr>
        <w:t>I Circuito Judicial de Alajuela</w:t>
      </w:r>
      <w:r w:rsidR="00121331">
        <w:rPr>
          <w:rFonts w:ascii="Book Antiqua" w:eastAsia="Calibri" w:hAnsi="Book Antiqua" w:cs="Arial"/>
          <w:sz w:val="24"/>
          <w:szCs w:val="24"/>
        </w:rPr>
        <w:t xml:space="preserve"> y </w:t>
      </w:r>
      <w:r w:rsidRPr="00572DB3">
        <w:rPr>
          <w:rFonts w:ascii="Book Antiqua" w:eastAsia="Calibri" w:hAnsi="Book Antiqua" w:cs="Arial"/>
          <w:sz w:val="24"/>
          <w:szCs w:val="24"/>
        </w:rPr>
        <w:t>II Circuito Judicial Zona Atlántica (Pococí)</w:t>
      </w:r>
      <w:r w:rsidR="00DE06A8">
        <w:rPr>
          <w:rFonts w:ascii="Book Antiqua" w:eastAsia="Calibri" w:hAnsi="Book Antiqua" w:cs="Arial"/>
          <w:sz w:val="24"/>
          <w:szCs w:val="24"/>
        </w:rPr>
        <w:t>, registran la necesidad de personas juzgadoras o técnicas judiciales</w:t>
      </w:r>
      <w:r w:rsidR="0012126E">
        <w:rPr>
          <w:rFonts w:ascii="Book Antiqua" w:eastAsia="Calibri" w:hAnsi="Book Antiqua" w:cs="Arial"/>
          <w:sz w:val="24"/>
          <w:szCs w:val="24"/>
        </w:rPr>
        <w:t xml:space="preserve">; sin embargo, </w:t>
      </w:r>
      <w:r w:rsidR="00456779">
        <w:rPr>
          <w:rFonts w:ascii="Book Antiqua" w:eastAsia="Calibri" w:hAnsi="Book Antiqua" w:cs="Arial"/>
          <w:sz w:val="24"/>
          <w:szCs w:val="24"/>
        </w:rPr>
        <w:t xml:space="preserve">con el análisis detallado y complementario, realizado a partir </w:t>
      </w:r>
      <w:r w:rsidR="0012126E">
        <w:rPr>
          <w:rFonts w:ascii="Book Antiqua" w:eastAsia="Calibri" w:hAnsi="Book Antiqua" w:cs="Arial"/>
          <w:sz w:val="24"/>
          <w:szCs w:val="24"/>
        </w:rPr>
        <w:t xml:space="preserve">del seguimiento </w:t>
      </w:r>
      <w:r w:rsidR="00456779">
        <w:rPr>
          <w:rFonts w:ascii="Book Antiqua" w:eastAsia="Calibri" w:hAnsi="Book Antiqua" w:cs="Arial"/>
          <w:sz w:val="24"/>
          <w:szCs w:val="24"/>
        </w:rPr>
        <w:t>en</w:t>
      </w:r>
      <w:r w:rsidR="0012126E">
        <w:rPr>
          <w:rFonts w:ascii="Book Antiqua" w:eastAsia="Calibri" w:hAnsi="Book Antiqua" w:cs="Arial"/>
          <w:sz w:val="24"/>
          <w:szCs w:val="24"/>
        </w:rPr>
        <w:t xml:space="preserve"> estas oficinas</w:t>
      </w:r>
      <w:r w:rsidR="00456779">
        <w:rPr>
          <w:rFonts w:ascii="Book Antiqua" w:eastAsia="Calibri" w:hAnsi="Book Antiqua" w:cs="Arial"/>
          <w:sz w:val="24"/>
          <w:szCs w:val="24"/>
        </w:rPr>
        <w:t>, que realizó la Dirección de Planificación</w:t>
      </w:r>
      <w:r w:rsidR="0012126E">
        <w:rPr>
          <w:rFonts w:ascii="Book Antiqua" w:eastAsia="Calibri" w:hAnsi="Book Antiqua" w:cs="Arial"/>
          <w:sz w:val="24"/>
          <w:szCs w:val="24"/>
        </w:rPr>
        <w:t xml:space="preserve"> de diciembre 2020 a </w:t>
      </w:r>
      <w:r w:rsidR="003F575C">
        <w:rPr>
          <w:rFonts w:ascii="Book Antiqua" w:eastAsia="Calibri" w:hAnsi="Book Antiqua" w:cs="Arial"/>
          <w:sz w:val="24"/>
          <w:szCs w:val="24"/>
        </w:rPr>
        <w:t>setiembre</w:t>
      </w:r>
      <w:r w:rsidR="0012126E">
        <w:rPr>
          <w:rFonts w:ascii="Book Antiqua" w:eastAsia="Calibri" w:hAnsi="Book Antiqua" w:cs="Arial"/>
          <w:sz w:val="24"/>
          <w:szCs w:val="24"/>
        </w:rPr>
        <w:t xml:space="preserve"> 2021 por </w:t>
      </w:r>
      <w:r w:rsidR="00121331">
        <w:rPr>
          <w:rFonts w:ascii="Book Antiqua" w:eastAsia="Calibri" w:hAnsi="Book Antiqua" w:cs="Arial"/>
          <w:sz w:val="24"/>
          <w:szCs w:val="24"/>
        </w:rPr>
        <w:t xml:space="preserve">parte de </w:t>
      </w:r>
      <w:r w:rsidR="0012126E">
        <w:rPr>
          <w:rFonts w:ascii="Book Antiqua" w:eastAsia="Calibri" w:hAnsi="Book Antiqua" w:cs="Arial"/>
          <w:sz w:val="24"/>
          <w:szCs w:val="24"/>
        </w:rPr>
        <w:t xml:space="preserve">los Profesionales </w:t>
      </w:r>
      <w:r w:rsidR="00121331">
        <w:rPr>
          <w:rFonts w:ascii="Book Antiqua" w:eastAsia="Calibri" w:hAnsi="Book Antiqua" w:cs="Arial"/>
          <w:sz w:val="24"/>
          <w:szCs w:val="24"/>
        </w:rPr>
        <w:t xml:space="preserve">2 </w:t>
      </w:r>
      <w:r w:rsidR="0012126E">
        <w:rPr>
          <w:rFonts w:ascii="Book Antiqua" w:eastAsia="Calibri" w:hAnsi="Book Antiqua" w:cs="Arial"/>
          <w:sz w:val="24"/>
          <w:szCs w:val="24"/>
        </w:rPr>
        <w:t>del Subproceso de Modernización Institucional</w:t>
      </w:r>
      <w:r w:rsidR="00456779">
        <w:rPr>
          <w:rFonts w:ascii="Book Antiqua" w:eastAsia="Calibri" w:hAnsi="Book Antiqua" w:cs="Arial"/>
          <w:sz w:val="24"/>
          <w:szCs w:val="24"/>
        </w:rPr>
        <w:t>, los cuales se resumen en el</w:t>
      </w:r>
      <w:r w:rsidR="0012126E">
        <w:rPr>
          <w:rFonts w:ascii="Book Antiqua" w:eastAsia="Calibri" w:hAnsi="Book Antiqua" w:cs="Arial"/>
          <w:sz w:val="24"/>
          <w:szCs w:val="24"/>
        </w:rPr>
        <w:t xml:space="preserve"> </w:t>
      </w:r>
      <w:r w:rsidR="003F575C">
        <w:rPr>
          <w:rFonts w:ascii="Book Antiqua" w:eastAsia="Calibri" w:hAnsi="Book Antiqua" w:cs="Arial"/>
          <w:sz w:val="24"/>
          <w:szCs w:val="24"/>
        </w:rPr>
        <w:t xml:space="preserve">informe </w:t>
      </w:r>
      <w:r w:rsidR="003F575C" w:rsidRPr="003F575C">
        <w:rPr>
          <w:rFonts w:ascii="Book Antiqua" w:eastAsia="Calibri" w:hAnsi="Book Antiqua" w:cs="Arial"/>
          <w:sz w:val="24"/>
          <w:szCs w:val="24"/>
        </w:rPr>
        <w:t>de cierre de Pensiones Alimentarias 46-PLA-MI-2022, aprobado por el Consejo Superior en la sesión 11-2022 celebrada el 8 de febrero de 2022, artículo XXXII</w:t>
      </w:r>
      <w:r w:rsidR="003F575C">
        <w:rPr>
          <w:rFonts w:ascii="Book Antiqua" w:eastAsia="Calibri" w:hAnsi="Book Antiqua" w:cs="Arial"/>
          <w:sz w:val="24"/>
          <w:szCs w:val="24"/>
        </w:rPr>
        <w:t>,</w:t>
      </w:r>
      <w:r w:rsidR="003F575C" w:rsidRPr="003F575C">
        <w:rPr>
          <w:rFonts w:ascii="Book Antiqua" w:eastAsia="Calibri" w:hAnsi="Book Antiqua" w:cs="Arial"/>
          <w:sz w:val="24"/>
          <w:szCs w:val="24"/>
        </w:rPr>
        <w:t xml:space="preserve"> </w:t>
      </w:r>
      <w:r w:rsidR="0012126E">
        <w:rPr>
          <w:rFonts w:ascii="Book Antiqua" w:eastAsia="Calibri" w:hAnsi="Book Antiqua" w:cs="Arial"/>
          <w:sz w:val="24"/>
          <w:szCs w:val="24"/>
        </w:rPr>
        <w:t xml:space="preserve">se determinó </w:t>
      </w:r>
      <w:r w:rsidR="00A96970">
        <w:rPr>
          <w:rFonts w:ascii="Book Antiqua" w:eastAsia="Calibri" w:hAnsi="Book Antiqua" w:cs="Arial"/>
          <w:sz w:val="24"/>
          <w:szCs w:val="24"/>
        </w:rPr>
        <w:t xml:space="preserve">con base en </w:t>
      </w:r>
      <w:r w:rsidR="003F575C" w:rsidRPr="003F575C">
        <w:rPr>
          <w:rFonts w:ascii="Book Antiqua" w:eastAsia="Calibri" w:hAnsi="Book Antiqua" w:cs="Arial"/>
          <w:sz w:val="24"/>
          <w:szCs w:val="24"/>
        </w:rPr>
        <w:t xml:space="preserve">el análisis MAIC; </w:t>
      </w:r>
      <w:r w:rsidR="00A96970">
        <w:rPr>
          <w:rFonts w:ascii="Book Antiqua" w:eastAsia="Calibri" w:hAnsi="Book Antiqua" w:cs="Arial"/>
          <w:sz w:val="24"/>
          <w:szCs w:val="24"/>
        </w:rPr>
        <w:t xml:space="preserve">que estos juzgados  </w:t>
      </w:r>
      <w:r w:rsidR="000B0FC4">
        <w:rPr>
          <w:rFonts w:ascii="Book Antiqua" w:eastAsia="Calibri" w:hAnsi="Book Antiqua" w:cs="Arial"/>
          <w:sz w:val="24"/>
          <w:szCs w:val="24"/>
        </w:rPr>
        <w:t xml:space="preserve">durante </w:t>
      </w:r>
      <w:r w:rsidR="00A96970">
        <w:rPr>
          <w:rFonts w:ascii="Book Antiqua" w:eastAsia="Calibri" w:hAnsi="Book Antiqua" w:cs="Arial"/>
          <w:sz w:val="24"/>
          <w:szCs w:val="24"/>
        </w:rPr>
        <w:t>los meses que presentaron una criticidad “D” o “E”</w:t>
      </w:r>
      <w:r w:rsidR="00456779">
        <w:rPr>
          <w:rFonts w:ascii="Book Antiqua" w:eastAsia="Calibri" w:hAnsi="Book Antiqua" w:cs="Arial"/>
          <w:sz w:val="24"/>
          <w:szCs w:val="24"/>
        </w:rPr>
        <w:t xml:space="preserve">, </w:t>
      </w:r>
      <w:r w:rsidR="000B0FC4">
        <w:rPr>
          <w:rFonts w:ascii="Book Antiqua" w:eastAsia="Calibri" w:hAnsi="Book Antiqua" w:cs="Arial"/>
          <w:sz w:val="24"/>
          <w:szCs w:val="24"/>
        </w:rPr>
        <w:t xml:space="preserve">su </w:t>
      </w:r>
      <w:r w:rsidR="00A96970">
        <w:rPr>
          <w:rFonts w:ascii="Book Antiqua" w:eastAsia="Calibri" w:hAnsi="Book Antiqua" w:cs="Arial"/>
          <w:sz w:val="24"/>
          <w:szCs w:val="24"/>
        </w:rPr>
        <w:t xml:space="preserve">calificación </w:t>
      </w:r>
      <w:r w:rsidR="000B0FC4">
        <w:rPr>
          <w:rFonts w:ascii="Book Antiqua" w:eastAsia="Calibri" w:hAnsi="Book Antiqua" w:cs="Arial"/>
          <w:sz w:val="24"/>
          <w:szCs w:val="24"/>
        </w:rPr>
        <w:t xml:space="preserve">no obedece a un tema de capacidad operativa reducida, sino a </w:t>
      </w:r>
      <w:r w:rsidR="003F575C" w:rsidRPr="003F575C">
        <w:rPr>
          <w:rFonts w:ascii="Book Antiqua" w:eastAsia="Calibri" w:hAnsi="Book Antiqua" w:cs="Arial"/>
          <w:sz w:val="24"/>
          <w:szCs w:val="24"/>
        </w:rPr>
        <w:t xml:space="preserve">factores </w:t>
      </w:r>
      <w:r w:rsidR="000B0FC4">
        <w:rPr>
          <w:rFonts w:ascii="Book Antiqua" w:eastAsia="Calibri" w:hAnsi="Book Antiqua" w:cs="Arial"/>
          <w:sz w:val="24"/>
          <w:szCs w:val="24"/>
        </w:rPr>
        <w:t>aislados</w:t>
      </w:r>
      <w:r w:rsidR="00170CF7">
        <w:rPr>
          <w:rFonts w:ascii="Book Antiqua" w:eastAsia="Calibri" w:hAnsi="Book Antiqua" w:cs="Arial"/>
          <w:sz w:val="24"/>
          <w:szCs w:val="24"/>
        </w:rPr>
        <w:t>;</w:t>
      </w:r>
      <w:r w:rsidR="00F94535">
        <w:rPr>
          <w:rFonts w:ascii="Book Antiqua" w:eastAsia="Calibri" w:hAnsi="Book Antiqua" w:cs="Arial"/>
          <w:sz w:val="24"/>
          <w:szCs w:val="24"/>
        </w:rPr>
        <w:t xml:space="preserve"> </w:t>
      </w:r>
      <w:r w:rsidR="00170CF7">
        <w:rPr>
          <w:rFonts w:ascii="Book Antiqua" w:eastAsia="Calibri" w:hAnsi="Book Antiqua" w:cs="Arial"/>
          <w:sz w:val="24"/>
          <w:szCs w:val="24"/>
        </w:rPr>
        <w:t xml:space="preserve">por ejemplo, en el caso de Pococí, el personal juzgador y técnico judicial </w:t>
      </w:r>
      <w:r w:rsidR="00A958BE">
        <w:rPr>
          <w:rFonts w:ascii="Book Antiqua" w:eastAsia="Calibri" w:hAnsi="Book Antiqua" w:cs="Arial"/>
          <w:sz w:val="24"/>
          <w:szCs w:val="24"/>
        </w:rPr>
        <w:t xml:space="preserve">según datos de la matriz de Indicadores de Gestión, </w:t>
      </w:r>
      <w:r w:rsidR="00170CF7">
        <w:rPr>
          <w:rFonts w:ascii="Book Antiqua" w:eastAsia="Calibri" w:hAnsi="Book Antiqua" w:cs="Arial"/>
          <w:sz w:val="24"/>
          <w:szCs w:val="24"/>
        </w:rPr>
        <w:t xml:space="preserve">reporta porcentajes de rendimiento mayores al 100%, por lo que no se recomienda la creación de plazas nuevas </w:t>
      </w:r>
      <w:r w:rsidR="00A958BE">
        <w:rPr>
          <w:rFonts w:ascii="Book Antiqua" w:eastAsia="Calibri" w:hAnsi="Book Antiqua" w:cs="Arial"/>
          <w:sz w:val="24"/>
          <w:szCs w:val="24"/>
        </w:rPr>
        <w:t xml:space="preserve">en los Juzgados de Pensiones Alimentarias </w:t>
      </w:r>
      <w:r w:rsidR="00A958BE">
        <w:rPr>
          <w:rFonts w:ascii="Book Antiqua" w:eastAsia="Calibri" w:hAnsi="Book Antiqua" w:cs="Arial"/>
          <w:sz w:val="24"/>
          <w:szCs w:val="24"/>
        </w:rPr>
        <w:lastRenderedPageBreak/>
        <w:t>del Primer Circuito Judicial de Alajuela y II Circuito Judicial de la Zona Atlántica (Pococí).</w:t>
      </w:r>
    </w:p>
    <w:p w14:paraId="47153849" w14:textId="605E8E1A" w:rsidR="00F94535" w:rsidRDefault="00572DB3" w:rsidP="001D0C10">
      <w:pPr>
        <w:spacing w:line="276" w:lineRule="auto"/>
        <w:ind w:right="-234"/>
        <w:jc w:val="both"/>
        <w:rPr>
          <w:rFonts w:ascii="Book Antiqua" w:eastAsia="Calibri" w:hAnsi="Book Antiqua" w:cs="Arial"/>
          <w:sz w:val="24"/>
          <w:szCs w:val="24"/>
        </w:rPr>
      </w:pPr>
      <w:r w:rsidRPr="00572DB3">
        <w:rPr>
          <w:rFonts w:ascii="Book Antiqua" w:eastAsia="Calibri" w:hAnsi="Book Antiqua" w:cs="Arial"/>
          <w:sz w:val="24"/>
          <w:szCs w:val="24"/>
        </w:rPr>
        <w:t>Es importante señalar que para efectos de este informe no se planteará la reubicación de personas juzgadoras o técnicas judiciales, bajo el entendido que al mantener estas personas e</w:t>
      </w:r>
      <w:r w:rsidR="00B95F0A">
        <w:rPr>
          <w:rFonts w:ascii="Book Antiqua" w:eastAsia="Calibri" w:hAnsi="Book Antiqua" w:cs="Arial"/>
          <w:sz w:val="24"/>
          <w:szCs w:val="24"/>
        </w:rPr>
        <w:t>n</w:t>
      </w:r>
      <w:r w:rsidRPr="00572DB3">
        <w:rPr>
          <w:rFonts w:ascii="Book Antiqua" w:eastAsia="Calibri" w:hAnsi="Book Antiqua" w:cs="Arial"/>
          <w:sz w:val="24"/>
          <w:szCs w:val="24"/>
        </w:rPr>
        <w:t xml:space="preserve"> sus despachos se estaría contribuyendo a la disminución de tiempos en los procesos en sus despachos. </w:t>
      </w:r>
    </w:p>
    <w:p w14:paraId="57211B2C" w14:textId="5932E7D4" w:rsidR="00F94535" w:rsidRPr="001D0C10" w:rsidRDefault="00F94535" w:rsidP="001D0C10">
      <w:pPr>
        <w:spacing w:after="0" w:line="276" w:lineRule="auto"/>
        <w:ind w:right="-376"/>
        <w:jc w:val="both"/>
        <w:rPr>
          <w:rFonts w:ascii="Book Antiqua" w:hAnsi="Book Antiqua"/>
          <w:sz w:val="24"/>
          <w:szCs w:val="24"/>
        </w:rPr>
      </w:pPr>
      <w:r w:rsidRPr="001D0C10">
        <w:rPr>
          <w:rFonts w:ascii="Book Antiqua" w:eastAsia="Calibri" w:hAnsi="Book Antiqua" w:cs="Arial"/>
          <w:sz w:val="24"/>
          <w:szCs w:val="24"/>
        </w:rPr>
        <w:t xml:space="preserve">En cuanto </w:t>
      </w:r>
      <w:r w:rsidRPr="001D0C10">
        <w:rPr>
          <w:rFonts w:ascii="Book Antiqua" w:eastAsia="Calibri" w:hAnsi="Book Antiqua" w:cs="Arial"/>
          <w:b/>
          <w:bCs/>
          <w:sz w:val="24"/>
          <w:szCs w:val="24"/>
        </w:rPr>
        <w:t xml:space="preserve">al </w:t>
      </w:r>
      <w:r w:rsidR="00572DB3" w:rsidRPr="001D0C10">
        <w:rPr>
          <w:rFonts w:ascii="Book Antiqua" w:eastAsia="Calibri" w:hAnsi="Book Antiqua" w:cs="Arial"/>
          <w:b/>
          <w:bCs/>
          <w:sz w:val="24"/>
          <w:szCs w:val="24"/>
        </w:rPr>
        <w:t>Juzgado Pensiones Alimentarias Sarapiquí,</w:t>
      </w:r>
      <w:r w:rsidR="00572DB3" w:rsidRPr="001D0C10">
        <w:rPr>
          <w:rFonts w:ascii="Book Antiqua" w:eastAsia="Calibri" w:hAnsi="Book Antiqua" w:cs="Arial"/>
          <w:sz w:val="24"/>
          <w:szCs w:val="24"/>
        </w:rPr>
        <w:t xml:space="preserve"> </w:t>
      </w:r>
      <w:r w:rsidRPr="001D0C10">
        <w:rPr>
          <w:rFonts w:ascii="Book Antiqua" w:hAnsi="Book Antiqua"/>
          <w:sz w:val="24"/>
          <w:szCs w:val="24"/>
        </w:rPr>
        <w:t>conforme a lo acordado por el Consejo Superior en sesión 95-2021 celebrada el 04 de noviembre del 2021, artículo XXXI, con el fin de atender la carga de trabajo del Juzgado de Pensiones de Sarapiquí, y al escenario aprobado, el Juzgado de Pensiones se refuerza con 3 recursos provenientes del actual Juzgado de Tránsito y Contravenciones de Sarapiquí:</w:t>
      </w:r>
    </w:p>
    <w:p w14:paraId="2C1C4027" w14:textId="77777777" w:rsidR="00F94535" w:rsidRPr="001D0C10" w:rsidRDefault="00F94535" w:rsidP="00456779">
      <w:pPr>
        <w:pStyle w:val="Prrafodelista"/>
        <w:spacing w:line="276" w:lineRule="auto"/>
        <w:ind w:right="-376"/>
        <w:jc w:val="both"/>
        <w:rPr>
          <w:rFonts w:ascii="Book Antiqua" w:hAnsi="Book Antiqua"/>
          <w:sz w:val="24"/>
          <w:szCs w:val="24"/>
        </w:rPr>
      </w:pPr>
    </w:p>
    <w:p w14:paraId="52D5D17D" w14:textId="77777777" w:rsidR="00F94535" w:rsidRPr="001D0C10" w:rsidRDefault="00F94535" w:rsidP="0090609F">
      <w:pPr>
        <w:pStyle w:val="Prrafodelista"/>
        <w:numPr>
          <w:ilvl w:val="0"/>
          <w:numId w:val="38"/>
        </w:numPr>
        <w:spacing w:after="0" w:line="276" w:lineRule="auto"/>
        <w:ind w:right="-376"/>
        <w:contextualSpacing w:val="0"/>
        <w:jc w:val="both"/>
        <w:rPr>
          <w:rFonts w:ascii="Book Antiqua" w:hAnsi="Book Antiqua"/>
          <w:sz w:val="24"/>
          <w:szCs w:val="24"/>
        </w:rPr>
      </w:pPr>
      <w:r w:rsidRPr="001D0C10">
        <w:rPr>
          <w:rFonts w:ascii="Book Antiqua" w:hAnsi="Book Antiqua"/>
          <w:sz w:val="24"/>
          <w:szCs w:val="24"/>
        </w:rPr>
        <w:t>Una plaza de Jueza o Juez</w:t>
      </w:r>
    </w:p>
    <w:p w14:paraId="6FD28086" w14:textId="77777777" w:rsidR="00F94535" w:rsidRPr="001D0C10" w:rsidRDefault="00F94535" w:rsidP="0090609F">
      <w:pPr>
        <w:pStyle w:val="Prrafodelista"/>
        <w:numPr>
          <w:ilvl w:val="0"/>
          <w:numId w:val="38"/>
        </w:numPr>
        <w:spacing w:after="0" w:line="276" w:lineRule="auto"/>
        <w:ind w:right="-376"/>
        <w:contextualSpacing w:val="0"/>
        <w:jc w:val="both"/>
        <w:rPr>
          <w:rFonts w:ascii="Book Antiqua" w:hAnsi="Book Antiqua"/>
          <w:sz w:val="24"/>
          <w:szCs w:val="24"/>
        </w:rPr>
      </w:pPr>
      <w:r w:rsidRPr="001D0C10">
        <w:rPr>
          <w:rFonts w:ascii="Book Antiqua" w:hAnsi="Book Antiqua"/>
          <w:sz w:val="24"/>
          <w:szCs w:val="24"/>
        </w:rPr>
        <w:t>Una plaza de Técnica o Técnico Judicial</w:t>
      </w:r>
    </w:p>
    <w:p w14:paraId="477B87E3" w14:textId="10B30DE5" w:rsidR="00572DB3" w:rsidRPr="00572DB3" w:rsidRDefault="00F94535" w:rsidP="009B71C9">
      <w:pPr>
        <w:spacing w:line="276" w:lineRule="auto"/>
        <w:ind w:right="-376"/>
        <w:jc w:val="both"/>
        <w:rPr>
          <w:rFonts w:ascii="Book Antiqua" w:eastAsia="Calibri" w:hAnsi="Book Antiqua" w:cs="Arial"/>
          <w:sz w:val="24"/>
          <w:szCs w:val="24"/>
        </w:rPr>
      </w:pPr>
      <w:r w:rsidRPr="001D0C10">
        <w:rPr>
          <w:rFonts w:ascii="Book Antiqua" w:hAnsi="Book Antiqua"/>
          <w:sz w:val="24"/>
          <w:szCs w:val="24"/>
        </w:rPr>
        <w:t>La asignación a tiempo completo de la Auxiliar de Servicios Generales</w:t>
      </w:r>
      <w:r w:rsidRPr="001D0C10">
        <w:rPr>
          <w:rStyle w:val="Refdenotaalpie"/>
          <w:rFonts w:ascii="Book Antiqua" w:hAnsi="Book Antiqua"/>
          <w:sz w:val="24"/>
          <w:szCs w:val="24"/>
        </w:rPr>
        <w:footnoteReference w:id="15"/>
      </w:r>
      <w:r w:rsidRPr="001D0C10">
        <w:rPr>
          <w:rFonts w:ascii="Book Antiqua" w:hAnsi="Book Antiqua"/>
          <w:sz w:val="24"/>
          <w:szCs w:val="24"/>
        </w:rPr>
        <w:t xml:space="preserve"> que comparten el Juzgado Contravencional y Tránsito de Sarapiquí y el Juzgado de Pensiones, pero hasta que se cuente con servicio privado de limpieza para ambas oficinas para colaborar en la atención del público, ya que conforme indica el oficio 1110-PLA-2021 es una de las mayores cargas con la que cuenta este juzgado, así como otras labores administrativas.</w:t>
      </w:r>
    </w:p>
    <w:p w14:paraId="6EF808EA" w14:textId="56B11625" w:rsidR="00F46DA5" w:rsidRDefault="00F46DA5" w:rsidP="009B71C9">
      <w:pPr>
        <w:spacing w:after="0" w:line="276" w:lineRule="auto"/>
        <w:ind w:right="-376"/>
        <w:jc w:val="both"/>
        <w:rPr>
          <w:rFonts w:ascii="Book Antiqua" w:eastAsia="Calibri" w:hAnsi="Book Antiqua" w:cs="Arial"/>
          <w:sz w:val="24"/>
          <w:szCs w:val="24"/>
        </w:rPr>
      </w:pPr>
      <w:r w:rsidRPr="00F46DA5">
        <w:rPr>
          <w:rFonts w:ascii="Book Antiqua" w:eastAsia="Calibri" w:hAnsi="Book Antiqua" w:cs="Arial"/>
          <w:sz w:val="24"/>
          <w:szCs w:val="24"/>
        </w:rPr>
        <w:t>En el caso de los despachos mixtos que atienden dentro de sus materias Pensiones Alimentarias, no se tiene planeada la modificación en las estructuras de trabajo o la inclusión de nuevo recurso humano, esto ya que durante los abordajes realizados por la Dirección de Planificación para las materias de Laboral y Civil, se realizaron los estudios pertinentes y se incluyeron las necesidades en los respectivos informes de presupuesto de estas materias.</w:t>
      </w:r>
    </w:p>
    <w:p w14:paraId="62AB7722" w14:textId="5ACECB0A" w:rsidR="000F0B81" w:rsidRDefault="000F0B81" w:rsidP="009B71C9">
      <w:pPr>
        <w:spacing w:after="0" w:line="276" w:lineRule="auto"/>
        <w:ind w:right="-376"/>
        <w:jc w:val="both"/>
        <w:rPr>
          <w:rFonts w:ascii="Book Antiqua" w:eastAsia="Calibri" w:hAnsi="Book Antiqua" w:cs="Arial"/>
          <w:sz w:val="24"/>
          <w:szCs w:val="24"/>
        </w:rPr>
      </w:pPr>
    </w:p>
    <w:p w14:paraId="0FF1B4C8" w14:textId="477B3BF0" w:rsidR="003A293B" w:rsidRDefault="00BF4698" w:rsidP="009B71C9">
      <w:pPr>
        <w:spacing w:after="0" w:line="276" w:lineRule="auto"/>
        <w:ind w:right="-376"/>
        <w:jc w:val="both"/>
        <w:rPr>
          <w:rFonts w:ascii="Book Antiqua" w:eastAsia="Calibri" w:hAnsi="Book Antiqua" w:cs="Arial"/>
          <w:sz w:val="24"/>
          <w:szCs w:val="24"/>
        </w:rPr>
      </w:pPr>
      <w:r>
        <w:rPr>
          <w:rFonts w:ascii="Book Antiqua" w:eastAsia="Calibri" w:hAnsi="Book Antiqua" w:cs="Arial"/>
          <w:sz w:val="24"/>
          <w:szCs w:val="24"/>
        </w:rPr>
        <w:t xml:space="preserve">Por otra parte, </w:t>
      </w:r>
      <w:r w:rsidR="000F0B81">
        <w:rPr>
          <w:rFonts w:ascii="Book Antiqua" w:eastAsia="Calibri" w:hAnsi="Book Antiqua" w:cs="Arial"/>
          <w:sz w:val="24"/>
          <w:szCs w:val="24"/>
        </w:rPr>
        <w:t xml:space="preserve">en el informe 1069-PLA-EV-2020, </w:t>
      </w:r>
      <w:r>
        <w:rPr>
          <w:rFonts w:ascii="Book Antiqua" w:eastAsia="Calibri" w:hAnsi="Book Antiqua" w:cs="Arial"/>
          <w:sz w:val="24"/>
          <w:szCs w:val="24"/>
        </w:rPr>
        <w:t xml:space="preserve">relacionado con el </w:t>
      </w:r>
      <w:bookmarkStart w:id="65" w:name="_Hlk97902625"/>
      <w:r>
        <w:rPr>
          <w:rFonts w:ascii="Book Antiqua" w:eastAsia="Calibri" w:hAnsi="Book Antiqua" w:cs="Arial"/>
          <w:sz w:val="24"/>
          <w:szCs w:val="24"/>
        </w:rPr>
        <w:t xml:space="preserve">Juzgado </w:t>
      </w:r>
      <w:r w:rsidRPr="000F0B81">
        <w:rPr>
          <w:rFonts w:ascii="Book Antiqua" w:eastAsia="Calibri" w:hAnsi="Book Antiqua" w:cs="Arial"/>
          <w:sz w:val="24"/>
          <w:szCs w:val="24"/>
        </w:rPr>
        <w:t>Contravencional y Pensiones Alimentarias del Primer Circuito Judicial de Guanacaste</w:t>
      </w:r>
      <w:bookmarkEnd w:id="65"/>
      <w:r>
        <w:rPr>
          <w:rFonts w:ascii="Book Antiqua" w:eastAsia="Calibri" w:hAnsi="Book Antiqua" w:cs="Arial"/>
          <w:sz w:val="24"/>
          <w:szCs w:val="24"/>
        </w:rPr>
        <w:t xml:space="preserve">, </w:t>
      </w:r>
      <w:r w:rsidR="000F0B81">
        <w:rPr>
          <w:rFonts w:ascii="Book Antiqua" w:eastAsia="Calibri" w:hAnsi="Book Antiqua" w:cs="Arial"/>
          <w:sz w:val="24"/>
          <w:szCs w:val="24"/>
        </w:rPr>
        <w:t xml:space="preserve">aprobado por el Consejo Superior en la sesión 93-2020 celebrada el 24 de setiembre de </w:t>
      </w:r>
      <w:r w:rsidR="000F0B81">
        <w:rPr>
          <w:rFonts w:ascii="Book Antiqua" w:eastAsia="Calibri" w:hAnsi="Book Antiqua" w:cs="Arial"/>
          <w:sz w:val="24"/>
          <w:szCs w:val="24"/>
        </w:rPr>
        <w:lastRenderedPageBreak/>
        <w:t xml:space="preserve">2020, artículo XLIV, </w:t>
      </w:r>
      <w:r>
        <w:rPr>
          <w:rFonts w:ascii="Book Antiqua" w:eastAsia="Calibri" w:hAnsi="Book Antiqua" w:cs="Arial"/>
          <w:sz w:val="24"/>
          <w:szCs w:val="24"/>
        </w:rPr>
        <w:t xml:space="preserve">en cuanto al otorgamiento de recurso </w:t>
      </w:r>
      <w:r w:rsidR="00776040">
        <w:rPr>
          <w:rFonts w:ascii="Book Antiqua" w:eastAsia="Calibri" w:hAnsi="Book Antiqua" w:cs="Arial"/>
          <w:sz w:val="24"/>
          <w:szCs w:val="24"/>
        </w:rPr>
        <w:t xml:space="preserve">humano para </w:t>
      </w:r>
      <w:r>
        <w:rPr>
          <w:rFonts w:ascii="Book Antiqua" w:eastAsia="Calibri" w:hAnsi="Book Antiqua" w:cs="Arial"/>
          <w:sz w:val="24"/>
          <w:szCs w:val="24"/>
        </w:rPr>
        <w:t xml:space="preserve">este despacho, </w:t>
      </w:r>
      <w:r w:rsidR="000F0B81">
        <w:rPr>
          <w:rFonts w:ascii="Book Antiqua" w:eastAsia="Calibri" w:hAnsi="Book Antiqua" w:cs="Arial"/>
          <w:sz w:val="24"/>
          <w:szCs w:val="24"/>
        </w:rPr>
        <w:t>se a</w:t>
      </w:r>
      <w:r w:rsidR="003A293B">
        <w:rPr>
          <w:rFonts w:ascii="Book Antiqua" w:eastAsia="Calibri" w:hAnsi="Book Antiqua" w:cs="Arial"/>
          <w:sz w:val="24"/>
          <w:szCs w:val="24"/>
        </w:rPr>
        <w:t>cord</w:t>
      </w:r>
      <w:r w:rsidR="000F0B81">
        <w:rPr>
          <w:rFonts w:ascii="Book Antiqua" w:eastAsia="Calibri" w:hAnsi="Book Antiqua" w:cs="Arial"/>
          <w:sz w:val="24"/>
          <w:szCs w:val="24"/>
        </w:rPr>
        <w:t>ó</w:t>
      </w:r>
      <w:r w:rsidR="003A293B">
        <w:rPr>
          <w:rFonts w:ascii="Book Antiqua" w:eastAsia="Calibri" w:hAnsi="Book Antiqua" w:cs="Arial"/>
          <w:sz w:val="24"/>
          <w:szCs w:val="24"/>
        </w:rPr>
        <w:t>:</w:t>
      </w:r>
    </w:p>
    <w:p w14:paraId="4A501B2B" w14:textId="636E5F1D" w:rsidR="000F0B81" w:rsidRPr="001D0C10" w:rsidRDefault="003A293B" w:rsidP="001D0C10">
      <w:pPr>
        <w:spacing w:after="0" w:line="276" w:lineRule="auto"/>
        <w:ind w:left="567" w:right="616"/>
        <w:jc w:val="both"/>
        <w:rPr>
          <w:rFonts w:ascii="Book Antiqua" w:eastAsia="Calibri" w:hAnsi="Book Antiqua" w:cs="Arial"/>
          <w:i/>
          <w:iCs/>
        </w:rPr>
      </w:pPr>
      <w:r w:rsidRPr="001D0C10">
        <w:rPr>
          <w:rFonts w:ascii="Book Antiqua" w:eastAsia="Calibri" w:hAnsi="Book Antiqua" w:cs="Arial"/>
        </w:rPr>
        <w:t>“…</w:t>
      </w:r>
      <w:r w:rsidRPr="001D0C10">
        <w:rPr>
          <w:rFonts w:ascii="Book Antiqua" w:eastAsia="Calibri" w:hAnsi="Book Antiqua" w:cs="Arial"/>
          <w:i/>
          <w:iCs/>
        </w:rPr>
        <w:t>Se avala dicha recomendación; no obstante, quedará supeditada a la existencia de contenido presupuestario. Considerando que se tienen las limitaciones presupuestarias dadas en los oficios del Ministerio de Hacienda DM-0436-2020, de conformidad con el Título IV de la Ley 9635 “Fortalecimiento de las Finanzas Públicas” se establecen la regla fiscal y los criterios que se deben considerarse para la formulación del presupuesto 2021, en donde se tiene lineamientos como: “…no se autorizará la creación de plazas, ni la solicitud de recursos adicionales al monto de gasto presupuestario máximo comunicado, por lo que estas opciones estarán deshabilitadas en el Sistema de Formulación Presupuestaria (SFP)…”</w:t>
      </w:r>
    </w:p>
    <w:p w14:paraId="60AE201D" w14:textId="77777777" w:rsidR="00456779" w:rsidRDefault="00456779" w:rsidP="00A65874"/>
    <w:p w14:paraId="10A2BF01" w14:textId="750B08C0" w:rsidR="003A293B" w:rsidRDefault="00776040" w:rsidP="003A293B">
      <w:pPr>
        <w:jc w:val="both"/>
        <w:rPr>
          <w:rFonts w:ascii="Book Antiqua" w:eastAsia="Calibri" w:hAnsi="Book Antiqua" w:cs="Arial"/>
          <w:sz w:val="24"/>
          <w:szCs w:val="24"/>
        </w:rPr>
      </w:pPr>
      <w:r>
        <w:rPr>
          <w:rFonts w:ascii="Book Antiqua" w:eastAsia="Calibri" w:hAnsi="Book Antiqua" w:cs="Arial"/>
          <w:sz w:val="24"/>
          <w:szCs w:val="24"/>
        </w:rPr>
        <w:t xml:space="preserve">Por lo tanto, se reitera la necesidad de crear una plaza de persona Técnica Judicial 2 para </w:t>
      </w:r>
      <w:r w:rsidR="002E675E">
        <w:rPr>
          <w:rFonts w:ascii="Book Antiqua" w:eastAsia="Calibri" w:hAnsi="Book Antiqua" w:cs="Arial"/>
          <w:sz w:val="24"/>
          <w:szCs w:val="24"/>
        </w:rPr>
        <w:t xml:space="preserve">la </w:t>
      </w:r>
      <w:r>
        <w:rPr>
          <w:rFonts w:ascii="Book Antiqua" w:eastAsia="Calibri" w:hAnsi="Book Antiqua" w:cs="Arial"/>
          <w:sz w:val="24"/>
          <w:szCs w:val="24"/>
        </w:rPr>
        <w:t>especializa</w:t>
      </w:r>
      <w:r w:rsidR="002E675E">
        <w:rPr>
          <w:rFonts w:ascii="Book Antiqua" w:eastAsia="Calibri" w:hAnsi="Book Antiqua" w:cs="Arial"/>
          <w:sz w:val="24"/>
          <w:szCs w:val="24"/>
        </w:rPr>
        <w:t>ción d</w:t>
      </w:r>
      <w:r>
        <w:rPr>
          <w:rFonts w:ascii="Book Antiqua" w:eastAsia="Calibri" w:hAnsi="Book Antiqua" w:cs="Arial"/>
          <w:sz w:val="24"/>
          <w:szCs w:val="24"/>
        </w:rPr>
        <w:t>el Juzgado Contravencional y Pensiones Alimentarias de Guanacaste</w:t>
      </w:r>
      <w:r w:rsidR="003A293B">
        <w:rPr>
          <w:rFonts w:ascii="Book Antiqua" w:eastAsia="Calibri" w:hAnsi="Book Antiqua" w:cs="Arial"/>
          <w:sz w:val="24"/>
          <w:szCs w:val="24"/>
        </w:rPr>
        <w:t xml:space="preserve">, </w:t>
      </w:r>
      <w:r w:rsidR="002E675E">
        <w:rPr>
          <w:rFonts w:ascii="Book Antiqua" w:eastAsia="Calibri" w:hAnsi="Book Antiqua" w:cs="Arial"/>
          <w:sz w:val="24"/>
          <w:szCs w:val="24"/>
        </w:rPr>
        <w:t xml:space="preserve">por lo que </w:t>
      </w:r>
      <w:r w:rsidR="003A293B">
        <w:rPr>
          <w:rFonts w:ascii="Book Antiqua" w:eastAsia="Calibri" w:hAnsi="Book Antiqua" w:cs="Arial"/>
          <w:sz w:val="24"/>
          <w:szCs w:val="24"/>
        </w:rPr>
        <w:t xml:space="preserve">se incluye para el </w:t>
      </w:r>
      <w:r w:rsidR="002E675E">
        <w:rPr>
          <w:rFonts w:ascii="Book Antiqua" w:eastAsia="Calibri" w:hAnsi="Book Antiqua" w:cs="Arial"/>
          <w:sz w:val="24"/>
          <w:szCs w:val="24"/>
        </w:rPr>
        <w:t xml:space="preserve">presupuesto de </w:t>
      </w:r>
      <w:r w:rsidR="003A293B">
        <w:rPr>
          <w:rFonts w:ascii="Book Antiqua" w:eastAsia="Calibri" w:hAnsi="Book Antiqua" w:cs="Arial"/>
          <w:sz w:val="24"/>
          <w:szCs w:val="24"/>
        </w:rPr>
        <w:t>2023</w:t>
      </w:r>
      <w:r w:rsidR="002E675E">
        <w:rPr>
          <w:rFonts w:ascii="Book Antiqua" w:eastAsia="Calibri" w:hAnsi="Book Antiqua" w:cs="Arial"/>
          <w:sz w:val="24"/>
          <w:szCs w:val="24"/>
        </w:rPr>
        <w:t>,</w:t>
      </w:r>
      <w:r w:rsidR="003A293B">
        <w:rPr>
          <w:rFonts w:ascii="Book Antiqua" w:eastAsia="Calibri" w:hAnsi="Book Antiqua" w:cs="Arial"/>
          <w:sz w:val="24"/>
          <w:szCs w:val="24"/>
        </w:rPr>
        <w:t xml:space="preserve"> la creación de una plaza nueva de persona Técnica Judicial 2</w:t>
      </w:r>
      <w:r w:rsidR="00456779">
        <w:rPr>
          <w:rFonts w:ascii="Book Antiqua" w:eastAsia="Calibri" w:hAnsi="Book Antiqua" w:cs="Arial"/>
          <w:sz w:val="24"/>
          <w:szCs w:val="24"/>
        </w:rPr>
        <w:t xml:space="preserve"> para poder realizar </w:t>
      </w:r>
      <w:r w:rsidR="00F76BC3">
        <w:rPr>
          <w:rFonts w:ascii="Book Antiqua" w:eastAsia="Calibri" w:hAnsi="Book Antiqua" w:cs="Arial"/>
          <w:sz w:val="24"/>
          <w:szCs w:val="24"/>
        </w:rPr>
        <w:t>l</w:t>
      </w:r>
      <w:r w:rsidR="00456779">
        <w:rPr>
          <w:rFonts w:ascii="Book Antiqua" w:eastAsia="Calibri" w:hAnsi="Book Antiqua" w:cs="Arial"/>
          <w:sz w:val="24"/>
          <w:szCs w:val="24"/>
        </w:rPr>
        <w:t>a especialización de la materia de Pensiones</w:t>
      </w:r>
      <w:r w:rsidR="003A293B">
        <w:rPr>
          <w:rFonts w:ascii="Book Antiqua" w:eastAsia="Calibri" w:hAnsi="Book Antiqua" w:cs="Arial"/>
          <w:sz w:val="24"/>
          <w:szCs w:val="24"/>
        </w:rPr>
        <w:t xml:space="preserve">. </w:t>
      </w:r>
    </w:p>
    <w:p w14:paraId="00AAF174" w14:textId="38FD9667" w:rsidR="00DD4859" w:rsidRDefault="00DD4859" w:rsidP="003A293B">
      <w:pPr>
        <w:jc w:val="both"/>
        <w:rPr>
          <w:rFonts w:ascii="Book Antiqua" w:eastAsia="Calibri" w:hAnsi="Book Antiqua" w:cs="Arial"/>
          <w:sz w:val="24"/>
          <w:szCs w:val="24"/>
        </w:rPr>
      </w:pPr>
    </w:p>
    <w:p w14:paraId="0D997D5D" w14:textId="19715CDE" w:rsidR="00DD4859" w:rsidRPr="00DD4859" w:rsidRDefault="00DD4859" w:rsidP="00DD485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D4859">
        <w:rPr>
          <w:rFonts w:ascii="Book Antiqua" w:eastAsia="Calibri" w:hAnsi="Book Antiqua" w:cs="Arial"/>
          <w:b/>
          <w:bCs/>
          <w:color w:val="1F497D"/>
          <w:szCs w:val="24"/>
          <w:lang w:val="es-ES" w:eastAsia="es-ES"/>
        </w:rPr>
        <w:t xml:space="preserve">Cuadro </w:t>
      </w:r>
      <w:r w:rsidRPr="00DD4859">
        <w:rPr>
          <w:rFonts w:ascii="Book Antiqua" w:eastAsia="Calibri" w:hAnsi="Book Antiqua" w:cs="Arial"/>
          <w:b/>
          <w:bCs/>
          <w:color w:val="1F497D"/>
          <w:szCs w:val="24"/>
          <w:lang w:val="es-ES" w:eastAsia="es-ES"/>
        </w:rPr>
        <w:fldChar w:fldCharType="begin"/>
      </w:r>
      <w:r w:rsidRPr="00DD4859">
        <w:rPr>
          <w:rFonts w:ascii="Book Antiqua" w:eastAsia="Calibri" w:hAnsi="Book Antiqua" w:cs="Arial"/>
          <w:b/>
          <w:bCs/>
          <w:color w:val="1F497D"/>
          <w:szCs w:val="24"/>
          <w:lang w:val="es-ES" w:eastAsia="es-ES"/>
        </w:rPr>
        <w:instrText xml:space="preserve"> SEQ Cuadro \* ARABIC </w:instrText>
      </w:r>
      <w:r w:rsidRPr="00DD4859">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77</w:t>
      </w:r>
      <w:r w:rsidRPr="00DD4859">
        <w:rPr>
          <w:rFonts w:ascii="Book Antiqua" w:eastAsia="Calibri" w:hAnsi="Book Antiqua" w:cs="Arial"/>
          <w:b/>
          <w:bCs/>
          <w:color w:val="1F497D"/>
          <w:szCs w:val="24"/>
          <w:lang w:val="es-ES" w:eastAsia="es-ES"/>
        </w:rPr>
        <w:fldChar w:fldCharType="end"/>
      </w:r>
      <w:r w:rsidRPr="00DD4859">
        <w:rPr>
          <w:rFonts w:ascii="Book Antiqua" w:eastAsia="Calibri" w:hAnsi="Book Antiqua" w:cs="Arial"/>
          <w:b/>
          <w:bCs/>
          <w:color w:val="1F497D"/>
          <w:szCs w:val="24"/>
          <w:lang w:val="es-ES" w:eastAsia="es-ES"/>
        </w:rPr>
        <w:t xml:space="preserve"> </w:t>
      </w:r>
    </w:p>
    <w:p w14:paraId="546B00B9" w14:textId="4912B488" w:rsidR="00DD4859" w:rsidRPr="00DD4859" w:rsidRDefault="00DD4859" w:rsidP="00DD4859">
      <w:pPr>
        <w:keepNext/>
        <w:numPr>
          <w:ilvl w:val="12"/>
          <w:numId w:val="0"/>
        </w:numPr>
        <w:spacing w:after="0" w:line="276" w:lineRule="auto"/>
        <w:jc w:val="center"/>
        <w:rPr>
          <w:rFonts w:ascii="Book Antiqua" w:eastAsia="Calibri" w:hAnsi="Book Antiqua" w:cs="Arial"/>
          <w:b/>
          <w:bCs/>
          <w:color w:val="1F497D"/>
          <w:szCs w:val="24"/>
          <w:lang w:val="es-ES" w:eastAsia="es-ES"/>
        </w:rPr>
      </w:pPr>
      <w:r w:rsidRPr="00DD4859">
        <w:rPr>
          <w:rFonts w:ascii="Book Antiqua" w:eastAsia="Calibri" w:hAnsi="Book Antiqua" w:cs="Arial"/>
          <w:b/>
          <w:bCs/>
          <w:color w:val="1F497D"/>
          <w:szCs w:val="24"/>
          <w:lang w:val="es-ES" w:eastAsia="es-ES"/>
        </w:rPr>
        <w:t xml:space="preserve">Costo de </w:t>
      </w:r>
      <w:r>
        <w:rPr>
          <w:rFonts w:ascii="Book Antiqua" w:eastAsia="Calibri" w:hAnsi="Book Antiqua" w:cs="Arial"/>
          <w:b/>
          <w:bCs/>
          <w:color w:val="1F497D"/>
          <w:szCs w:val="24"/>
          <w:lang w:val="es-ES" w:eastAsia="es-ES"/>
        </w:rPr>
        <w:t xml:space="preserve">recurso humano </w:t>
      </w:r>
      <w:r w:rsidRPr="00DD4859">
        <w:rPr>
          <w:rFonts w:ascii="Book Antiqua" w:eastAsia="Calibri" w:hAnsi="Book Antiqua" w:cs="Arial"/>
          <w:b/>
          <w:bCs/>
          <w:color w:val="1F497D"/>
          <w:szCs w:val="24"/>
          <w:lang w:val="es-ES" w:eastAsia="es-ES"/>
        </w:rPr>
        <w:t>Juzgado Contravencional y Pensiones Alimentarias del Primer Circuito Judicial de Guanacaste</w:t>
      </w:r>
    </w:p>
    <w:tbl>
      <w:tblPr>
        <w:tblW w:w="4990" w:type="pct"/>
        <w:tblCellMar>
          <w:left w:w="70" w:type="dxa"/>
          <w:right w:w="70" w:type="dxa"/>
        </w:tblCellMar>
        <w:tblLook w:val="04A0" w:firstRow="1" w:lastRow="0" w:firstColumn="1" w:lastColumn="0" w:noHBand="0" w:noVBand="1"/>
      </w:tblPr>
      <w:tblGrid>
        <w:gridCol w:w="2523"/>
        <w:gridCol w:w="1657"/>
        <w:gridCol w:w="1601"/>
        <w:gridCol w:w="3034"/>
      </w:tblGrid>
      <w:tr w:rsidR="00DD4859" w:rsidRPr="00DD4859" w14:paraId="4FE7ED75" w14:textId="77777777" w:rsidTr="00035934">
        <w:trPr>
          <w:cantSplit/>
          <w:trHeight w:val="664"/>
          <w:tblHeader/>
        </w:trPr>
        <w:tc>
          <w:tcPr>
            <w:tcW w:w="1431" w:type="pct"/>
            <w:tcBorders>
              <w:bottom w:val="single" w:sz="4" w:space="0" w:color="auto"/>
              <w:right w:val="single" w:sz="4" w:space="0" w:color="auto"/>
            </w:tcBorders>
            <w:shd w:val="clear" w:color="auto" w:fill="auto"/>
            <w:vAlign w:val="bottom"/>
            <w:hideMark/>
          </w:tcPr>
          <w:p w14:paraId="756C897B" w14:textId="77777777" w:rsidR="00DD4859" w:rsidRPr="00DD4859" w:rsidRDefault="00DD4859" w:rsidP="00DD4859">
            <w:pPr>
              <w:spacing w:after="0" w:line="276" w:lineRule="auto"/>
              <w:rPr>
                <w:rFonts w:ascii="Book Antiqua" w:eastAsia="Times New Roman" w:hAnsi="Book Antiqua" w:cs="Times New Roman"/>
                <w:color w:val="000000"/>
                <w:lang w:eastAsia="es-CR"/>
              </w:rPr>
            </w:pPr>
          </w:p>
        </w:tc>
        <w:tc>
          <w:tcPr>
            <w:tcW w:w="940" w:type="pct"/>
            <w:tcBorders>
              <w:top w:val="single" w:sz="4" w:space="0" w:color="auto"/>
              <w:left w:val="nil"/>
              <w:bottom w:val="single" w:sz="4" w:space="0" w:color="auto"/>
              <w:right w:val="single" w:sz="4" w:space="0" w:color="auto"/>
            </w:tcBorders>
            <w:shd w:val="clear" w:color="000000" w:fill="002060"/>
            <w:vAlign w:val="center"/>
            <w:hideMark/>
          </w:tcPr>
          <w:p w14:paraId="5FE32CB1" w14:textId="77777777" w:rsidR="00DD4859" w:rsidRPr="00DD4859" w:rsidRDefault="00DD4859" w:rsidP="00DD4859">
            <w:pPr>
              <w:spacing w:after="0" w:line="276" w:lineRule="auto"/>
              <w:jc w:val="center"/>
              <w:rPr>
                <w:rFonts w:ascii="Book Antiqua" w:eastAsia="Times New Roman" w:hAnsi="Book Antiqua" w:cs="Times New Roman"/>
                <w:b/>
                <w:bCs/>
                <w:color w:val="FFFFFF"/>
                <w:lang w:eastAsia="es-CR"/>
              </w:rPr>
            </w:pPr>
            <w:r w:rsidRPr="00DD4859">
              <w:rPr>
                <w:rFonts w:ascii="Book Antiqua" w:eastAsia="Times New Roman" w:hAnsi="Book Antiqua" w:cs="Times New Roman"/>
                <w:b/>
                <w:bCs/>
                <w:color w:val="FFFFFF"/>
                <w:lang w:eastAsia="ar-SA"/>
              </w:rPr>
              <w:t>Clase ancha</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293669A1" w14:textId="77777777" w:rsidR="00DD4859" w:rsidRPr="00DD4859" w:rsidRDefault="00DD4859" w:rsidP="00DD4859">
            <w:pPr>
              <w:spacing w:after="0" w:line="276" w:lineRule="auto"/>
              <w:jc w:val="center"/>
              <w:rPr>
                <w:rFonts w:ascii="Book Antiqua" w:eastAsia="Times New Roman" w:hAnsi="Book Antiqua" w:cs="Times New Roman"/>
                <w:b/>
                <w:bCs/>
                <w:color w:val="FFFFFF"/>
                <w:lang w:eastAsia="es-CR"/>
              </w:rPr>
            </w:pPr>
            <w:r w:rsidRPr="00DD4859">
              <w:rPr>
                <w:rFonts w:ascii="Book Antiqua" w:eastAsia="Times New Roman" w:hAnsi="Book Antiqua" w:cs="Times New Roman"/>
                <w:b/>
                <w:bCs/>
                <w:color w:val="FFFFFF"/>
                <w:lang w:eastAsia="ar-SA"/>
              </w:rPr>
              <w:t>Clase angosta</w:t>
            </w:r>
          </w:p>
        </w:tc>
        <w:tc>
          <w:tcPr>
            <w:tcW w:w="1721" w:type="pct"/>
            <w:tcBorders>
              <w:top w:val="single" w:sz="4" w:space="0" w:color="auto"/>
              <w:left w:val="nil"/>
              <w:bottom w:val="single" w:sz="4" w:space="0" w:color="auto"/>
              <w:right w:val="single" w:sz="4" w:space="0" w:color="auto"/>
            </w:tcBorders>
            <w:shd w:val="clear" w:color="000000" w:fill="002060"/>
            <w:vAlign w:val="center"/>
            <w:hideMark/>
          </w:tcPr>
          <w:p w14:paraId="277F0B79" w14:textId="77777777" w:rsidR="00DD4859" w:rsidRPr="00DD4859" w:rsidRDefault="00DD4859" w:rsidP="00DD4859">
            <w:pPr>
              <w:spacing w:after="0" w:line="276" w:lineRule="auto"/>
              <w:jc w:val="center"/>
              <w:rPr>
                <w:rFonts w:ascii="Book Antiqua" w:eastAsia="Times New Roman" w:hAnsi="Book Antiqua" w:cs="Times New Roman"/>
                <w:b/>
                <w:bCs/>
                <w:color w:val="FFFFFF"/>
                <w:lang w:eastAsia="es-CR"/>
              </w:rPr>
            </w:pPr>
            <w:r w:rsidRPr="00DD4859">
              <w:rPr>
                <w:rFonts w:ascii="Book Antiqua" w:eastAsia="Times New Roman" w:hAnsi="Book Antiqua" w:cs="Times New Roman"/>
                <w:b/>
                <w:bCs/>
                <w:color w:val="FFFFFF"/>
                <w:lang w:eastAsia="ar-SA"/>
              </w:rPr>
              <w:t>Costo del puesto anual</w:t>
            </w:r>
          </w:p>
        </w:tc>
      </w:tr>
      <w:tr w:rsidR="00DD4859" w:rsidRPr="00DD4859" w14:paraId="1EDA6E85" w14:textId="77777777" w:rsidTr="00035934">
        <w:trPr>
          <w:trHeight w:val="495"/>
        </w:trPr>
        <w:tc>
          <w:tcPr>
            <w:tcW w:w="1431" w:type="pct"/>
            <w:tcBorders>
              <w:top w:val="nil"/>
              <w:left w:val="single" w:sz="4" w:space="0" w:color="auto"/>
              <w:bottom w:val="single" w:sz="4" w:space="0" w:color="auto"/>
              <w:right w:val="single" w:sz="4" w:space="0" w:color="auto"/>
            </w:tcBorders>
            <w:shd w:val="clear" w:color="auto" w:fill="002060"/>
            <w:vAlign w:val="center"/>
          </w:tcPr>
          <w:p w14:paraId="0F8D8CCE" w14:textId="77777777" w:rsidR="00DD4859" w:rsidRPr="00DD4859" w:rsidRDefault="00DD4859" w:rsidP="00DD4859">
            <w:pPr>
              <w:spacing w:after="0" w:line="276" w:lineRule="auto"/>
              <w:rPr>
                <w:rFonts w:ascii="Book Antiqua" w:eastAsia="Times New Roman" w:hAnsi="Book Antiqua" w:cs="Times New Roman"/>
                <w:b/>
                <w:bCs/>
                <w:color w:val="FFFFFF"/>
                <w:lang w:eastAsia="es-CR"/>
              </w:rPr>
            </w:pPr>
            <w:r w:rsidRPr="00DD4859">
              <w:rPr>
                <w:rFonts w:ascii="Book Antiqua" w:eastAsia="Calibri" w:hAnsi="Book Antiqua" w:cs="Arial"/>
                <w:b/>
                <w:color w:val="FFFFFF"/>
              </w:rPr>
              <w:t>Plaza nueva extraordinaria</w:t>
            </w:r>
          </w:p>
        </w:tc>
        <w:tc>
          <w:tcPr>
            <w:tcW w:w="940" w:type="pct"/>
            <w:tcBorders>
              <w:top w:val="nil"/>
              <w:left w:val="nil"/>
              <w:bottom w:val="single" w:sz="4" w:space="0" w:color="auto"/>
              <w:right w:val="single" w:sz="4" w:space="0" w:color="auto"/>
            </w:tcBorders>
            <w:shd w:val="clear" w:color="auto" w:fill="auto"/>
            <w:vAlign w:val="center"/>
          </w:tcPr>
          <w:p w14:paraId="445F7282" w14:textId="14972A94" w:rsidR="00DD4859" w:rsidRPr="00DD4859" w:rsidRDefault="00DD4859" w:rsidP="00DD4859">
            <w:pPr>
              <w:spacing w:after="0" w:line="276" w:lineRule="auto"/>
              <w:jc w:val="center"/>
              <w:rPr>
                <w:rFonts w:ascii="Book Antiqua" w:eastAsia="Times New Roman" w:hAnsi="Book Antiqua" w:cs="Times New Roman"/>
                <w:color w:val="000000"/>
                <w:lang w:eastAsia="ar-SA"/>
              </w:rPr>
            </w:pPr>
            <w:r w:rsidRPr="00DD4859">
              <w:rPr>
                <w:rFonts w:ascii="Book Antiqua" w:eastAsia="Calibri" w:hAnsi="Book Antiqua" w:cs="Arial"/>
                <w:color w:val="000000"/>
              </w:rPr>
              <w:t xml:space="preserve">Técnico Judicial </w:t>
            </w:r>
            <w:r w:rsidR="00BE7BC2">
              <w:rPr>
                <w:rFonts w:ascii="Book Antiqua" w:eastAsia="Calibri" w:hAnsi="Book Antiqua" w:cs="Arial"/>
                <w:color w:val="000000"/>
              </w:rPr>
              <w:t>1</w:t>
            </w:r>
          </w:p>
        </w:tc>
        <w:tc>
          <w:tcPr>
            <w:tcW w:w="908" w:type="pct"/>
            <w:tcBorders>
              <w:top w:val="nil"/>
              <w:left w:val="nil"/>
              <w:bottom w:val="single" w:sz="4" w:space="0" w:color="auto"/>
              <w:right w:val="single" w:sz="4" w:space="0" w:color="auto"/>
            </w:tcBorders>
            <w:shd w:val="clear" w:color="auto" w:fill="auto"/>
            <w:vAlign w:val="center"/>
          </w:tcPr>
          <w:p w14:paraId="1CB8BD7F" w14:textId="77777777" w:rsidR="00DD4859" w:rsidRPr="00DD4859" w:rsidRDefault="00DD4859" w:rsidP="00DD4859">
            <w:pPr>
              <w:spacing w:after="0" w:line="276" w:lineRule="auto"/>
              <w:jc w:val="center"/>
              <w:rPr>
                <w:rFonts w:ascii="Book Antiqua" w:eastAsia="Times New Roman" w:hAnsi="Book Antiqua" w:cs="Times New Roman"/>
                <w:color w:val="000000"/>
                <w:lang w:eastAsia="ar-SA"/>
              </w:rPr>
            </w:pPr>
            <w:r w:rsidRPr="00DD4859">
              <w:rPr>
                <w:rFonts w:ascii="Book Antiqua" w:eastAsia="Calibri" w:hAnsi="Book Antiqua" w:cs="Arial"/>
                <w:color w:val="000000"/>
              </w:rPr>
              <w:t>Técnico Judicial</w:t>
            </w:r>
          </w:p>
        </w:tc>
        <w:tc>
          <w:tcPr>
            <w:tcW w:w="1721" w:type="pct"/>
            <w:tcBorders>
              <w:top w:val="nil"/>
              <w:left w:val="nil"/>
              <w:bottom w:val="single" w:sz="4" w:space="0" w:color="auto"/>
              <w:right w:val="single" w:sz="4" w:space="0" w:color="auto"/>
            </w:tcBorders>
            <w:shd w:val="clear" w:color="auto" w:fill="auto"/>
            <w:vAlign w:val="center"/>
          </w:tcPr>
          <w:p w14:paraId="764A638F" w14:textId="6ACD0D93" w:rsidR="00DD4859" w:rsidRPr="00DD4859" w:rsidRDefault="00DD4859" w:rsidP="00DD4859">
            <w:pPr>
              <w:spacing w:after="0" w:line="276" w:lineRule="auto"/>
              <w:jc w:val="center"/>
              <w:rPr>
                <w:rFonts w:ascii="Book Antiqua" w:eastAsia="Times New Roman" w:hAnsi="Book Antiqua" w:cs="Times New Roman"/>
                <w:color w:val="000000"/>
                <w:lang w:eastAsia="ar-SA"/>
              </w:rPr>
            </w:pPr>
            <w:r w:rsidRPr="00DD4859">
              <w:rPr>
                <w:rFonts w:ascii="Times New Roman" w:eastAsia="Calibri" w:hAnsi="Times New Roman" w:cs="Times New Roman"/>
                <w:color w:val="000000"/>
              </w:rPr>
              <w:t>₡</w:t>
            </w:r>
            <w:r w:rsidRPr="00DD4859">
              <w:rPr>
                <w:rFonts w:ascii="Book Antiqua" w:eastAsia="Calibri" w:hAnsi="Book Antiqua" w:cs="Arial"/>
                <w:color w:val="000000"/>
              </w:rPr>
              <w:t>1</w:t>
            </w:r>
            <w:r w:rsidR="00AB3851">
              <w:rPr>
                <w:rFonts w:ascii="Book Antiqua" w:eastAsia="Calibri" w:hAnsi="Book Antiqua" w:cs="Arial"/>
                <w:color w:val="000000"/>
              </w:rPr>
              <w:t>3</w:t>
            </w:r>
            <w:r w:rsidRPr="00DD4859">
              <w:rPr>
                <w:rFonts w:ascii="Book Antiqua" w:eastAsia="Calibri" w:hAnsi="Book Antiqua" w:cs="Arial"/>
                <w:color w:val="000000"/>
              </w:rPr>
              <w:t>.</w:t>
            </w:r>
            <w:r>
              <w:rPr>
                <w:rFonts w:ascii="Book Antiqua" w:eastAsia="Calibri" w:hAnsi="Book Antiqua" w:cs="Arial"/>
                <w:color w:val="000000"/>
              </w:rPr>
              <w:t>8</w:t>
            </w:r>
            <w:r w:rsidR="00AB3851">
              <w:rPr>
                <w:rFonts w:ascii="Book Antiqua" w:eastAsia="Calibri" w:hAnsi="Book Antiqua" w:cs="Arial"/>
                <w:color w:val="000000"/>
              </w:rPr>
              <w:t>7</w:t>
            </w:r>
            <w:r>
              <w:rPr>
                <w:rFonts w:ascii="Book Antiqua" w:eastAsia="Calibri" w:hAnsi="Book Antiqua" w:cs="Arial"/>
                <w:color w:val="000000"/>
              </w:rPr>
              <w:t>8</w:t>
            </w:r>
            <w:r w:rsidRPr="00DD4859">
              <w:rPr>
                <w:rFonts w:ascii="Book Antiqua" w:eastAsia="Calibri" w:hAnsi="Book Antiqua" w:cs="Arial"/>
                <w:color w:val="000000"/>
              </w:rPr>
              <w:t>.000</w:t>
            </w:r>
          </w:p>
        </w:tc>
      </w:tr>
    </w:tbl>
    <w:p w14:paraId="562B46FA" w14:textId="2ADF390D" w:rsidR="00DD4859" w:rsidRDefault="00DD4859" w:rsidP="003A293B">
      <w:pPr>
        <w:jc w:val="both"/>
        <w:rPr>
          <w:rFonts w:ascii="Book Antiqua" w:eastAsia="Calibri" w:hAnsi="Book Antiqua" w:cs="Arial"/>
          <w:i/>
          <w:iCs/>
          <w:sz w:val="20"/>
          <w:szCs w:val="20"/>
        </w:rPr>
      </w:pPr>
      <w:r w:rsidRPr="001D0C10">
        <w:rPr>
          <w:rFonts w:ascii="Book Antiqua" w:eastAsia="Calibri" w:hAnsi="Book Antiqua" w:cs="Arial"/>
          <w:i/>
          <w:iCs/>
          <w:sz w:val="20"/>
          <w:szCs w:val="20"/>
        </w:rPr>
        <w:t>Fuente: Modernización Institucional</w:t>
      </w:r>
      <w:r>
        <w:rPr>
          <w:rFonts w:ascii="Book Antiqua" w:eastAsia="Calibri" w:hAnsi="Book Antiqua" w:cs="Arial"/>
          <w:i/>
          <w:iCs/>
          <w:sz w:val="20"/>
          <w:szCs w:val="20"/>
        </w:rPr>
        <w:t>.</w:t>
      </w:r>
    </w:p>
    <w:p w14:paraId="509C7BF1" w14:textId="04EAE95A" w:rsidR="00DD4859" w:rsidRDefault="00DD4859" w:rsidP="003A293B">
      <w:pPr>
        <w:jc w:val="both"/>
        <w:rPr>
          <w:rFonts w:ascii="Book Antiqua" w:eastAsia="Calibri" w:hAnsi="Book Antiqua" w:cs="Arial"/>
          <w:i/>
          <w:iCs/>
          <w:sz w:val="20"/>
          <w:szCs w:val="20"/>
        </w:rPr>
      </w:pPr>
    </w:p>
    <w:p w14:paraId="4306C549" w14:textId="4E720D75" w:rsidR="00DD4859" w:rsidRDefault="00DD4859" w:rsidP="003A293B">
      <w:pPr>
        <w:jc w:val="both"/>
        <w:rPr>
          <w:rFonts w:ascii="Book Antiqua" w:eastAsia="Calibri" w:hAnsi="Book Antiqua" w:cs="Arial"/>
          <w:sz w:val="24"/>
          <w:szCs w:val="24"/>
        </w:rPr>
      </w:pPr>
      <w:r w:rsidRPr="00DD4859">
        <w:rPr>
          <w:rFonts w:ascii="Book Antiqua" w:eastAsia="Calibri" w:hAnsi="Book Antiqua" w:cs="Arial"/>
          <w:sz w:val="24"/>
          <w:szCs w:val="24"/>
        </w:rPr>
        <w:t xml:space="preserve">El costo anual para hacerle frente a la inclusión del nuevo puesto extraordinario es de </w:t>
      </w:r>
      <w:r w:rsidRPr="00DD4859">
        <w:rPr>
          <w:rFonts w:ascii="Times New Roman" w:eastAsia="Calibri" w:hAnsi="Times New Roman" w:cs="Times New Roman"/>
          <w:sz w:val="24"/>
          <w:szCs w:val="24"/>
        </w:rPr>
        <w:t>₡</w:t>
      </w:r>
      <w:r w:rsidRPr="00DD4859">
        <w:rPr>
          <w:rFonts w:ascii="Book Antiqua" w:eastAsia="Calibri" w:hAnsi="Book Antiqua" w:cs="Arial"/>
          <w:sz w:val="24"/>
          <w:szCs w:val="24"/>
        </w:rPr>
        <w:t>1</w:t>
      </w:r>
      <w:r w:rsidR="00AB3851">
        <w:rPr>
          <w:rFonts w:ascii="Book Antiqua" w:eastAsia="Calibri" w:hAnsi="Book Antiqua" w:cs="Arial"/>
          <w:sz w:val="24"/>
          <w:szCs w:val="24"/>
        </w:rPr>
        <w:t>3</w:t>
      </w:r>
      <w:r w:rsidRPr="00DD4859">
        <w:rPr>
          <w:rFonts w:ascii="Book Antiqua" w:eastAsia="Calibri" w:hAnsi="Book Antiqua" w:cs="Arial"/>
          <w:sz w:val="24"/>
          <w:szCs w:val="24"/>
        </w:rPr>
        <w:t>.</w:t>
      </w:r>
      <w:r>
        <w:rPr>
          <w:rFonts w:ascii="Book Antiqua" w:eastAsia="Calibri" w:hAnsi="Book Antiqua" w:cs="Arial"/>
          <w:sz w:val="24"/>
          <w:szCs w:val="24"/>
        </w:rPr>
        <w:t>8</w:t>
      </w:r>
      <w:r w:rsidR="00AB3851">
        <w:rPr>
          <w:rFonts w:ascii="Book Antiqua" w:eastAsia="Calibri" w:hAnsi="Book Antiqua" w:cs="Arial"/>
          <w:sz w:val="24"/>
          <w:szCs w:val="24"/>
        </w:rPr>
        <w:t>7</w:t>
      </w:r>
      <w:r>
        <w:rPr>
          <w:rFonts w:ascii="Book Antiqua" w:eastAsia="Calibri" w:hAnsi="Book Antiqua" w:cs="Arial"/>
          <w:sz w:val="24"/>
          <w:szCs w:val="24"/>
        </w:rPr>
        <w:t>8</w:t>
      </w:r>
      <w:r w:rsidRPr="00DD4859">
        <w:rPr>
          <w:rFonts w:ascii="Book Antiqua" w:eastAsia="Calibri" w:hAnsi="Book Antiqua" w:cs="Arial"/>
          <w:sz w:val="24"/>
          <w:szCs w:val="24"/>
        </w:rPr>
        <w:t>.000.</w:t>
      </w:r>
    </w:p>
    <w:p w14:paraId="14165356" w14:textId="77777777" w:rsidR="00DD4859" w:rsidRPr="001D0C10" w:rsidRDefault="00DD4859" w:rsidP="001D0C10">
      <w:pPr>
        <w:jc w:val="both"/>
        <w:rPr>
          <w:rFonts w:ascii="Book Antiqua" w:eastAsia="Calibri" w:hAnsi="Book Antiqua" w:cs="Arial"/>
          <w:i/>
          <w:iCs/>
          <w:sz w:val="20"/>
          <w:szCs w:val="20"/>
        </w:rPr>
      </w:pPr>
    </w:p>
    <w:p w14:paraId="1AD4E6F7" w14:textId="6BC632F6" w:rsidR="004C08C0" w:rsidRPr="00770255" w:rsidRDefault="00F46DA5" w:rsidP="0090609F">
      <w:pPr>
        <w:pStyle w:val="Ttulo1"/>
        <w:numPr>
          <w:ilvl w:val="0"/>
          <w:numId w:val="44"/>
        </w:numPr>
        <w:spacing w:line="276" w:lineRule="auto"/>
        <w:rPr>
          <w:lang w:eastAsia="es-CR"/>
        </w:rPr>
      </w:pPr>
      <w:r>
        <w:rPr>
          <w:lang w:eastAsia="es-CR"/>
        </w:rPr>
        <w:t>Otras Consideraciones</w:t>
      </w:r>
    </w:p>
    <w:p w14:paraId="6CCC27C0" w14:textId="784F7537" w:rsidR="003C1C29" w:rsidRDefault="003C1C29" w:rsidP="00833E7E">
      <w:pPr>
        <w:pStyle w:val="Ttulo"/>
        <w:spacing w:line="276" w:lineRule="auto"/>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A partir del análisis realizado en 202</w:t>
      </w:r>
      <w:r w:rsidR="00833E7E" w:rsidRPr="001D0C10">
        <w:rPr>
          <w:rFonts w:eastAsia="Calibri" w:cs="Arial"/>
          <w:b w:val="0"/>
          <w:color w:val="auto"/>
          <w:spacing w:val="0"/>
          <w:szCs w:val="24"/>
          <w:lang w:val="es-CR" w:eastAsia="en-US"/>
        </w:rPr>
        <w:t>1</w:t>
      </w:r>
      <w:r w:rsidRPr="001D0C10">
        <w:rPr>
          <w:rFonts w:eastAsia="Calibri" w:cs="Arial"/>
          <w:b w:val="0"/>
          <w:color w:val="auto"/>
          <w:spacing w:val="0"/>
          <w:szCs w:val="24"/>
          <w:lang w:val="es-CR" w:eastAsia="en-US"/>
        </w:rPr>
        <w:t xml:space="preserve"> mediante el informe </w:t>
      </w:r>
      <w:r w:rsidR="00833E7E" w:rsidRPr="001D0C10">
        <w:rPr>
          <w:rFonts w:eastAsia="Calibri" w:cs="Arial"/>
          <w:b w:val="0"/>
          <w:color w:val="auto"/>
          <w:spacing w:val="0"/>
          <w:szCs w:val="24"/>
          <w:lang w:val="es-CR" w:eastAsia="en-US"/>
        </w:rPr>
        <w:t>389</w:t>
      </w:r>
      <w:r w:rsidRPr="001D0C10">
        <w:rPr>
          <w:rFonts w:eastAsia="Calibri" w:cs="Arial"/>
          <w:b w:val="0"/>
          <w:color w:val="auto"/>
          <w:spacing w:val="0"/>
          <w:szCs w:val="24"/>
          <w:lang w:val="es-CR" w:eastAsia="en-US"/>
        </w:rPr>
        <w:t>-PLA-R</w:t>
      </w:r>
      <w:r w:rsidR="00F94535" w:rsidRPr="001D0C10">
        <w:rPr>
          <w:rFonts w:eastAsia="Calibri" w:cs="Arial"/>
          <w:b w:val="0"/>
          <w:color w:val="auto"/>
          <w:spacing w:val="0"/>
          <w:szCs w:val="24"/>
          <w:lang w:val="es-CR" w:eastAsia="en-US"/>
        </w:rPr>
        <w:t>H</w:t>
      </w:r>
      <w:r w:rsidRPr="001D0C10">
        <w:rPr>
          <w:rFonts w:eastAsia="Calibri" w:cs="Arial"/>
          <w:b w:val="0"/>
          <w:color w:val="auto"/>
          <w:spacing w:val="0"/>
          <w:szCs w:val="24"/>
          <w:lang w:val="es-CR" w:eastAsia="en-US"/>
        </w:rPr>
        <w:t>-</w:t>
      </w:r>
      <w:r w:rsidR="00A958BE" w:rsidRPr="001D0C10">
        <w:rPr>
          <w:rFonts w:eastAsia="Calibri" w:cs="Arial"/>
          <w:b w:val="0"/>
          <w:color w:val="auto"/>
          <w:spacing w:val="0"/>
          <w:szCs w:val="24"/>
          <w:lang w:val="es-CR" w:eastAsia="en-US"/>
        </w:rPr>
        <w:t>MI-</w:t>
      </w:r>
      <w:r w:rsidRPr="001D0C10">
        <w:rPr>
          <w:rFonts w:eastAsia="Calibri" w:cs="Arial"/>
          <w:b w:val="0"/>
          <w:color w:val="auto"/>
          <w:spacing w:val="0"/>
          <w:szCs w:val="24"/>
          <w:lang w:val="es-CR" w:eastAsia="en-US"/>
        </w:rPr>
        <w:t>202</w:t>
      </w:r>
      <w:r w:rsidR="00833E7E" w:rsidRPr="001D0C10">
        <w:rPr>
          <w:rFonts w:eastAsia="Calibri" w:cs="Arial"/>
          <w:b w:val="0"/>
          <w:color w:val="auto"/>
          <w:spacing w:val="0"/>
          <w:szCs w:val="24"/>
          <w:lang w:val="es-CR" w:eastAsia="en-US"/>
        </w:rPr>
        <w:t>1</w:t>
      </w:r>
      <w:r w:rsidR="00005CDE">
        <w:rPr>
          <w:rFonts w:eastAsia="Calibri" w:cs="Arial"/>
          <w:b w:val="0"/>
          <w:color w:val="auto"/>
          <w:spacing w:val="0"/>
          <w:szCs w:val="24"/>
          <w:lang w:val="es-CR" w:eastAsia="en-US"/>
        </w:rPr>
        <w:t xml:space="preserve"> para la formulación del presupuesto 2022</w:t>
      </w:r>
      <w:r w:rsidRPr="001D0C10">
        <w:rPr>
          <w:rFonts w:eastAsia="Calibri" w:cs="Arial"/>
          <w:b w:val="0"/>
          <w:color w:val="auto"/>
          <w:spacing w:val="0"/>
          <w:szCs w:val="24"/>
          <w:lang w:val="es-CR" w:eastAsia="en-US"/>
        </w:rPr>
        <w:t xml:space="preserve">, se solicitó a las distintas dependencias </w:t>
      </w:r>
      <w:r w:rsidRPr="001D0C10">
        <w:rPr>
          <w:rFonts w:eastAsia="Calibri" w:cs="Arial"/>
          <w:b w:val="0"/>
          <w:color w:val="auto"/>
          <w:spacing w:val="0"/>
          <w:szCs w:val="24"/>
          <w:lang w:val="es-CR" w:eastAsia="en-US"/>
        </w:rPr>
        <w:lastRenderedPageBreak/>
        <w:t xml:space="preserve">administrativas </w:t>
      </w:r>
      <w:bookmarkStart w:id="66" w:name="_Hlk97182007"/>
      <w:r w:rsidRPr="001D0C10">
        <w:rPr>
          <w:rFonts w:eastAsia="Calibri" w:cs="Arial"/>
          <w:b w:val="0"/>
          <w:color w:val="auto"/>
          <w:spacing w:val="0"/>
          <w:szCs w:val="24"/>
          <w:lang w:val="es-CR" w:eastAsia="en-US"/>
        </w:rPr>
        <w:t xml:space="preserve">actualizar para </w:t>
      </w:r>
      <w:r w:rsidR="00005CDE">
        <w:rPr>
          <w:rFonts w:eastAsia="Calibri" w:cs="Arial"/>
          <w:b w:val="0"/>
          <w:color w:val="auto"/>
          <w:spacing w:val="0"/>
          <w:szCs w:val="24"/>
          <w:lang w:val="es-CR" w:eastAsia="en-US"/>
        </w:rPr>
        <w:t xml:space="preserve">el presente informe, que corresponde a la formulación para </w:t>
      </w:r>
      <w:r w:rsidRPr="001D0C10">
        <w:rPr>
          <w:rFonts w:eastAsia="Calibri" w:cs="Arial"/>
          <w:b w:val="0"/>
          <w:color w:val="auto"/>
          <w:spacing w:val="0"/>
          <w:szCs w:val="24"/>
          <w:lang w:val="es-CR" w:eastAsia="en-US"/>
        </w:rPr>
        <w:t>202</w:t>
      </w:r>
      <w:r w:rsidR="00833E7E" w:rsidRPr="001D0C10">
        <w:rPr>
          <w:rFonts w:eastAsia="Calibri" w:cs="Arial"/>
          <w:b w:val="0"/>
          <w:color w:val="auto"/>
          <w:spacing w:val="0"/>
          <w:szCs w:val="24"/>
          <w:lang w:val="es-CR" w:eastAsia="en-US"/>
        </w:rPr>
        <w:t>3</w:t>
      </w:r>
      <w:r w:rsidR="00005CDE">
        <w:rPr>
          <w:rFonts w:eastAsia="Calibri" w:cs="Arial"/>
          <w:b w:val="0"/>
          <w:color w:val="auto"/>
          <w:spacing w:val="0"/>
          <w:szCs w:val="24"/>
          <w:lang w:val="es-CR" w:eastAsia="en-US"/>
        </w:rPr>
        <w:t>,</w:t>
      </w:r>
      <w:r w:rsidR="00833E7E" w:rsidRPr="001D0C10">
        <w:rPr>
          <w:rFonts w:eastAsia="Calibri" w:cs="Arial"/>
          <w:b w:val="0"/>
          <w:color w:val="auto"/>
          <w:spacing w:val="0"/>
          <w:szCs w:val="24"/>
          <w:lang w:val="es-CR" w:eastAsia="en-US"/>
        </w:rPr>
        <w:t xml:space="preserve"> </w:t>
      </w:r>
      <w:r w:rsidRPr="001D0C10">
        <w:rPr>
          <w:rFonts w:eastAsia="Calibri" w:cs="Arial"/>
          <w:b w:val="0"/>
          <w:color w:val="auto"/>
          <w:spacing w:val="0"/>
          <w:szCs w:val="24"/>
          <w:lang w:val="es-CR" w:eastAsia="en-US"/>
        </w:rPr>
        <w:t>los requerimientos de presupuesto de cada una.</w:t>
      </w:r>
    </w:p>
    <w:p w14:paraId="1B50AE40" w14:textId="77777777" w:rsidR="00AA01E7" w:rsidRDefault="00AA01E7" w:rsidP="00833E7E">
      <w:pPr>
        <w:pStyle w:val="Ttulo"/>
        <w:spacing w:line="276" w:lineRule="auto"/>
        <w:jc w:val="both"/>
        <w:rPr>
          <w:szCs w:val="24"/>
          <w:lang w:val="es-CR"/>
        </w:rPr>
      </w:pPr>
    </w:p>
    <w:bookmarkEnd w:id="66"/>
    <w:p w14:paraId="6CFFC5F4" w14:textId="77777777" w:rsidR="00B90E2C" w:rsidRPr="00B90E2C" w:rsidRDefault="00B90E2C" w:rsidP="00B90E2C">
      <w:pPr>
        <w:pStyle w:val="Prrafodelista"/>
        <w:keepNext/>
        <w:keepLines/>
        <w:numPr>
          <w:ilvl w:val="0"/>
          <w:numId w:val="1"/>
        </w:numPr>
        <w:pBdr>
          <w:top w:val="single" w:sz="2" w:space="1" w:color="1F3864" w:themeColor="accent1" w:themeShade="80"/>
          <w:left w:val="single" w:sz="2" w:space="4" w:color="1F3864" w:themeColor="accent1" w:themeShade="80"/>
          <w:bottom w:val="single" w:sz="2" w:space="1" w:color="1F3864" w:themeColor="accent1" w:themeShade="80"/>
          <w:right w:val="single" w:sz="2" w:space="4" w:color="1F3864" w:themeColor="accent1" w:themeShade="80"/>
        </w:pBdr>
        <w:shd w:val="clear" w:color="auto" w:fill="2F86BB"/>
        <w:spacing w:before="240" w:after="240" w:line="240" w:lineRule="auto"/>
        <w:contextualSpacing w:val="0"/>
        <w:jc w:val="both"/>
        <w:outlineLvl w:val="0"/>
        <w:rPr>
          <w:rFonts w:ascii="Book Antiqua" w:eastAsiaTheme="majorEastAsia" w:hAnsi="Book Antiqua" w:cstheme="majorBidi"/>
          <w:b/>
          <w:vanish/>
          <w:color w:val="FFFFFF" w:themeColor="background1"/>
          <w:sz w:val="24"/>
          <w:szCs w:val="32"/>
          <w:lang w:val="es-ES"/>
        </w:rPr>
      </w:pPr>
    </w:p>
    <w:p w14:paraId="533CA029" w14:textId="06F12AB3" w:rsidR="00833E7E" w:rsidRPr="00AA01E7" w:rsidRDefault="00833E7E"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Dirección Ejecutiva</w:t>
      </w:r>
    </w:p>
    <w:p w14:paraId="3A29AB80" w14:textId="77777777" w:rsidR="00B90E2C" w:rsidRDefault="00B90E2C" w:rsidP="00E728EE">
      <w:pPr>
        <w:spacing w:after="0" w:line="276" w:lineRule="auto"/>
        <w:jc w:val="both"/>
        <w:rPr>
          <w:rFonts w:ascii="Book Antiqua" w:eastAsia="Calibri" w:hAnsi="Book Antiqua" w:cs="Arial"/>
          <w:sz w:val="24"/>
          <w:szCs w:val="24"/>
        </w:rPr>
      </w:pPr>
    </w:p>
    <w:p w14:paraId="7464A7AA" w14:textId="6397306D" w:rsidR="00E728EE" w:rsidRPr="00E728EE" w:rsidRDefault="00E728EE" w:rsidP="00E728EE">
      <w:pPr>
        <w:spacing w:after="0" w:line="276" w:lineRule="auto"/>
        <w:jc w:val="both"/>
        <w:rPr>
          <w:rFonts w:ascii="Book Antiqua" w:eastAsia="Calibri" w:hAnsi="Book Antiqua" w:cs="Arial"/>
          <w:sz w:val="24"/>
          <w:szCs w:val="24"/>
        </w:rPr>
      </w:pPr>
      <w:r w:rsidRPr="00E728EE">
        <w:rPr>
          <w:rFonts w:ascii="Book Antiqua" w:eastAsia="Calibri" w:hAnsi="Book Antiqua" w:cs="Arial"/>
          <w:sz w:val="24"/>
          <w:szCs w:val="24"/>
        </w:rPr>
        <w:t xml:space="preserve">La Dirección Ejecutiva mediante oficio </w:t>
      </w:r>
      <w:r w:rsidR="00E139E9">
        <w:rPr>
          <w:rFonts w:ascii="Book Antiqua" w:eastAsia="Calibri" w:hAnsi="Book Antiqua" w:cs="Arial"/>
          <w:sz w:val="24"/>
          <w:szCs w:val="24"/>
        </w:rPr>
        <w:t>982</w:t>
      </w:r>
      <w:r w:rsidRPr="00E728EE">
        <w:rPr>
          <w:rFonts w:ascii="Book Antiqua" w:eastAsia="Calibri" w:hAnsi="Book Antiqua" w:cs="Arial"/>
          <w:sz w:val="24"/>
          <w:szCs w:val="24"/>
        </w:rPr>
        <w:t>-DE-202</w:t>
      </w:r>
      <w:r w:rsidR="00E139E9">
        <w:rPr>
          <w:rFonts w:ascii="Book Antiqua" w:eastAsia="Calibri" w:hAnsi="Book Antiqua" w:cs="Arial"/>
          <w:sz w:val="24"/>
          <w:szCs w:val="24"/>
        </w:rPr>
        <w:t>2</w:t>
      </w:r>
      <w:r w:rsidRPr="00E728EE">
        <w:rPr>
          <w:rFonts w:ascii="Book Antiqua" w:eastAsia="Calibri" w:hAnsi="Book Antiqua" w:cs="Arial"/>
          <w:sz w:val="24"/>
          <w:szCs w:val="24"/>
        </w:rPr>
        <w:t xml:space="preserve"> (</w:t>
      </w:r>
      <w:r w:rsidRPr="00E728EE">
        <w:rPr>
          <w:rFonts w:ascii="Book Antiqua" w:eastAsia="Calibri" w:hAnsi="Book Antiqua" w:cs="Arial"/>
          <w:b/>
          <w:bCs/>
          <w:i/>
          <w:iCs/>
          <w:sz w:val="24"/>
          <w:szCs w:val="24"/>
        </w:rPr>
        <w:t>anexo 2</w:t>
      </w:r>
      <w:r w:rsidR="006C3D1F">
        <w:rPr>
          <w:rFonts w:ascii="Book Antiqua" w:eastAsia="Calibri" w:hAnsi="Book Antiqua" w:cs="Arial"/>
          <w:b/>
          <w:bCs/>
          <w:i/>
          <w:iCs/>
          <w:sz w:val="24"/>
          <w:szCs w:val="24"/>
        </w:rPr>
        <w:t>5</w:t>
      </w:r>
      <w:r w:rsidRPr="00E728EE">
        <w:rPr>
          <w:rFonts w:ascii="Book Antiqua" w:eastAsia="Calibri" w:hAnsi="Book Antiqua" w:cs="Arial"/>
          <w:b/>
          <w:bCs/>
          <w:i/>
          <w:iCs/>
          <w:sz w:val="24"/>
          <w:szCs w:val="24"/>
        </w:rPr>
        <w:t>)</w:t>
      </w:r>
      <w:r w:rsidRPr="00E728EE">
        <w:rPr>
          <w:rFonts w:ascii="Book Antiqua" w:eastAsia="Calibri" w:hAnsi="Book Antiqua" w:cs="Arial"/>
          <w:sz w:val="24"/>
          <w:szCs w:val="24"/>
        </w:rPr>
        <w:t xml:space="preserve"> indic</w:t>
      </w:r>
      <w:r w:rsidR="00005309">
        <w:rPr>
          <w:rFonts w:ascii="Book Antiqua" w:eastAsia="Calibri" w:hAnsi="Book Antiqua" w:cs="Arial"/>
          <w:sz w:val="24"/>
          <w:szCs w:val="24"/>
        </w:rPr>
        <w:t>ó</w:t>
      </w:r>
      <w:r w:rsidRPr="00E728EE">
        <w:rPr>
          <w:rFonts w:ascii="Book Antiqua" w:eastAsia="Calibri" w:hAnsi="Book Antiqua" w:cs="Arial"/>
          <w:sz w:val="24"/>
          <w:szCs w:val="24"/>
        </w:rPr>
        <w:t>:</w:t>
      </w:r>
    </w:p>
    <w:p w14:paraId="5BFBAC21" w14:textId="3C774764" w:rsidR="003A4CA7" w:rsidRDefault="003766B5" w:rsidP="00C76A9A">
      <w:pPr>
        <w:pStyle w:val="Ttulo"/>
        <w:spacing w:line="276" w:lineRule="auto"/>
        <w:jc w:val="both"/>
        <w:rPr>
          <w:szCs w:val="24"/>
          <w:lang w:val="es-CR"/>
        </w:rPr>
      </w:pPr>
      <w:r>
        <w:rPr>
          <w:szCs w:val="24"/>
          <w:lang w:val="es-CR"/>
        </w:rPr>
        <w:t>“…</w:t>
      </w:r>
    </w:p>
    <w:p w14:paraId="066B0205" w14:textId="5EF05342" w:rsidR="003A4CA7" w:rsidRDefault="004C072F" w:rsidP="003A4CA7">
      <w:pPr>
        <w:spacing w:after="0" w:line="240" w:lineRule="auto"/>
        <w:ind w:left="567" w:right="616"/>
        <w:jc w:val="both"/>
        <w:rPr>
          <w:rFonts w:ascii="Book Antiqua" w:hAnsi="Book Antiqua"/>
          <w:i/>
          <w:iCs/>
        </w:rPr>
      </w:pPr>
      <w:r w:rsidRPr="001D0C10">
        <w:rPr>
          <w:rFonts w:ascii="Book Antiqua" w:hAnsi="Book Antiqua"/>
          <w:i/>
          <w:iCs/>
        </w:rPr>
        <w:t>me permito adjuntar el presupuesto para los programas 926 y 927 debidamente actualizado</w:t>
      </w:r>
      <w:r w:rsidR="003766B5">
        <w:rPr>
          <w:rFonts w:ascii="Book Antiqua" w:hAnsi="Book Antiqua"/>
          <w:i/>
          <w:iCs/>
        </w:rPr>
        <w:t>…”</w:t>
      </w:r>
    </w:p>
    <w:p w14:paraId="44B6FCA5" w14:textId="77FA1502" w:rsidR="003766B5" w:rsidRDefault="003766B5" w:rsidP="003A4CA7">
      <w:pPr>
        <w:spacing w:after="0" w:line="240" w:lineRule="auto"/>
        <w:ind w:left="567" w:right="616"/>
        <w:jc w:val="both"/>
        <w:rPr>
          <w:rFonts w:ascii="Book Antiqua" w:hAnsi="Book Antiqua"/>
          <w:i/>
          <w:iCs/>
        </w:rPr>
      </w:pPr>
    </w:p>
    <w:tbl>
      <w:tblPr>
        <w:tblW w:w="4160" w:type="dxa"/>
        <w:jc w:val="center"/>
        <w:tblCellMar>
          <w:left w:w="70" w:type="dxa"/>
          <w:right w:w="70" w:type="dxa"/>
        </w:tblCellMar>
        <w:tblLook w:val="04A0" w:firstRow="1" w:lastRow="0" w:firstColumn="1" w:lastColumn="0" w:noHBand="0" w:noVBand="1"/>
      </w:tblPr>
      <w:tblGrid>
        <w:gridCol w:w="1691"/>
        <w:gridCol w:w="2469"/>
      </w:tblGrid>
      <w:tr w:rsidR="006F62C6" w:rsidRPr="006F62C6" w14:paraId="09F648F6" w14:textId="77777777" w:rsidTr="00035934">
        <w:trPr>
          <w:trHeight w:val="300"/>
          <w:jc w:val="center"/>
        </w:trPr>
        <w:tc>
          <w:tcPr>
            <w:tcW w:w="1691" w:type="dxa"/>
            <w:tcBorders>
              <w:top w:val="single" w:sz="8" w:space="0" w:color="auto"/>
              <w:left w:val="single" w:sz="8" w:space="0" w:color="auto"/>
              <w:bottom w:val="single" w:sz="8" w:space="0" w:color="auto"/>
              <w:right w:val="single" w:sz="4" w:space="0" w:color="auto"/>
            </w:tcBorders>
            <w:shd w:val="clear" w:color="000000" w:fill="FFE699"/>
            <w:noWrap/>
            <w:vAlign w:val="bottom"/>
            <w:hideMark/>
          </w:tcPr>
          <w:p w14:paraId="3E21684A" w14:textId="77777777" w:rsidR="006F62C6" w:rsidRPr="006F62C6" w:rsidRDefault="006F62C6" w:rsidP="006F62C6">
            <w:pPr>
              <w:spacing w:after="0" w:line="240" w:lineRule="auto"/>
              <w:jc w:val="center"/>
              <w:rPr>
                <w:rFonts w:ascii="Calibri" w:eastAsia="Times New Roman" w:hAnsi="Calibri" w:cs="Calibri"/>
                <w:b/>
                <w:bCs/>
                <w:color w:val="000000"/>
                <w:lang w:eastAsia="es-CR"/>
              </w:rPr>
            </w:pPr>
            <w:r w:rsidRPr="006F62C6">
              <w:rPr>
                <w:rFonts w:ascii="Calibri" w:eastAsia="Times New Roman" w:hAnsi="Calibri" w:cs="Calibri"/>
                <w:b/>
                <w:bCs/>
                <w:color w:val="000000"/>
                <w:lang w:eastAsia="es-CR"/>
              </w:rPr>
              <w:t>Programa</w:t>
            </w:r>
          </w:p>
        </w:tc>
        <w:tc>
          <w:tcPr>
            <w:tcW w:w="2469" w:type="dxa"/>
            <w:tcBorders>
              <w:top w:val="single" w:sz="8" w:space="0" w:color="auto"/>
              <w:left w:val="nil"/>
              <w:bottom w:val="single" w:sz="8" w:space="0" w:color="auto"/>
              <w:right w:val="single" w:sz="8" w:space="0" w:color="auto"/>
            </w:tcBorders>
            <w:shd w:val="clear" w:color="000000" w:fill="FFE699"/>
            <w:noWrap/>
            <w:vAlign w:val="bottom"/>
            <w:hideMark/>
          </w:tcPr>
          <w:p w14:paraId="22AAB534" w14:textId="77777777" w:rsidR="006F62C6" w:rsidRPr="006F62C6" w:rsidRDefault="006F62C6" w:rsidP="006F62C6">
            <w:pPr>
              <w:spacing w:after="0" w:line="240" w:lineRule="auto"/>
              <w:jc w:val="center"/>
              <w:rPr>
                <w:rFonts w:ascii="Calibri" w:eastAsia="Times New Roman" w:hAnsi="Calibri" w:cs="Calibri"/>
                <w:b/>
                <w:bCs/>
                <w:color w:val="000000"/>
                <w:lang w:eastAsia="es-CR"/>
              </w:rPr>
            </w:pPr>
            <w:r w:rsidRPr="006F62C6">
              <w:rPr>
                <w:rFonts w:ascii="Calibri" w:eastAsia="Times New Roman" w:hAnsi="Calibri" w:cs="Calibri"/>
                <w:b/>
                <w:bCs/>
                <w:color w:val="000000"/>
                <w:lang w:eastAsia="es-CR"/>
              </w:rPr>
              <w:t>Monto total</w:t>
            </w:r>
          </w:p>
        </w:tc>
      </w:tr>
      <w:tr w:rsidR="006F62C6" w:rsidRPr="006F62C6" w14:paraId="32200264" w14:textId="77777777" w:rsidTr="00035934">
        <w:trPr>
          <w:trHeight w:val="288"/>
          <w:jc w:val="center"/>
        </w:trPr>
        <w:tc>
          <w:tcPr>
            <w:tcW w:w="1691" w:type="dxa"/>
            <w:tcBorders>
              <w:top w:val="nil"/>
              <w:left w:val="single" w:sz="8" w:space="0" w:color="auto"/>
              <w:bottom w:val="single" w:sz="4" w:space="0" w:color="auto"/>
              <w:right w:val="single" w:sz="4" w:space="0" w:color="auto"/>
            </w:tcBorders>
            <w:shd w:val="clear" w:color="000000" w:fill="FFFFFF"/>
            <w:noWrap/>
            <w:vAlign w:val="bottom"/>
            <w:hideMark/>
          </w:tcPr>
          <w:p w14:paraId="4859BA44" w14:textId="77777777" w:rsidR="006F62C6" w:rsidRPr="006F62C6" w:rsidRDefault="006F62C6" w:rsidP="006F62C6">
            <w:pPr>
              <w:spacing w:after="0" w:line="240" w:lineRule="auto"/>
              <w:jc w:val="center"/>
              <w:rPr>
                <w:rFonts w:ascii="Calibri" w:eastAsia="Times New Roman" w:hAnsi="Calibri" w:cs="Calibri"/>
                <w:color w:val="000000"/>
                <w:lang w:eastAsia="es-CR"/>
              </w:rPr>
            </w:pPr>
            <w:r w:rsidRPr="006F62C6">
              <w:rPr>
                <w:rFonts w:ascii="Calibri" w:eastAsia="Times New Roman" w:hAnsi="Calibri" w:cs="Calibri"/>
                <w:color w:val="000000"/>
                <w:lang w:eastAsia="es-CR"/>
              </w:rPr>
              <w:t>926</w:t>
            </w:r>
          </w:p>
        </w:tc>
        <w:tc>
          <w:tcPr>
            <w:tcW w:w="2469" w:type="dxa"/>
            <w:tcBorders>
              <w:top w:val="nil"/>
              <w:left w:val="nil"/>
              <w:bottom w:val="single" w:sz="4" w:space="0" w:color="auto"/>
              <w:right w:val="single" w:sz="8" w:space="0" w:color="auto"/>
            </w:tcBorders>
            <w:shd w:val="clear" w:color="000000" w:fill="FFFFFF"/>
            <w:noWrap/>
            <w:vAlign w:val="bottom"/>
            <w:hideMark/>
          </w:tcPr>
          <w:p w14:paraId="354BA5AF" w14:textId="77777777" w:rsidR="006F62C6" w:rsidRPr="006F62C6" w:rsidRDefault="006F62C6" w:rsidP="006F62C6">
            <w:pPr>
              <w:spacing w:after="0" w:line="240" w:lineRule="auto"/>
              <w:jc w:val="center"/>
              <w:rPr>
                <w:rFonts w:ascii="Calibri" w:eastAsia="Times New Roman" w:hAnsi="Calibri" w:cs="Calibri"/>
                <w:color w:val="000000"/>
                <w:lang w:eastAsia="es-CR"/>
              </w:rPr>
            </w:pPr>
            <w:r w:rsidRPr="006F62C6">
              <w:rPr>
                <w:rFonts w:ascii="Calibri" w:eastAsia="Times New Roman" w:hAnsi="Calibri" w:cs="Calibri"/>
                <w:color w:val="000000"/>
                <w:lang w:eastAsia="es-CR"/>
              </w:rPr>
              <w:t>₡642 250,00</w:t>
            </w:r>
          </w:p>
        </w:tc>
      </w:tr>
      <w:tr w:rsidR="006F62C6" w:rsidRPr="006F62C6" w14:paraId="1691AC33" w14:textId="77777777" w:rsidTr="00035934">
        <w:trPr>
          <w:trHeight w:val="300"/>
          <w:jc w:val="center"/>
        </w:trPr>
        <w:tc>
          <w:tcPr>
            <w:tcW w:w="1691" w:type="dxa"/>
            <w:tcBorders>
              <w:top w:val="nil"/>
              <w:left w:val="single" w:sz="8" w:space="0" w:color="auto"/>
              <w:bottom w:val="single" w:sz="8" w:space="0" w:color="auto"/>
              <w:right w:val="single" w:sz="4" w:space="0" w:color="auto"/>
            </w:tcBorders>
            <w:shd w:val="clear" w:color="000000" w:fill="FFFFFF"/>
            <w:noWrap/>
            <w:vAlign w:val="bottom"/>
            <w:hideMark/>
          </w:tcPr>
          <w:p w14:paraId="11088BAD" w14:textId="77777777" w:rsidR="006F62C6" w:rsidRPr="006F62C6" w:rsidRDefault="006F62C6" w:rsidP="006F62C6">
            <w:pPr>
              <w:spacing w:after="0" w:line="240" w:lineRule="auto"/>
              <w:jc w:val="center"/>
              <w:rPr>
                <w:rFonts w:ascii="Calibri" w:eastAsia="Times New Roman" w:hAnsi="Calibri" w:cs="Calibri"/>
                <w:color w:val="000000"/>
                <w:lang w:eastAsia="es-CR"/>
              </w:rPr>
            </w:pPr>
            <w:r w:rsidRPr="006F62C6">
              <w:rPr>
                <w:rFonts w:ascii="Calibri" w:eastAsia="Times New Roman" w:hAnsi="Calibri" w:cs="Calibri"/>
                <w:color w:val="000000"/>
                <w:lang w:eastAsia="es-CR"/>
              </w:rPr>
              <w:t>927</w:t>
            </w:r>
          </w:p>
        </w:tc>
        <w:tc>
          <w:tcPr>
            <w:tcW w:w="2469" w:type="dxa"/>
            <w:tcBorders>
              <w:top w:val="nil"/>
              <w:left w:val="nil"/>
              <w:bottom w:val="single" w:sz="8" w:space="0" w:color="auto"/>
              <w:right w:val="single" w:sz="8" w:space="0" w:color="auto"/>
            </w:tcBorders>
            <w:shd w:val="clear" w:color="000000" w:fill="FFFFFF"/>
            <w:noWrap/>
            <w:vAlign w:val="bottom"/>
            <w:hideMark/>
          </w:tcPr>
          <w:p w14:paraId="0FE31B0E" w14:textId="77777777" w:rsidR="006F62C6" w:rsidRPr="006F62C6" w:rsidRDefault="006F62C6" w:rsidP="006F62C6">
            <w:pPr>
              <w:spacing w:after="0" w:line="240" w:lineRule="auto"/>
              <w:jc w:val="center"/>
              <w:rPr>
                <w:rFonts w:ascii="Calibri" w:eastAsia="Times New Roman" w:hAnsi="Calibri" w:cs="Calibri"/>
                <w:color w:val="000000"/>
                <w:lang w:eastAsia="es-CR"/>
              </w:rPr>
            </w:pPr>
            <w:r w:rsidRPr="006F62C6">
              <w:rPr>
                <w:rFonts w:ascii="Calibri" w:eastAsia="Times New Roman" w:hAnsi="Calibri" w:cs="Calibri"/>
                <w:color w:val="000000"/>
                <w:lang w:eastAsia="es-CR"/>
              </w:rPr>
              <w:t>₡5 727 395,00</w:t>
            </w:r>
          </w:p>
        </w:tc>
      </w:tr>
    </w:tbl>
    <w:p w14:paraId="5004EE4E" w14:textId="77777777" w:rsidR="006F62C6" w:rsidRPr="001D0C10" w:rsidRDefault="006F62C6" w:rsidP="003A4CA7">
      <w:pPr>
        <w:spacing w:after="0" w:line="240" w:lineRule="auto"/>
        <w:ind w:left="567" w:right="616"/>
        <w:jc w:val="both"/>
        <w:rPr>
          <w:rFonts w:ascii="Book Antiqua" w:hAnsi="Book Antiqua"/>
          <w:i/>
          <w:iCs/>
        </w:rPr>
      </w:pPr>
    </w:p>
    <w:p w14:paraId="523929B2" w14:textId="56A0B827" w:rsidR="003A4CA7" w:rsidRPr="003A4CA7" w:rsidRDefault="003A4CA7" w:rsidP="003A4CA7">
      <w:pPr>
        <w:spacing w:after="0" w:line="240" w:lineRule="auto"/>
        <w:ind w:left="567" w:right="616"/>
        <w:jc w:val="center"/>
        <w:rPr>
          <w:rFonts w:ascii="Book Antiqua" w:eastAsia="Calibri" w:hAnsi="Book Antiqua" w:cs="Arial"/>
          <w:i/>
          <w:iCs/>
        </w:rPr>
      </w:pPr>
    </w:p>
    <w:p w14:paraId="4C5E2A67" w14:textId="77777777" w:rsidR="007A778D" w:rsidRPr="007A778D" w:rsidRDefault="007A778D" w:rsidP="007A778D">
      <w:pPr>
        <w:pStyle w:val="Ttulo"/>
        <w:spacing w:line="276" w:lineRule="auto"/>
        <w:jc w:val="both"/>
        <w:rPr>
          <w:rFonts w:eastAsia="Calibri" w:cs="Arial"/>
          <w:b w:val="0"/>
          <w:i/>
          <w:iCs/>
          <w:color w:val="auto"/>
          <w:spacing w:val="0"/>
          <w:sz w:val="22"/>
          <w:szCs w:val="22"/>
          <w:lang w:val="es-CR" w:eastAsia="en-US"/>
        </w:rPr>
      </w:pPr>
      <w:r w:rsidRPr="007A778D">
        <w:rPr>
          <w:rFonts w:eastAsia="Calibri" w:cs="Arial"/>
          <w:b w:val="0"/>
          <w:i/>
          <w:iCs/>
          <w:color w:val="auto"/>
          <w:spacing w:val="0"/>
          <w:sz w:val="22"/>
          <w:szCs w:val="22"/>
          <w:lang w:val="es-CR" w:eastAsia="en-US"/>
        </w:rPr>
        <w:t>Finalmente, y en relación con el artículo 286 de la Ley 9747, el cual crea el Fondo de Pensiones Alimentarias para cubrir cualquiera de las obligaciones alimentaria que se encuentran pendientes de pago, total o parcialmente y el cual establece a la Corte Suprema de Justicia designar un órgano competente para su administración; según el acuerdo tomado por el Consejo Superior del Poder Judicial, en sesión N° 79-2021 celebrada el 9 de setiembre de 2021, artículo XXXIX y considerando que la actual redacción se encuentra vigente y de ser esta la que prevalezca, me permito indicarle que esta Dirección en conjunto con el Departamento Financiero Contable considera la necesidad de definir una estructura y funciones claras para los nuevos recursos (plazas) que requerirán para la administración de ese Fondo.</w:t>
      </w:r>
    </w:p>
    <w:p w14:paraId="00C254AA" w14:textId="7B65CF24" w:rsidR="003A4CA7" w:rsidRDefault="007A778D" w:rsidP="007A778D">
      <w:pPr>
        <w:pStyle w:val="Ttulo"/>
        <w:spacing w:line="276" w:lineRule="auto"/>
        <w:jc w:val="both"/>
        <w:rPr>
          <w:rFonts w:eastAsia="Calibri" w:cs="Arial"/>
          <w:b w:val="0"/>
          <w:i/>
          <w:iCs/>
          <w:color w:val="auto"/>
          <w:spacing w:val="0"/>
          <w:sz w:val="22"/>
          <w:szCs w:val="22"/>
          <w:lang w:val="es-CR" w:eastAsia="en-US"/>
        </w:rPr>
      </w:pPr>
      <w:r w:rsidRPr="007A778D">
        <w:rPr>
          <w:rFonts w:eastAsia="Calibri" w:cs="Arial"/>
          <w:b w:val="0"/>
          <w:i/>
          <w:iCs/>
          <w:color w:val="auto"/>
          <w:spacing w:val="0"/>
          <w:sz w:val="22"/>
          <w:szCs w:val="22"/>
          <w:lang w:val="es-CR" w:eastAsia="en-US"/>
        </w:rPr>
        <w:t>Esta Dirección Ejecutiva, ha estado en total disposición de participar en la reglamentación y operativización del citado Fondo, para lo anterior, se tendrá una reunión con la Comisión de Familia y la Dirección Jurídica el próximo martes 15 de marzo; no obstante, deberá tenerse presenta la necesidad del recurso, lo cual se informó en el oficio 361-DE-2021 del 3 de febrero de 2021, sin embargo,  debido a los diversas cuestionamientos sobre el artículo 286 de la Ley, no ha sido posible concretar</w:t>
      </w:r>
    </w:p>
    <w:p w14:paraId="5953A3F4" w14:textId="28938D1C" w:rsidR="003A4CA7" w:rsidRDefault="00A2677F" w:rsidP="003A4CA7">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Adjuntan</w:t>
      </w:r>
      <w:r w:rsidR="003A4CA7" w:rsidRPr="003A4CA7">
        <w:rPr>
          <w:rFonts w:ascii="Book Antiqua" w:eastAsia="Calibri" w:hAnsi="Book Antiqua" w:cs="Arial"/>
          <w:sz w:val="24"/>
          <w:szCs w:val="24"/>
        </w:rPr>
        <w:t xml:space="preserve"> también el detalle por partida y subpartida presupuestaria</w:t>
      </w:r>
      <w:r w:rsidR="008B5860">
        <w:rPr>
          <w:rFonts w:ascii="Book Antiqua" w:eastAsia="Calibri" w:hAnsi="Book Antiqua" w:cs="Arial"/>
          <w:sz w:val="24"/>
          <w:szCs w:val="24"/>
        </w:rPr>
        <w:t xml:space="preserve"> para asumir el costo por mobiliario de las plazas que se recomiendan crear en este informe</w:t>
      </w:r>
      <w:r>
        <w:rPr>
          <w:rFonts w:ascii="Book Antiqua" w:eastAsia="Calibri" w:hAnsi="Book Antiqua" w:cs="Arial"/>
          <w:sz w:val="24"/>
          <w:szCs w:val="24"/>
        </w:rPr>
        <w:t>.</w:t>
      </w:r>
    </w:p>
    <w:p w14:paraId="3F993C52" w14:textId="62EDF4A7" w:rsidR="00BF4AFF" w:rsidRDefault="00BF4AFF" w:rsidP="003A4CA7">
      <w:pPr>
        <w:spacing w:after="0" w:line="276" w:lineRule="auto"/>
        <w:jc w:val="both"/>
        <w:rPr>
          <w:rFonts w:ascii="Book Antiqua" w:eastAsia="Calibri" w:hAnsi="Book Antiqua" w:cs="Arial"/>
          <w:sz w:val="24"/>
          <w:szCs w:val="24"/>
        </w:rPr>
      </w:pPr>
    </w:p>
    <w:p w14:paraId="5DCFA2A0" w14:textId="1D23CBCF" w:rsidR="00BF4AFF" w:rsidRPr="003A4CA7" w:rsidRDefault="00BF4AFF" w:rsidP="009B71C9">
      <w:pPr>
        <w:spacing w:after="0" w:line="276" w:lineRule="auto"/>
        <w:jc w:val="center"/>
        <w:rPr>
          <w:rFonts w:ascii="Book Antiqua" w:eastAsia="Calibri" w:hAnsi="Book Antiqua" w:cs="Arial"/>
          <w:sz w:val="24"/>
          <w:szCs w:val="24"/>
        </w:rPr>
      </w:pPr>
      <w:r>
        <w:rPr>
          <w:rFonts w:ascii="Book Antiqua" w:eastAsia="Calibri" w:hAnsi="Book Antiqua" w:cs="Arial"/>
          <w:sz w:val="24"/>
          <w:szCs w:val="24"/>
        </w:rPr>
        <w:object w:dxaOrig="1508" w:dyaOrig="983" w14:anchorId="014E90EE">
          <v:shape id="_x0000_i1045" type="#_x0000_t75" style="width:76pt;height:49.5pt" o:ole="">
            <v:imagedata r:id="rId71" o:title=""/>
          </v:shape>
          <o:OLEObject Type="Embed" ProgID="Excel.Sheet.12" ShapeID="_x0000_i1045" DrawAspect="Icon" ObjectID="_1718086589" r:id="rId72"/>
        </w:object>
      </w:r>
    </w:p>
    <w:p w14:paraId="2B3BEDD7" w14:textId="7006BB23" w:rsidR="003A4CA7" w:rsidRDefault="003A4CA7">
      <w:pPr>
        <w:pStyle w:val="Ttulo"/>
        <w:spacing w:line="276" w:lineRule="auto"/>
        <w:jc w:val="both"/>
        <w:rPr>
          <w:szCs w:val="24"/>
          <w:lang w:val="es-CR"/>
        </w:rPr>
      </w:pPr>
    </w:p>
    <w:p w14:paraId="6DA2F61C" w14:textId="77777777" w:rsidR="003A4CA7" w:rsidRPr="003A4CA7" w:rsidRDefault="003A4CA7" w:rsidP="003A4CA7">
      <w:pPr>
        <w:spacing w:after="0" w:line="276" w:lineRule="auto"/>
        <w:jc w:val="both"/>
        <w:rPr>
          <w:rFonts w:ascii="Book Antiqua" w:eastAsia="Calibri" w:hAnsi="Book Antiqua" w:cs="Arial"/>
          <w:sz w:val="24"/>
          <w:szCs w:val="24"/>
        </w:rPr>
      </w:pPr>
      <w:r w:rsidRPr="003A4CA7">
        <w:rPr>
          <w:rFonts w:ascii="Book Antiqua" w:eastAsia="Calibri" w:hAnsi="Book Antiqua" w:cs="Arial"/>
          <w:sz w:val="24"/>
          <w:szCs w:val="24"/>
        </w:rPr>
        <w:t xml:space="preserve">Nota: Se aclara que el monto para </w:t>
      </w:r>
      <w:r w:rsidRPr="003A4CA7">
        <w:rPr>
          <w:rFonts w:ascii="Book Antiqua" w:eastAsia="Calibri" w:hAnsi="Book Antiqua" w:cs="Arial"/>
          <w:i/>
          <w:iCs/>
          <w:sz w:val="24"/>
          <w:szCs w:val="24"/>
        </w:rPr>
        <w:t>“equipo y mobiliario”</w:t>
      </w:r>
      <w:r w:rsidRPr="003A4CA7">
        <w:rPr>
          <w:rFonts w:ascii="Book Antiqua" w:eastAsia="Calibri" w:hAnsi="Book Antiqua" w:cs="Arial"/>
          <w:sz w:val="24"/>
          <w:szCs w:val="24"/>
        </w:rPr>
        <w:t xml:space="preserve"> (no incluye el equipo de cómputo que es presupuestado por la Dirección de Tecnología de la Información).</w:t>
      </w:r>
    </w:p>
    <w:p w14:paraId="506686B0" w14:textId="77777777" w:rsidR="003A4CA7" w:rsidRDefault="003A4CA7" w:rsidP="009E73B0">
      <w:pPr>
        <w:pStyle w:val="Ttulo"/>
        <w:spacing w:line="276" w:lineRule="auto"/>
        <w:jc w:val="left"/>
        <w:rPr>
          <w:szCs w:val="24"/>
          <w:lang w:val="es-CR"/>
        </w:rPr>
      </w:pPr>
    </w:p>
    <w:p w14:paraId="787D1042" w14:textId="4BF60E98" w:rsidR="00833E7E" w:rsidRPr="00AA01E7" w:rsidRDefault="00833E7E"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 xml:space="preserve">Centro de Apoyo, Coordinación y Mejoramiento de la Función Jurisdiccional </w:t>
      </w:r>
    </w:p>
    <w:p w14:paraId="75FB5B8C" w14:textId="77777777" w:rsidR="00AA01E7" w:rsidRDefault="00AA01E7" w:rsidP="00EC4580">
      <w:pPr>
        <w:pStyle w:val="Ttulo"/>
        <w:spacing w:line="276" w:lineRule="auto"/>
        <w:jc w:val="both"/>
        <w:rPr>
          <w:rFonts w:eastAsia="Calibri" w:cs="Arial"/>
          <w:b w:val="0"/>
          <w:color w:val="auto"/>
          <w:spacing w:val="0"/>
          <w:szCs w:val="24"/>
          <w:lang w:val="es-CR" w:eastAsia="en-US"/>
        </w:rPr>
      </w:pPr>
    </w:p>
    <w:p w14:paraId="53236CCB" w14:textId="4BF0F532" w:rsidR="006C5705" w:rsidRDefault="00EC4580" w:rsidP="00EC4580">
      <w:pPr>
        <w:pStyle w:val="Ttulo"/>
        <w:spacing w:line="276" w:lineRule="auto"/>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 xml:space="preserve">Mediante oficio </w:t>
      </w:r>
      <w:r>
        <w:rPr>
          <w:rFonts w:eastAsia="Calibri" w:cs="Arial"/>
          <w:b w:val="0"/>
          <w:color w:val="auto"/>
          <w:spacing w:val="0"/>
          <w:szCs w:val="24"/>
          <w:lang w:val="es-CR" w:eastAsia="en-US"/>
        </w:rPr>
        <w:t>079</w:t>
      </w:r>
      <w:r w:rsidRPr="001D0C10">
        <w:rPr>
          <w:rFonts w:eastAsia="Calibri" w:cs="Arial"/>
          <w:b w:val="0"/>
          <w:color w:val="auto"/>
          <w:spacing w:val="0"/>
          <w:szCs w:val="24"/>
          <w:lang w:val="es-CR" w:eastAsia="en-US"/>
        </w:rPr>
        <w:t>-CACMFJ-JEF-202</w:t>
      </w:r>
      <w:r>
        <w:rPr>
          <w:rFonts w:eastAsia="Calibri" w:cs="Arial"/>
          <w:b w:val="0"/>
          <w:color w:val="auto"/>
          <w:spacing w:val="0"/>
          <w:szCs w:val="24"/>
          <w:lang w:val="es-CR" w:eastAsia="en-US"/>
        </w:rPr>
        <w:t>2</w:t>
      </w:r>
      <w:r w:rsidRPr="001D0C10">
        <w:rPr>
          <w:rFonts w:eastAsia="Calibri" w:cs="Arial"/>
          <w:b w:val="0"/>
          <w:color w:val="auto"/>
          <w:spacing w:val="0"/>
          <w:szCs w:val="24"/>
          <w:lang w:val="es-CR" w:eastAsia="en-US"/>
        </w:rPr>
        <w:t xml:space="preserve"> del </w:t>
      </w:r>
      <w:r>
        <w:rPr>
          <w:rFonts w:eastAsia="Calibri" w:cs="Arial"/>
          <w:b w:val="0"/>
          <w:color w:val="auto"/>
          <w:spacing w:val="0"/>
          <w:szCs w:val="24"/>
          <w:lang w:val="es-CR" w:eastAsia="en-US"/>
        </w:rPr>
        <w:t>3 marzo 2022</w:t>
      </w:r>
      <w:r w:rsidRPr="001D0C10">
        <w:rPr>
          <w:rFonts w:eastAsia="Calibri" w:cs="Arial"/>
          <w:b w:val="0"/>
          <w:color w:val="auto"/>
          <w:spacing w:val="0"/>
          <w:szCs w:val="24"/>
          <w:lang w:val="es-CR" w:eastAsia="en-US"/>
        </w:rPr>
        <w:t xml:space="preserve"> (anexo </w:t>
      </w:r>
      <w:r>
        <w:rPr>
          <w:rFonts w:eastAsia="Calibri" w:cs="Arial"/>
          <w:b w:val="0"/>
          <w:color w:val="auto"/>
          <w:spacing w:val="0"/>
          <w:szCs w:val="24"/>
          <w:lang w:val="es-CR" w:eastAsia="en-US"/>
        </w:rPr>
        <w:t>2</w:t>
      </w:r>
      <w:r w:rsidR="00E22B46">
        <w:rPr>
          <w:rFonts w:eastAsia="Calibri" w:cs="Arial"/>
          <w:b w:val="0"/>
          <w:color w:val="auto"/>
          <w:spacing w:val="0"/>
          <w:szCs w:val="24"/>
          <w:lang w:val="es-CR" w:eastAsia="en-US"/>
        </w:rPr>
        <w:t>0</w:t>
      </w:r>
      <w:r w:rsidRPr="001D0C10">
        <w:rPr>
          <w:rFonts w:eastAsia="Calibri" w:cs="Arial"/>
          <w:b w:val="0"/>
          <w:color w:val="auto"/>
          <w:spacing w:val="0"/>
          <w:szCs w:val="24"/>
          <w:lang w:val="es-CR" w:eastAsia="en-US"/>
        </w:rPr>
        <w:t xml:space="preserve">) el CACMFJ </w:t>
      </w:r>
      <w:r w:rsidR="00EF7067">
        <w:rPr>
          <w:rFonts w:eastAsia="Calibri" w:cs="Arial"/>
          <w:b w:val="0"/>
          <w:color w:val="auto"/>
          <w:spacing w:val="0"/>
          <w:szCs w:val="24"/>
          <w:lang w:val="es-CR" w:eastAsia="en-US"/>
        </w:rPr>
        <w:t xml:space="preserve">presenta </w:t>
      </w:r>
      <w:r w:rsidRPr="001D0C10">
        <w:rPr>
          <w:rFonts w:eastAsia="Calibri" w:cs="Arial"/>
          <w:b w:val="0"/>
          <w:color w:val="auto"/>
          <w:spacing w:val="0"/>
          <w:szCs w:val="24"/>
          <w:lang w:val="es-CR" w:eastAsia="en-US"/>
        </w:rPr>
        <w:t xml:space="preserve">la necesidad </w:t>
      </w:r>
      <w:r w:rsidR="00DC75F3">
        <w:rPr>
          <w:rFonts w:eastAsia="Calibri" w:cs="Arial"/>
          <w:b w:val="0"/>
          <w:color w:val="auto"/>
          <w:spacing w:val="0"/>
          <w:szCs w:val="24"/>
          <w:lang w:val="es-CR" w:eastAsia="en-US"/>
        </w:rPr>
        <w:t>de recurso humano</w:t>
      </w:r>
      <w:r w:rsidR="00EF7067">
        <w:rPr>
          <w:rFonts w:eastAsia="Calibri" w:cs="Arial"/>
          <w:b w:val="0"/>
          <w:color w:val="auto"/>
          <w:spacing w:val="0"/>
          <w:szCs w:val="24"/>
          <w:lang w:val="es-CR" w:eastAsia="en-US"/>
        </w:rPr>
        <w:t xml:space="preserve"> para </w:t>
      </w:r>
      <w:r w:rsidR="00EF7067" w:rsidRPr="00EF7067">
        <w:rPr>
          <w:rFonts w:eastAsia="Calibri" w:cs="Arial"/>
          <w:b w:val="0"/>
          <w:color w:val="auto"/>
          <w:spacing w:val="0"/>
          <w:szCs w:val="24"/>
          <w:lang w:val="es-CR" w:eastAsia="en-US"/>
        </w:rPr>
        <w:t>la entrada en vigencia de la Ley 9747 “</w:t>
      </w:r>
      <w:r w:rsidR="00EF7067" w:rsidRPr="001D0C10">
        <w:rPr>
          <w:rFonts w:eastAsia="Calibri" w:cs="Arial"/>
          <w:b w:val="0"/>
          <w:i/>
          <w:iCs/>
          <w:color w:val="auto"/>
          <w:spacing w:val="0"/>
          <w:szCs w:val="24"/>
          <w:lang w:val="es-CR" w:eastAsia="en-US"/>
        </w:rPr>
        <w:t>Código Procesal de Familia</w:t>
      </w:r>
      <w:r w:rsidR="00EF7067">
        <w:rPr>
          <w:rFonts w:eastAsia="Calibri" w:cs="Arial"/>
          <w:b w:val="0"/>
          <w:color w:val="auto"/>
          <w:spacing w:val="0"/>
          <w:szCs w:val="24"/>
          <w:lang w:val="es-CR" w:eastAsia="en-US"/>
        </w:rPr>
        <w:t>”</w:t>
      </w:r>
      <w:r w:rsidR="00EF7067" w:rsidRPr="00EF7067">
        <w:rPr>
          <w:rFonts w:eastAsia="Calibri" w:cs="Arial"/>
          <w:b w:val="0"/>
          <w:color w:val="auto"/>
          <w:spacing w:val="0"/>
          <w:szCs w:val="24"/>
          <w:lang w:val="es-CR" w:eastAsia="en-US"/>
        </w:rPr>
        <w:t xml:space="preserve"> </w:t>
      </w:r>
      <w:r w:rsidR="00EF7067">
        <w:rPr>
          <w:rFonts w:eastAsia="Calibri" w:cs="Arial"/>
          <w:b w:val="0"/>
          <w:color w:val="auto"/>
          <w:spacing w:val="0"/>
          <w:szCs w:val="24"/>
          <w:lang w:val="es-CR" w:eastAsia="en-US"/>
        </w:rPr>
        <w:t>correspondiente a crea</w:t>
      </w:r>
      <w:r w:rsidRPr="001D0C10">
        <w:rPr>
          <w:rFonts w:eastAsia="Calibri" w:cs="Arial"/>
          <w:b w:val="0"/>
          <w:color w:val="auto"/>
          <w:spacing w:val="0"/>
          <w:szCs w:val="24"/>
          <w:lang w:val="es-CR" w:eastAsia="en-US"/>
        </w:rPr>
        <w:t xml:space="preserve">r </w:t>
      </w:r>
      <w:r w:rsidR="00EF7067">
        <w:rPr>
          <w:rFonts w:eastAsia="Calibri" w:cs="Arial"/>
          <w:b w:val="0"/>
          <w:color w:val="auto"/>
          <w:spacing w:val="0"/>
          <w:szCs w:val="24"/>
          <w:lang w:val="es-CR" w:eastAsia="en-US"/>
        </w:rPr>
        <w:t>12</w:t>
      </w:r>
      <w:r w:rsidRPr="001D0C10">
        <w:rPr>
          <w:rFonts w:eastAsia="Calibri" w:cs="Arial"/>
          <w:b w:val="0"/>
          <w:color w:val="auto"/>
          <w:spacing w:val="0"/>
          <w:szCs w:val="24"/>
          <w:lang w:val="es-CR" w:eastAsia="en-US"/>
        </w:rPr>
        <w:t xml:space="preserve"> plazas para </w:t>
      </w:r>
      <w:r w:rsidR="002E675E">
        <w:rPr>
          <w:rFonts w:eastAsia="Calibri" w:cs="Arial"/>
          <w:b w:val="0"/>
          <w:color w:val="auto"/>
          <w:spacing w:val="0"/>
          <w:szCs w:val="24"/>
          <w:lang w:val="es-CR" w:eastAsia="en-US"/>
        </w:rPr>
        <w:t xml:space="preserve">la </w:t>
      </w:r>
      <w:r w:rsidRPr="001D0C10">
        <w:rPr>
          <w:rFonts w:eastAsia="Calibri" w:cs="Arial"/>
          <w:b w:val="0"/>
          <w:color w:val="auto"/>
          <w:spacing w:val="0"/>
          <w:szCs w:val="24"/>
          <w:lang w:val="es-CR" w:eastAsia="en-US"/>
        </w:rPr>
        <w:t>atención de la</w:t>
      </w:r>
      <w:r w:rsidR="00EF7067">
        <w:rPr>
          <w:rFonts w:eastAsia="Calibri" w:cs="Arial"/>
          <w:b w:val="0"/>
          <w:color w:val="auto"/>
          <w:spacing w:val="0"/>
          <w:szCs w:val="24"/>
          <w:lang w:val="es-CR" w:eastAsia="en-US"/>
        </w:rPr>
        <w:t>s</w:t>
      </w:r>
      <w:r w:rsidRPr="001D0C10">
        <w:rPr>
          <w:rFonts w:eastAsia="Calibri" w:cs="Arial"/>
          <w:b w:val="0"/>
          <w:color w:val="auto"/>
          <w:spacing w:val="0"/>
          <w:szCs w:val="24"/>
          <w:lang w:val="es-CR" w:eastAsia="en-US"/>
        </w:rPr>
        <w:t xml:space="preserve"> materia</w:t>
      </w:r>
      <w:r w:rsidR="00EF7067">
        <w:rPr>
          <w:rFonts w:eastAsia="Calibri" w:cs="Arial"/>
          <w:b w:val="0"/>
          <w:color w:val="auto"/>
          <w:spacing w:val="0"/>
          <w:szCs w:val="24"/>
          <w:lang w:val="es-CR" w:eastAsia="en-US"/>
        </w:rPr>
        <w:t>s</w:t>
      </w:r>
      <w:r w:rsidRPr="001D0C10">
        <w:rPr>
          <w:color w:val="auto"/>
          <w:szCs w:val="24"/>
          <w:lang w:val="es-CR"/>
        </w:rPr>
        <w:t xml:space="preserve"> </w:t>
      </w:r>
      <w:r w:rsidRPr="001D0C10">
        <w:rPr>
          <w:rFonts w:eastAsia="Calibri" w:cs="Arial"/>
          <w:b w:val="0"/>
          <w:color w:val="auto"/>
          <w:spacing w:val="0"/>
          <w:szCs w:val="24"/>
          <w:lang w:val="es-CR" w:eastAsia="en-US"/>
        </w:rPr>
        <w:t>de Familia</w:t>
      </w:r>
      <w:r w:rsidR="00EF7067">
        <w:rPr>
          <w:rFonts w:eastAsia="Calibri" w:cs="Arial"/>
          <w:b w:val="0"/>
          <w:color w:val="auto"/>
          <w:spacing w:val="0"/>
          <w:szCs w:val="24"/>
          <w:lang w:val="es-CR" w:eastAsia="en-US"/>
        </w:rPr>
        <w:t xml:space="preserve"> y Pensiones Alimentarias</w:t>
      </w:r>
      <w:r w:rsidRPr="001D0C10">
        <w:rPr>
          <w:rFonts w:eastAsia="Calibri" w:cs="Arial"/>
          <w:b w:val="0"/>
          <w:color w:val="auto"/>
          <w:spacing w:val="0"/>
          <w:szCs w:val="24"/>
          <w:lang w:val="es-CR" w:eastAsia="en-US"/>
        </w:rPr>
        <w:t>, apoyo a las labores de la</w:t>
      </w:r>
      <w:r w:rsidRPr="001D0C10">
        <w:rPr>
          <w:color w:val="auto"/>
          <w:szCs w:val="24"/>
          <w:lang w:val="es-CR"/>
        </w:rPr>
        <w:t xml:space="preserve"> </w:t>
      </w:r>
      <w:r w:rsidRPr="001D0C10">
        <w:rPr>
          <w:rFonts w:eastAsia="Calibri" w:cs="Arial"/>
          <w:b w:val="0"/>
          <w:color w:val="auto"/>
          <w:spacing w:val="0"/>
          <w:szCs w:val="24"/>
          <w:lang w:val="es-CR" w:eastAsia="en-US"/>
        </w:rPr>
        <w:t>gestoría, planes de trabajo, coordinaciones</w:t>
      </w:r>
      <w:r w:rsidR="00EF7067">
        <w:rPr>
          <w:rFonts w:eastAsia="Calibri" w:cs="Arial"/>
          <w:b w:val="0"/>
          <w:color w:val="auto"/>
          <w:spacing w:val="0"/>
          <w:szCs w:val="24"/>
          <w:lang w:val="es-CR" w:eastAsia="en-US"/>
        </w:rPr>
        <w:t>,</w:t>
      </w:r>
      <w:r w:rsidRPr="001D0C10">
        <w:rPr>
          <w:rFonts w:eastAsia="Calibri" w:cs="Arial"/>
          <w:b w:val="0"/>
          <w:color w:val="auto"/>
          <w:spacing w:val="0"/>
          <w:szCs w:val="24"/>
          <w:lang w:val="es-CR" w:eastAsia="en-US"/>
        </w:rPr>
        <w:t xml:space="preserve"> entre otras tareas</w:t>
      </w:r>
      <w:r w:rsidR="001A2A1B">
        <w:rPr>
          <w:rFonts w:eastAsia="Calibri" w:cs="Arial"/>
          <w:b w:val="0"/>
          <w:color w:val="auto"/>
          <w:spacing w:val="0"/>
          <w:szCs w:val="24"/>
          <w:lang w:val="es-CR" w:eastAsia="en-US"/>
        </w:rPr>
        <w:t xml:space="preserve">. </w:t>
      </w:r>
    </w:p>
    <w:p w14:paraId="7CD86A9C" w14:textId="77777777" w:rsidR="00F81BCC" w:rsidRDefault="00F81BCC" w:rsidP="00EC4580">
      <w:pPr>
        <w:pStyle w:val="Ttulo"/>
        <w:spacing w:line="276" w:lineRule="auto"/>
        <w:jc w:val="both"/>
        <w:rPr>
          <w:rFonts w:eastAsia="Calibri" w:cs="Arial"/>
          <w:b w:val="0"/>
          <w:color w:val="auto"/>
          <w:spacing w:val="0"/>
          <w:szCs w:val="24"/>
          <w:lang w:val="es-CR" w:eastAsia="en-US"/>
        </w:rPr>
      </w:pPr>
    </w:p>
    <w:p w14:paraId="421A8FAC" w14:textId="064ADC20" w:rsidR="00F81BCC" w:rsidRPr="00F81BCC" w:rsidRDefault="00F81BCC" w:rsidP="00F81BC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81BCC">
        <w:rPr>
          <w:rFonts w:ascii="Book Antiqua" w:eastAsia="Calibri" w:hAnsi="Book Antiqua" w:cs="Arial"/>
          <w:b/>
          <w:bCs/>
          <w:color w:val="1F497D"/>
          <w:szCs w:val="24"/>
          <w:lang w:val="es-ES" w:eastAsia="es-ES"/>
        </w:rPr>
        <w:t xml:space="preserve">Cuadro </w:t>
      </w:r>
      <w:r w:rsidRPr="00F81BCC">
        <w:rPr>
          <w:rFonts w:ascii="Book Antiqua" w:eastAsia="Calibri" w:hAnsi="Book Antiqua" w:cs="Arial"/>
          <w:b/>
          <w:bCs/>
          <w:color w:val="1F497D"/>
          <w:szCs w:val="24"/>
          <w:lang w:val="es-ES" w:eastAsia="es-ES"/>
        </w:rPr>
        <w:fldChar w:fldCharType="begin"/>
      </w:r>
      <w:r w:rsidRPr="00F81BCC">
        <w:rPr>
          <w:rFonts w:ascii="Book Antiqua" w:eastAsia="Calibri" w:hAnsi="Book Antiqua" w:cs="Arial"/>
          <w:b/>
          <w:bCs/>
          <w:color w:val="1F497D"/>
          <w:szCs w:val="24"/>
          <w:lang w:val="es-ES" w:eastAsia="es-ES"/>
        </w:rPr>
        <w:instrText xml:space="preserve"> SEQ Cuadro \* ARABIC </w:instrText>
      </w:r>
      <w:r w:rsidRPr="00F81BCC">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78</w:t>
      </w:r>
      <w:r w:rsidRPr="00F81BCC">
        <w:rPr>
          <w:rFonts w:ascii="Book Antiqua" w:eastAsia="Calibri" w:hAnsi="Book Antiqua" w:cs="Arial"/>
          <w:b/>
          <w:bCs/>
          <w:color w:val="1F497D"/>
          <w:szCs w:val="24"/>
          <w:lang w:val="es-ES" w:eastAsia="es-ES"/>
        </w:rPr>
        <w:fldChar w:fldCharType="end"/>
      </w:r>
      <w:r w:rsidRPr="00F81BCC">
        <w:rPr>
          <w:rFonts w:ascii="Book Antiqua" w:eastAsia="Calibri" w:hAnsi="Book Antiqua" w:cs="Arial"/>
          <w:b/>
          <w:bCs/>
          <w:color w:val="1F497D"/>
          <w:szCs w:val="24"/>
          <w:lang w:val="es-ES" w:eastAsia="es-ES"/>
        </w:rPr>
        <w:t xml:space="preserve"> </w:t>
      </w:r>
    </w:p>
    <w:p w14:paraId="10068B3C" w14:textId="6693FD98" w:rsidR="00F81BCC" w:rsidRPr="00F81BCC" w:rsidRDefault="00F81BCC" w:rsidP="00F81BCC">
      <w:pPr>
        <w:keepNext/>
        <w:numPr>
          <w:ilvl w:val="12"/>
          <w:numId w:val="0"/>
        </w:numPr>
        <w:spacing w:after="0" w:line="276" w:lineRule="auto"/>
        <w:jc w:val="center"/>
        <w:rPr>
          <w:rFonts w:ascii="Book Antiqua" w:eastAsia="Calibri" w:hAnsi="Book Antiqua" w:cs="Arial"/>
          <w:b/>
          <w:bCs/>
          <w:color w:val="1F497D"/>
          <w:szCs w:val="24"/>
          <w:lang w:val="es-ES" w:eastAsia="es-ES"/>
        </w:rPr>
      </w:pPr>
      <w:r w:rsidRPr="00F81BCC">
        <w:rPr>
          <w:rFonts w:ascii="Book Antiqua" w:eastAsia="Calibri" w:hAnsi="Book Antiqua" w:cs="Arial"/>
          <w:b/>
          <w:bCs/>
          <w:color w:val="1F497D"/>
          <w:szCs w:val="24"/>
          <w:lang w:val="es-ES" w:eastAsia="es-ES"/>
        </w:rPr>
        <w:t>Propuesta del recurso humano para el CACMFJ-atención Reforma CPF, 202</w:t>
      </w:r>
      <w:r>
        <w:rPr>
          <w:rFonts w:ascii="Book Antiqua" w:eastAsia="Calibri" w:hAnsi="Book Antiqua" w:cs="Arial"/>
          <w:b/>
          <w:bCs/>
          <w:color w:val="1F497D"/>
          <w:szCs w:val="24"/>
          <w:lang w:val="es-ES" w:eastAsia="es-ES"/>
        </w:rPr>
        <w:t>3</w:t>
      </w:r>
    </w:p>
    <w:tbl>
      <w:tblPr>
        <w:tblW w:w="10350" w:type="dxa"/>
        <w:jc w:val="center"/>
        <w:tblCellMar>
          <w:left w:w="70" w:type="dxa"/>
          <w:right w:w="70" w:type="dxa"/>
        </w:tblCellMar>
        <w:tblLook w:val="04A0" w:firstRow="1" w:lastRow="0" w:firstColumn="1" w:lastColumn="0" w:noHBand="0" w:noVBand="1"/>
      </w:tblPr>
      <w:tblGrid>
        <w:gridCol w:w="1567"/>
        <w:gridCol w:w="1193"/>
        <w:gridCol w:w="1882"/>
        <w:gridCol w:w="1096"/>
        <w:gridCol w:w="1813"/>
        <w:gridCol w:w="957"/>
        <w:gridCol w:w="1696"/>
        <w:gridCol w:w="146"/>
      </w:tblGrid>
      <w:tr w:rsidR="00F81BCC" w:rsidRPr="00F81BCC" w14:paraId="291958A1" w14:textId="77777777" w:rsidTr="001D0C10">
        <w:trPr>
          <w:gridAfter w:val="1"/>
          <w:wAfter w:w="146" w:type="dxa"/>
          <w:trHeight w:val="450"/>
          <w:jc w:val="center"/>
        </w:trPr>
        <w:tc>
          <w:tcPr>
            <w:tcW w:w="1567"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64A1BDB1"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Despacho</w:t>
            </w:r>
          </w:p>
        </w:tc>
        <w:tc>
          <w:tcPr>
            <w:tcW w:w="1193"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BF71E6C"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Cantidad</w:t>
            </w:r>
          </w:p>
        </w:tc>
        <w:tc>
          <w:tcPr>
            <w:tcW w:w="1882"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256D706"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Tipo de plaza</w:t>
            </w:r>
          </w:p>
        </w:tc>
        <w:tc>
          <w:tcPr>
            <w:tcW w:w="1096"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883C717"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Condición actual</w:t>
            </w:r>
          </w:p>
        </w:tc>
        <w:tc>
          <w:tcPr>
            <w:tcW w:w="1813"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27982E4"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Recomendación</w:t>
            </w:r>
          </w:p>
        </w:tc>
        <w:tc>
          <w:tcPr>
            <w:tcW w:w="957"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A9F2DE2"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Periodo</w:t>
            </w:r>
          </w:p>
        </w:tc>
        <w:tc>
          <w:tcPr>
            <w:tcW w:w="1696"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27B014C4" w14:textId="19373586"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r w:rsidRPr="00F81BCC">
              <w:rPr>
                <w:rFonts w:ascii="Book Antiqua" w:eastAsia="Times New Roman" w:hAnsi="Book Antiqua" w:cs="Calibri"/>
                <w:b/>
                <w:bCs/>
                <w:color w:val="FFFFFF"/>
                <w:sz w:val="20"/>
                <w:szCs w:val="20"/>
                <w:lang w:eastAsia="es-CR"/>
              </w:rPr>
              <w:t>Costo total para 2023</w:t>
            </w:r>
            <w:r w:rsidR="007E153E">
              <w:rPr>
                <w:rFonts w:ascii="Book Antiqua" w:eastAsia="Times New Roman" w:hAnsi="Book Antiqua" w:cs="Calibri"/>
                <w:b/>
                <w:bCs/>
                <w:color w:val="FFFFFF"/>
                <w:sz w:val="20"/>
                <w:szCs w:val="20"/>
                <w:lang w:eastAsia="es-CR"/>
              </w:rPr>
              <w:t>*</w:t>
            </w:r>
          </w:p>
        </w:tc>
      </w:tr>
      <w:tr w:rsidR="00F81BCC" w:rsidRPr="00F81BCC" w14:paraId="578B05C2" w14:textId="77777777" w:rsidTr="001D0C10">
        <w:trPr>
          <w:trHeight w:val="300"/>
          <w:jc w:val="center"/>
        </w:trPr>
        <w:tc>
          <w:tcPr>
            <w:tcW w:w="1567" w:type="dxa"/>
            <w:vMerge/>
            <w:tcBorders>
              <w:top w:val="single" w:sz="8" w:space="0" w:color="auto"/>
              <w:left w:val="single" w:sz="8" w:space="0" w:color="auto"/>
              <w:bottom w:val="single" w:sz="8" w:space="0" w:color="000000"/>
              <w:right w:val="single" w:sz="8" w:space="0" w:color="auto"/>
            </w:tcBorders>
            <w:vAlign w:val="center"/>
            <w:hideMark/>
          </w:tcPr>
          <w:p w14:paraId="4C69DF85"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193" w:type="dxa"/>
            <w:vMerge/>
            <w:tcBorders>
              <w:top w:val="single" w:sz="8" w:space="0" w:color="auto"/>
              <w:left w:val="single" w:sz="8" w:space="0" w:color="auto"/>
              <w:bottom w:val="single" w:sz="8" w:space="0" w:color="000000"/>
              <w:right w:val="single" w:sz="8" w:space="0" w:color="auto"/>
            </w:tcBorders>
            <w:vAlign w:val="center"/>
            <w:hideMark/>
          </w:tcPr>
          <w:p w14:paraId="14B0D2A7"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882" w:type="dxa"/>
            <w:vMerge/>
            <w:tcBorders>
              <w:top w:val="single" w:sz="8" w:space="0" w:color="auto"/>
              <w:left w:val="single" w:sz="8" w:space="0" w:color="auto"/>
              <w:bottom w:val="single" w:sz="8" w:space="0" w:color="000000"/>
              <w:right w:val="single" w:sz="8" w:space="0" w:color="auto"/>
            </w:tcBorders>
            <w:vAlign w:val="center"/>
            <w:hideMark/>
          </w:tcPr>
          <w:p w14:paraId="5E8E0245"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096" w:type="dxa"/>
            <w:vMerge/>
            <w:tcBorders>
              <w:top w:val="single" w:sz="8" w:space="0" w:color="auto"/>
              <w:left w:val="single" w:sz="8" w:space="0" w:color="auto"/>
              <w:bottom w:val="single" w:sz="8" w:space="0" w:color="000000"/>
              <w:right w:val="single" w:sz="8" w:space="0" w:color="auto"/>
            </w:tcBorders>
            <w:vAlign w:val="center"/>
            <w:hideMark/>
          </w:tcPr>
          <w:p w14:paraId="08F9F45A"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813" w:type="dxa"/>
            <w:vMerge/>
            <w:tcBorders>
              <w:top w:val="single" w:sz="8" w:space="0" w:color="auto"/>
              <w:left w:val="single" w:sz="8" w:space="0" w:color="auto"/>
              <w:bottom w:val="single" w:sz="8" w:space="0" w:color="000000"/>
              <w:right w:val="single" w:sz="8" w:space="0" w:color="auto"/>
            </w:tcBorders>
            <w:vAlign w:val="center"/>
            <w:hideMark/>
          </w:tcPr>
          <w:p w14:paraId="781FC7A8"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957" w:type="dxa"/>
            <w:vMerge/>
            <w:tcBorders>
              <w:top w:val="single" w:sz="8" w:space="0" w:color="auto"/>
              <w:left w:val="single" w:sz="8" w:space="0" w:color="auto"/>
              <w:bottom w:val="single" w:sz="8" w:space="0" w:color="000000"/>
              <w:right w:val="single" w:sz="8" w:space="0" w:color="auto"/>
            </w:tcBorders>
            <w:vAlign w:val="center"/>
            <w:hideMark/>
          </w:tcPr>
          <w:p w14:paraId="763B6340"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696" w:type="dxa"/>
            <w:vMerge/>
            <w:tcBorders>
              <w:top w:val="single" w:sz="8" w:space="0" w:color="auto"/>
              <w:left w:val="single" w:sz="8" w:space="0" w:color="auto"/>
              <w:bottom w:val="single" w:sz="8" w:space="0" w:color="000000"/>
              <w:right w:val="single" w:sz="8" w:space="0" w:color="auto"/>
            </w:tcBorders>
            <w:vAlign w:val="center"/>
            <w:hideMark/>
          </w:tcPr>
          <w:p w14:paraId="5F5B8BC1" w14:textId="77777777" w:rsidR="00F81BCC" w:rsidRPr="00F81BCC" w:rsidRDefault="00F81BCC" w:rsidP="00F81BCC">
            <w:pPr>
              <w:spacing w:after="0" w:line="240" w:lineRule="auto"/>
              <w:rPr>
                <w:rFonts w:ascii="Book Antiqua" w:eastAsia="Times New Roman" w:hAnsi="Book Antiqua" w:cs="Calibri"/>
                <w:b/>
                <w:bCs/>
                <w:color w:val="FFFFFF"/>
                <w:sz w:val="20"/>
                <w:szCs w:val="20"/>
                <w:lang w:eastAsia="es-CR"/>
              </w:rPr>
            </w:pPr>
          </w:p>
        </w:tc>
        <w:tc>
          <w:tcPr>
            <w:tcW w:w="146" w:type="dxa"/>
            <w:tcBorders>
              <w:top w:val="nil"/>
              <w:left w:val="nil"/>
              <w:bottom w:val="nil"/>
              <w:right w:val="nil"/>
            </w:tcBorders>
            <w:shd w:val="clear" w:color="auto" w:fill="auto"/>
            <w:noWrap/>
            <w:vAlign w:val="bottom"/>
            <w:hideMark/>
          </w:tcPr>
          <w:p w14:paraId="560D4E8B" w14:textId="77777777" w:rsidR="00F81BCC" w:rsidRPr="00F81BCC" w:rsidRDefault="00F81BCC" w:rsidP="00F81BCC">
            <w:pPr>
              <w:spacing w:after="0" w:line="240" w:lineRule="auto"/>
              <w:jc w:val="center"/>
              <w:rPr>
                <w:rFonts w:ascii="Book Antiqua" w:eastAsia="Times New Roman" w:hAnsi="Book Antiqua" w:cs="Calibri"/>
                <w:b/>
                <w:bCs/>
                <w:color w:val="FFFFFF"/>
                <w:sz w:val="20"/>
                <w:szCs w:val="20"/>
                <w:lang w:eastAsia="es-CR"/>
              </w:rPr>
            </w:pPr>
          </w:p>
        </w:tc>
      </w:tr>
      <w:tr w:rsidR="00F81BCC" w:rsidRPr="00F81BCC" w14:paraId="2FB09ECD" w14:textId="77777777" w:rsidTr="00F81BCC">
        <w:trPr>
          <w:trHeight w:val="300"/>
          <w:jc w:val="center"/>
        </w:trPr>
        <w:tc>
          <w:tcPr>
            <w:tcW w:w="1567" w:type="dxa"/>
            <w:vMerge w:val="restart"/>
            <w:tcBorders>
              <w:top w:val="nil"/>
              <w:left w:val="single" w:sz="8" w:space="0" w:color="auto"/>
              <w:bottom w:val="single" w:sz="8" w:space="0" w:color="000000"/>
              <w:right w:val="single" w:sz="8" w:space="0" w:color="auto"/>
            </w:tcBorders>
            <w:shd w:val="clear" w:color="auto" w:fill="auto"/>
            <w:vAlign w:val="center"/>
            <w:hideMark/>
          </w:tcPr>
          <w:p w14:paraId="0B68C676"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CACMFJ</w:t>
            </w:r>
          </w:p>
        </w:tc>
        <w:tc>
          <w:tcPr>
            <w:tcW w:w="1193" w:type="dxa"/>
            <w:tcBorders>
              <w:top w:val="nil"/>
              <w:left w:val="nil"/>
              <w:bottom w:val="single" w:sz="8" w:space="0" w:color="auto"/>
              <w:right w:val="single" w:sz="8" w:space="0" w:color="auto"/>
            </w:tcBorders>
            <w:shd w:val="clear" w:color="auto" w:fill="auto"/>
            <w:noWrap/>
            <w:vAlign w:val="center"/>
            <w:hideMark/>
          </w:tcPr>
          <w:p w14:paraId="4D924E52"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1</w:t>
            </w:r>
          </w:p>
        </w:tc>
        <w:tc>
          <w:tcPr>
            <w:tcW w:w="1882" w:type="dxa"/>
            <w:tcBorders>
              <w:top w:val="nil"/>
              <w:left w:val="nil"/>
              <w:bottom w:val="single" w:sz="8" w:space="0" w:color="auto"/>
              <w:right w:val="single" w:sz="8" w:space="0" w:color="auto"/>
            </w:tcBorders>
            <w:shd w:val="clear" w:color="auto" w:fill="auto"/>
            <w:noWrap/>
            <w:vAlign w:val="center"/>
            <w:hideMark/>
          </w:tcPr>
          <w:p w14:paraId="00D37523"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Jueza o Juez 4 Gestor</w:t>
            </w:r>
          </w:p>
        </w:tc>
        <w:tc>
          <w:tcPr>
            <w:tcW w:w="1096" w:type="dxa"/>
            <w:tcBorders>
              <w:top w:val="nil"/>
              <w:left w:val="nil"/>
              <w:bottom w:val="single" w:sz="8" w:space="0" w:color="auto"/>
              <w:right w:val="single" w:sz="8" w:space="0" w:color="auto"/>
            </w:tcBorders>
            <w:shd w:val="clear" w:color="auto" w:fill="auto"/>
            <w:vAlign w:val="center"/>
            <w:hideMark/>
          </w:tcPr>
          <w:p w14:paraId="4B416EEB"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284917D9"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1724A30C"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2023</w:t>
            </w:r>
          </w:p>
        </w:tc>
        <w:tc>
          <w:tcPr>
            <w:tcW w:w="1696" w:type="dxa"/>
            <w:tcBorders>
              <w:top w:val="nil"/>
              <w:left w:val="nil"/>
              <w:bottom w:val="single" w:sz="8" w:space="0" w:color="auto"/>
              <w:right w:val="single" w:sz="8" w:space="0" w:color="auto"/>
            </w:tcBorders>
            <w:shd w:val="clear" w:color="auto" w:fill="auto"/>
            <w:vAlign w:val="center"/>
            <w:hideMark/>
          </w:tcPr>
          <w:p w14:paraId="738FB436"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xml:space="preserve">₡ </w:t>
            </w:r>
            <w:r w:rsidRPr="00F81BCC">
              <w:rPr>
                <w:rFonts w:ascii="Book Antiqua" w:eastAsia="Times New Roman" w:hAnsi="Book Antiqua" w:cs="Calibri"/>
                <w:color w:val="000000"/>
                <w:sz w:val="20"/>
                <w:szCs w:val="20"/>
                <w:lang w:eastAsia="es-CR"/>
              </w:rPr>
              <w:t>57,547,749.00</w:t>
            </w:r>
          </w:p>
        </w:tc>
        <w:tc>
          <w:tcPr>
            <w:tcW w:w="146" w:type="dxa"/>
            <w:vAlign w:val="center"/>
            <w:hideMark/>
          </w:tcPr>
          <w:p w14:paraId="6B0165F0"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42B150B1" w14:textId="77777777" w:rsidTr="00F81BCC">
        <w:trPr>
          <w:trHeight w:val="300"/>
          <w:jc w:val="center"/>
        </w:trPr>
        <w:tc>
          <w:tcPr>
            <w:tcW w:w="1567" w:type="dxa"/>
            <w:vMerge/>
            <w:tcBorders>
              <w:top w:val="nil"/>
              <w:left w:val="single" w:sz="8" w:space="0" w:color="auto"/>
              <w:bottom w:val="single" w:sz="8" w:space="0" w:color="000000"/>
              <w:right w:val="single" w:sz="8" w:space="0" w:color="auto"/>
            </w:tcBorders>
            <w:vAlign w:val="center"/>
            <w:hideMark/>
          </w:tcPr>
          <w:p w14:paraId="25C8E6A1"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p>
        </w:tc>
        <w:tc>
          <w:tcPr>
            <w:tcW w:w="1193" w:type="dxa"/>
            <w:tcBorders>
              <w:top w:val="nil"/>
              <w:left w:val="nil"/>
              <w:bottom w:val="single" w:sz="8" w:space="0" w:color="auto"/>
              <w:right w:val="single" w:sz="8" w:space="0" w:color="auto"/>
            </w:tcBorders>
            <w:shd w:val="clear" w:color="auto" w:fill="auto"/>
            <w:vAlign w:val="center"/>
            <w:hideMark/>
          </w:tcPr>
          <w:p w14:paraId="27448542"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1</w:t>
            </w:r>
          </w:p>
        </w:tc>
        <w:tc>
          <w:tcPr>
            <w:tcW w:w="1882" w:type="dxa"/>
            <w:tcBorders>
              <w:top w:val="nil"/>
              <w:left w:val="nil"/>
              <w:bottom w:val="single" w:sz="8" w:space="0" w:color="auto"/>
              <w:right w:val="single" w:sz="8" w:space="0" w:color="auto"/>
            </w:tcBorders>
            <w:shd w:val="clear" w:color="auto" w:fill="auto"/>
            <w:vAlign w:val="center"/>
            <w:hideMark/>
          </w:tcPr>
          <w:p w14:paraId="0AB8F57E" w14:textId="77777777" w:rsidR="00F81BCC" w:rsidRPr="00F81BCC" w:rsidRDefault="00F81BCC" w:rsidP="001D0C10">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Profesional 2</w:t>
            </w:r>
          </w:p>
        </w:tc>
        <w:tc>
          <w:tcPr>
            <w:tcW w:w="1096" w:type="dxa"/>
            <w:tcBorders>
              <w:top w:val="nil"/>
              <w:left w:val="nil"/>
              <w:bottom w:val="single" w:sz="8" w:space="0" w:color="auto"/>
              <w:right w:val="single" w:sz="8" w:space="0" w:color="auto"/>
            </w:tcBorders>
            <w:shd w:val="clear" w:color="auto" w:fill="auto"/>
            <w:vAlign w:val="center"/>
            <w:hideMark/>
          </w:tcPr>
          <w:p w14:paraId="74AEA54F"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6B08ACED"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46DEE939"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2023</w:t>
            </w:r>
          </w:p>
        </w:tc>
        <w:tc>
          <w:tcPr>
            <w:tcW w:w="1696" w:type="dxa"/>
            <w:tcBorders>
              <w:top w:val="nil"/>
              <w:left w:val="nil"/>
              <w:bottom w:val="single" w:sz="8" w:space="0" w:color="auto"/>
              <w:right w:val="single" w:sz="8" w:space="0" w:color="auto"/>
            </w:tcBorders>
            <w:shd w:val="clear" w:color="auto" w:fill="auto"/>
            <w:vAlign w:val="center"/>
            <w:hideMark/>
          </w:tcPr>
          <w:p w14:paraId="70A6038D"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xml:space="preserve">₡ </w:t>
            </w:r>
            <w:r w:rsidRPr="00F81BCC">
              <w:rPr>
                <w:rFonts w:ascii="Book Antiqua" w:eastAsia="Times New Roman" w:hAnsi="Book Antiqua" w:cs="Calibri"/>
                <w:color w:val="000000"/>
                <w:sz w:val="20"/>
                <w:szCs w:val="20"/>
                <w:lang w:eastAsia="es-CR"/>
              </w:rPr>
              <w:t>34,413,169.00</w:t>
            </w:r>
          </w:p>
        </w:tc>
        <w:tc>
          <w:tcPr>
            <w:tcW w:w="146" w:type="dxa"/>
            <w:vAlign w:val="center"/>
            <w:hideMark/>
          </w:tcPr>
          <w:p w14:paraId="2BE31BE1"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67690827" w14:textId="77777777" w:rsidTr="00F81BCC">
        <w:trPr>
          <w:trHeight w:val="530"/>
          <w:jc w:val="center"/>
        </w:trPr>
        <w:tc>
          <w:tcPr>
            <w:tcW w:w="1567" w:type="dxa"/>
            <w:vMerge/>
            <w:tcBorders>
              <w:top w:val="nil"/>
              <w:left w:val="single" w:sz="8" w:space="0" w:color="auto"/>
              <w:bottom w:val="single" w:sz="8" w:space="0" w:color="000000"/>
              <w:right w:val="single" w:sz="8" w:space="0" w:color="auto"/>
            </w:tcBorders>
            <w:vAlign w:val="center"/>
            <w:hideMark/>
          </w:tcPr>
          <w:p w14:paraId="27717ADB"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p>
        </w:tc>
        <w:tc>
          <w:tcPr>
            <w:tcW w:w="1193" w:type="dxa"/>
            <w:tcBorders>
              <w:top w:val="nil"/>
              <w:left w:val="nil"/>
              <w:bottom w:val="single" w:sz="8" w:space="0" w:color="auto"/>
              <w:right w:val="single" w:sz="8" w:space="0" w:color="auto"/>
            </w:tcBorders>
            <w:shd w:val="clear" w:color="auto" w:fill="auto"/>
            <w:vAlign w:val="center"/>
            <w:hideMark/>
          </w:tcPr>
          <w:p w14:paraId="4782F442"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w:t>
            </w:r>
          </w:p>
        </w:tc>
        <w:tc>
          <w:tcPr>
            <w:tcW w:w="1882" w:type="dxa"/>
            <w:tcBorders>
              <w:top w:val="nil"/>
              <w:left w:val="nil"/>
              <w:bottom w:val="single" w:sz="8" w:space="0" w:color="auto"/>
              <w:right w:val="single" w:sz="8" w:space="0" w:color="auto"/>
            </w:tcBorders>
            <w:shd w:val="clear" w:color="auto" w:fill="auto"/>
            <w:vAlign w:val="center"/>
            <w:hideMark/>
          </w:tcPr>
          <w:p w14:paraId="05E15382" w14:textId="77777777" w:rsidR="00F81BCC" w:rsidRPr="00F81BCC" w:rsidRDefault="00F81BCC" w:rsidP="001D0C10">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Técnica o Técnico Judicial 2</w:t>
            </w:r>
          </w:p>
        </w:tc>
        <w:tc>
          <w:tcPr>
            <w:tcW w:w="1096" w:type="dxa"/>
            <w:tcBorders>
              <w:top w:val="nil"/>
              <w:left w:val="nil"/>
              <w:bottom w:val="single" w:sz="8" w:space="0" w:color="auto"/>
              <w:right w:val="single" w:sz="8" w:space="0" w:color="auto"/>
            </w:tcBorders>
            <w:shd w:val="clear" w:color="auto" w:fill="auto"/>
            <w:vAlign w:val="center"/>
            <w:hideMark/>
          </w:tcPr>
          <w:p w14:paraId="304D594D"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2267A5DB"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7D5295F3"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2023</w:t>
            </w:r>
          </w:p>
        </w:tc>
        <w:tc>
          <w:tcPr>
            <w:tcW w:w="1696" w:type="dxa"/>
            <w:tcBorders>
              <w:top w:val="nil"/>
              <w:left w:val="nil"/>
              <w:bottom w:val="single" w:sz="8" w:space="0" w:color="auto"/>
              <w:right w:val="single" w:sz="8" w:space="0" w:color="auto"/>
            </w:tcBorders>
            <w:shd w:val="clear" w:color="auto" w:fill="auto"/>
            <w:vAlign w:val="center"/>
            <w:hideMark/>
          </w:tcPr>
          <w:p w14:paraId="644F91D9"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29</w:t>
            </w:r>
            <w:r w:rsidRPr="00F81BCC">
              <w:rPr>
                <w:rFonts w:ascii="Book Antiqua" w:eastAsia="Times New Roman" w:hAnsi="Book Antiqua" w:cs="Calibri"/>
                <w:color w:val="000000"/>
                <w:sz w:val="20"/>
                <w:szCs w:val="20"/>
                <w:lang w:eastAsia="es-CR"/>
              </w:rPr>
              <w:t>,593,360.00</w:t>
            </w:r>
          </w:p>
        </w:tc>
        <w:tc>
          <w:tcPr>
            <w:tcW w:w="146" w:type="dxa"/>
            <w:vAlign w:val="center"/>
            <w:hideMark/>
          </w:tcPr>
          <w:p w14:paraId="5B9B145D"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7DF8FA4C" w14:textId="77777777" w:rsidTr="00F81BCC">
        <w:trPr>
          <w:trHeight w:val="300"/>
          <w:jc w:val="center"/>
        </w:trPr>
        <w:tc>
          <w:tcPr>
            <w:tcW w:w="1567" w:type="dxa"/>
            <w:vMerge/>
            <w:tcBorders>
              <w:top w:val="nil"/>
              <w:left w:val="single" w:sz="8" w:space="0" w:color="auto"/>
              <w:bottom w:val="single" w:sz="8" w:space="0" w:color="000000"/>
              <w:right w:val="single" w:sz="8" w:space="0" w:color="auto"/>
            </w:tcBorders>
            <w:vAlign w:val="center"/>
            <w:hideMark/>
          </w:tcPr>
          <w:p w14:paraId="436AAE3D"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p>
        </w:tc>
        <w:tc>
          <w:tcPr>
            <w:tcW w:w="1193" w:type="dxa"/>
            <w:tcBorders>
              <w:top w:val="nil"/>
              <w:left w:val="nil"/>
              <w:bottom w:val="single" w:sz="8" w:space="0" w:color="auto"/>
              <w:right w:val="single" w:sz="8" w:space="0" w:color="auto"/>
            </w:tcBorders>
            <w:shd w:val="clear" w:color="auto" w:fill="auto"/>
            <w:vAlign w:val="center"/>
            <w:hideMark/>
          </w:tcPr>
          <w:p w14:paraId="6EAB2D7A"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4</w:t>
            </w:r>
          </w:p>
        </w:tc>
        <w:tc>
          <w:tcPr>
            <w:tcW w:w="1882" w:type="dxa"/>
            <w:tcBorders>
              <w:top w:val="nil"/>
              <w:left w:val="nil"/>
              <w:bottom w:val="single" w:sz="8" w:space="0" w:color="auto"/>
              <w:right w:val="single" w:sz="8" w:space="0" w:color="auto"/>
            </w:tcBorders>
            <w:shd w:val="clear" w:color="auto" w:fill="auto"/>
            <w:vAlign w:val="center"/>
            <w:hideMark/>
          </w:tcPr>
          <w:p w14:paraId="37FCA0ED" w14:textId="77777777" w:rsidR="00F81BCC" w:rsidRPr="00F81BCC" w:rsidRDefault="00F81BCC" w:rsidP="001D0C10">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Jueza o Juez 1</w:t>
            </w:r>
          </w:p>
        </w:tc>
        <w:tc>
          <w:tcPr>
            <w:tcW w:w="1096" w:type="dxa"/>
            <w:tcBorders>
              <w:top w:val="nil"/>
              <w:left w:val="nil"/>
              <w:bottom w:val="single" w:sz="8" w:space="0" w:color="auto"/>
              <w:right w:val="single" w:sz="8" w:space="0" w:color="auto"/>
            </w:tcBorders>
            <w:shd w:val="clear" w:color="auto" w:fill="auto"/>
            <w:vAlign w:val="center"/>
            <w:hideMark/>
          </w:tcPr>
          <w:p w14:paraId="71B66475"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7D38DDD4"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09A2FBA4"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2023</w:t>
            </w:r>
          </w:p>
        </w:tc>
        <w:tc>
          <w:tcPr>
            <w:tcW w:w="1696" w:type="dxa"/>
            <w:tcBorders>
              <w:top w:val="nil"/>
              <w:left w:val="nil"/>
              <w:bottom w:val="single" w:sz="8" w:space="0" w:color="auto"/>
              <w:right w:val="single" w:sz="8" w:space="0" w:color="auto"/>
            </w:tcBorders>
            <w:shd w:val="clear" w:color="auto" w:fill="auto"/>
            <w:vAlign w:val="center"/>
            <w:hideMark/>
          </w:tcPr>
          <w:p w14:paraId="4C9C6C2A"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20</w:t>
            </w:r>
            <w:r w:rsidRPr="00F81BCC">
              <w:rPr>
                <w:rFonts w:ascii="Book Antiqua" w:eastAsia="Times New Roman" w:hAnsi="Book Antiqua" w:cs="Calibri"/>
                <w:color w:val="000000"/>
                <w:sz w:val="20"/>
                <w:szCs w:val="20"/>
                <w:lang w:eastAsia="es-CR"/>
              </w:rPr>
              <w:t>0,640,830.00</w:t>
            </w:r>
          </w:p>
        </w:tc>
        <w:tc>
          <w:tcPr>
            <w:tcW w:w="146" w:type="dxa"/>
            <w:vAlign w:val="center"/>
            <w:hideMark/>
          </w:tcPr>
          <w:p w14:paraId="27EE59D5"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1D3D8963" w14:textId="77777777" w:rsidTr="00F81BCC">
        <w:trPr>
          <w:trHeight w:val="300"/>
          <w:jc w:val="center"/>
        </w:trPr>
        <w:tc>
          <w:tcPr>
            <w:tcW w:w="1567" w:type="dxa"/>
            <w:vMerge/>
            <w:tcBorders>
              <w:top w:val="nil"/>
              <w:left w:val="single" w:sz="8" w:space="0" w:color="auto"/>
              <w:bottom w:val="single" w:sz="8" w:space="0" w:color="000000"/>
              <w:right w:val="single" w:sz="8" w:space="0" w:color="auto"/>
            </w:tcBorders>
            <w:vAlign w:val="center"/>
            <w:hideMark/>
          </w:tcPr>
          <w:p w14:paraId="53A71F1C" w14:textId="77777777" w:rsidR="00F81BCC" w:rsidRPr="00F81BCC" w:rsidRDefault="00F81BCC" w:rsidP="00F81BCC">
            <w:pPr>
              <w:spacing w:after="0" w:line="240" w:lineRule="auto"/>
              <w:rPr>
                <w:rFonts w:ascii="Book Antiqua" w:eastAsia="Times New Roman" w:hAnsi="Book Antiqua" w:cs="Calibri"/>
                <w:color w:val="000000"/>
                <w:sz w:val="20"/>
                <w:szCs w:val="20"/>
                <w:lang w:eastAsia="es-CR"/>
              </w:rPr>
            </w:pPr>
          </w:p>
        </w:tc>
        <w:tc>
          <w:tcPr>
            <w:tcW w:w="1193" w:type="dxa"/>
            <w:tcBorders>
              <w:top w:val="nil"/>
              <w:left w:val="nil"/>
              <w:bottom w:val="single" w:sz="8" w:space="0" w:color="auto"/>
              <w:right w:val="single" w:sz="8" w:space="0" w:color="auto"/>
            </w:tcBorders>
            <w:shd w:val="clear" w:color="auto" w:fill="auto"/>
            <w:vAlign w:val="center"/>
            <w:hideMark/>
          </w:tcPr>
          <w:p w14:paraId="4D61456B"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4</w:t>
            </w:r>
          </w:p>
        </w:tc>
        <w:tc>
          <w:tcPr>
            <w:tcW w:w="1882" w:type="dxa"/>
            <w:tcBorders>
              <w:top w:val="nil"/>
              <w:left w:val="nil"/>
              <w:bottom w:val="single" w:sz="8" w:space="0" w:color="auto"/>
              <w:right w:val="single" w:sz="8" w:space="0" w:color="auto"/>
            </w:tcBorders>
            <w:shd w:val="clear" w:color="auto" w:fill="auto"/>
            <w:vAlign w:val="center"/>
            <w:hideMark/>
          </w:tcPr>
          <w:p w14:paraId="27B10851" w14:textId="77777777" w:rsidR="00F81BCC" w:rsidRPr="00F81BCC" w:rsidRDefault="00F81BCC" w:rsidP="001D0C10">
            <w:pPr>
              <w:spacing w:after="0" w:line="240" w:lineRule="auto"/>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Jueza o Juez 3</w:t>
            </w:r>
          </w:p>
        </w:tc>
        <w:tc>
          <w:tcPr>
            <w:tcW w:w="1096" w:type="dxa"/>
            <w:tcBorders>
              <w:top w:val="nil"/>
              <w:left w:val="nil"/>
              <w:bottom w:val="single" w:sz="8" w:space="0" w:color="auto"/>
              <w:right w:val="single" w:sz="8" w:space="0" w:color="auto"/>
            </w:tcBorders>
            <w:shd w:val="clear" w:color="auto" w:fill="auto"/>
            <w:vAlign w:val="center"/>
            <w:hideMark/>
          </w:tcPr>
          <w:p w14:paraId="4D98DB39"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p>
        </w:tc>
        <w:tc>
          <w:tcPr>
            <w:tcW w:w="1813" w:type="dxa"/>
            <w:tcBorders>
              <w:top w:val="nil"/>
              <w:left w:val="nil"/>
              <w:bottom w:val="single" w:sz="8" w:space="0" w:color="auto"/>
              <w:right w:val="single" w:sz="8" w:space="0" w:color="auto"/>
            </w:tcBorders>
            <w:shd w:val="clear" w:color="auto" w:fill="auto"/>
            <w:vAlign w:val="center"/>
            <w:hideMark/>
          </w:tcPr>
          <w:p w14:paraId="7C1F04B4"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Extraordinarias</w:t>
            </w:r>
          </w:p>
        </w:tc>
        <w:tc>
          <w:tcPr>
            <w:tcW w:w="957" w:type="dxa"/>
            <w:tcBorders>
              <w:top w:val="nil"/>
              <w:left w:val="nil"/>
              <w:bottom w:val="single" w:sz="8" w:space="0" w:color="auto"/>
              <w:right w:val="single" w:sz="8" w:space="0" w:color="auto"/>
            </w:tcBorders>
            <w:shd w:val="clear" w:color="auto" w:fill="auto"/>
            <w:vAlign w:val="center"/>
            <w:hideMark/>
          </w:tcPr>
          <w:p w14:paraId="4D0455EA"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2023</w:t>
            </w:r>
          </w:p>
        </w:tc>
        <w:tc>
          <w:tcPr>
            <w:tcW w:w="1696" w:type="dxa"/>
            <w:tcBorders>
              <w:top w:val="nil"/>
              <w:left w:val="nil"/>
              <w:bottom w:val="single" w:sz="8" w:space="0" w:color="auto"/>
              <w:right w:val="single" w:sz="8" w:space="0" w:color="auto"/>
            </w:tcBorders>
            <w:shd w:val="clear" w:color="auto" w:fill="auto"/>
            <w:vAlign w:val="center"/>
            <w:hideMark/>
          </w:tcPr>
          <w:p w14:paraId="3A60DAD5" w14:textId="77777777" w:rsidR="00F81BCC" w:rsidRPr="00F81BCC" w:rsidRDefault="00F81BCC" w:rsidP="00F81BCC">
            <w:pPr>
              <w:spacing w:after="0" w:line="240" w:lineRule="auto"/>
              <w:jc w:val="center"/>
              <w:rPr>
                <w:rFonts w:ascii="Book Antiqua" w:eastAsia="Times New Roman" w:hAnsi="Book Antiqua" w:cs="Calibri"/>
                <w:color w:val="000000"/>
                <w:sz w:val="20"/>
                <w:szCs w:val="20"/>
                <w:lang w:eastAsia="es-CR"/>
              </w:rPr>
            </w:pPr>
            <w:r w:rsidRPr="00F81BCC">
              <w:rPr>
                <w:rFonts w:ascii="Book Antiqua" w:eastAsia="Times New Roman" w:hAnsi="Book Antiqua" w:cs="Calibri"/>
                <w:color w:val="000000"/>
                <w:sz w:val="20"/>
                <w:szCs w:val="20"/>
                <w:lang w:eastAsia="es-CR"/>
              </w:rPr>
              <w:t xml:space="preserve"> </w:t>
            </w:r>
            <w:r w:rsidRPr="00F81BCC">
              <w:rPr>
                <w:rFonts w:ascii="Times New Roman" w:eastAsia="Times New Roman" w:hAnsi="Times New Roman" w:cs="Times New Roman"/>
                <w:color w:val="000000"/>
                <w:sz w:val="20"/>
                <w:szCs w:val="20"/>
                <w:lang w:eastAsia="es-CR"/>
              </w:rPr>
              <w:t>₡ 21</w:t>
            </w:r>
            <w:r w:rsidRPr="00F81BCC">
              <w:rPr>
                <w:rFonts w:ascii="Book Antiqua" w:eastAsia="Times New Roman" w:hAnsi="Book Antiqua" w:cs="Calibri"/>
                <w:color w:val="000000"/>
                <w:sz w:val="20"/>
                <w:szCs w:val="20"/>
                <w:lang w:eastAsia="es-CR"/>
              </w:rPr>
              <w:t>3,283,287.00</w:t>
            </w:r>
          </w:p>
        </w:tc>
        <w:tc>
          <w:tcPr>
            <w:tcW w:w="146" w:type="dxa"/>
            <w:vAlign w:val="center"/>
            <w:hideMark/>
          </w:tcPr>
          <w:p w14:paraId="30B7FBA4"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r w:rsidR="00F81BCC" w:rsidRPr="00F81BCC" w14:paraId="7EEE9776" w14:textId="77777777" w:rsidTr="001D0C10">
        <w:trPr>
          <w:trHeight w:val="300"/>
          <w:jc w:val="center"/>
        </w:trPr>
        <w:tc>
          <w:tcPr>
            <w:tcW w:w="1567" w:type="dxa"/>
            <w:tcBorders>
              <w:top w:val="nil"/>
              <w:left w:val="single" w:sz="8" w:space="0" w:color="auto"/>
              <w:bottom w:val="single" w:sz="8" w:space="0" w:color="auto"/>
              <w:right w:val="single" w:sz="8" w:space="0" w:color="auto"/>
            </w:tcBorders>
            <w:shd w:val="clear" w:color="auto" w:fill="auto"/>
            <w:noWrap/>
            <w:vAlign w:val="center"/>
            <w:hideMark/>
          </w:tcPr>
          <w:p w14:paraId="5CCC6764" w14:textId="77777777" w:rsidR="00F81BCC" w:rsidRPr="00F81BCC" w:rsidRDefault="00F81BCC" w:rsidP="00F81BCC">
            <w:pPr>
              <w:spacing w:after="0" w:line="240" w:lineRule="auto"/>
              <w:jc w:val="center"/>
              <w:rPr>
                <w:rFonts w:ascii="Book Antiqua" w:eastAsia="Times New Roman" w:hAnsi="Book Antiqua" w:cs="Calibri"/>
                <w:b/>
                <w:bCs/>
                <w:color w:val="000000"/>
                <w:sz w:val="20"/>
                <w:szCs w:val="20"/>
                <w:lang w:eastAsia="es-CR"/>
              </w:rPr>
            </w:pPr>
            <w:r w:rsidRPr="00F81BCC">
              <w:rPr>
                <w:rFonts w:ascii="Book Antiqua" w:eastAsia="Times New Roman" w:hAnsi="Book Antiqua" w:cs="Calibri"/>
                <w:b/>
                <w:bCs/>
                <w:color w:val="000000"/>
                <w:sz w:val="20"/>
                <w:szCs w:val="20"/>
                <w:lang w:eastAsia="es-CR"/>
              </w:rPr>
              <w:t>Total</w:t>
            </w:r>
          </w:p>
        </w:tc>
        <w:tc>
          <w:tcPr>
            <w:tcW w:w="1193" w:type="dxa"/>
            <w:tcBorders>
              <w:top w:val="nil"/>
              <w:left w:val="nil"/>
              <w:bottom w:val="single" w:sz="8" w:space="0" w:color="auto"/>
              <w:right w:val="single" w:sz="8" w:space="0" w:color="auto"/>
            </w:tcBorders>
            <w:shd w:val="clear" w:color="auto" w:fill="auto"/>
            <w:noWrap/>
            <w:vAlign w:val="center"/>
            <w:hideMark/>
          </w:tcPr>
          <w:p w14:paraId="28A74BA9" w14:textId="77777777" w:rsidR="00F81BCC" w:rsidRPr="00F81BCC" w:rsidRDefault="00F81BCC" w:rsidP="00F81BCC">
            <w:pPr>
              <w:spacing w:after="0" w:line="240" w:lineRule="auto"/>
              <w:jc w:val="center"/>
              <w:rPr>
                <w:rFonts w:ascii="Book Antiqua" w:eastAsia="Times New Roman" w:hAnsi="Book Antiqua" w:cs="Calibri"/>
                <w:b/>
                <w:bCs/>
                <w:color w:val="000000"/>
                <w:sz w:val="20"/>
                <w:szCs w:val="20"/>
                <w:lang w:eastAsia="es-CR"/>
              </w:rPr>
            </w:pPr>
            <w:r w:rsidRPr="00F81BCC">
              <w:rPr>
                <w:rFonts w:ascii="Book Antiqua" w:eastAsia="Times New Roman" w:hAnsi="Book Antiqua" w:cs="Calibri"/>
                <w:b/>
                <w:bCs/>
                <w:color w:val="000000"/>
                <w:sz w:val="20"/>
                <w:szCs w:val="20"/>
                <w:lang w:eastAsia="es-CR"/>
              </w:rPr>
              <w:t>12</w:t>
            </w:r>
          </w:p>
        </w:tc>
        <w:tc>
          <w:tcPr>
            <w:tcW w:w="5748" w:type="dxa"/>
            <w:gridSpan w:val="4"/>
            <w:tcBorders>
              <w:top w:val="single" w:sz="8" w:space="0" w:color="auto"/>
              <w:left w:val="nil"/>
              <w:bottom w:val="single" w:sz="8" w:space="0" w:color="auto"/>
              <w:right w:val="single" w:sz="8" w:space="0" w:color="000000"/>
            </w:tcBorders>
            <w:shd w:val="clear" w:color="auto" w:fill="auto"/>
            <w:noWrap/>
            <w:vAlign w:val="center"/>
            <w:hideMark/>
          </w:tcPr>
          <w:p w14:paraId="350E4E30" w14:textId="77777777" w:rsidR="00F81BCC" w:rsidRPr="00F81BCC" w:rsidRDefault="00F81BCC" w:rsidP="00F81BCC">
            <w:pPr>
              <w:spacing w:after="0" w:line="240" w:lineRule="auto"/>
              <w:jc w:val="center"/>
              <w:rPr>
                <w:rFonts w:ascii="Book Antiqua" w:eastAsia="Times New Roman" w:hAnsi="Book Antiqua" w:cs="Calibri"/>
                <w:b/>
                <w:bCs/>
                <w:color w:val="000000"/>
                <w:sz w:val="20"/>
                <w:szCs w:val="20"/>
                <w:lang w:eastAsia="es-CR"/>
              </w:rPr>
            </w:pPr>
            <w:r w:rsidRPr="00F81BCC">
              <w:rPr>
                <w:rFonts w:ascii="Book Antiqua" w:eastAsia="Times New Roman" w:hAnsi="Book Antiqua" w:cs="Calibri"/>
                <w:b/>
                <w:bCs/>
                <w:color w:val="000000"/>
                <w:sz w:val="20"/>
                <w:szCs w:val="20"/>
                <w:lang w:eastAsia="es-CR"/>
              </w:rPr>
              <w:t> </w:t>
            </w:r>
          </w:p>
        </w:tc>
        <w:tc>
          <w:tcPr>
            <w:tcW w:w="1696" w:type="dxa"/>
            <w:tcBorders>
              <w:top w:val="nil"/>
              <w:left w:val="nil"/>
              <w:bottom w:val="single" w:sz="8" w:space="0" w:color="auto"/>
              <w:right w:val="single" w:sz="8" w:space="0" w:color="auto"/>
            </w:tcBorders>
            <w:shd w:val="clear" w:color="auto" w:fill="auto"/>
            <w:noWrap/>
            <w:vAlign w:val="center"/>
            <w:hideMark/>
          </w:tcPr>
          <w:p w14:paraId="00DA5F55" w14:textId="77777777" w:rsidR="00F81BCC" w:rsidRPr="00F81BCC" w:rsidRDefault="00F81BCC" w:rsidP="00F81BCC">
            <w:pPr>
              <w:spacing w:after="0" w:line="240" w:lineRule="auto"/>
              <w:jc w:val="center"/>
              <w:rPr>
                <w:rFonts w:ascii="Book Antiqua" w:eastAsia="Times New Roman" w:hAnsi="Book Antiqua" w:cs="Calibri"/>
                <w:b/>
                <w:bCs/>
                <w:color w:val="000000"/>
                <w:sz w:val="20"/>
                <w:szCs w:val="20"/>
                <w:lang w:eastAsia="es-CR"/>
              </w:rPr>
            </w:pPr>
            <w:r w:rsidRPr="00F81BCC">
              <w:rPr>
                <w:rFonts w:ascii="Book Antiqua" w:eastAsia="Times New Roman" w:hAnsi="Book Antiqua" w:cs="Calibri"/>
                <w:b/>
                <w:bCs/>
                <w:color w:val="000000"/>
                <w:sz w:val="20"/>
                <w:szCs w:val="20"/>
                <w:lang w:eastAsia="es-CR"/>
              </w:rPr>
              <w:t xml:space="preserve"> </w:t>
            </w:r>
            <w:r w:rsidRPr="00F81BCC">
              <w:rPr>
                <w:rFonts w:ascii="Times New Roman" w:eastAsia="Times New Roman" w:hAnsi="Times New Roman" w:cs="Times New Roman"/>
                <w:b/>
                <w:bCs/>
                <w:color w:val="000000"/>
                <w:sz w:val="20"/>
                <w:szCs w:val="20"/>
                <w:lang w:eastAsia="es-CR"/>
              </w:rPr>
              <w:t>₡ 535</w:t>
            </w:r>
            <w:r w:rsidRPr="00F81BCC">
              <w:rPr>
                <w:rFonts w:ascii="Book Antiqua" w:eastAsia="Times New Roman" w:hAnsi="Book Antiqua" w:cs="Calibri"/>
                <w:b/>
                <w:bCs/>
                <w:color w:val="000000"/>
                <w:sz w:val="20"/>
                <w:szCs w:val="20"/>
                <w:lang w:eastAsia="es-CR"/>
              </w:rPr>
              <w:t>,478,395.00</w:t>
            </w:r>
          </w:p>
        </w:tc>
        <w:tc>
          <w:tcPr>
            <w:tcW w:w="146" w:type="dxa"/>
            <w:vAlign w:val="center"/>
            <w:hideMark/>
          </w:tcPr>
          <w:p w14:paraId="5487F5D4" w14:textId="77777777" w:rsidR="00F81BCC" w:rsidRPr="00F81BCC" w:rsidRDefault="00F81BCC" w:rsidP="00F81BCC">
            <w:pPr>
              <w:spacing w:after="0" w:line="240" w:lineRule="auto"/>
              <w:rPr>
                <w:rFonts w:ascii="Times New Roman" w:eastAsia="Times New Roman" w:hAnsi="Times New Roman" w:cs="Times New Roman"/>
                <w:sz w:val="20"/>
                <w:szCs w:val="20"/>
                <w:lang w:eastAsia="es-CR"/>
              </w:rPr>
            </w:pPr>
          </w:p>
        </w:tc>
      </w:tr>
    </w:tbl>
    <w:p w14:paraId="7870DAC5" w14:textId="3486D64C" w:rsidR="00F81BCC" w:rsidRPr="00097996" w:rsidRDefault="007E153E" w:rsidP="00EC4580">
      <w:pPr>
        <w:pStyle w:val="Ttulo"/>
        <w:spacing w:line="276" w:lineRule="auto"/>
        <w:jc w:val="both"/>
        <w:rPr>
          <w:rFonts w:eastAsia="Calibri" w:cs="Arial"/>
          <w:b w:val="0"/>
          <w:color w:val="auto"/>
          <w:spacing w:val="0"/>
          <w:sz w:val="18"/>
          <w:szCs w:val="18"/>
          <w:lang w:val="es-CR" w:eastAsia="en-US"/>
        </w:rPr>
      </w:pPr>
      <w:r w:rsidRPr="00097996">
        <w:rPr>
          <w:rFonts w:eastAsia="Calibri" w:cs="Arial"/>
          <w:b w:val="0"/>
          <w:color w:val="auto"/>
          <w:spacing w:val="0"/>
          <w:sz w:val="18"/>
          <w:szCs w:val="18"/>
          <w:lang w:val="es-CR" w:eastAsia="en-US"/>
        </w:rPr>
        <w:t xml:space="preserve">*Dato calculado por el Centro </w:t>
      </w:r>
      <w:r w:rsidR="00097996" w:rsidRPr="00097996">
        <w:rPr>
          <w:rFonts w:eastAsia="Calibri" w:cs="Arial"/>
          <w:b w:val="0"/>
          <w:color w:val="auto"/>
          <w:spacing w:val="0"/>
          <w:sz w:val="18"/>
          <w:szCs w:val="18"/>
          <w:lang w:val="es-CR" w:eastAsia="en-US"/>
        </w:rPr>
        <w:t>de Apoyo, Coordinación y Mejoramiento de la Función Jurisdiccional</w:t>
      </w:r>
    </w:p>
    <w:p w14:paraId="7C8C0257" w14:textId="77777777" w:rsidR="00097996" w:rsidRDefault="00097996" w:rsidP="00F81BCC">
      <w:pPr>
        <w:spacing w:after="0" w:line="276" w:lineRule="auto"/>
        <w:jc w:val="both"/>
        <w:rPr>
          <w:rFonts w:ascii="Book Antiqua" w:eastAsia="Calibri" w:hAnsi="Book Antiqua" w:cs="Arial"/>
          <w:sz w:val="24"/>
          <w:szCs w:val="24"/>
        </w:rPr>
      </w:pPr>
    </w:p>
    <w:p w14:paraId="5E6CF5E8" w14:textId="33D7E57F" w:rsidR="00D12ED9" w:rsidRDefault="00D12ED9" w:rsidP="00F81BCC">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 propuesta actual varía con respeto a la del año anterior, en que solicitan 1 </w:t>
      </w:r>
      <w:r w:rsidR="008B5860">
        <w:rPr>
          <w:rFonts w:ascii="Book Antiqua" w:eastAsia="Calibri" w:hAnsi="Book Antiqua" w:cs="Arial"/>
          <w:sz w:val="24"/>
          <w:szCs w:val="24"/>
        </w:rPr>
        <w:t>T</w:t>
      </w:r>
      <w:r>
        <w:rPr>
          <w:rFonts w:ascii="Book Antiqua" w:eastAsia="Calibri" w:hAnsi="Book Antiqua" w:cs="Arial"/>
          <w:sz w:val="24"/>
          <w:szCs w:val="24"/>
        </w:rPr>
        <w:t xml:space="preserve">écnico Judicial 2 de apoyo adicional, lo anterior se considera oportuno dado la entrada en vigencia de la Ley 9747, y además porque esta es la segunda jurisdicción con mayor cantidad de oficinas a cargo para seguimiento, solo por debajo de la materia </w:t>
      </w:r>
      <w:r w:rsidR="008B5860">
        <w:rPr>
          <w:rFonts w:ascii="Book Antiqua" w:eastAsia="Calibri" w:hAnsi="Book Antiqua" w:cs="Arial"/>
          <w:sz w:val="24"/>
          <w:szCs w:val="24"/>
        </w:rPr>
        <w:t>P</w:t>
      </w:r>
      <w:r>
        <w:rPr>
          <w:rFonts w:ascii="Book Antiqua" w:eastAsia="Calibri" w:hAnsi="Book Antiqua" w:cs="Arial"/>
          <w:sz w:val="24"/>
          <w:szCs w:val="24"/>
        </w:rPr>
        <w:t xml:space="preserve">enal </w:t>
      </w:r>
      <w:r>
        <w:rPr>
          <w:rFonts w:ascii="Book Antiqua" w:eastAsia="Calibri" w:hAnsi="Book Antiqua" w:cs="Arial"/>
          <w:sz w:val="24"/>
          <w:szCs w:val="24"/>
        </w:rPr>
        <w:lastRenderedPageBreak/>
        <w:t xml:space="preserve">(en donde hay 2 plazas de gestoría actualmente). </w:t>
      </w:r>
      <w:r w:rsidR="008B5860">
        <w:rPr>
          <w:rFonts w:ascii="Book Antiqua" w:eastAsia="Calibri" w:hAnsi="Book Antiqua" w:cs="Arial"/>
          <w:sz w:val="24"/>
          <w:szCs w:val="24"/>
        </w:rPr>
        <w:t>Este recurso</w:t>
      </w:r>
      <w:r>
        <w:rPr>
          <w:rFonts w:ascii="Book Antiqua" w:eastAsia="Calibri" w:hAnsi="Book Antiqua" w:cs="Arial"/>
          <w:sz w:val="24"/>
          <w:szCs w:val="24"/>
        </w:rPr>
        <w:t xml:space="preserve"> se estima temporal y con mayor presencia en la etapa inicial del proyecto y de la entrada en vigencia de la nueva norma procesal ya que </w:t>
      </w:r>
      <w:r w:rsidRPr="00F81BCC">
        <w:rPr>
          <w:rFonts w:ascii="Book Antiqua" w:eastAsia="Calibri" w:hAnsi="Book Antiqua" w:cs="Arial"/>
          <w:sz w:val="24"/>
          <w:szCs w:val="24"/>
        </w:rPr>
        <w:t>colabora</w:t>
      </w:r>
      <w:r>
        <w:rPr>
          <w:rFonts w:ascii="Book Antiqua" w:eastAsia="Calibri" w:hAnsi="Book Antiqua" w:cs="Arial"/>
          <w:sz w:val="24"/>
          <w:szCs w:val="24"/>
        </w:rPr>
        <w:t>n</w:t>
      </w:r>
      <w:r w:rsidRPr="00F81BCC">
        <w:rPr>
          <w:rFonts w:ascii="Book Antiqua" w:eastAsia="Calibri" w:hAnsi="Book Antiqua" w:cs="Arial"/>
          <w:sz w:val="24"/>
          <w:szCs w:val="24"/>
        </w:rPr>
        <w:t xml:space="preserve"> con la plaza de Juez Gestor en labores de coordinación de los planes de trabajo</w:t>
      </w:r>
      <w:r>
        <w:rPr>
          <w:rFonts w:ascii="Book Antiqua" w:eastAsia="Calibri" w:hAnsi="Book Antiqua" w:cs="Arial"/>
          <w:sz w:val="24"/>
          <w:szCs w:val="24"/>
        </w:rPr>
        <w:t xml:space="preserve">, </w:t>
      </w:r>
      <w:r w:rsidRPr="00246AF6">
        <w:rPr>
          <w:rFonts w:ascii="Book Antiqua" w:eastAsia="Calibri" w:hAnsi="Book Antiqua" w:cs="Arial"/>
          <w:sz w:val="24"/>
          <w:szCs w:val="24"/>
        </w:rPr>
        <w:t xml:space="preserve">de seguimiento de las materias de </w:t>
      </w:r>
      <w:r>
        <w:rPr>
          <w:rFonts w:ascii="Book Antiqua" w:eastAsia="Calibri" w:hAnsi="Book Antiqua" w:cs="Arial"/>
          <w:sz w:val="24"/>
          <w:szCs w:val="24"/>
        </w:rPr>
        <w:t>F</w:t>
      </w:r>
      <w:r w:rsidRPr="00246AF6">
        <w:rPr>
          <w:rFonts w:ascii="Book Antiqua" w:eastAsia="Calibri" w:hAnsi="Book Antiqua" w:cs="Arial"/>
          <w:sz w:val="24"/>
          <w:szCs w:val="24"/>
        </w:rPr>
        <w:t xml:space="preserve">amilia, </w:t>
      </w:r>
      <w:r>
        <w:rPr>
          <w:rFonts w:ascii="Book Antiqua" w:eastAsia="Calibri" w:hAnsi="Book Antiqua" w:cs="Arial"/>
          <w:sz w:val="24"/>
          <w:szCs w:val="24"/>
        </w:rPr>
        <w:t>P</w:t>
      </w:r>
      <w:r w:rsidRPr="00246AF6">
        <w:rPr>
          <w:rFonts w:ascii="Book Antiqua" w:eastAsia="Calibri" w:hAnsi="Book Antiqua" w:cs="Arial"/>
          <w:sz w:val="24"/>
          <w:szCs w:val="24"/>
        </w:rPr>
        <w:t xml:space="preserve">ensiones </w:t>
      </w:r>
      <w:r>
        <w:rPr>
          <w:rFonts w:ascii="Book Antiqua" w:eastAsia="Calibri" w:hAnsi="Book Antiqua" w:cs="Arial"/>
          <w:sz w:val="24"/>
          <w:szCs w:val="24"/>
        </w:rPr>
        <w:t>Al</w:t>
      </w:r>
      <w:r w:rsidRPr="00246AF6">
        <w:rPr>
          <w:rFonts w:ascii="Book Antiqua" w:eastAsia="Calibri" w:hAnsi="Book Antiqua" w:cs="Arial"/>
          <w:sz w:val="24"/>
          <w:szCs w:val="24"/>
        </w:rPr>
        <w:t>imentarias y Violencia Doméstica,</w:t>
      </w:r>
      <w:r>
        <w:rPr>
          <w:rFonts w:ascii="Book Antiqua" w:eastAsia="Calibri" w:hAnsi="Book Antiqua" w:cs="Arial"/>
          <w:sz w:val="24"/>
          <w:szCs w:val="24"/>
        </w:rPr>
        <w:t xml:space="preserve"> entre otros. </w:t>
      </w:r>
    </w:p>
    <w:p w14:paraId="0F3AA65F" w14:textId="77777777" w:rsidR="00D12ED9" w:rsidRDefault="00D12ED9" w:rsidP="00F81BCC">
      <w:pPr>
        <w:spacing w:after="0" w:line="276" w:lineRule="auto"/>
        <w:jc w:val="both"/>
        <w:rPr>
          <w:rFonts w:ascii="Book Antiqua" w:eastAsia="Calibri" w:hAnsi="Book Antiqua" w:cs="Arial"/>
          <w:sz w:val="24"/>
          <w:szCs w:val="24"/>
        </w:rPr>
      </w:pPr>
    </w:p>
    <w:p w14:paraId="54235791" w14:textId="078F60C1" w:rsidR="00F81BCC" w:rsidRPr="00F81BCC" w:rsidRDefault="00F81BCC" w:rsidP="00F81BCC">
      <w:pPr>
        <w:spacing w:after="0" w:line="276" w:lineRule="auto"/>
        <w:jc w:val="both"/>
        <w:rPr>
          <w:rFonts w:ascii="Book Antiqua" w:eastAsia="Calibri" w:hAnsi="Book Antiqua" w:cs="Arial"/>
          <w:sz w:val="24"/>
          <w:szCs w:val="24"/>
        </w:rPr>
      </w:pPr>
      <w:r w:rsidRPr="00F81BCC">
        <w:rPr>
          <w:rFonts w:ascii="Book Antiqua" w:eastAsia="Calibri" w:hAnsi="Book Antiqua" w:cs="Arial"/>
          <w:sz w:val="24"/>
          <w:szCs w:val="24"/>
        </w:rPr>
        <w:t>La plaza de Jueza o Juez Gestor tiene no solo la responsabilidad de brindar asesoría a las distintas instancias administrativas en el Proyecto de Implementación de la Reforma, dar seguimiento a las distintas labores necesarias para que el Poder Judicial esté listo para implementar el Código Procesal de Familia a partir del 1 de octubre de 2022, debe dar cumplimiento a las tareas asignadas conforme al cronograma de trabajo del Proyecto y responsabilidades asociadas a los entregables a su cargo, además es un canal de comunicación directo con la Comisión de Familia, Niñez y Adolescencia</w:t>
      </w:r>
      <w:r w:rsidR="00D12ED9">
        <w:rPr>
          <w:rFonts w:ascii="Book Antiqua" w:eastAsia="Calibri" w:hAnsi="Book Antiqua" w:cs="Arial"/>
          <w:sz w:val="24"/>
          <w:szCs w:val="24"/>
        </w:rPr>
        <w:t xml:space="preserve"> y la </w:t>
      </w:r>
      <w:r w:rsidR="00D12ED9" w:rsidRPr="00D12ED9">
        <w:rPr>
          <w:rFonts w:ascii="Book Antiqua" w:eastAsia="Calibri" w:hAnsi="Book Antiqua" w:cs="Arial"/>
          <w:sz w:val="24"/>
          <w:szCs w:val="24"/>
        </w:rPr>
        <w:t>Comisión Permanente para el Seguimiento de la Atención y Prevención de la Violencia Intrafamiliar</w:t>
      </w:r>
      <w:r w:rsidR="00D12ED9">
        <w:rPr>
          <w:rFonts w:ascii="Book Antiqua" w:eastAsia="Calibri" w:hAnsi="Book Antiqua" w:cs="Arial"/>
          <w:sz w:val="24"/>
          <w:szCs w:val="24"/>
        </w:rPr>
        <w:t>.</w:t>
      </w:r>
    </w:p>
    <w:p w14:paraId="6AE32A31" w14:textId="77777777" w:rsidR="00F81BCC" w:rsidRPr="00F81BCC" w:rsidRDefault="00F81BCC" w:rsidP="00F81BCC">
      <w:pPr>
        <w:spacing w:after="0" w:line="276" w:lineRule="auto"/>
        <w:jc w:val="both"/>
        <w:rPr>
          <w:rFonts w:ascii="Book Antiqua" w:eastAsia="Calibri" w:hAnsi="Book Antiqua" w:cs="Arial"/>
          <w:sz w:val="24"/>
          <w:szCs w:val="24"/>
        </w:rPr>
      </w:pPr>
    </w:p>
    <w:p w14:paraId="27D695CF" w14:textId="28629942" w:rsidR="00F81BCC" w:rsidRDefault="00F81BCC" w:rsidP="00F81BCC">
      <w:pPr>
        <w:spacing w:after="0" w:line="276" w:lineRule="auto"/>
        <w:jc w:val="both"/>
        <w:rPr>
          <w:rFonts w:ascii="Book Antiqua" w:eastAsia="Calibri" w:hAnsi="Book Antiqua" w:cs="Arial"/>
          <w:sz w:val="24"/>
          <w:szCs w:val="24"/>
        </w:rPr>
      </w:pPr>
      <w:r w:rsidRPr="00F81BCC">
        <w:rPr>
          <w:rFonts w:ascii="Book Antiqua" w:eastAsia="Calibri" w:hAnsi="Book Antiqua" w:cs="Arial"/>
          <w:sz w:val="24"/>
          <w:szCs w:val="24"/>
        </w:rPr>
        <w:t xml:space="preserve">La plaza de </w:t>
      </w:r>
      <w:r w:rsidR="002936E1">
        <w:rPr>
          <w:rFonts w:ascii="Book Antiqua" w:eastAsia="Calibri" w:hAnsi="Book Antiqua" w:cs="Arial"/>
          <w:sz w:val="24"/>
          <w:szCs w:val="24"/>
        </w:rPr>
        <w:t>P</w:t>
      </w:r>
      <w:r w:rsidRPr="00F81BCC">
        <w:rPr>
          <w:rFonts w:ascii="Book Antiqua" w:eastAsia="Calibri" w:hAnsi="Book Antiqua" w:cs="Arial"/>
          <w:sz w:val="24"/>
          <w:szCs w:val="24"/>
        </w:rPr>
        <w:t>rofesional 2 debe estar a cargo del seguimiento de las oficinas en materia de Familia, Pensiones Alimentarias y Violencia Doméstica a nivel nacional</w:t>
      </w:r>
      <w:r w:rsidR="00D12ED9">
        <w:rPr>
          <w:rFonts w:ascii="Book Antiqua" w:eastAsia="Calibri" w:hAnsi="Book Antiqua" w:cs="Arial"/>
          <w:sz w:val="24"/>
          <w:szCs w:val="24"/>
        </w:rPr>
        <w:t xml:space="preserve"> (119)</w:t>
      </w:r>
      <w:r w:rsidRPr="00F81BCC">
        <w:rPr>
          <w:rFonts w:ascii="Book Antiqua" w:eastAsia="Calibri" w:hAnsi="Book Antiqua" w:cs="Arial"/>
          <w:sz w:val="24"/>
          <w:szCs w:val="24"/>
        </w:rPr>
        <w:t>, así como enfocada en el diseño de propuesta</w:t>
      </w:r>
      <w:r w:rsidR="002936E1">
        <w:rPr>
          <w:rFonts w:ascii="Book Antiqua" w:eastAsia="Calibri" w:hAnsi="Book Antiqua" w:cs="Arial"/>
          <w:sz w:val="24"/>
          <w:szCs w:val="24"/>
        </w:rPr>
        <w:t>s</w:t>
      </w:r>
      <w:r w:rsidRPr="00F81BCC">
        <w:rPr>
          <w:rFonts w:ascii="Book Antiqua" w:eastAsia="Calibri" w:hAnsi="Book Antiqua" w:cs="Arial"/>
          <w:sz w:val="24"/>
          <w:szCs w:val="24"/>
        </w:rPr>
        <w:t xml:space="preserve">, planes de trabajo y remediales conforme al seguimiento realizado. También esta plaza da apoyo a la figura de Jueza o Juez Gestor en la materia. </w:t>
      </w:r>
    </w:p>
    <w:p w14:paraId="6E3DF15A" w14:textId="77777777" w:rsidR="00F81BCC" w:rsidRPr="00F81BCC" w:rsidRDefault="00F81BCC" w:rsidP="00F81BCC">
      <w:pPr>
        <w:spacing w:after="0" w:line="276" w:lineRule="auto"/>
        <w:jc w:val="both"/>
        <w:rPr>
          <w:rFonts w:ascii="Book Antiqua" w:eastAsia="Calibri" w:hAnsi="Book Antiqua" w:cs="Arial"/>
          <w:sz w:val="24"/>
          <w:szCs w:val="24"/>
        </w:rPr>
      </w:pPr>
    </w:p>
    <w:p w14:paraId="6C910BD8" w14:textId="527AFBF6" w:rsidR="00D12ED9" w:rsidRDefault="00F81BCC" w:rsidP="00F81BCC">
      <w:pPr>
        <w:spacing w:after="0" w:line="276" w:lineRule="auto"/>
        <w:jc w:val="both"/>
        <w:rPr>
          <w:rFonts w:ascii="Book Antiqua" w:eastAsia="Calibri" w:hAnsi="Book Antiqua" w:cs="Arial"/>
          <w:sz w:val="24"/>
          <w:szCs w:val="24"/>
        </w:rPr>
      </w:pPr>
      <w:r w:rsidRPr="00F81BCC">
        <w:rPr>
          <w:rFonts w:ascii="Book Antiqua" w:eastAsia="Calibri" w:hAnsi="Book Antiqua" w:cs="Arial"/>
          <w:sz w:val="24"/>
          <w:szCs w:val="24"/>
        </w:rPr>
        <w:t xml:space="preserve">Cabe mencionar que las plazas de Jueza o Juez 3 son plazas para utilizar en planes de descongestionamiento </w:t>
      </w:r>
      <w:r w:rsidR="008B5860">
        <w:rPr>
          <w:rFonts w:ascii="Book Antiqua" w:eastAsia="Calibri" w:hAnsi="Book Antiqua" w:cs="Arial"/>
          <w:sz w:val="24"/>
          <w:szCs w:val="24"/>
        </w:rPr>
        <w:t xml:space="preserve">en materia de Familia </w:t>
      </w:r>
      <w:r w:rsidRPr="00F81BCC">
        <w:rPr>
          <w:rFonts w:ascii="Book Antiqua" w:eastAsia="Calibri" w:hAnsi="Book Antiqua" w:cs="Arial"/>
          <w:sz w:val="24"/>
          <w:szCs w:val="24"/>
        </w:rPr>
        <w:t>a nivel nacional, por lo que deben tener competencia en todo el país</w:t>
      </w:r>
      <w:r w:rsidR="00D12ED9">
        <w:rPr>
          <w:rFonts w:ascii="Book Antiqua" w:eastAsia="Calibri" w:hAnsi="Book Antiqua" w:cs="Arial"/>
          <w:sz w:val="24"/>
          <w:szCs w:val="24"/>
        </w:rPr>
        <w:t xml:space="preserve">, misma situación con las plazas de Jueza o Juez 1 (competencia a nivel nacional), que el año pasado no fueron consideradas pero que se ha denotado la necesidad de contar con recurso de apoyo también en materia de Pensiones Alimentarias. </w:t>
      </w:r>
      <w:r w:rsidRPr="00F81BCC">
        <w:rPr>
          <w:rFonts w:ascii="Book Antiqua" w:eastAsia="Calibri" w:hAnsi="Book Antiqua" w:cs="Arial"/>
          <w:sz w:val="24"/>
          <w:szCs w:val="24"/>
        </w:rPr>
        <w:t xml:space="preserve"> Esta</w:t>
      </w:r>
      <w:r w:rsidR="00D12ED9">
        <w:rPr>
          <w:rFonts w:ascii="Book Antiqua" w:eastAsia="Calibri" w:hAnsi="Book Antiqua" w:cs="Arial"/>
          <w:sz w:val="24"/>
          <w:szCs w:val="24"/>
        </w:rPr>
        <w:t>s</w:t>
      </w:r>
      <w:r w:rsidRPr="00F81BCC">
        <w:rPr>
          <w:rFonts w:ascii="Book Antiqua" w:eastAsia="Calibri" w:hAnsi="Book Antiqua" w:cs="Arial"/>
          <w:sz w:val="24"/>
          <w:szCs w:val="24"/>
        </w:rPr>
        <w:t xml:space="preserve"> necesidad</w:t>
      </w:r>
      <w:r w:rsidR="00D12ED9">
        <w:rPr>
          <w:rFonts w:ascii="Book Antiqua" w:eastAsia="Calibri" w:hAnsi="Book Antiqua" w:cs="Arial"/>
          <w:sz w:val="24"/>
          <w:szCs w:val="24"/>
        </w:rPr>
        <w:t>es</w:t>
      </w:r>
      <w:r w:rsidRPr="00F81BCC">
        <w:rPr>
          <w:rFonts w:ascii="Book Antiqua" w:eastAsia="Calibri" w:hAnsi="Book Antiqua" w:cs="Arial"/>
          <w:sz w:val="24"/>
          <w:szCs w:val="24"/>
        </w:rPr>
        <w:t xml:space="preserve"> en 2019, 2020 y 2021 se ha cubierto con permisos con goce de salario y sustitución de conformidad con el artículo 44 de la Ley Orgánica del Poder Judicial</w:t>
      </w:r>
      <w:r w:rsidR="00D12ED9">
        <w:rPr>
          <w:rFonts w:ascii="Book Antiqua" w:eastAsia="Calibri" w:hAnsi="Book Antiqua" w:cs="Arial"/>
          <w:sz w:val="24"/>
          <w:szCs w:val="24"/>
        </w:rPr>
        <w:t>.</w:t>
      </w:r>
    </w:p>
    <w:p w14:paraId="7616E44D" w14:textId="3D4B7B76" w:rsidR="00F81BCC" w:rsidRPr="00F81BCC" w:rsidRDefault="00F81BCC" w:rsidP="00F81BCC">
      <w:pPr>
        <w:spacing w:after="0" w:line="276" w:lineRule="auto"/>
        <w:jc w:val="both"/>
        <w:rPr>
          <w:rFonts w:ascii="Book Antiqua" w:eastAsia="Calibri" w:hAnsi="Book Antiqua" w:cs="Arial"/>
          <w:sz w:val="24"/>
          <w:szCs w:val="24"/>
        </w:rPr>
      </w:pPr>
      <w:r w:rsidRPr="00F81BCC">
        <w:rPr>
          <w:rFonts w:ascii="Book Antiqua" w:eastAsia="Calibri" w:hAnsi="Book Antiqua" w:cs="Arial"/>
          <w:sz w:val="24"/>
          <w:szCs w:val="24"/>
        </w:rPr>
        <w:t xml:space="preserve"> </w:t>
      </w:r>
    </w:p>
    <w:p w14:paraId="674163CB" w14:textId="5F425065" w:rsidR="00F81BCC" w:rsidRDefault="00F81BCC" w:rsidP="00F81BCC">
      <w:pPr>
        <w:spacing w:after="0" w:line="276" w:lineRule="auto"/>
        <w:jc w:val="both"/>
        <w:rPr>
          <w:rFonts w:ascii="Book Antiqua" w:eastAsia="Calibri" w:hAnsi="Book Antiqua" w:cs="Arial"/>
          <w:b/>
          <w:bCs/>
          <w:sz w:val="24"/>
          <w:szCs w:val="24"/>
        </w:rPr>
      </w:pPr>
      <w:r w:rsidRPr="00F81BCC">
        <w:rPr>
          <w:rFonts w:ascii="Book Antiqua" w:eastAsia="Calibri" w:hAnsi="Book Antiqua" w:cs="Arial"/>
          <w:sz w:val="24"/>
          <w:szCs w:val="24"/>
        </w:rPr>
        <w:t xml:space="preserve">Se estima que los costos totales anuales del requerimiento del Centro de Apoyo, Coordinación y Mejoramiento de la Función Jurisdiccional en </w:t>
      </w:r>
      <w:r w:rsidRPr="008B5860">
        <w:rPr>
          <w:rFonts w:ascii="Times New Roman" w:eastAsia="Calibri" w:hAnsi="Times New Roman" w:cs="Times New Roman"/>
          <w:b/>
          <w:bCs/>
          <w:sz w:val="24"/>
          <w:szCs w:val="24"/>
        </w:rPr>
        <w:t>₡</w:t>
      </w:r>
      <w:r w:rsidR="00641FB7" w:rsidRPr="008B5860">
        <w:rPr>
          <w:rFonts w:ascii="Times New Roman" w:eastAsia="Calibri" w:hAnsi="Times New Roman" w:cs="Times New Roman"/>
          <w:b/>
          <w:bCs/>
          <w:sz w:val="24"/>
          <w:szCs w:val="24"/>
        </w:rPr>
        <w:t xml:space="preserve"> 5</w:t>
      </w:r>
      <w:r w:rsidRPr="008B5860">
        <w:rPr>
          <w:rFonts w:ascii="Book Antiqua" w:eastAsia="Calibri" w:hAnsi="Book Antiqua" w:cs="Arial"/>
          <w:b/>
          <w:bCs/>
          <w:sz w:val="24"/>
          <w:szCs w:val="24"/>
        </w:rPr>
        <w:t>3</w:t>
      </w:r>
      <w:r w:rsidR="00641FB7" w:rsidRPr="008B5860">
        <w:rPr>
          <w:rFonts w:ascii="Book Antiqua" w:eastAsia="Calibri" w:hAnsi="Book Antiqua" w:cs="Arial"/>
          <w:b/>
          <w:bCs/>
          <w:sz w:val="24"/>
          <w:szCs w:val="24"/>
        </w:rPr>
        <w:t>5</w:t>
      </w:r>
      <w:r w:rsidRPr="008B5860">
        <w:rPr>
          <w:rFonts w:ascii="Book Antiqua" w:eastAsia="Calibri" w:hAnsi="Book Antiqua" w:cs="Arial"/>
          <w:b/>
          <w:bCs/>
          <w:sz w:val="24"/>
          <w:szCs w:val="24"/>
        </w:rPr>
        <w:t>.</w:t>
      </w:r>
      <w:r w:rsidR="00641FB7" w:rsidRPr="008B5860">
        <w:rPr>
          <w:rFonts w:ascii="Book Antiqua" w:eastAsia="Calibri" w:hAnsi="Book Antiqua" w:cs="Arial"/>
          <w:b/>
          <w:bCs/>
          <w:sz w:val="24"/>
          <w:szCs w:val="24"/>
        </w:rPr>
        <w:t>4</w:t>
      </w:r>
      <w:r w:rsidRPr="008B5860">
        <w:rPr>
          <w:rFonts w:ascii="Book Antiqua" w:eastAsia="Calibri" w:hAnsi="Book Antiqua" w:cs="Arial"/>
          <w:b/>
          <w:bCs/>
          <w:sz w:val="24"/>
          <w:szCs w:val="24"/>
        </w:rPr>
        <w:t>7</w:t>
      </w:r>
      <w:r w:rsidR="00641FB7" w:rsidRPr="008B5860">
        <w:rPr>
          <w:rFonts w:ascii="Book Antiqua" w:eastAsia="Calibri" w:hAnsi="Book Antiqua" w:cs="Arial"/>
          <w:b/>
          <w:bCs/>
          <w:sz w:val="24"/>
          <w:szCs w:val="24"/>
        </w:rPr>
        <w:t>8</w:t>
      </w:r>
      <w:r w:rsidRPr="008B5860">
        <w:rPr>
          <w:rFonts w:ascii="Book Antiqua" w:eastAsia="Calibri" w:hAnsi="Book Antiqua" w:cs="Arial"/>
          <w:b/>
          <w:bCs/>
          <w:sz w:val="24"/>
          <w:szCs w:val="24"/>
        </w:rPr>
        <w:t>.</w:t>
      </w:r>
      <w:r w:rsidR="00641FB7" w:rsidRPr="008B5860">
        <w:rPr>
          <w:rFonts w:ascii="Book Antiqua" w:eastAsia="Calibri" w:hAnsi="Book Antiqua" w:cs="Arial"/>
          <w:b/>
          <w:bCs/>
          <w:sz w:val="24"/>
          <w:szCs w:val="24"/>
        </w:rPr>
        <w:t>395</w:t>
      </w:r>
      <w:r w:rsidRPr="008B5860">
        <w:rPr>
          <w:rFonts w:ascii="Book Antiqua" w:eastAsia="Calibri" w:hAnsi="Book Antiqua" w:cs="Arial"/>
          <w:b/>
          <w:bCs/>
          <w:sz w:val="24"/>
          <w:szCs w:val="24"/>
        </w:rPr>
        <w:t>,00.</w:t>
      </w:r>
    </w:p>
    <w:p w14:paraId="17EE7D23" w14:textId="3CB1BA15" w:rsidR="001A2A1B" w:rsidRDefault="001A2A1B" w:rsidP="001A2A1B">
      <w:pPr>
        <w:pStyle w:val="Ttulo"/>
        <w:spacing w:line="276" w:lineRule="auto"/>
        <w:jc w:val="both"/>
        <w:rPr>
          <w:rFonts w:eastAsia="Calibri" w:cs="Arial"/>
          <w:b w:val="0"/>
          <w:color w:val="auto"/>
          <w:spacing w:val="0"/>
          <w:szCs w:val="24"/>
          <w:lang w:val="es-CR" w:eastAsia="en-US"/>
        </w:rPr>
      </w:pPr>
      <w:r>
        <w:rPr>
          <w:rFonts w:eastAsia="Calibri" w:cs="Arial"/>
          <w:b w:val="0"/>
          <w:color w:val="auto"/>
          <w:spacing w:val="0"/>
          <w:szCs w:val="24"/>
          <w:lang w:val="es-CR" w:eastAsia="en-US"/>
        </w:rPr>
        <w:lastRenderedPageBreak/>
        <w:t xml:space="preserve">Adicionalmente esta Dirección considera oportuno como se explicó en apartados anteriores contar con 2 plazas de Jueza o Juez 3 y 2 Técnicos Judiciales para planes de Trabajo en materia de Violencia Doméstica a nivel nacional, para reforzar oficinas con mayor carga de trabajo o eventualmente completar estructuras en caso de que con el Modelo de oficina se identifique faltante. </w:t>
      </w:r>
    </w:p>
    <w:p w14:paraId="0E131AC5" w14:textId="0DF6B682" w:rsidR="008B5860" w:rsidRDefault="008B5860" w:rsidP="00F81BCC">
      <w:pPr>
        <w:spacing w:after="0" w:line="276" w:lineRule="auto"/>
        <w:jc w:val="both"/>
        <w:rPr>
          <w:rFonts w:ascii="Book Antiqua" w:eastAsia="Calibri" w:hAnsi="Book Antiqua" w:cs="Arial"/>
          <w:b/>
          <w:bCs/>
          <w:sz w:val="24"/>
          <w:szCs w:val="24"/>
        </w:rPr>
      </w:pPr>
    </w:p>
    <w:p w14:paraId="5EFA68B1" w14:textId="1201846F" w:rsidR="008B5860" w:rsidRPr="00AA01E7" w:rsidRDefault="008B5860"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t xml:space="preserve">Resultado de los planes de descongestionamiento en materia de Familia </w:t>
      </w:r>
    </w:p>
    <w:p w14:paraId="1AA09176" w14:textId="77777777" w:rsidR="00AA01E7" w:rsidRDefault="00AA01E7" w:rsidP="00833E7E">
      <w:pPr>
        <w:spacing w:after="0" w:line="276" w:lineRule="auto"/>
        <w:jc w:val="both"/>
        <w:rPr>
          <w:rFonts w:ascii="Book Antiqua" w:eastAsia="Calibri" w:hAnsi="Book Antiqua" w:cs="Arial"/>
          <w:sz w:val="24"/>
          <w:szCs w:val="24"/>
        </w:rPr>
      </w:pPr>
    </w:p>
    <w:p w14:paraId="5F007C3F" w14:textId="16AD8A55" w:rsidR="00833E7E" w:rsidRDefault="00833E7E" w:rsidP="00833E7E">
      <w:pPr>
        <w:spacing w:after="0" w:line="276" w:lineRule="auto"/>
        <w:jc w:val="both"/>
        <w:rPr>
          <w:rFonts w:ascii="Book Antiqua" w:eastAsia="Calibri" w:hAnsi="Book Antiqua" w:cs="Arial"/>
          <w:sz w:val="24"/>
          <w:szCs w:val="24"/>
        </w:rPr>
      </w:pPr>
      <w:r w:rsidRPr="00833E7E">
        <w:rPr>
          <w:rFonts w:ascii="Book Antiqua" w:eastAsia="Calibri" w:hAnsi="Book Antiqua" w:cs="Arial"/>
          <w:sz w:val="24"/>
          <w:szCs w:val="24"/>
        </w:rPr>
        <w:t xml:space="preserve">El diseño de los planes descongestionamiento se basan en la cantidad de pendiente de fallo tanto en primera como en segunda instancia (PA) en los juzgados de Familia, los circulantes de los despachos y el rendimiento de las personas juzgadoras de los Despachos, de forma de que se orienten los esfuerzos a los Juzgados con mayor retraso pero que presentan un adecuado rendimiento por parte de las personas juzgadoras. </w:t>
      </w:r>
    </w:p>
    <w:p w14:paraId="40EFDC7C" w14:textId="77777777" w:rsidR="006C5705" w:rsidRPr="00833E7E" w:rsidRDefault="006C5705" w:rsidP="00833E7E">
      <w:pPr>
        <w:spacing w:after="0" w:line="276" w:lineRule="auto"/>
        <w:jc w:val="both"/>
        <w:rPr>
          <w:rFonts w:ascii="Book Antiqua" w:eastAsia="Calibri" w:hAnsi="Book Antiqua" w:cs="Arial"/>
          <w:sz w:val="24"/>
          <w:szCs w:val="24"/>
        </w:rPr>
      </w:pPr>
    </w:p>
    <w:p w14:paraId="3BC2C5DC" w14:textId="77777777" w:rsidR="00833E7E" w:rsidRPr="00833E7E" w:rsidRDefault="00833E7E" w:rsidP="00833E7E">
      <w:pPr>
        <w:spacing w:after="0" w:line="276" w:lineRule="auto"/>
        <w:ind w:right="-1"/>
        <w:jc w:val="both"/>
        <w:rPr>
          <w:rFonts w:ascii="Book Antiqua" w:eastAsia="Calibri" w:hAnsi="Book Antiqua" w:cs="Arial"/>
          <w:sz w:val="24"/>
          <w:szCs w:val="24"/>
          <w:lang w:eastAsia="ko-KR"/>
        </w:rPr>
      </w:pPr>
      <w:r w:rsidRPr="00833E7E">
        <w:rPr>
          <w:rFonts w:ascii="Book Antiqua" w:eastAsia="Calibri" w:hAnsi="Book Antiqua" w:cs="Arial"/>
          <w:sz w:val="24"/>
          <w:szCs w:val="24"/>
          <w:lang w:eastAsia="ko-KR"/>
        </w:rPr>
        <w:t>El plan de Descongestionamiento en los Juzgados de Familia inició el 19 de agosto del 2019, con 4 plazas de Jueza o Juez 3 destacadas en los despachos de Familia conforme a las prioridades indicadas por la Dirección de Planificación, según informe 1113-PLA-MI-2019, aprobado por el Consejo Superior en la sesión 67-19 celebrada el 30 de julio de 2019,</w:t>
      </w:r>
      <w:bookmarkStart w:id="67" w:name="_Toc15033089"/>
      <w:bookmarkEnd w:id="67"/>
      <w:r w:rsidRPr="00833E7E">
        <w:rPr>
          <w:rFonts w:ascii="Book Antiqua" w:eastAsia="Calibri" w:hAnsi="Book Antiqua" w:cs="Arial"/>
          <w:sz w:val="24"/>
          <w:szCs w:val="24"/>
          <w:lang w:eastAsia="ko-KR"/>
        </w:rPr>
        <w:t xml:space="preserve"> articulo LXIV.</w:t>
      </w:r>
    </w:p>
    <w:p w14:paraId="3A2D53ED" w14:textId="77777777" w:rsidR="00833E7E" w:rsidRPr="00833E7E" w:rsidRDefault="00833E7E" w:rsidP="00833E7E">
      <w:pPr>
        <w:spacing w:after="0" w:line="276" w:lineRule="auto"/>
        <w:ind w:left="792" w:right="-1"/>
        <w:jc w:val="both"/>
        <w:rPr>
          <w:rFonts w:ascii="Book Antiqua" w:eastAsia="Calibri" w:hAnsi="Book Antiqua" w:cs="Arial"/>
          <w:sz w:val="24"/>
          <w:szCs w:val="24"/>
          <w:lang w:eastAsia="ko-KR"/>
        </w:rPr>
      </w:pPr>
    </w:p>
    <w:p w14:paraId="77F97E1D" w14:textId="77777777" w:rsidR="00833E7E" w:rsidRPr="00833E7E" w:rsidRDefault="00833E7E" w:rsidP="00833E7E">
      <w:pPr>
        <w:spacing w:after="0" w:line="276" w:lineRule="auto"/>
        <w:ind w:right="-1"/>
        <w:jc w:val="both"/>
        <w:rPr>
          <w:rFonts w:ascii="Book Antiqua" w:eastAsia="Calibri" w:hAnsi="Book Antiqua" w:cs="Arial"/>
          <w:sz w:val="24"/>
          <w:szCs w:val="24"/>
          <w:lang w:eastAsia="ko-KR"/>
        </w:rPr>
      </w:pPr>
      <w:r w:rsidRPr="00833E7E">
        <w:rPr>
          <w:rFonts w:ascii="Book Antiqua" w:eastAsia="Calibri" w:hAnsi="Book Antiqua" w:cs="Arial"/>
          <w:sz w:val="24"/>
          <w:szCs w:val="24"/>
        </w:rPr>
        <w:t xml:space="preserve">El inicio del plan se aprobó por el Consejo Superior en sesión 71-2019 del 13 de agosto de 2019, artículo LXXVI, conoció el oficio 321-CACMFJ-JEF-2019 presentado por el Centro de Apoyo, Coordinación y Mejoramiento de la Función Jurisdiccional, en el que se informó los números de plazas de las cuatro personas Juzgadoras con categoría 3 que asumirán el plan de descongestionamiento de Familia, por el periodo del </w:t>
      </w:r>
      <w:r w:rsidRPr="00833E7E">
        <w:rPr>
          <w:rFonts w:ascii="Book Antiqua" w:eastAsia="Calibri" w:hAnsi="Book Antiqua" w:cs="Arial"/>
          <w:color w:val="000000"/>
          <w:sz w:val="24"/>
          <w:szCs w:val="24"/>
          <w:shd w:val="clear" w:color="auto" w:fill="FFFFFF"/>
        </w:rPr>
        <w:t>12 de agosto al 30 de septiembre del 2019</w:t>
      </w:r>
      <w:r w:rsidRPr="00833E7E">
        <w:rPr>
          <w:rFonts w:ascii="Book Antiqua" w:eastAsia="Calibri" w:hAnsi="Book Antiqua" w:cs="Arial"/>
          <w:sz w:val="24"/>
          <w:szCs w:val="24"/>
        </w:rPr>
        <w:t>.</w:t>
      </w:r>
    </w:p>
    <w:p w14:paraId="396828A1" w14:textId="77777777" w:rsidR="00833E7E" w:rsidRPr="00833E7E" w:rsidRDefault="00833E7E" w:rsidP="00833E7E">
      <w:pPr>
        <w:spacing w:after="0" w:line="276" w:lineRule="auto"/>
        <w:ind w:left="792" w:right="-1"/>
        <w:jc w:val="both"/>
        <w:rPr>
          <w:rFonts w:ascii="Book Antiqua" w:eastAsia="Calibri" w:hAnsi="Book Antiqua" w:cs="Arial"/>
          <w:sz w:val="24"/>
          <w:szCs w:val="24"/>
          <w:lang w:eastAsia="ko-KR"/>
        </w:rPr>
      </w:pPr>
    </w:p>
    <w:p w14:paraId="6BEB7955" w14:textId="77777777" w:rsidR="00833E7E" w:rsidRPr="00833E7E" w:rsidRDefault="00833E7E" w:rsidP="00833E7E">
      <w:pPr>
        <w:spacing w:after="0" w:line="276" w:lineRule="auto"/>
        <w:ind w:right="-1"/>
        <w:jc w:val="both"/>
        <w:rPr>
          <w:rFonts w:ascii="Book Antiqua" w:eastAsia="Calibri" w:hAnsi="Book Antiqua" w:cs="Arial"/>
          <w:sz w:val="24"/>
          <w:szCs w:val="24"/>
          <w:lang w:eastAsia="ko-KR"/>
        </w:rPr>
      </w:pPr>
      <w:r w:rsidRPr="00833E7E">
        <w:rPr>
          <w:rFonts w:ascii="Book Antiqua" w:eastAsia="Calibri" w:hAnsi="Book Antiqua" w:cs="Arial"/>
          <w:color w:val="000000"/>
          <w:sz w:val="24"/>
          <w:szCs w:val="24"/>
          <w:shd w:val="clear" w:color="auto" w:fill="FFFFFF"/>
        </w:rPr>
        <w:t xml:space="preserve">El Consejo Superior en sesión 84-19, del 26 de setiembre del 2019, artículo </w:t>
      </w:r>
      <w:r w:rsidRPr="00833E7E">
        <w:rPr>
          <w:rFonts w:ascii="Book Antiqua" w:eastAsia="Calibri" w:hAnsi="Book Antiqua" w:cs="Arial"/>
          <w:color w:val="000000"/>
          <w:sz w:val="24"/>
          <w:szCs w:val="24"/>
        </w:rPr>
        <w:t xml:space="preserve">LXXXIV, aprueba la prórroga de 4 permisos de persona juzgadora para el plan de descongestionamiento en materia de Familia del 1 de </w:t>
      </w:r>
      <w:r w:rsidRPr="00833E7E">
        <w:rPr>
          <w:rFonts w:ascii="Book Antiqua" w:eastAsia="Calibri" w:hAnsi="Book Antiqua" w:cs="Arial"/>
          <w:color w:val="000000"/>
          <w:sz w:val="24"/>
          <w:szCs w:val="24"/>
          <w:shd w:val="clear" w:color="auto" w:fill="FFFFFF"/>
        </w:rPr>
        <w:t>octubre </w:t>
      </w:r>
      <w:r w:rsidRPr="00833E7E">
        <w:rPr>
          <w:rFonts w:ascii="Book Antiqua" w:eastAsia="Calibri" w:hAnsi="Book Antiqua" w:cs="Arial"/>
          <w:sz w:val="24"/>
          <w:szCs w:val="24"/>
        </w:rPr>
        <w:t>y</w:t>
      </w:r>
      <w:r w:rsidRPr="00833E7E">
        <w:rPr>
          <w:rFonts w:ascii="Book Antiqua" w:eastAsia="Calibri" w:hAnsi="Book Antiqua" w:cs="Arial"/>
          <w:color w:val="000000"/>
          <w:sz w:val="24"/>
          <w:szCs w:val="24"/>
          <w:shd w:val="clear" w:color="auto" w:fill="FFFFFF"/>
        </w:rPr>
        <w:t xml:space="preserve"> hasta el último día laboral 2019. </w:t>
      </w:r>
    </w:p>
    <w:p w14:paraId="336AD7AF" w14:textId="2A4CEB2A" w:rsidR="00833E7E" w:rsidRDefault="00833E7E" w:rsidP="009E73B0">
      <w:pPr>
        <w:pStyle w:val="Ttulo"/>
        <w:spacing w:line="276" w:lineRule="auto"/>
        <w:jc w:val="left"/>
        <w:rPr>
          <w:szCs w:val="24"/>
          <w:lang w:val="es-CR"/>
        </w:rPr>
      </w:pPr>
    </w:p>
    <w:p w14:paraId="63E666B0" w14:textId="77777777" w:rsidR="00AA01E7" w:rsidRDefault="00AA01E7" w:rsidP="009E73B0">
      <w:pPr>
        <w:pStyle w:val="Ttulo"/>
        <w:spacing w:line="276" w:lineRule="auto"/>
        <w:jc w:val="left"/>
        <w:rPr>
          <w:szCs w:val="24"/>
          <w:lang w:val="es-CR"/>
        </w:rPr>
      </w:pPr>
    </w:p>
    <w:p w14:paraId="251240C9" w14:textId="521DCB05" w:rsidR="008B5860" w:rsidRPr="00AA01E7" w:rsidRDefault="008B5860"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lastRenderedPageBreak/>
        <w:t>Plan 2020</w:t>
      </w:r>
    </w:p>
    <w:p w14:paraId="758ECCE7" w14:textId="77777777" w:rsidR="00AA01E7" w:rsidRDefault="00AA01E7" w:rsidP="00F40AB1">
      <w:pPr>
        <w:spacing w:after="0" w:line="276" w:lineRule="auto"/>
        <w:jc w:val="both"/>
        <w:rPr>
          <w:rFonts w:ascii="Book Antiqua" w:eastAsia="Calibri" w:hAnsi="Book Antiqua" w:cs="Arial"/>
          <w:sz w:val="24"/>
          <w:szCs w:val="24"/>
        </w:rPr>
      </w:pPr>
    </w:p>
    <w:p w14:paraId="5BC5F17D" w14:textId="1EF9F092" w:rsidR="00F40AB1" w:rsidRPr="00F40AB1" w:rsidRDefault="00F40AB1" w:rsidP="00F40AB1">
      <w:pPr>
        <w:spacing w:after="0" w:line="276" w:lineRule="auto"/>
        <w:jc w:val="both"/>
        <w:rPr>
          <w:rFonts w:ascii="Book Antiqua" w:eastAsia="Calibri" w:hAnsi="Book Antiqua" w:cs="Arial"/>
          <w:sz w:val="24"/>
          <w:szCs w:val="24"/>
        </w:rPr>
      </w:pPr>
      <w:r w:rsidRPr="00F40AB1">
        <w:rPr>
          <w:rFonts w:ascii="Book Antiqua" w:eastAsia="Calibri" w:hAnsi="Book Antiqua" w:cs="Arial"/>
          <w:sz w:val="24"/>
          <w:szCs w:val="24"/>
        </w:rPr>
        <w:t>Respecto a los planes de descongestionamiento en materia de Familia 2020, se trabajó en dos etapas: una primera etapa de enero a junio y la segunda de octubre a diciembre 2020.</w:t>
      </w:r>
    </w:p>
    <w:p w14:paraId="53CE29BE" w14:textId="77777777" w:rsidR="00F40AB1" w:rsidRPr="00F40AB1" w:rsidRDefault="00F40AB1" w:rsidP="00F40AB1">
      <w:pPr>
        <w:spacing w:after="0" w:line="276" w:lineRule="auto"/>
        <w:ind w:right="-1"/>
        <w:jc w:val="both"/>
        <w:rPr>
          <w:rFonts w:ascii="Book Antiqua" w:eastAsia="Calibri" w:hAnsi="Book Antiqua" w:cs="Arial"/>
          <w:sz w:val="24"/>
          <w:szCs w:val="24"/>
          <w:lang w:eastAsia="ko-KR"/>
        </w:rPr>
      </w:pPr>
    </w:p>
    <w:p w14:paraId="272435FE" w14:textId="77777777" w:rsidR="00F40AB1" w:rsidRPr="00F40AB1" w:rsidRDefault="00F40AB1" w:rsidP="00F40AB1">
      <w:pPr>
        <w:spacing w:after="0" w:line="276" w:lineRule="auto"/>
        <w:ind w:right="-1"/>
        <w:jc w:val="both"/>
        <w:rPr>
          <w:rFonts w:ascii="Book Antiqua" w:eastAsia="Calibri" w:hAnsi="Book Antiqua" w:cs="Arial"/>
          <w:sz w:val="24"/>
          <w:szCs w:val="24"/>
          <w:lang w:eastAsia="ko-KR"/>
        </w:rPr>
      </w:pPr>
      <w:r w:rsidRPr="00F40AB1">
        <w:rPr>
          <w:rFonts w:ascii="Book Antiqua" w:eastAsia="Calibri" w:hAnsi="Book Antiqua" w:cs="Arial"/>
          <w:sz w:val="24"/>
          <w:szCs w:val="24"/>
        </w:rPr>
        <w:t>En informe 2130-PLA-PP-PE-2019 de la Dirección de Planificación referente a la propuesta de los permisos con goce de salario para los proyectos y labores operativas del año 2020, conocido y aprobado por el Consejo Superior en sesión 108-19, celebrada el 12 de diciembre del 2019, artículo LXXI, incorporó nuevamente las cuatro plazas de persona juzgadora 3 para la atención de los planes de descongestionamiento asociados al proyecto estratégico denominado “Implementación Código Procesal de Familia (planes de descongestionamiento)“.</w:t>
      </w:r>
    </w:p>
    <w:p w14:paraId="33380E31" w14:textId="77777777" w:rsidR="00F40AB1" w:rsidRPr="00F40AB1" w:rsidRDefault="00F40AB1" w:rsidP="00F40AB1">
      <w:pPr>
        <w:spacing w:after="0" w:line="276" w:lineRule="auto"/>
        <w:ind w:left="792" w:right="-1"/>
        <w:jc w:val="both"/>
        <w:rPr>
          <w:rFonts w:ascii="Book Antiqua" w:eastAsia="Calibri" w:hAnsi="Book Antiqua" w:cs="Arial"/>
          <w:sz w:val="24"/>
          <w:szCs w:val="24"/>
          <w:lang w:eastAsia="ko-KR"/>
        </w:rPr>
      </w:pPr>
    </w:p>
    <w:p w14:paraId="08853B21" w14:textId="77777777" w:rsidR="00F40AB1" w:rsidRPr="00F40AB1" w:rsidRDefault="00F40AB1" w:rsidP="00F40AB1">
      <w:pPr>
        <w:spacing w:after="0" w:line="276" w:lineRule="auto"/>
        <w:ind w:right="-1"/>
        <w:jc w:val="both"/>
        <w:rPr>
          <w:rFonts w:ascii="Book Antiqua" w:eastAsia="Calibri" w:hAnsi="Book Antiqua" w:cs="Arial"/>
          <w:sz w:val="24"/>
          <w:szCs w:val="24"/>
          <w:lang w:eastAsia="ko-KR"/>
        </w:rPr>
      </w:pPr>
      <w:r w:rsidRPr="00F40AB1">
        <w:rPr>
          <w:rFonts w:ascii="Book Antiqua" w:eastAsia="Calibri" w:hAnsi="Book Antiqua" w:cs="Arial"/>
          <w:sz w:val="24"/>
          <w:szCs w:val="24"/>
        </w:rPr>
        <w:t>Mediante oficio 38-PLA-EV-2020 del 14 de enero de 2020, relacionado con el plan de descongestionamiento de la materia de Familia, se estableció y aprobó el plan de trabajo para las cuatro plazas durante el primer trimestre del 2020, el cual fue conocido por el Consejo Superior en sesión 07-2020 celebrada el 07 de enero del 2020, artículo L.</w:t>
      </w:r>
    </w:p>
    <w:p w14:paraId="7A3A25D8" w14:textId="77777777" w:rsidR="00F40AB1" w:rsidRPr="00F40AB1" w:rsidRDefault="00F40AB1" w:rsidP="00F40AB1">
      <w:pPr>
        <w:spacing w:after="0" w:line="276" w:lineRule="auto"/>
        <w:ind w:right="-1"/>
        <w:jc w:val="both"/>
        <w:rPr>
          <w:rFonts w:ascii="Book Antiqua" w:eastAsia="Calibri" w:hAnsi="Book Antiqua" w:cs="Arial"/>
          <w:sz w:val="24"/>
          <w:szCs w:val="24"/>
          <w:lang w:eastAsia="ko-KR"/>
        </w:rPr>
      </w:pPr>
      <w:r w:rsidRPr="00F40AB1">
        <w:rPr>
          <w:rFonts w:ascii="Book Antiqua" w:eastAsia="Calibri" w:hAnsi="Book Antiqua" w:cs="Arial"/>
          <w:color w:val="000000"/>
          <w:sz w:val="24"/>
          <w:szCs w:val="24"/>
          <w:lang w:eastAsia="es-CR"/>
        </w:rPr>
        <w:t xml:space="preserve">En sesión 46-20 de Consejo Superior, celebrada el 12 de mayo de 2020, artículo LVII, se conoció el informe 688-PLA-2020 del 12 de mayo de 2020 de la Dirección de Planificación, sobre las gestiones para la valoración de prórroga de permisos con goce de salario y sustitución -entre ellos-, los planes de trabajo de las materias Familia. En relación con lo anterior, el licenciado Erick Monge Sandí, Director interino del Centro de Apoyo, Coordinación y Mejoramiento de la Función Jurisdiccional, remitió el oficio 125-CACMFJ-JEF-2020, y finalmente se aprueban los permisos </w:t>
      </w:r>
      <w:r w:rsidRPr="00F40AB1">
        <w:rPr>
          <w:rFonts w:ascii="Book Antiqua" w:eastAsia="Calibri" w:hAnsi="Book Antiqua" w:cs="Arial"/>
          <w:sz w:val="24"/>
          <w:szCs w:val="24"/>
        </w:rPr>
        <w:t xml:space="preserve">del 16 mayo hasta el 30 de junio de 2020, por acuerdo del Consejo Superior en sesión 47-2020 celebrada el 14 de mayo del 2020, artículo LVII. </w:t>
      </w:r>
    </w:p>
    <w:p w14:paraId="23CACCE7" w14:textId="77777777" w:rsidR="00F40AB1" w:rsidRPr="00F40AB1" w:rsidRDefault="00F40AB1" w:rsidP="00F40AB1">
      <w:pPr>
        <w:spacing w:after="0" w:line="276" w:lineRule="auto"/>
        <w:ind w:left="792" w:right="-1"/>
        <w:jc w:val="both"/>
        <w:rPr>
          <w:rFonts w:ascii="Book Antiqua" w:eastAsia="Calibri" w:hAnsi="Book Antiqua" w:cs="Arial"/>
          <w:sz w:val="24"/>
          <w:szCs w:val="24"/>
          <w:lang w:eastAsia="ko-KR"/>
        </w:rPr>
      </w:pPr>
    </w:p>
    <w:p w14:paraId="36237018" w14:textId="77777777" w:rsidR="00F40AB1" w:rsidRPr="00F40AB1" w:rsidRDefault="00F40AB1" w:rsidP="00F40AB1">
      <w:pPr>
        <w:spacing w:after="0" w:line="276" w:lineRule="auto"/>
        <w:jc w:val="both"/>
        <w:rPr>
          <w:rFonts w:ascii="Book Antiqua" w:eastAsia="Calibri" w:hAnsi="Book Antiqua" w:cs="Arial"/>
          <w:sz w:val="24"/>
          <w:szCs w:val="24"/>
        </w:rPr>
      </w:pPr>
      <w:r w:rsidRPr="00F40AB1">
        <w:rPr>
          <w:rFonts w:ascii="Book Antiqua" w:eastAsia="Calibri" w:hAnsi="Book Antiqua" w:cs="Arial"/>
          <w:sz w:val="24"/>
          <w:szCs w:val="24"/>
        </w:rPr>
        <w:t>Mediante oficio 1400-PLA-EV-2020 se diseñó el plan de trabajo para octubre A diciembre 2020, informe aprobado por el Consejo Superior en sesión 91-2020 celebrada el 17 de setiembre del 2020, artículo XXIV.</w:t>
      </w:r>
    </w:p>
    <w:p w14:paraId="18AAE63E" w14:textId="3044626D" w:rsidR="00F40AB1" w:rsidRPr="00F40AB1" w:rsidRDefault="00F40AB1" w:rsidP="00F40AB1">
      <w:pPr>
        <w:spacing w:after="0" w:line="276" w:lineRule="auto"/>
        <w:jc w:val="both"/>
        <w:rPr>
          <w:rFonts w:ascii="Book Antiqua" w:eastAsia="Calibri" w:hAnsi="Book Antiqua" w:cs="Arial"/>
          <w:sz w:val="24"/>
          <w:szCs w:val="24"/>
        </w:rPr>
      </w:pPr>
      <w:r w:rsidRPr="00F40AB1">
        <w:rPr>
          <w:rFonts w:ascii="Book Antiqua" w:eastAsia="Calibri" w:hAnsi="Book Antiqua" w:cs="Arial"/>
          <w:sz w:val="24"/>
          <w:szCs w:val="24"/>
        </w:rPr>
        <w:t xml:space="preserve">El resultado de los planes de descongestionamiento 2020, se encuentran actualizados en el entregable 3.11 del proyecto de Implementación del Código </w:t>
      </w:r>
      <w:r w:rsidRPr="00F40AB1">
        <w:rPr>
          <w:rFonts w:ascii="Book Antiqua" w:eastAsia="Calibri" w:hAnsi="Book Antiqua" w:cs="Arial"/>
          <w:sz w:val="24"/>
          <w:szCs w:val="24"/>
        </w:rPr>
        <w:lastRenderedPageBreak/>
        <w:t>Procesal de Familia en donde se fallaron 891 expedientes para un rendimiento global del 76%.</w:t>
      </w:r>
    </w:p>
    <w:p w14:paraId="6F4F8DDF" w14:textId="77777777" w:rsidR="00F40AB1" w:rsidRPr="00F40AB1" w:rsidRDefault="00F40AB1" w:rsidP="00F40AB1">
      <w:pPr>
        <w:spacing w:after="0" w:line="276" w:lineRule="auto"/>
        <w:jc w:val="both"/>
        <w:rPr>
          <w:rFonts w:ascii="Book Antiqua" w:eastAsia="Calibri" w:hAnsi="Book Antiqua" w:cs="Arial"/>
          <w:sz w:val="24"/>
          <w:szCs w:val="24"/>
        </w:rPr>
      </w:pPr>
    </w:p>
    <w:p w14:paraId="5A028A70" w14:textId="77777777" w:rsidR="00F40AB1" w:rsidRPr="00F40AB1" w:rsidRDefault="00F40AB1" w:rsidP="00F40AB1">
      <w:pPr>
        <w:spacing w:after="0" w:line="276" w:lineRule="auto"/>
        <w:jc w:val="both"/>
        <w:rPr>
          <w:rFonts w:ascii="Book Antiqua" w:eastAsia="Calibri" w:hAnsi="Book Antiqua" w:cs="Arial"/>
          <w:sz w:val="24"/>
          <w:szCs w:val="24"/>
        </w:rPr>
      </w:pPr>
    </w:p>
    <w:p w14:paraId="2E85D037" w14:textId="77777777" w:rsidR="00F40AB1" w:rsidRPr="00F40AB1" w:rsidRDefault="00F40AB1" w:rsidP="00F40AB1">
      <w:pPr>
        <w:spacing w:after="0" w:line="276" w:lineRule="auto"/>
        <w:ind w:left="567"/>
        <w:jc w:val="both"/>
        <w:rPr>
          <w:rFonts w:ascii="Book Antiqua" w:eastAsia="Calibri" w:hAnsi="Book Antiqua" w:cs="Arial"/>
          <w:sz w:val="24"/>
          <w:szCs w:val="24"/>
        </w:rPr>
      </w:pPr>
      <w:r w:rsidRPr="00F40AB1">
        <w:rPr>
          <w:rFonts w:ascii="Book Antiqua" w:eastAsia="Calibri" w:hAnsi="Book Antiqua" w:cs="Arial"/>
          <w:sz w:val="24"/>
          <w:szCs w:val="24"/>
        </w:rPr>
        <w:t>“…</w:t>
      </w:r>
    </w:p>
    <w:p w14:paraId="3533E4FB" w14:textId="42DCAF25" w:rsidR="00FF0236" w:rsidRPr="006C3D1F" w:rsidRDefault="00801ECD" w:rsidP="006C3D1F">
      <w:pPr>
        <w:pStyle w:val="Ttulo"/>
        <w:spacing w:line="276" w:lineRule="auto"/>
        <w:rPr>
          <w:szCs w:val="24"/>
          <w:lang w:val="es-CR"/>
        </w:rPr>
      </w:pPr>
      <w:r w:rsidRPr="00801ECD">
        <w:rPr>
          <w:rFonts w:eastAsia="Calibri" w:cs="Arial"/>
          <w:b w:val="0"/>
          <w:noProof/>
          <w:color w:val="auto"/>
          <w:spacing w:val="0"/>
          <w:sz w:val="22"/>
          <w:szCs w:val="22"/>
          <w:lang w:val="es-CR" w:eastAsia="en-US"/>
        </w:rPr>
        <w:drawing>
          <wp:inline distT="0" distB="0" distL="0" distR="0" wp14:anchorId="67ABA3A0" wp14:editId="3EB11EAC">
            <wp:extent cx="4157246" cy="3462020"/>
            <wp:effectExtent l="0" t="0" r="0" b="5080"/>
            <wp:docPr id="1263269089" name="Imagen 126326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164255" cy="3467857"/>
                    </a:xfrm>
                    <a:prstGeom prst="rect">
                      <a:avLst/>
                    </a:prstGeom>
                  </pic:spPr>
                </pic:pic>
              </a:graphicData>
            </a:graphic>
          </wp:inline>
        </w:drawing>
      </w:r>
    </w:p>
    <w:p w14:paraId="5C02544F" w14:textId="3CA8DD05" w:rsidR="008B5860" w:rsidRPr="00AA01E7" w:rsidRDefault="008B5860"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t>Plan 2021</w:t>
      </w:r>
    </w:p>
    <w:p w14:paraId="216EE9F9" w14:textId="77777777" w:rsidR="00801ECD" w:rsidRDefault="00801ECD" w:rsidP="00801ECD">
      <w:pPr>
        <w:spacing w:after="0" w:line="276" w:lineRule="auto"/>
        <w:jc w:val="both"/>
        <w:rPr>
          <w:rFonts w:ascii="Book Antiqua" w:eastAsia="Calibri" w:hAnsi="Book Antiqua" w:cs="Arial"/>
          <w:sz w:val="24"/>
          <w:szCs w:val="24"/>
        </w:rPr>
      </w:pPr>
    </w:p>
    <w:p w14:paraId="15071C09" w14:textId="13CC36CF" w:rsidR="00801ECD" w:rsidRPr="00801ECD" w:rsidRDefault="00801ECD" w:rsidP="00FF0236">
      <w:pPr>
        <w:spacing w:after="0" w:line="276" w:lineRule="auto"/>
        <w:jc w:val="both"/>
        <w:rPr>
          <w:rFonts w:ascii="Book Antiqua" w:eastAsia="Calibri" w:hAnsi="Book Antiqua" w:cs="Arial"/>
          <w:sz w:val="24"/>
          <w:szCs w:val="24"/>
        </w:rPr>
      </w:pPr>
      <w:r w:rsidRPr="00801ECD">
        <w:rPr>
          <w:rFonts w:ascii="Book Antiqua" w:eastAsia="Calibri" w:hAnsi="Book Antiqua" w:cs="Arial"/>
          <w:sz w:val="24"/>
          <w:szCs w:val="24"/>
        </w:rPr>
        <w:t xml:space="preserve">El Consejo Superior aprobó 4 plazas de persona Juzgadora para descongestionamiento en materia de Familia, de conformidad con la sesión 120-2020 celebrada el 17 de diciembre del 2020, artículo XCI.  </w:t>
      </w:r>
    </w:p>
    <w:p w14:paraId="4CCB4BA0" w14:textId="77777777" w:rsidR="00801ECD" w:rsidRPr="00801ECD" w:rsidRDefault="00801ECD" w:rsidP="00FF0236">
      <w:pPr>
        <w:spacing w:after="0" w:line="276" w:lineRule="auto"/>
        <w:jc w:val="both"/>
        <w:rPr>
          <w:rFonts w:ascii="Book Antiqua" w:eastAsia="Calibri" w:hAnsi="Book Antiqua" w:cs="Arial"/>
          <w:sz w:val="24"/>
          <w:szCs w:val="24"/>
        </w:rPr>
      </w:pPr>
    </w:p>
    <w:p w14:paraId="2E212878" w14:textId="034AF7B5" w:rsidR="00801ECD" w:rsidRPr="00801ECD" w:rsidRDefault="00E415F8" w:rsidP="00FF023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L</w:t>
      </w:r>
      <w:r w:rsidR="00801ECD" w:rsidRPr="00801ECD">
        <w:rPr>
          <w:rFonts w:ascii="Book Antiqua" w:eastAsia="Calibri" w:hAnsi="Book Antiqua" w:cs="Arial"/>
          <w:sz w:val="24"/>
          <w:szCs w:val="24"/>
        </w:rPr>
        <w:t xml:space="preserve">as plazas se avocaron a fallar asuntos pendientes conforme al plan del año </w:t>
      </w:r>
      <w:r>
        <w:rPr>
          <w:rFonts w:ascii="Book Antiqua" w:eastAsia="Calibri" w:hAnsi="Book Antiqua" w:cs="Arial"/>
          <w:sz w:val="24"/>
          <w:szCs w:val="24"/>
        </w:rPr>
        <w:t>2020</w:t>
      </w:r>
      <w:r w:rsidRPr="00801ECD">
        <w:rPr>
          <w:rFonts w:ascii="Book Antiqua" w:eastAsia="Calibri" w:hAnsi="Book Antiqua" w:cs="Arial"/>
          <w:sz w:val="24"/>
          <w:szCs w:val="24"/>
        </w:rPr>
        <w:t xml:space="preserve"> </w:t>
      </w:r>
      <w:r w:rsidR="00801ECD" w:rsidRPr="00801ECD">
        <w:rPr>
          <w:rFonts w:ascii="Book Antiqua" w:eastAsia="Calibri" w:hAnsi="Book Antiqua" w:cs="Arial"/>
          <w:sz w:val="24"/>
          <w:szCs w:val="24"/>
        </w:rPr>
        <w:t xml:space="preserve">y a colaborar con los despachos especializados, según necesidades identificadas por el CAMCFJ. </w:t>
      </w:r>
    </w:p>
    <w:p w14:paraId="0551392E" w14:textId="6643EE20" w:rsidR="00E415F8" w:rsidRPr="00E415F8" w:rsidRDefault="00E415F8" w:rsidP="00FF0236">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El resultado del plan de trabajo 2021 consta como entregable 3.16 en el sitio del </w:t>
      </w:r>
      <w:r w:rsidRPr="00E415F8">
        <w:rPr>
          <w:rFonts w:ascii="Book Antiqua" w:eastAsia="Calibri" w:hAnsi="Book Antiqua" w:cs="Arial"/>
          <w:sz w:val="24"/>
          <w:szCs w:val="24"/>
        </w:rPr>
        <w:t>proyecto, y generó el fallo de 953 asuntos en Familia y 420 en Pensiones Alimentarias:</w:t>
      </w:r>
    </w:p>
    <w:p w14:paraId="56C2DCAC" w14:textId="77777777" w:rsidR="00E415F8" w:rsidRPr="00E415F8" w:rsidRDefault="00E415F8" w:rsidP="00FF0236">
      <w:pPr>
        <w:spacing w:after="0" w:line="276" w:lineRule="auto"/>
        <w:jc w:val="both"/>
        <w:rPr>
          <w:rFonts w:ascii="Book Antiqua" w:eastAsia="Calibri" w:hAnsi="Book Antiqua" w:cs="Arial"/>
          <w:sz w:val="24"/>
          <w:szCs w:val="24"/>
        </w:rPr>
      </w:pPr>
    </w:p>
    <w:p w14:paraId="7F53786C" w14:textId="6D920794" w:rsidR="00E415F8" w:rsidRPr="001D0C10" w:rsidRDefault="00E415F8" w:rsidP="001D0C10">
      <w:pPr>
        <w:autoSpaceDE w:val="0"/>
        <w:autoSpaceDN w:val="0"/>
        <w:adjustRightInd w:val="0"/>
        <w:spacing w:after="0" w:line="276" w:lineRule="auto"/>
        <w:jc w:val="both"/>
        <w:rPr>
          <w:rFonts w:ascii="Book Antiqua" w:hAnsi="Book Antiqua" w:cs="Book Antiqua"/>
          <w:i/>
          <w:iCs/>
          <w:color w:val="000000"/>
        </w:rPr>
      </w:pPr>
      <w:r w:rsidRPr="001D0C10">
        <w:rPr>
          <w:rFonts w:ascii="Book Antiqua" w:hAnsi="Book Antiqua" w:cs="Book Antiqua"/>
          <w:color w:val="000000"/>
          <w:sz w:val="24"/>
          <w:szCs w:val="24"/>
        </w:rPr>
        <w:lastRenderedPageBreak/>
        <w:t xml:space="preserve">Respecto a Familia el CACMFJ informó: </w:t>
      </w:r>
      <w:r w:rsidRPr="001D0C10">
        <w:rPr>
          <w:rFonts w:ascii="Book Antiqua" w:hAnsi="Book Antiqua" w:cs="Book Antiqua"/>
          <w:i/>
          <w:iCs/>
          <w:color w:val="000000"/>
          <w:sz w:val="24"/>
          <w:szCs w:val="24"/>
        </w:rPr>
        <w:t>“</w:t>
      </w:r>
      <w:r w:rsidRPr="001D0C10">
        <w:rPr>
          <w:rFonts w:ascii="Book Antiqua" w:hAnsi="Book Antiqua" w:cs="Book Antiqua"/>
          <w:i/>
          <w:iCs/>
          <w:color w:val="000000"/>
        </w:rPr>
        <w:t xml:space="preserve">De enero a setiembre se recibieron 1231 expedientes, 737 de primera instancia y 494 de segunda; se fallaron 953 asuntos, el 57% asuntos de primera instancia y 43% de segunda; logrando el dictado de sentencia del 77% de lo recibido. </w:t>
      </w:r>
    </w:p>
    <w:p w14:paraId="1F5F36B9" w14:textId="70BD5502" w:rsidR="00E415F8" w:rsidRPr="001D0C10" w:rsidRDefault="00E415F8" w:rsidP="00E415F8">
      <w:pPr>
        <w:spacing w:after="0" w:line="276" w:lineRule="auto"/>
        <w:jc w:val="both"/>
        <w:rPr>
          <w:rFonts w:ascii="Book Antiqua" w:hAnsi="Book Antiqua" w:cs="Book Antiqua"/>
          <w:i/>
          <w:iCs/>
          <w:color w:val="000000"/>
        </w:rPr>
      </w:pPr>
      <w:r w:rsidRPr="001D0C10">
        <w:rPr>
          <w:rFonts w:ascii="Book Antiqua" w:hAnsi="Book Antiqua" w:cs="Book Antiqua"/>
          <w:i/>
          <w:iCs/>
          <w:color w:val="000000"/>
        </w:rPr>
        <w:t>278 expedientes se devolvieron sin sentencia por no estar listos para fallo o por falta de trámite, lo que corresponde a un 23% del total recibido, la mayor cantidad de expedientes devueltos fueron de primera instancia”.</w:t>
      </w:r>
    </w:p>
    <w:p w14:paraId="491A5A49" w14:textId="7546DDAD" w:rsidR="00801ECD" w:rsidRPr="001D0C10" w:rsidRDefault="00E415F8" w:rsidP="001D0C10">
      <w:pPr>
        <w:pStyle w:val="Default"/>
        <w:spacing w:line="276" w:lineRule="auto"/>
        <w:jc w:val="both"/>
        <w:rPr>
          <w:i/>
          <w:iCs/>
        </w:rPr>
      </w:pPr>
      <w:r w:rsidRPr="001D0C10">
        <w:t xml:space="preserve">Respecto a Pensiones el CACMFJ indicó: </w:t>
      </w:r>
      <w:r w:rsidRPr="001D0C10">
        <w:rPr>
          <w:i/>
          <w:iCs/>
          <w:sz w:val="22"/>
          <w:szCs w:val="22"/>
        </w:rPr>
        <w:t xml:space="preserve">“De una cuota esperada de 440 expedientes, se recibieron 459, de los cuales se fallaron 420 para un porcentaje del 92% de atención y se devolvieron 39, es decir, lo equivalente a un 8%. El plan de trabajo en materia de pensiones alimentarias cumplió con el 95% de la meta esperada”. </w:t>
      </w:r>
      <w:r w:rsidRPr="001D0C10">
        <w:rPr>
          <w:rFonts w:eastAsia="Calibri" w:cs="Arial"/>
          <w:i/>
          <w:iCs/>
          <w:sz w:val="22"/>
          <w:szCs w:val="22"/>
        </w:rPr>
        <w:t xml:space="preserve"> </w:t>
      </w:r>
    </w:p>
    <w:p w14:paraId="4EC639D7" w14:textId="57A9A1D6" w:rsidR="00E415F8" w:rsidRPr="00E415F8" w:rsidRDefault="00E415F8" w:rsidP="00E415F8">
      <w:pPr>
        <w:spacing w:after="0" w:line="276" w:lineRule="auto"/>
        <w:jc w:val="both"/>
        <w:rPr>
          <w:rFonts w:ascii="Book Antiqua" w:eastAsia="Calibri" w:hAnsi="Book Antiqua" w:cs="Arial"/>
          <w:sz w:val="24"/>
          <w:szCs w:val="24"/>
        </w:rPr>
      </w:pPr>
    </w:p>
    <w:p w14:paraId="118F6EAF" w14:textId="53626C0D" w:rsidR="008B5860" w:rsidRPr="00AA01E7" w:rsidRDefault="008B5860"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t>Plan 2022</w:t>
      </w:r>
    </w:p>
    <w:p w14:paraId="005EFEA8" w14:textId="77777777" w:rsidR="00AA01E7" w:rsidRDefault="00AA01E7" w:rsidP="00D35C60">
      <w:pPr>
        <w:spacing w:after="0" w:line="276" w:lineRule="auto"/>
        <w:jc w:val="both"/>
        <w:rPr>
          <w:rFonts w:ascii="Book Antiqua" w:eastAsia="Calibri" w:hAnsi="Book Antiqua" w:cs="Arial"/>
          <w:sz w:val="24"/>
          <w:szCs w:val="24"/>
        </w:rPr>
      </w:pPr>
    </w:p>
    <w:p w14:paraId="5180A5A3" w14:textId="45B308A2" w:rsidR="00D35C60" w:rsidRDefault="00237A51" w:rsidP="00D35C60">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El plan </w:t>
      </w:r>
      <w:r w:rsidR="00E415F8">
        <w:rPr>
          <w:rFonts w:ascii="Book Antiqua" w:eastAsia="Calibri" w:hAnsi="Book Antiqua" w:cs="Arial"/>
          <w:sz w:val="24"/>
          <w:szCs w:val="24"/>
        </w:rPr>
        <w:t xml:space="preserve">para 2022 se detalló en el oficio de la Dirección de Planificación 1382-PLA-MI-2021, </w:t>
      </w:r>
      <w:r w:rsidRPr="001D0C10">
        <w:rPr>
          <w:rFonts w:ascii="Book Antiqua" w:eastAsia="Calibri" w:hAnsi="Book Antiqua" w:cs="Arial"/>
          <w:sz w:val="24"/>
          <w:szCs w:val="24"/>
        </w:rPr>
        <w:t xml:space="preserve">inicia con 4 permisos con goce de salario aprobados por el Consejo Superior </w:t>
      </w:r>
      <w:r w:rsidRPr="00237A51">
        <w:rPr>
          <w:rFonts w:ascii="Book Antiqua" w:eastAsia="Calibri" w:hAnsi="Book Antiqua" w:cs="Arial"/>
          <w:sz w:val="24"/>
          <w:szCs w:val="24"/>
        </w:rPr>
        <w:t>en la sesión 107-2021 celebrada el 14 de diciembre del 2021, artículo XXIV</w:t>
      </w:r>
      <w:r w:rsidR="00E415F8">
        <w:rPr>
          <w:rFonts w:ascii="Book Antiqua" w:eastAsia="Calibri" w:hAnsi="Book Antiqua" w:cs="Arial"/>
          <w:sz w:val="24"/>
          <w:szCs w:val="24"/>
        </w:rPr>
        <w:t xml:space="preserve"> en materia de Familia y 4 en Pensiones Alimentarias</w:t>
      </w:r>
      <w:r>
        <w:rPr>
          <w:rFonts w:ascii="Book Antiqua" w:eastAsia="Calibri" w:hAnsi="Book Antiqua" w:cs="Arial"/>
          <w:sz w:val="24"/>
          <w:szCs w:val="24"/>
        </w:rPr>
        <w:t>.</w:t>
      </w:r>
    </w:p>
    <w:p w14:paraId="26699BAA" w14:textId="393387A4" w:rsidR="00237A51" w:rsidRDefault="00237A51" w:rsidP="00D35C60">
      <w:pPr>
        <w:spacing w:after="0" w:line="276" w:lineRule="auto"/>
        <w:jc w:val="both"/>
        <w:rPr>
          <w:rFonts w:ascii="Book Antiqua" w:eastAsia="Calibri" w:hAnsi="Book Antiqua" w:cs="Arial"/>
          <w:sz w:val="24"/>
          <w:szCs w:val="24"/>
        </w:rPr>
      </w:pPr>
    </w:p>
    <w:p w14:paraId="71CABDB6" w14:textId="5B25C5E4" w:rsidR="00237A51" w:rsidRPr="00F33826" w:rsidRDefault="00237A51" w:rsidP="00D35C60">
      <w:pPr>
        <w:spacing w:after="0" w:line="276" w:lineRule="auto"/>
        <w:jc w:val="both"/>
        <w:rPr>
          <w:rFonts w:ascii="Book Antiqua" w:eastAsia="Calibri" w:hAnsi="Book Antiqua" w:cs="Arial"/>
          <w:b/>
          <w:bCs/>
          <w:i/>
          <w:iCs/>
          <w:sz w:val="24"/>
          <w:szCs w:val="24"/>
          <w:highlight w:val="cyan"/>
        </w:rPr>
      </w:pPr>
      <w:r>
        <w:rPr>
          <w:rFonts w:ascii="Book Antiqua" w:eastAsia="Calibri" w:hAnsi="Book Antiqua" w:cs="Arial"/>
          <w:sz w:val="24"/>
          <w:szCs w:val="24"/>
        </w:rPr>
        <w:t xml:space="preserve">Durante </w:t>
      </w:r>
      <w:r w:rsidR="005C23E6">
        <w:rPr>
          <w:rFonts w:ascii="Book Antiqua" w:eastAsia="Calibri" w:hAnsi="Book Antiqua" w:cs="Arial"/>
          <w:sz w:val="24"/>
          <w:szCs w:val="24"/>
        </w:rPr>
        <w:t xml:space="preserve">enero de 2022, </w:t>
      </w:r>
      <w:r w:rsidR="006B68AA">
        <w:rPr>
          <w:rFonts w:ascii="Book Antiqua" w:eastAsia="Calibri" w:hAnsi="Book Antiqua" w:cs="Arial"/>
          <w:sz w:val="24"/>
          <w:szCs w:val="24"/>
        </w:rPr>
        <w:t xml:space="preserve">según oficio </w:t>
      </w:r>
      <w:r w:rsidR="006B68AA" w:rsidRPr="006B68AA">
        <w:rPr>
          <w:rFonts w:ascii="Book Antiqua" w:eastAsia="Calibri" w:hAnsi="Book Antiqua" w:cs="Arial"/>
          <w:sz w:val="24"/>
          <w:szCs w:val="24"/>
        </w:rPr>
        <w:t>073-CACMFJ-REF-2022</w:t>
      </w:r>
      <w:r w:rsidR="006B68AA">
        <w:rPr>
          <w:rFonts w:ascii="Book Antiqua" w:eastAsia="Calibri" w:hAnsi="Book Antiqua" w:cs="Arial"/>
          <w:sz w:val="24"/>
          <w:szCs w:val="24"/>
        </w:rPr>
        <w:t xml:space="preserve">, </w:t>
      </w:r>
      <w:r w:rsidR="005C23E6">
        <w:rPr>
          <w:rFonts w:ascii="Book Antiqua" w:eastAsia="Calibri" w:hAnsi="Book Antiqua" w:cs="Arial"/>
          <w:sz w:val="24"/>
          <w:szCs w:val="24"/>
        </w:rPr>
        <w:t xml:space="preserve">las plazas dedicadas al plan de descongestionamiento fallaron </w:t>
      </w:r>
      <w:r w:rsidR="002A6232">
        <w:rPr>
          <w:rFonts w:ascii="Book Antiqua" w:eastAsia="Calibri" w:hAnsi="Book Antiqua" w:cs="Arial"/>
          <w:sz w:val="24"/>
          <w:szCs w:val="24"/>
        </w:rPr>
        <w:t>un total de 144 expedientes</w:t>
      </w:r>
      <w:r w:rsidR="006B68AA">
        <w:rPr>
          <w:rFonts w:ascii="Book Antiqua" w:eastAsia="Calibri" w:hAnsi="Book Antiqua" w:cs="Arial"/>
          <w:sz w:val="24"/>
          <w:szCs w:val="24"/>
        </w:rPr>
        <w:t xml:space="preserve"> en Familia (</w:t>
      </w:r>
      <w:r w:rsidR="002A6232">
        <w:rPr>
          <w:rFonts w:ascii="Book Antiqua" w:eastAsia="Calibri" w:hAnsi="Book Antiqua" w:cs="Arial"/>
          <w:sz w:val="24"/>
          <w:szCs w:val="24"/>
        </w:rPr>
        <w:t>68 de Primera Instancia y 76 en Segunda Instancia</w:t>
      </w:r>
      <w:r w:rsidR="006B68AA">
        <w:rPr>
          <w:rFonts w:ascii="Book Antiqua" w:eastAsia="Calibri" w:hAnsi="Book Antiqua" w:cs="Arial"/>
          <w:sz w:val="24"/>
          <w:szCs w:val="24"/>
        </w:rPr>
        <w:t xml:space="preserve">) y 152 en materia de Pensiones Alimentarias. </w:t>
      </w:r>
      <w:r w:rsidR="00F33826" w:rsidRPr="001D0C10">
        <w:rPr>
          <w:rFonts w:ascii="Book Antiqua" w:eastAsia="Calibri" w:hAnsi="Book Antiqua" w:cs="Arial"/>
          <w:b/>
          <w:bCs/>
          <w:sz w:val="24"/>
          <w:szCs w:val="24"/>
        </w:rPr>
        <w:t>Referencia interna 454-2022.</w:t>
      </w:r>
    </w:p>
    <w:p w14:paraId="53585549" w14:textId="77777777" w:rsidR="00237A51" w:rsidRPr="00D35C60" w:rsidRDefault="00237A51" w:rsidP="00D35C60">
      <w:pPr>
        <w:spacing w:after="0" w:line="276" w:lineRule="auto"/>
        <w:jc w:val="both"/>
        <w:rPr>
          <w:rFonts w:ascii="Book Antiqua" w:eastAsia="Calibri" w:hAnsi="Book Antiqua" w:cs="Arial"/>
          <w:b/>
          <w:bCs/>
          <w:i/>
          <w:iCs/>
          <w:sz w:val="24"/>
          <w:szCs w:val="24"/>
          <w:highlight w:val="cyan"/>
        </w:rPr>
      </w:pPr>
    </w:p>
    <w:p w14:paraId="6145655D" w14:textId="02793521" w:rsidR="00616071" w:rsidRPr="00AA01E7" w:rsidRDefault="00801ECD"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Escuela Judicial</w:t>
      </w:r>
    </w:p>
    <w:p w14:paraId="3B00C9EE" w14:textId="77777777" w:rsidR="00AA01E7" w:rsidRDefault="00AA01E7" w:rsidP="00791446">
      <w:pPr>
        <w:spacing w:line="276" w:lineRule="auto"/>
        <w:jc w:val="both"/>
        <w:rPr>
          <w:rFonts w:ascii="Book Antiqua" w:eastAsia="Calibri" w:hAnsi="Book Antiqua" w:cs="Arial"/>
          <w:sz w:val="24"/>
          <w:szCs w:val="24"/>
        </w:rPr>
      </w:pPr>
    </w:p>
    <w:p w14:paraId="07B9281C" w14:textId="52C3C246" w:rsidR="00791446" w:rsidRDefault="00801ECD" w:rsidP="00791446">
      <w:pPr>
        <w:spacing w:line="276" w:lineRule="auto"/>
        <w:jc w:val="both"/>
        <w:rPr>
          <w:rFonts w:ascii="Book Antiqua" w:eastAsia="Calibri" w:hAnsi="Book Antiqua" w:cs="Arial"/>
          <w:sz w:val="24"/>
          <w:szCs w:val="24"/>
        </w:rPr>
      </w:pPr>
      <w:r w:rsidRPr="001D0C10">
        <w:rPr>
          <w:rFonts w:ascii="Book Antiqua" w:eastAsia="Calibri" w:hAnsi="Book Antiqua" w:cs="Arial"/>
          <w:sz w:val="24"/>
          <w:szCs w:val="24"/>
        </w:rPr>
        <w:t>Como parte del proyecto de implementación del Código Procesal de Familia, la Escuela Judicial remiti</w:t>
      </w:r>
      <w:r w:rsidR="007275A2" w:rsidRPr="001D0C10">
        <w:rPr>
          <w:rFonts w:ascii="Book Antiqua" w:eastAsia="Calibri" w:hAnsi="Book Antiqua" w:cs="Arial"/>
          <w:sz w:val="24"/>
          <w:szCs w:val="24"/>
        </w:rPr>
        <w:t>ó</w:t>
      </w:r>
      <w:r w:rsidRPr="001D0C10">
        <w:rPr>
          <w:rFonts w:ascii="Book Antiqua" w:eastAsia="Calibri" w:hAnsi="Book Antiqua" w:cs="Arial"/>
          <w:sz w:val="24"/>
          <w:szCs w:val="24"/>
        </w:rPr>
        <w:t xml:space="preserve"> el </w:t>
      </w:r>
      <w:r w:rsidR="007275A2" w:rsidRPr="001D0C10">
        <w:rPr>
          <w:rFonts w:ascii="Book Antiqua" w:eastAsia="Calibri" w:hAnsi="Book Antiqua" w:cs="Arial"/>
          <w:sz w:val="24"/>
          <w:szCs w:val="24"/>
        </w:rPr>
        <w:t>oficio EJ-DIR-045-2022</w:t>
      </w:r>
      <w:r w:rsidRPr="001D0C10">
        <w:rPr>
          <w:rFonts w:ascii="Book Antiqua" w:eastAsia="Calibri" w:hAnsi="Book Antiqua" w:cs="Arial"/>
          <w:sz w:val="24"/>
          <w:szCs w:val="24"/>
        </w:rPr>
        <w:t xml:space="preserve"> (</w:t>
      </w:r>
      <w:r w:rsidRPr="001D0C10">
        <w:rPr>
          <w:rFonts w:ascii="Book Antiqua" w:eastAsia="Calibri" w:hAnsi="Book Antiqua" w:cs="Arial"/>
          <w:b/>
          <w:bCs/>
          <w:i/>
          <w:iCs/>
          <w:sz w:val="24"/>
          <w:szCs w:val="24"/>
        </w:rPr>
        <w:t>anexo 2</w:t>
      </w:r>
      <w:r w:rsidR="00CB7473" w:rsidRPr="001D0C10">
        <w:rPr>
          <w:rFonts w:ascii="Book Antiqua" w:eastAsia="Calibri" w:hAnsi="Book Antiqua" w:cs="Arial"/>
          <w:b/>
          <w:bCs/>
          <w:i/>
          <w:iCs/>
          <w:sz w:val="24"/>
          <w:szCs w:val="24"/>
        </w:rPr>
        <w:t>2</w:t>
      </w:r>
      <w:r w:rsidR="00616071" w:rsidRPr="001D0C10">
        <w:rPr>
          <w:rFonts w:ascii="Book Antiqua" w:eastAsia="Calibri" w:hAnsi="Book Antiqua" w:cs="Arial"/>
          <w:sz w:val="24"/>
          <w:szCs w:val="24"/>
        </w:rPr>
        <w:t>) que</w:t>
      </w:r>
      <w:r w:rsidRPr="001D0C10">
        <w:rPr>
          <w:rFonts w:ascii="Book Antiqua" w:eastAsia="Calibri" w:hAnsi="Book Antiqua" w:cs="Arial"/>
          <w:sz w:val="24"/>
          <w:szCs w:val="24"/>
        </w:rPr>
        <w:t xml:space="preserve"> </w:t>
      </w:r>
      <w:r w:rsidR="007275A2" w:rsidRPr="001D0C10">
        <w:rPr>
          <w:rFonts w:ascii="Book Antiqua" w:eastAsia="Calibri" w:hAnsi="Book Antiqua" w:cs="Arial"/>
          <w:sz w:val="24"/>
          <w:szCs w:val="24"/>
        </w:rPr>
        <w:t xml:space="preserve">el que se </w:t>
      </w:r>
      <w:r w:rsidRPr="001D0C10">
        <w:rPr>
          <w:rFonts w:ascii="Book Antiqua" w:eastAsia="Calibri" w:hAnsi="Book Antiqua" w:cs="Arial"/>
          <w:sz w:val="24"/>
          <w:szCs w:val="24"/>
        </w:rPr>
        <w:t xml:space="preserve">detalla </w:t>
      </w:r>
      <w:r w:rsidR="007275A2" w:rsidRPr="001D0C10">
        <w:rPr>
          <w:rFonts w:ascii="Book Antiqua" w:eastAsia="Calibri" w:hAnsi="Book Antiqua" w:cs="Arial"/>
          <w:sz w:val="24"/>
          <w:szCs w:val="24"/>
        </w:rPr>
        <w:t xml:space="preserve">las actividades a realizar y el detalle de </w:t>
      </w:r>
      <w:r w:rsidR="00791446">
        <w:rPr>
          <w:rFonts w:ascii="Book Antiqua" w:eastAsia="Calibri" w:hAnsi="Book Antiqua" w:cs="Arial"/>
          <w:sz w:val="24"/>
          <w:szCs w:val="24"/>
        </w:rPr>
        <w:t>las sustituciones y viáticos que requieren</w:t>
      </w:r>
      <w:r w:rsidR="007275A2" w:rsidRPr="001D0C10">
        <w:rPr>
          <w:rFonts w:ascii="Book Antiqua" w:eastAsia="Calibri" w:hAnsi="Book Antiqua" w:cs="Arial"/>
          <w:sz w:val="24"/>
          <w:szCs w:val="24"/>
        </w:rPr>
        <w:t xml:space="preserve"> para </w:t>
      </w:r>
      <w:r w:rsidRPr="001D0C10">
        <w:rPr>
          <w:rFonts w:ascii="Book Antiqua" w:eastAsia="Calibri" w:hAnsi="Book Antiqua" w:cs="Arial"/>
          <w:sz w:val="24"/>
          <w:szCs w:val="24"/>
        </w:rPr>
        <w:t xml:space="preserve">la capacitación </w:t>
      </w:r>
      <w:r w:rsidR="007275A2" w:rsidRPr="001D0C10">
        <w:rPr>
          <w:rFonts w:ascii="Book Antiqua" w:eastAsia="Calibri" w:hAnsi="Book Antiqua" w:cs="Arial"/>
          <w:sz w:val="24"/>
          <w:szCs w:val="24"/>
        </w:rPr>
        <w:t xml:space="preserve">que se </w:t>
      </w:r>
      <w:r w:rsidRPr="001D0C10">
        <w:rPr>
          <w:rFonts w:ascii="Book Antiqua" w:eastAsia="Calibri" w:hAnsi="Book Antiqua" w:cs="Arial"/>
          <w:sz w:val="24"/>
          <w:szCs w:val="24"/>
        </w:rPr>
        <w:t>imparti</w:t>
      </w:r>
      <w:r w:rsidR="007275A2" w:rsidRPr="001D0C10">
        <w:rPr>
          <w:rFonts w:ascii="Book Antiqua" w:eastAsia="Calibri" w:hAnsi="Book Antiqua" w:cs="Arial"/>
          <w:sz w:val="24"/>
          <w:szCs w:val="24"/>
        </w:rPr>
        <w:t>rá</w:t>
      </w:r>
      <w:r w:rsidRPr="001D0C10">
        <w:rPr>
          <w:rFonts w:ascii="Book Antiqua" w:eastAsia="Calibri" w:hAnsi="Book Antiqua" w:cs="Arial"/>
          <w:sz w:val="24"/>
          <w:szCs w:val="24"/>
        </w:rPr>
        <w:t xml:space="preserve"> </w:t>
      </w:r>
      <w:r w:rsidR="007275A2" w:rsidRPr="001D0C10">
        <w:rPr>
          <w:rFonts w:ascii="Book Antiqua" w:eastAsia="Calibri" w:hAnsi="Book Antiqua" w:cs="Arial"/>
          <w:sz w:val="24"/>
          <w:szCs w:val="24"/>
        </w:rPr>
        <w:t>en el 2023 y el presupuesto requerido</w:t>
      </w:r>
      <w:r w:rsidR="00983B46" w:rsidRPr="001D0C10">
        <w:rPr>
          <w:rFonts w:ascii="Book Antiqua" w:eastAsia="Calibri" w:hAnsi="Book Antiqua" w:cs="Arial"/>
          <w:sz w:val="24"/>
          <w:szCs w:val="24"/>
        </w:rPr>
        <w:t xml:space="preserve"> por un monto de </w:t>
      </w:r>
      <w:r w:rsidR="00056442" w:rsidRPr="001D0C10">
        <w:rPr>
          <w:rFonts w:ascii="Times New Roman" w:eastAsia="Calibri" w:hAnsi="Times New Roman" w:cs="Times New Roman"/>
          <w:sz w:val="24"/>
          <w:szCs w:val="24"/>
        </w:rPr>
        <w:t>₡</w:t>
      </w:r>
      <w:r w:rsidR="00056442" w:rsidRPr="001D0C10">
        <w:rPr>
          <w:rFonts w:ascii="Book Antiqua" w:eastAsia="Calibri" w:hAnsi="Book Antiqua" w:cs="Arial"/>
          <w:sz w:val="24"/>
          <w:szCs w:val="24"/>
        </w:rPr>
        <w:t>192</w:t>
      </w:r>
      <w:r w:rsidR="007E4094" w:rsidRPr="001D0C10">
        <w:rPr>
          <w:rFonts w:ascii="Book Antiqua" w:eastAsia="Calibri" w:hAnsi="Book Antiqua" w:cs="Arial"/>
          <w:sz w:val="24"/>
          <w:szCs w:val="24"/>
        </w:rPr>
        <w:t> </w:t>
      </w:r>
      <w:r w:rsidR="00056442" w:rsidRPr="001D0C10">
        <w:rPr>
          <w:rFonts w:ascii="Book Antiqua" w:eastAsia="Calibri" w:hAnsi="Book Antiqua" w:cs="Arial"/>
          <w:sz w:val="24"/>
          <w:szCs w:val="24"/>
        </w:rPr>
        <w:t>650</w:t>
      </w:r>
      <w:r w:rsidR="007E4094" w:rsidRPr="001D0C10">
        <w:rPr>
          <w:rFonts w:ascii="Book Antiqua" w:eastAsia="Calibri" w:hAnsi="Book Antiqua" w:cs="Arial"/>
          <w:sz w:val="24"/>
          <w:szCs w:val="24"/>
        </w:rPr>
        <w:t xml:space="preserve"> </w:t>
      </w:r>
      <w:r w:rsidR="00056442" w:rsidRPr="001D0C10">
        <w:rPr>
          <w:rFonts w:ascii="Book Antiqua" w:eastAsia="Calibri" w:hAnsi="Book Antiqua" w:cs="Arial"/>
          <w:sz w:val="24"/>
          <w:szCs w:val="24"/>
        </w:rPr>
        <w:t>048.00</w:t>
      </w:r>
      <w:r w:rsidR="00791446">
        <w:rPr>
          <w:rFonts w:ascii="Book Antiqua" w:eastAsia="Calibri" w:hAnsi="Book Antiqua" w:cs="Arial"/>
          <w:sz w:val="24"/>
          <w:szCs w:val="24"/>
        </w:rPr>
        <w:t xml:space="preserve">. El plan incluye la realización de </w:t>
      </w:r>
      <w:r w:rsidR="00B173E4" w:rsidRPr="001D0C10">
        <w:rPr>
          <w:rFonts w:ascii="Book Antiqua" w:eastAsia="Calibri" w:hAnsi="Book Antiqua" w:cs="Arial"/>
          <w:sz w:val="24"/>
          <w:szCs w:val="24"/>
        </w:rPr>
        <w:t xml:space="preserve">dos actividades de forma presencial que requieren de viáticos para los equipos de trabajo que se desplazaran a los diferentes circuitos judiciales y a las diferentes zonas del país donde hay facilitadores judiciales; se estima que se requerirá para dos equipos de 3 </w:t>
      </w:r>
      <w:r w:rsidR="00791446" w:rsidRPr="00791446">
        <w:rPr>
          <w:rFonts w:ascii="Book Antiqua" w:eastAsia="Calibri" w:hAnsi="Book Antiqua" w:cs="Arial"/>
          <w:sz w:val="24"/>
          <w:szCs w:val="24"/>
        </w:rPr>
        <w:t>personas por</w:t>
      </w:r>
      <w:r w:rsidR="00B173E4" w:rsidRPr="001D0C10">
        <w:rPr>
          <w:rFonts w:ascii="Book Antiqua" w:eastAsia="Calibri" w:hAnsi="Book Antiqua" w:cs="Arial"/>
          <w:sz w:val="24"/>
          <w:szCs w:val="24"/>
        </w:rPr>
        <w:t xml:space="preserve"> 25 semanas cada equipo</w:t>
      </w:r>
      <w:r w:rsidR="007E4094" w:rsidRPr="001D0C10">
        <w:rPr>
          <w:rFonts w:ascii="Book Antiqua" w:eastAsia="Calibri" w:hAnsi="Book Antiqua" w:cs="Arial"/>
          <w:sz w:val="24"/>
          <w:szCs w:val="24"/>
        </w:rPr>
        <w:t xml:space="preserve">, un total de </w:t>
      </w:r>
      <w:r w:rsidR="007E4094" w:rsidRPr="00411EB4">
        <w:rPr>
          <w:rFonts w:ascii="Times New Roman" w:eastAsia="Calibri" w:hAnsi="Times New Roman" w:cs="Times New Roman"/>
          <w:sz w:val="24"/>
          <w:szCs w:val="24"/>
        </w:rPr>
        <w:t>₡</w:t>
      </w:r>
      <w:r w:rsidR="007E4094" w:rsidRPr="001D0C10">
        <w:rPr>
          <w:rFonts w:ascii="Book Antiqua" w:eastAsia="Calibri" w:hAnsi="Book Antiqua" w:cs="Arial"/>
          <w:sz w:val="24"/>
          <w:szCs w:val="24"/>
        </w:rPr>
        <w:t>19 374 000.00</w:t>
      </w:r>
      <w:r w:rsidR="007612FD" w:rsidRPr="001D0C10">
        <w:rPr>
          <w:rFonts w:ascii="Book Antiqua" w:eastAsia="Calibri" w:hAnsi="Book Antiqua" w:cs="Arial"/>
          <w:sz w:val="24"/>
          <w:szCs w:val="24"/>
        </w:rPr>
        <w:t xml:space="preserve">, todo para un monto de </w:t>
      </w:r>
      <w:r w:rsidR="00E4418B" w:rsidRPr="00411EB4">
        <w:rPr>
          <w:rFonts w:ascii="Times New Roman" w:eastAsia="Calibri" w:hAnsi="Times New Roman" w:cs="Times New Roman"/>
          <w:sz w:val="24"/>
          <w:szCs w:val="24"/>
        </w:rPr>
        <w:t>₡</w:t>
      </w:r>
      <w:r w:rsidR="00E4418B" w:rsidRPr="00411EB4">
        <w:rPr>
          <w:rFonts w:ascii="Book Antiqua" w:eastAsia="Calibri" w:hAnsi="Book Antiqua" w:cs="Arial"/>
          <w:sz w:val="24"/>
          <w:szCs w:val="24"/>
        </w:rPr>
        <w:t>212 024</w:t>
      </w:r>
      <w:r w:rsidR="00E4418B" w:rsidRPr="001D0C10">
        <w:rPr>
          <w:rFonts w:ascii="Book Antiqua" w:eastAsia="Calibri" w:hAnsi="Book Antiqua" w:cs="Arial"/>
          <w:sz w:val="24"/>
          <w:szCs w:val="24"/>
        </w:rPr>
        <w:t> 048.00</w:t>
      </w:r>
      <w:r w:rsidR="00B173E4" w:rsidRPr="001D0C10">
        <w:rPr>
          <w:rFonts w:ascii="Book Antiqua" w:eastAsia="Calibri" w:hAnsi="Book Antiqua" w:cs="Arial"/>
          <w:sz w:val="24"/>
          <w:szCs w:val="24"/>
        </w:rPr>
        <w:t>.</w:t>
      </w:r>
    </w:p>
    <w:p w14:paraId="40B1BD88" w14:textId="77777777" w:rsidR="00791446" w:rsidRPr="001D0C10" w:rsidRDefault="00791446" w:rsidP="00791446">
      <w:pPr>
        <w:spacing w:line="276" w:lineRule="auto"/>
        <w:jc w:val="both"/>
        <w:rPr>
          <w:rFonts w:ascii="Book Antiqua" w:eastAsia="Calibri" w:hAnsi="Book Antiqua" w:cs="Arial"/>
          <w:i/>
          <w:iCs/>
          <w:sz w:val="20"/>
          <w:szCs w:val="20"/>
        </w:rPr>
      </w:pPr>
      <w:r w:rsidRPr="001D0C10">
        <w:rPr>
          <w:rFonts w:ascii="Book Antiqua" w:eastAsia="Calibri" w:hAnsi="Book Antiqua" w:cs="Arial"/>
          <w:i/>
          <w:iCs/>
          <w:sz w:val="20"/>
          <w:szCs w:val="20"/>
        </w:rPr>
        <w:lastRenderedPageBreak/>
        <w:t>“…</w:t>
      </w:r>
    </w:p>
    <w:p w14:paraId="4C7F5D7A" w14:textId="166FF92F" w:rsidR="00056442" w:rsidRPr="001D0C10" w:rsidRDefault="00056442" w:rsidP="001D0C10">
      <w:pPr>
        <w:spacing w:line="276" w:lineRule="auto"/>
        <w:jc w:val="both"/>
        <w:rPr>
          <w:rFonts w:ascii="Book Antiqua" w:hAnsi="Book Antiqua"/>
          <w:b/>
          <w:bCs/>
          <w:i/>
          <w:iCs/>
          <w:sz w:val="20"/>
          <w:szCs w:val="20"/>
        </w:rPr>
      </w:pPr>
      <w:r w:rsidRPr="001D0C10">
        <w:rPr>
          <w:rFonts w:ascii="Book Antiqua" w:hAnsi="Book Antiqua"/>
          <w:b/>
          <w:bCs/>
          <w:i/>
          <w:iCs/>
          <w:sz w:val="20"/>
          <w:szCs w:val="20"/>
        </w:rPr>
        <w:t xml:space="preserve"> PERMISOS CON SUSTITUCIÓN (EN SEMANAS)</w:t>
      </w:r>
    </w:p>
    <w:p w14:paraId="3E220CD0" w14:textId="77777777" w:rsidR="00056442" w:rsidRPr="001D0C10" w:rsidRDefault="00056442" w:rsidP="00801ECD">
      <w:pPr>
        <w:spacing w:after="0" w:line="276" w:lineRule="auto"/>
        <w:jc w:val="both"/>
        <w:rPr>
          <w:rFonts w:ascii="Book Antiqua" w:eastAsia="Calibri" w:hAnsi="Book Antiqua" w:cs="Arial"/>
          <w:i/>
          <w:iCs/>
          <w:sz w:val="20"/>
          <w:szCs w:val="20"/>
        </w:rPr>
      </w:pPr>
    </w:p>
    <w:tbl>
      <w:tblPr>
        <w:tblW w:w="9520" w:type="dxa"/>
        <w:tblCellMar>
          <w:top w:w="55" w:type="dxa"/>
          <w:left w:w="55" w:type="dxa"/>
          <w:bottom w:w="55" w:type="dxa"/>
          <w:right w:w="55" w:type="dxa"/>
        </w:tblCellMar>
        <w:tblLook w:val="04A0" w:firstRow="1" w:lastRow="0" w:firstColumn="1" w:lastColumn="0" w:noHBand="0" w:noVBand="1"/>
      </w:tblPr>
      <w:tblGrid>
        <w:gridCol w:w="1395"/>
        <w:gridCol w:w="1405"/>
        <w:gridCol w:w="989"/>
        <w:gridCol w:w="1792"/>
        <w:gridCol w:w="1381"/>
        <w:gridCol w:w="1599"/>
        <w:gridCol w:w="959"/>
      </w:tblGrid>
      <w:tr w:rsidR="00056442" w:rsidRPr="00791446" w14:paraId="24675F84" w14:textId="77777777" w:rsidTr="00035934">
        <w:trPr>
          <w:tblHeader/>
        </w:trPr>
        <w:tc>
          <w:tcPr>
            <w:tcW w:w="1424" w:type="dxa"/>
            <w:tcBorders>
              <w:top w:val="single" w:sz="2" w:space="0" w:color="000000"/>
              <w:left w:val="single" w:sz="2" w:space="0" w:color="000000"/>
              <w:bottom w:val="single" w:sz="2" w:space="0" w:color="000000"/>
            </w:tcBorders>
            <w:shd w:val="clear" w:color="auto" w:fill="B2B2B2"/>
          </w:tcPr>
          <w:p w14:paraId="047AAC14"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Población meta</w:t>
            </w:r>
          </w:p>
        </w:tc>
        <w:tc>
          <w:tcPr>
            <w:tcW w:w="1425" w:type="dxa"/>
            <w:tcBorders>
              <w:top w:val="single" w:sz="2" w:space="0" w:color="000000"/>
              <w:left w:val="single" w:sz="2" w:space="0" w:color="000000"/>
              <w:bottom w:val="single" w:sz="2" w:space="0" w:color="000000"/>
            </w:tcBorders>
            <w:shd w:val="clear" w:color="auto" w:fill="B2B2B2"/>
          </w:tcPr>
          <w:p w14:paraId="712826B9"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Actividad académica</w:t>
            </w:r>
          </w:p>
        </w:tc>
        <w:tc>
          <w:tcPr>
            <w:tcW w:w="1011" w:type="dxa"/>
            <w:tcBorders>
              <w:top w:val="single" w:sz="2" w:space="0" w:color="000000"/>
              <w:left w:val="single" w:sz="2" w:space="0" w:color="000000"/>
              <w:bottom w:val="single" w:sz="2" w:space="0" w:color="000000"/>
            </w:tcBorders>
            <w:shd w:val="clear" w:color="auto" w:fill="B2B2B2"/>
          </w:tcPr>
          <w:p w14:paraId="2C626E89"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Grupos</w:t>
            </w:r>
          </w:p>
        </w:tc>
        <w:tc>
          <w:tcPr>
            <w:tcW w:w="1837" w:type="dxa"/>
            <w:tcBorders>
              <w:top w:val="single" w:sz="2" w:space="0" w:color="000000"/>
              <w:left w:val="single" w:sz="2" w:space="0" w:color="000000"/>
              <w:bottom w:val="single" w:sz="2" w:space="0" w:color="000000"/>
            </w:tcBorders>
            <w:shd w:val="clear" w:color="auto" w:fill="B2B2B2"/>
          </w:tcPr>
          <w:p w14:paraId="573743D4"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Participación por actividad (personas)</w:t>
            </w:r>
          </w:p>
        </w:tc>
        <w:tc>
          <w:tcPr>
            <w:tcW w:w="1424" w:type="dxa"/>
            <w:tcBorders>
              <w:top w:val="single" w:sz="2" w:space="0" w:color="000000"/>
              <w:left w:val="single" w:sz="2" w:space="0" w:color="000000"/>
              <w:bottom w:val="single" w:sz="2" w:space="0" w:color="000000"/>
            </w:tcBorders>
            <w:shd w:val="clear" w:color="auto" w:fill="B2B2B2"/>
          </w:tcPr>
          <w:p w14:paraId="7E31EF7B"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Duración (días Hábiles)</w:t>
            </w:r>
          </w:p>
        </w:tc>
        <w:tc>
          <w:tcPr>
            <w:tcW w:w="1427" w:type="dxa"/>
            <w:tcBorders>
              <w:top w:val="single" w:sz="2" w:space="0" w:color="000000"/>
              <w:left w:val="single" w:sz="2" w:space="0" w:color="000000"/>
              <w:bottom w:val="single" w:sz="2" w:space="0" w:color="000000"/>
            </w:tcBorders>
            <w:shd w:val="clear" w:color="auto" w:fill="B2B2B2"/>
          </w:tcPr>
          <w:p w14:paraId="5CBD4F39"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Semanas de permiso con sustitución</w:t>
            </w:r>
          </w:p>
        </w:tc>
        <w:tc>
          <w:tcPr>
            <w:tcW w:w="971" w:type="dxa"/>
            <w:tcBorders>
              <w:top w:val="single" w:sz="2" w:space="0" w:color="000000"/>
              <w:left w:val="single" w:sz="2" w:space="0" w:color="000000"/>
              <w:bottom w:val="single" w:sz="2" w:space="0" w:color="000000"/>
              <w:right w:val="single" w:sz="2" w:space="0" w:color="000000"/>
            </w:tcBorders>
            <w:shd w:val="clear" w:color="auto" w:fill="B2B2B2"/>
          </w:tcPr>
          <w:p w14:paraId="65951C31"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b/>
                <w:bCs/>
                <w:i/>
                <w:iCs/>
                <w:kern w:val="2"/>
                <w:sz w:val="20"/>
                <w:szCs w:val="20"/>
                <w:lang w:eastAsia="zh-CN" w:bidi="hi-IN"/>
              </w:rPr>
            </w:pPr>
            <w:r w:rsidRPr="001D0C10">
              <w:rPr>
                <w:rFonts w:ascii="Book Antiqua" w:eastAsia="NSimSun" w:hAnsi="Book Antiqua" w:cs="Arial Unicode MS"/>
                <w:b/>
                <w:bCs/>
                <w:i/>
                <w:iCs/>
                <w:kern w:val="2"/>
                <w:sz w:val="20"/>
                <w:szCs w:val="20"/>
                <w:lang w:eastAsia="zh-CN" w:bidi="hi-IN"/>
              </w:rPr>
              <w:t>viáticos</w:t>
            </w:r>
          </w:p>
        </w:tc>
      </w:tr>
      <w:tr w:rsidR="00056442" w:rsidRPr="00791446" w14:paraId="436BE367" w14:textId="77777777" w:rsidTr="00035934">
        <w:tc>
          <w:tcPr>
            <w:tcW w:w="1424" w:type="dxa"/>
            <w:tcBorders>
              <w:left w:val="single" w:sz="2" w:space="0" w:color="000000"/>
              <w:bottom w:val="single" w:sz="2" w:space="0" w:color="000000"/>
            </w:tcBorders>
            <w:shd w:val="clear" w:color="auto" w:fill="auto"/>
          </w:tcPr>
          <w:p w14:paraId="2CC80B05"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Jueces y juezas que conocen la materia de familia</w:t>
            </w:r>
          </w:p>
        </w:tc>
        <w:tc>
          <w:tcPr>
            <w:tcW w:w="1425" w:type="dxa"/>
            <w:tcBorders>
              <w:left w:val="single" w:sz="2" w:space="0" w:color="000000"/>
              <w:bottom w:val="single" w:sz="2" w:space="0" w:color="000000"/>
            </w:tcBorders>
            <w:shd w:val="clear" w:color="auto" w:fill="auto"/>
          </w:tcPr>
          <w:p w14:paraId="115B7DE9"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El proceso alimentario con el nuevo código procesal familia</w:t>
            </w:r>
          </w:p>
        </w:tc>
        <w:tc>
          <w:tcPr>
            <w:tcW w:w="1011" w:type="dxa"/>
            <w:tcBorders>
              <w:left w:val="single" w:sz="2" w:space="0" w:color="000000"/>
              <w:bottom w:val="single" w:sz="2" w:space="0" w:color="000000"/>
            </w:tcBorders>
            <w:shd w:val="clear" w:color="auto" w:fill="auto"/>
          </w:tcPr>
          <w:p w14:paraId="7DFA04DE"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4</w:t>
            </w:r>
          </w:p>
        </w:tc>
        <w:tc>
          <w:tcPr>
            <w:tcW w:w="1837" w:type="dxa"/>
            <w:tcBorders>
              <w:left w:val="single" w:sz="2" w:space="0" w:color="000000"/>
              <w:bottom w:val="single" w:sz="2" w:space="0" w:color="000000"/>
            </w:tcBorders>
            <w:shd w:val="clear" w:color="auto" w:fill="auto"/>
          </w:tcPr>
          <w:p w14:paraId="7B99C5CF"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100</w:t>
            </w:r>
          </w:p>
        </w:tc>
        <w:tc>
          <w:tcPr>
            <w:tcW w:w="1424" w:type="dxa"/>
            <w:tcBorders>
              <w:left w:val="single" w:sz="2" w:space="0" w:color="000000"/>
              <w:bottom w:val="single" w:sz="2" w:space="0" w:color="000000"/>
            </w:tcBorders>
            <w:shd w:val="clear" w:color="auto" w:fill="auto"/>
          </w:tcPr>
          <w:p w14:paraId="55469E7E"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4 semanas con una sesión en tiempo real </w:t>
            </w:r>
          </w:p>
        </w:tc>
        <w:tc>
          <w:tcPr>
            <w:tcW w:w="1427" w:type="dxa"/>
            <w:tcBorders>
              <w:left w:val="single" w:sz="2" w:space="0" w:color="000000"/>
              <w:bottom w:val="single" w:sz="2" w:space="0" w:color="000000"/>
            </w:tcBorders>
            <w:shd w:val="clear" w:color="auto" w:fill="auto"/>
          </w:tcPr>
          <w:p w14:paraId="113B313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w:t>
            </w:r>
          </w:p>
        </w:tc>
        <w:tc>
          <w:tcPr>
            <w:tcW w:w="971" w:type="dxa"/>
            <w:tcBorders>
              <w:left w:val="single" w:sz="2" w:space="0" w:color="000000"/>
              <w:bottom w:val="single" w:sz="2" w:space="0" w:color="000000"/>
              <w:right w:val="single" w:sz="2" w:space="0" w:color="000000"/>
            </w:tcBorders>
            <w:shd w:val="clear" w:color="auto" w:fill="auto"/>
          </w:tcPr>
          <w:p w14:paraId="26DB3ACF"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0C4D1ED9" w14:textId="77777777" w:rsidTr="00035934">
        <w:tc>
          <w:tcPr>
            <w:tcW w:w="1424" w:type="dxa"/>
            <w:tcBorders>
              <w:left w:val="single" w:sz="2" w:space="0" w:color="000000"/>
              <w:bottom w:val="single" w:sz="2" w:space="0" w:color="000000"/>
            </w:tcBorders>
            <w:shd w:val="clear" w:color="auto" w:fill="auto"/>
          </w:tcPr>
          <w:p w14:paraId="1CFFB5D8"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Jueces y juezas que conocen la materia de familia</w:t>
            </w:r>
          </w:p>
        </w:tc>
        <w:tc>
          <w:tcPr>
            <w:tcW w:w="1425" w:type="dxa"/>
            <w:tcBorders>
              <w:left w:val="single" w:sz="2" w:space="0" w:color="000000"/>
              <w:bottom w:val="single" w:sz="2" w:space="0" w:color="000000"/>
            </w:tcBorders>
            <w:shd w:val="clear" w:color="auto" w:fill="auto"/>
          </w:tcPr>
          <w:p w14:paraId="18EFE7A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Ejecución de Resoluciones Judiciales </w:t>
            </w:r>
          </w:p>
        </w:tc>
        <w:tc>
          <w:tcPr>
            <w:tcW w:w="1011" w:type="dxa"/>
            <w:tcBorders>
              <w:left w:val="single" w:sz="2" w:space="0" w:color="000000"/>
              <w:bottom w:val="single" w:sz="2" w:space="0" w:color="000000"/>
            </w:tcBorders>
            <w:shd w:val="clear" w:color="auto" w:fill="auto"/>
          </w:tcPr>
          <w:p w14:paraId="4695BBE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w:t>
            </w:r>
          </w:p>
        </w:tc>
        <w:tc>
          <w:tcPr>
            <w:tcW w:w="1837" w:type="dxa"/>
            <w:tcBorders>
              <w:left w:val="single" w:sz="2" w:space="0" w:color="000000"/>
              <w:bottom w:val="single" w:sz="2" w:space="0" w:color="000000"/>
            </w:tcBorders>
            <w:shd w:val="clear" w:color="auto" w:fill="auto"/>
          </w:tcPr>
          <w:p w14:paraId="795600B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Aprox. 480</w:t>
            </w:r>
          </w:p>
        </w:tc>
        <w:tc>
          <w:tcPr>
            <w:tcW w:w="1424" w:type="dxa"/>
            <w:tcBorders>
              <w:left w:val="single" w:sz="2" w:space="0" w:color="000000"/>
              <w:bottom w:val="single" w:sz="2" w:space="0" w:color="000000"/>
            </w:tcBorders>
            <w:shd w:val="clear" w:color="auto" w:fill="auto"/>
          </w:tcPr>
          <w:p w14:paraId="7365E24A"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 con una sesión en tiempo real</w:t>
            </w:r>
          </w:p>
        </w:tc>
        <w:tc>
          <w:tcPr>
            <w:tcW w:w="1427" w:type="dxa"/>
            <w:tcBorders>
              <w:left w:val="single" w:sz="2" w:space="0" w:color="000000"/>
              <w:bottom w:val="single" w:sz="2" w:space="0" w:color="000000"/>
            </w:tcBorders>
            <w:shd w:val="clear" w:color="auto" w:fill="auto"/>
          </w:tcPr>
          <w:p w14:paraId="26A7161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3 semanas para diseño</w:t>
            </w:r>
          </w:p>
          <w:p w14:paraId="7308194B"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18BF4C6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 semanas para ejecución</w:t>
            </w:r>
          </w:p>
          <w:p w14:paraId="7DE2021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62766EC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tc>
        <w:tc>
          <w:tcPr>
            <w:tcW w:w="971" w:type="dxa"/>
            <w:tcBorders>
              <w:left w:val="single" w:sz="2" w:space="0" w:color="000000"/>
              <w:bottom w:val="single" w:sz="2" w:space="0" w:color="000000"/>
              <w:right w:val="single" w:sz="2" w:space="0" w:color="000000"/>
            </w:tcBorders>
            <w:shd w:val="clear" w:color="auto" w:fill="auto"/>
          </w:tcPr>
          <w:p w14:paraId="7484235A"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79C5FE9E" w14:textId="77777777" w:rsidTr="00035934">
        <w:tc>
          <w:tcPr>
            <w:tcW w:w="1424" w:type="dxa"/>
            <w:tcBorders>
              <w:left w:val="single" w:sz="2" w:space="0" w:color="000000"/>
              <w:bottom w:val="single" w:sz="2" w:space="0" w:color="000000"/>
            </w:tcBorders>
            <w:shd w:val="clear" w:color="auto" w:fill="auto"/>
          </w:tcPr>
          <w:p w14:paraId="05A514B9"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Jueces y juezas que conocen la materia de familia</w:t>
            </w:r>
          </w:p>
        </w:tc>
        <w:tc>
          <w:tcPr>
            <w:tcW w:w="1425" w:type="dxa"/>
            <w:tcBorders>
              <w:left w:val="single" w:sz="2" w:space="0" w:color="000000"/>
              <w:bottom w:val="single" w:sz="2" w:space="0" w:color="000000"/>
            </w:tcBorders>
            <w:shd w:val="clear" w:color="auto" w:fill="auto"/>
          </w:tcPr>
          <w:p w14:paraId="29189EE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Principales implicaciones de la reforma procesal de familia</w:t>
            </w:r>
          </w:p>
        </w:tc>
        <w:tc>
          <w:tcPr>
            <w:tcW w:w="1011" w:type="dxa"/>
            <w:tcBorders>
              <w:left w:val="single" w:sz="2" w:space="0" w:color="000000"/>
              <w:bottom w:val="single" w:sz="2" w:space="0" w:color="000000"/>
            </w:tcBorders>
            <w:shd w:val="clear" w:color="auto" w:fill="auto"/>
          </w:tcPr>
          <w:p w14:paraId="3095B9E6"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2</w:t>
            </w:r>
          </w:p>
        </w:tc>
        <w:tc>
          <w:tcPr>
            <w:tcW w:w="1837" w:type="dxa"/>
            <w:tcBorders>
              <w:left w:val="single" w:sz="2" w:space="0" w:color="000000"/>
              <w:bottom w:val="single" w:sz="2" w:space="0" w:color="000000"/>
            </w:tcBorders>
            <w:shd w:val="clear" w:color="auto" w:fill="auto"/>
          </w:tcPr>
          <w:p w14:paraId="7B09713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50</w:t>
            </w:r>
          </w:p>
        </w:tc>
        <w:tc>
          <w:tcPr>
            <w:tcW w:w="1424" w:type="dxa"/>
            <w:tcBorders>
              <w:left w:val="single" w:sz="2" w:space="0" w:color="000000"/>
              <w:bottom w:val="single" w:sz="2" w:space="0" w:color="000000"/>
            </w:tcBorders>
            <w:shd w:val="clear" w:color="auto" w:fill="auto"/>
          </w:tcPr>
          <w:p w14:paraId="344826F7"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3 semanas, una semana con cinco sesión en tiempo real </w:t>
            </w:r>
          </w:p>
        </w:tc>
        <w:tc>
          <w:tcPr>
            <w:tcW w:w="1427" w:type="dxa"/>
            <w:tcBorders>
              <w:left w:val="single" w:sz="2" w:space="0" w:color="000000"/>
              <w:bottom w:val="single" w:sz="2" w:space="0" w:color="000000"/>
            </w:tcBorders>
            <w:shd w:val="clear" w:color="auto" w:fill="auto"/>
          </w:tcPr>
          <w:p w14:paraId="4F0B943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w:t>
            </w:r>
          </w:p>
        </w:tc>
        <w:tc>
          <w:tcPr>
            <w:tcW w:w="971" w:type="dxa"/>
            <w:tcBorders>
              <w:left w:val="single" w:sz="2" w:space="0" w:color="000000"/>
              <w:bottom w:val="single" w:sz="2" w:space="0" w:color="000000"/>
              <w:right w:val="single" w:sz="2" w:space="0" w:color="000000"/>
            </w:tcBorders>
            <w:shd w:val="clear" w:color="auto" w:fill="auto"/>
          </w:tcPr>
          <w:p w14:paraId="0A40FA1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5263C5CD" w14:textId="77777777" w:rsidTr="00035934">
        <w:tc>
          <w:tcPr>
            <w:tcW w:w="1424" w:type="dxa"/>
            <w:tcBorders>
              <w:left w:val="single" w:sz="2" w:space="0" w:color="000000"/>
              <w:bottom w:val="single" w:sz="2" w:space="0" w:color="000000"/>
            </w:tcBorders>
            <w:shd w:val="clear" w:color="auto" w:fill="auto"/>
          </w:tcPr>
          <w:p w14:paraId="3BC5E63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Personal técnico judicial que conocen la materia de familia</w:t>
            </w:r>
          </w:p>
        </w:tc>
        <w:tc>
          <w:tcPr>
            <w:tcW w:w="1425" w:type="dxa"/>
            <w:tcBorders>
              <w:left w:val="single" w:sz="2" w:space="0" w:color="000000"/>
              <w:bottom w:val="single" w:sz="2" w:space="0" w:color="000000"/>
            </w:tcBorders>
            <w:shd w:val="clear" w:color="auto" w:fill="auto"/>
          </w:tcPr>
          <w:p w14:paraId="321CA3C5" w14:textId="0B59C1E4"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Primer acercamiento a la reforma procesal de </w:t>
            </w:r>
            <w:r w:rsidR="008051A1" w:rsidRPr="001D0C10">
              <w:rPr>
                <w:rFonts w:ascii="Book Antiqua" w:eastAsia="NSimSun" w:hAnsi="Book Antiqua" w:cs="Arial Unicode MS"/>
                <w:i/>
                <w:iCs/>
                <w:kern w:val="2"/>
                <w:sz w:val="20"/>
                <w:szCs w:val="20"/>
                <w:lang w:eastAsia="zh-CN" w:bidi="hi-IN"/>
              </w:rPr>
              <w:t>familia</w:t>
            </w:r>
          </w:p>
        </w:tc>
        <w:tc>
          <w:tcPr>
            <w:tcW w:w="1011" w:type="dxa"/>
            <w:tcBorders>
              <w:left w:val="single" w:sz="2" w:space="0" w:color="000000"/>
              <w:bottom w:val="single" w:sz="2" w:space="0" w:color="000000"/>
            </w:tcBorders>
            <w:shd w:val="clear" w:color="auto" w:fill="auto"/>
          </w:tcPr>
          <w:p w14:paraId="0FC3785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2</w:t>
            </w:r>
          </w:p>
        </w:tc>
        <w:tc>
          <w:tcPr>
            <w:tcW w:w="1837" w:type="dxa"/>
            <w:tcBorders>
              <w:left w:val="single" w:sz="2" w:space="0" w:color="000000"/>
              <w:bottom w:val="single" w:sz="2" w:space="0" w:color="000000"/>
            </w:tcBorders>
            <w:shd w:val="clear" w:color="auto" w:fill="auto"/>
          </w:tcPr>
          <w:p w14:paraId="58ED395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50</w:t>
            </w:r>
          </w:p>
        </w:tc>
        <w:tc>
          <w:tcPr>
            <w:tcW w:w="1424" w:type="dxa"/>
            <w:tcBorders>
              <w:left w:val="single" w:sz="2" w:space="0" w:color="000000"/>
              <w:bottom w:val="single" w:sz="2" w:space="0" w:color="000000"/>
            </w:tcBorders>
            <w:shd w:val="clear" w:color="auto" w:fill="auto"/>
          </w:tcPr>
          <w:p w14:paraId="1FBC8E6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3 semanas, una semana con cinco sesión en tiempo real </w:t>
            </w:r>
          </w:p>
        </w:tc>
        <w:tc>
          <w:tcPr>
            <w:tcW w:w="1427" w:type="dxa"/>
            <w:tcBorders>
              <w:left w:val="single" w:sz="2" w:space="0" w:color="000000"/>
              <w:bottom w:val="single" w:sz="2" w:space="0" w:color="000000"/>
            </w:tcBorders>
            <w:shd w:val="clear" w:color="auto" w:fill="auto"/>
          </w:tcPr>
          <w:p w14:paraId="1FAECA5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w:t>
            </w:r>
          </w:p>
        </w:tc>
        <w:tc>
          <w:tcPr>
            <w:tcW w:w="971" w:type="dxa"/>
            <w:tcBorders>
              <w:left w:val="single" w:sz="2" w:space="0" w:color="000000"/>
              <w:bottom w:val="single" w:sz="2" w:space="0" w:color="000000"/>
              <w:right w:val="single" w:sz="2" w:space="0" w:color="000000"/>
            </w:tcBorders>
            <w:shd w:val="clear" w:color="auto" w:fill="auto"/>
          </w:tcPr>
          <w:p w14:paraId="0F9496A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148C7C36" w14:textId="77777777" w:rsidTr="00035934">
        <w:tc>
          <w:tcPr>
            <w:tcW w:w="1424" w:type="dxa"/>
            <w:tcBorders>
              <w:left w:val="single" w:sz="2" w:space="0" w:color="000000"/>
              <w:bottom w:val="single" w:sz="2" w:space="0" w:color="000000"/>
            </w:tcBorders>
            <w:shd w:val="clear" w:color="auto" w:fill="auto"/>
          </w:tcPr>
          <w:p w14:paraId="58A83A77"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Personas facilitadoras judiciales</w:t>
            </w:r>
          </w:p>
        </w:tc>
        <w:tc>
          <w:tcPr>
            <w:tcW w:w="1425" w:type="dxa"/>
            <w:tcBorders>
              <w:left w:val="single" w:sz="2" w:space="0" w:color="000000"/>
              <w:bottom w:val="single" w:sz="2" w:space="0" w:color="000000"/>
            </w:tcBorders>
            <w:shd w:val="clear" w:color="auto" w:fill="auto"/>
          </w:tcPr>
          <w:p w14:paraId="48D7BDC6"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Taller de actualización en materia de familia</w:t>
            </w:r>
          </w:p>
        </w:tc>
        <w:tc>
          <w:tcPr>
            <w:tcW w:w="1011" w:type="dxa"/>
            <w:tcBorders>
              <w:left w:val="single" w:sz="2" w:space="0" w:color="000000"/>
              <w:bottom w:val="single" w:sz="2" w:space="0" w:color="000000"/>
            </w:tcBorders>
            <w:shd w:val="clear" w:color="auto" w:fill="auto"/>
          </w:tcPr>
          <w:p w14:paraId="179826E7"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13</w:t>
            </w:r>
          </w:p>
        </w:tc>
        <w:tc>
          <w:tcPr>
            <w:tcW w:w="1837" w:type="dxa"/>
            <w:tcBorders>
              <w:left w:val="single" w:sz="2" w:space="0" w:color="000000"/>
              <w:bottom w:val="single" w:sz="2" w:space="0" w:color="000000"/>
            </w:tcBorders>
            <w:shd w:val="clear" w:color="auto" w:fill="auto"/>
          </w:tcPr>
          <w:p w14:paraId="43193AD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Aprox. 150</w:t>
            </w:r>
          </w:p>
        </w:tc>
        <w:tc>
          <w:tcPr>
            <w:tcW w:w="1424" w:type="dxa"/>
            <w:tcBorders>
              <w:left w:val="single" w:sz="2" w:space="0" w:color="000000"/>
              <w:bottom w:val="single" w:sz="2" w:space="0" w:color="000000"/>
            </w:tcBorders>
            <w:shd w:val="clear" w:color="auto" w:fill="auto"/>
          </w:tcPr>
          <w:p w14:paraId="39F24808"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Taller de un día</w:t>
            </w:r>
          </w:p>
        </w:tc>
        <w:tc>
          <w:tcPr>
            <w:tcW w:w="1427" w:type="dxa"/>
            <w:tcBorders>
              <w:left w:val="single" w:sz="2" w:space="0" w:color="000000"/>
              <w:bottom w:val="single" w:sz="2" w:space="0" w:color="000000"/>
            </w:tcBorders>
            <w:shd w:val="clear" w:color="auto" w:fill="auto"/>
          </w:tcPr>
          <w:p w14:paraId="1EC22829"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10 semanas</w:t>
            </w:r>
          </w:p>
        </w:tc>
        <w:tc>
          <w:tcPr>
            <w:tcW w:w="971" w:type="dxa"/>
            <w:tcBorders>
              <w:left w:val="single" w:sz="2" w:space="0" w:color="000000"/>
              <w:bottom w:val="single" w:sz="2" w:space="0" w:color="000000"/>
              <w:right w:val="single" w:sz="2" w:space="0" w:color="000000"/>
            </w:tcBorders>
            <w:shd w:val="clear" w:color="auto" w:fill="auto"/>
          </w:tcPr>
          <w:p w14:paraId="198B6ACA"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Si para los equipos de trabajo de tres personas por grupo</w:t>
            </w:r>
          </w:p>
        </w:tc>
      </w:tr>
      <w:tr w:rsidR="00056442" w:rsidRPr="00791446" w14:paraId="07FD7480" w14:textId="77777777" w:rsidTr="00035934">
        <w:tc>
          <w:tcPr>
            <w:tcW w:w="1424" w:type="dxa"/>
            <w:tcBorders>
              <w:left w:val="single" w:sz="2" w:space="0" w:color="000000"/>
              <w:bottom w:val="single" w:sz="2" w:space="0" w:color="000000"/>
            </w:tcBorders>
            <w:shd w:val="clear" w:color="auto" w:fill="auto"/>
          </w:tcPr>
          <w:p w14:paraId="6C85D94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Personal técnico judicial</w:t>
            </w:r>
          </w:p>
        </w:tc>
        <w:tc>
          <w:tcPr>
            <w:tcW w:w="1425" w:type="dxa"/>
            <w:tcBorders>
              <w:left w:val="single" w:sz="2" w:space="0" w:color="000000"/>
              <w:bottom w:val="single" w:sz="2" w:space="0" w:color="000000"/>
            </w:tcBorders>
            <w:shd w:val="clear" w:color="auto" w:fill="auto"/>
          </w:tcPr>
          <w:p w14:paraId="65ECE1A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Pensiones alimentaria: Ejecución alimentaria </w:t>
            </w:r>
          </w:p>
        </w:tc>
        <w:tc>
          <w:tcPr>
            <w:tcW w:w="1011" w:type="dxa"/>
            <w:tcBorders>
              <w:left w:val="single" w:sz="2" w:space="0" w:color="000000"/>
              <w:bottom w:val="single" w:sz="2" w:space="0" w:color="000000"/>
            </w:tcBorders>
            <w:shd w:val="clear" w:color="auto" w:fill="auto"/>
          </w:tcPr>
          <w:p w14:paraId="4B99259F"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w:t>
            </w:r>
          </w:p>
        </w:tc>
        <w:tc>
          <w:tcPr>
            <w:tcW w:w="1837" w:type="dxa"/>
            <w:tcBorders>
              <w:left w:val="single" w:sz="2" w:space="0" w:color="000000"/>
              <w:bottom w:val="single" w:sz="2" w:space="0" w:color="000000"/>
            </w:tcBorders>
            <w:shd w:val="clear" w:color="auto" w:fill="auto"/>
          </w:tcPr>
          <w:p w14:paraId="4D4524D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Aprox. 480</w:t>
            </w:r>
          </w:p>
        </w:tc>
        <w:tc>
          <w:tcPr>
            <w:tcW w:w="1424" w:type="dxa"/>
            <w:tcBorders>
              <w:left w:val="single" w:sz="2" w:space="0" w:color="000000"/>
              <w:bottom w:val="single" w:sz="2" w:space="0" w:color="000000"/>
            </w:tcBorders>
            <w:shd w:val="clear" w:color="auto" w:fill="auto"/>
          </w:tcPr>
          <w:p w14:paraId="70A260E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5 semanas con una sesión en tiempo real</w:t>
            </w:r>
          </w:p>
        </w:tc>
        <w:tc>
          <w:tcPr>
            <w:tcW w:w="1427" w:type="dxa"/>
            <w:tcBorders>
              <w:left w:val="single" w:sz="2" w:space="0" w:color="000000"/>
              <w:bottom w:val="single" w:sz="2" w:space="0" w:color="000000"/>
            </w:tcBorders>
            <w:shd w:val="clear" w:color="auto" w:fill="auto"/>
          </w:tcPr>
          <w:p w14:paraId="206B9AB7"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3 semanas para diseño</w:t>
            </w:r>
          </w:p>
          <w:p w14:paraId="5B1B257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3B78140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20 semanas para ejecución</w:t>
            </w:r>
          </w:p>
          <w:p w14:paraId="08A612D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662C721A"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tc>
        <w:tc>
          <w:tcPr>
            <w:tcW w:w="971" w:type="dxa"/>
            <w:tcBorders>
              <w:left w:val="single" w:sz="2" w:space="0" w:color="000000"/>
              <w:bottom w:val="single" w:sz="2" w:space="0" w:color="000000"/>
              <w:right w:val="single" w:sz="2" w:space="0" w:color="000000"/>
            </w:tcBorders>
            <w:shd w:val="clear" w:color="auto" w:fill="auto"/>
          </w:tcPr>
          <w:p w14:paraId="522246A8"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56442CF7" w14:textId="77777777" w:rsidTr="00035934">
        <w:tc>
          <w:tcPr>
            <w:tcW w:w="1424" w:type="dxa"/>
            <w:tcBorders>
              <w:left w:val="single" w:sz="2" w:space="0" w:color="000000"/>
              <w:bottom w:val="single" w:sz="2" w:space="0" w:color="000000"/>
            </w:tcBorders>
            <w:shd w:val="clear" w:color="auto" w:fill="auto"/>
          </w:tcPr>
          <w:p w14:paraId="216B0155"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Personal técnico judicial</w:t>
            </w:r>
          </w:p>
        </w:tc>
        <w:tc>
          <w:tcPr>
            <w:tcW w:w="1425" w:type="dxa"/>
            <w:tcBorders>
              <w:left w:val="single" w:sz="2" w:space="0" w:color="000000"/>
              <w:bottom w:val="single" w:sz="2" w:space="0" w:color="000000"/>
            </w:tcBorders>
            <w:shd w:val="clear" w:color="auto" w:fill="auto"/>
          </w:tcPr>
          <w:p w14:paraId="211EE18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Toma de demandas verbales </w:t>
            </w:r>
          </w:p>
        </w:tc>
        <w:tc>
          <w:tcPr>
            <w:tcW w:w="1011" w:type="dxa"/>
            <w:tcBorders>
              <w:left w:val="single" w:sz="2" w:space="0" w:color="000000"/>
              <w:bottom w:val="single" w:sz="2" w:space="0" w:color="000000"/>
            </w:tcBorders>
            <w:shd w:val="clear" w:color="auto" w:fill="auto"/>
          </w:tcPr>
          <w:p w14:paraId="38BE2AF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w:t>
            </w:r>
          </w:p>
        </w:tc>
        <w:tc>
          <w:tcPr>
            <w:tcW w:w="1837" w:type="dxa"/>
            <w:tcBorders>
              <w:left w:val="single" w:sz="2" w:space="0" w:color="000000"/>
              <w:bottom w:val="single" w:sz="2" w:space="0" w:color="000000"/>
            </w:tcBorders>
            <w:shd w:val="clear" w:color="auto" w:fill="auto"/>
          </w:tcPr>
          <w:p w14:paraId="72823CE9"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Aprox. 480</w:t>
            </w:r>
          </w:p>
        </w:tc>
        <w:tc>
          <w:tcPr>
            <w:tcW w:w="1424" w:type="dxa"/>
            <w:tcBorders>
              <w:left w:val="single" w:sz="2" w:space="0" w:color="000000"/>
              <w:bottom w:val="single" w:sz="2" w:space="0" w:color="000000"/>
            </w:tcBorders>
            <w:shd w:val="clear" w:color="auto" w:fill="auto"/>
          </w:tcPr>
          <w:p w14:paraId="09679CE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 con una sesión en tiempo real</w:t>
            </w:r>
          </w:p>
        </w:tc>
        <w:tc>
          <w:tcPr>
            <w:tcW w:w="1427" w:type="dxa"/>
            <w:tcBorders>
              <w:left w:val="single" w:sz="2" w:space="0" w:color="000000"/>
              <w:bottom w:val="single" w:sz="2" w:space="0" w:color="000000"/>
            </w:tcBorders>
            <w:shd w:val="clear" w:color="auto" w:fill="auto"/>
          </w:tcPr>
          <w:p w14:paraId="66FBE15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3 semanas para diseño</w:t>
            </w:r>
          </w:p>
          <w:p w14:paraId="680013F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660A599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16 semanas para </w:t>
            </w:r>
            <w:r w:rsidRPr="001D0C10">
              <w:rPr>
                <w:rFonts w:ascii="Book Antiqua" w:eastAsia="NSimSun" w:hAnsi="Book Antiqua" w:cs="Arial Unicode MS"/>
                <w:i/>
                <w:iCs/>
                <w:kern w:val="2"/>
                <w:sz w:val="20"/>
                <w:szCs w:val="20"/>
                <w:lang w:eastAsia="zh-CN" w:bidi="hi-IN"/>
              </w:rPr>
              <w:lastRenderedPageBreak/>
              <w:t>ejecución</w:t>
            </w:r>
          </w:p>
          <w:p w14:paraId="361B1F6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499001A4"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tc>
        <w:tc>
          <w:tcPr>
            <w:tcW w:w="971" w:type="dxa"/>
            <w:tcBorders>
              <w:left w:val="single" w:sz="2" w:space="0" w:color="000000"/>
              <w:bottom w:val="single" w:sz="2" w:space="0" w:color="000000"/>
              <w:right w:val="single" w:sz="2" w:space="0" w:color="000000"/>
            </w:tcBorders>
            <w:shd w:val="clear" w:color="auto" w:fill="auto"/>
          </w:tcPr>
          <w:p w14:paraId="349BC0E7"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lastRenderedPageBreak/>
              <w:t>No</w:t>
            </w:r>
          </w:p>
        </w:tc>
      </w:tr>
      <w:tr w:rsidR="00056442" w:rsidRPr="00791446" w14:paraId="142CD2BD" w14:textId="77777777" w:rsidTr="00035934">
        <w:tc>
          <w:tcPr>
            <w:tcW w:w="1424" w:type="dxa"/>
            <w:tcBorders>
              <w:left w:val="single" w:sz="2" w:space="0" w:color="000000"/>
              <w:bottom w:val="single" w:sz="2" w:space="0" w:color="000000"/>
            </w:tcBorders>
            <w:shd w:val="clear" w:color="auto" w:fill="auto"/>
          </w:tcPr>
          <w:p w14:paraId="107DF1C6"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Personal técnico judicial</w:t>
            </w:r>
          </w:p>
        </w:tc>
        <w:tc>
          <w:tcPr>
            <w:tcW w:w="1425" w:type="dxa"/>
            <w:tcBorders>
              <w:left w:val="single" w:sz="2" w:space="0" w:color="000000"/>
              <w:bottom w:val="single" w:sz="2" w:space="0" w:color="000000"/>
            </w:tcBorders>
            <w:shd w:val="clear" w:color="auto" w:fill="auto"/>
          </w:tcPr>
          <w:p w14:paraId="4AB0FDF0"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Ejecución de resoluciones judiciales </w:t>
            </w:r>
          </w:p>
        </w:tc>
        <w:tc>
          <w:tcPr>
            <w:tcW w:w="1011" w:type="dxa"/>
            <w:tcBorders>
              <w:left w:val="single" w:sz="2" w:space="0" w:color="000000"/>
              <w:bottom w:val="single" w:sz="2" w:space="0" w:color="000000"/>
            </w:tcBorders>
            <w:shd w:val="clear" w:color="auto" w:fill="auto"/>
          </w:tcPr>
          <w:p w14:paraId="030AC53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w:t>
            </w:r>
          </w:p>
        </w:tc>
        <w:tc>
          <w:tcPr>
            <w:tcW w:w="1837" w:type="dxa"/>
            <w:tcBorders>
              <w:left w:val="single" w:sz="2" w:space="0" w:color="000000"/>
              <w:bottom w:val="single" w:sz="2" w:space="0" w:color="000000"/>
            </w:tcBorders>
            <w:shd w:val="clear" w:color="auto" w:fill="auto"/>
          </w:tcPr>
          <w:p w14:paraId="4F3BBCF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 xml:space="preserve"> Aprox. 480</w:t>
            </w:r>
          </w:p>
        </w:tc>
        <w:tc>
          <w:tcPr>
            <w:tcW w:w="1424" w:type="dxa"/>
            <w:tcBorders>
              <w:left w:val="single" w:sz="2" w:space="0" w:color="000000"/>
              <w:bottom w:val="single" w:sz="2" w:space="0" w:color="000000"/>
            </w:tcBorders>
            <w:shd w:val="clear" w:color="auto" w:fill="auto"/>
          </w:tcPr>
          <w:p w14:paraId="41CC6915"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4 semanas con una sesión en tiempo real</w:t>
            </w:r>
          </w:p>
        </w:tc>
        <w:tc>
          <w:tcPr>
            <w:tcW w:w="1427" w:type="dxa"/>
            <w:tcBorders>
              <w:left w:val="single" w:sz="2" w:space="0" w:color="000000"/>
              <w:bottom w:val="single" w:sz="2" w:space="0" w:color="000000"/>
            </w:tcBorders>
            <w:shd w:val="clear" w:color="auto" w:fill="auto"/>
          </w:tcPr>
          <w:p w14:paraId="59E81AF3"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3 semanas para diseño</w:t>
            </w:r>
          </w:p>
          <w:p w14:paraId="385ED1B1"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289F3EFB"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16 semanas para ejecución</w:t>
            </w:r>
          </w:p>
          <w:p w14:paraId="003FE83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p w14:paraId="2EBB84CE"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tc>
        <w:tc>
          <w:tcPr>
            <w:tcW w:w="971" w:type="dxa"/>
            <w:tcBorders>
              <w:left w:val="single" w:sz="2" w:space="0" w:color="000000"/>
              <w:bottom w:val="single" w:sz="2" w:space="0" w:color="000000"/>
              <w:right w:val="single" w:sz="2" w:space="0" w:color="000000"/>
            </w:tcBorders>
            <w:shd w:val="clear" w:color="auto" w:fill="auto"/>
          </w:tcPr>
          <w:p w14:paraId="6AE2A6FB"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No</w:t>
            </w:r>
          </w:p>
        </w:tc>
      </w:tr>
      <w:tr w:rsidR="00056442" w:rsidRPr="00791446" w14:paraId="1E0D5C0D" w14:textId="77777777" w:rsidTr="00035934">
        <w:tc>
          <w:tcPr>
            <w:tcW w:w="1424" w:type="dxa"/>
            <w:tcBorders>
              <w:left w:val="single" w:sz="2" w:space="0" w:color="000000"/>
              <w:bottom w:val="single" w:sz="2" w:space="0" w:color="000000"/>
            </w:tcBorders>
            <w:shd w:val="clear" w:color="auto" w:fill="auto"/>
          </w:tcPr>
          <w:p w14:paraId="169D5156"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Despachos que conocen de la materia de familia</w:t>
            </w:r>
          </w:p>
        </w:tc>
        <w:tc>
          <w:tcPr>
            <w:tcW w:w="1425" w:type="dxa"/>
            <w:tcBorders>
              <w:left w:val="single" w:sz="2" w:space="0" w:color="000000"/>
              <w:bottom w:val="single" w:sz="2" w:space="0" w:color="000000"/>
            </w:tcBorders>
            <w:shd w:val="clear" w:color="auto" w:fill="auto"/>
          </w:tcPr>
          <w:p w14:paraId="2C461E5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Talleres de seguimiento</w:t>
            </w:r>
          </w:p>
        </w:tc>
        <w:tc>
          <w:tcPr>
            <w:tcW w:w="1011" w:type="dxa"/>
            <w:tcBorders>
              <w:left w:val="single" w:sz="2" w:space="0" w:color="000000"/>
              <w:bottom w:val="single" w:sz="2" w:space="0" w:color="000000"/>
            </w:tcBorders>
            <w:shd w:val="clear" w:color="auto" w:fill="auto"/>
          </w:tcPr>
          <w:p w14:paraId="1905ED9C"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118 visitas</w:t>
            </w:r>
          </w:p>
        </w:tc>
        <w:tc>
          <w:tcPr>
            <w:tcW w:w="1837" w:type="dxa"/>
            <w:tcBorders>
              <w:left w:val="single" w:sz="2" w:space="0" w:color="000000"/>
              <w:bottom w:val="single" w:sz="2" w:space="0" w:color="000000"/>
            </w:tcBorders>
            <w:shd w:val="clear" w:color="auto" w:fill="auto"/>
          </w:tcPr>
          <w:p w14:paraId="13792788"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118 despachos</w:t>
            </w:r>
          </w:p>
        </w:tc>
        <w:tc>
          <w:tcPr>
            <w:tcW w:w="1424" w:type="dxa"/>
            <w:tcBorders>
              <w:left w:val="single" w:sz="2" w:space="0" w:color="000000"/>
              <w:bottom w:val="single" w:sz="2" w:space="0" w:color="000000"/>
            </w:tcBorders>
            <w:shd w:val="clear" w:color="auto" w:fill="auto"/>
          </w:tcPr>
          <w:p w14:paraId="29EE462D"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 día</w:t>
            </w:r>
          </w:p>
        </w:tc>
        <w:tc>
          <w:tcPr>
            <w:tcW w:w="1427" w:type="dxa"/>
            <w:tcBorders>
              <w:left w:val="single" w:sz="2" w:space="0" w:color="000000"/>
              <w:bottom w:val="single" w:sz="2" w:space="0" w:color="000000"/>
            </w:tcBorders>
            <w:shd w:val="clear" w:color="auto" w:fill="auto"/>
          </w:tcPr>
          <w:p w14:paraId="350707E9"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Aproximadamente 40 semanas</w:t>
            </w:r>
          </w:p>
        </w:tc>
        <w:tc>
          <w:tcPr>
            <w:tcW w:w="971" w:type="dxa"/>
            <w:tcBorders>
              <w:left w:val="single" w:sz="2" w:space="0" w:color="000000"/>
              <w:bottom w:val="single" w:sz="2" w:space="0" w:color="000000"/>
              <w:right w:val="single" w:sz="2" w:space="0" w:color="000000"/>
            </w:tcBorders>
            <w:shd w:val="clear" w:color="auto" w:fill="auto"/>
          </w:tcPr>
          <w:p w14:paraId="69C74E22"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Sí, para equipo de trabajo por gira</w:t>
            </w:r>
          </w:p>
        </w:tc>
      </w:tr>
      <w:tr w:rsidR="00056442" w:rsidRPr="00791446" w14:paraId="1456F1FD" w14:textId="77777777" w:rsidTr="00035934">
        <w:tc>
          <w:tcPr>
            <w:tcW w:w="7121" w:type="dxa"/>
            <w:gridSpan w:val="5"/>
            <w:shd w:val="clear" w:color="auto" w:fill="auto"/>
          </w:tcPr>
          <w:p w14:paraId="01910F35" w14:textId="77777777" w:rsidR="00056442" w:rsidRPr="001D0C10" w:rsidRDefault="00056442" w:rsidP="00056442">
            <w:pPr>
              <w:widowControl w:val="0"/>
              <w:suppressLineNumbers/>
              <w:suppressAutoHyphens/>
              <w:spacing w:after="0" w:line="240" w:lineRule="auto"/>
              <w:jc w:val="right"/>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TOTAL</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14:paraId="35010560" w14:textId="77777777" w:rsidR="00056442" w:rsidRPr="001D0C10" w:rsidRDefault="00056442" w:rsidP="00056442">
            <w:pPr>
              <w:widowControl w:val="0"/>
              <w:suppressLineNumbers/>
              <w:suppressAutoHyphens/>
              <w:spacing w:after="0" w:line="240" w:lineRule="auto"/>
              <w:jc w:val="center"/>
              <w:rPr>
                <w:rFonts w:ascii="Book Antiqua" w:eastAsia="NSimSun" w:hAnsi="Book Antiqua" w:cs="Arial Unicode MS"/>
                <w:i/>
                <w:iCs/>
                <w:kern w:val="2"/>
                <w:sz w:val="20"/>
                <w:szCs w:val="20"/>
                <w:lang w:eastAsia="zh-CN" w:bidi="hi-IN"/>
              </w:rPr>
            </w:pPr>
            <w:r w:rsidRPr="001D0C10">
              <w:rPr>
                <w:rFonts w:ascii="Book Antiqua" w:eastAsia="NSimSun" w:hAnsi="Book Antiqua" w:cs="Arial Unicode MS"/>
                <w:i/>
                <w:iCs/>
                <w:kern w:val="2"/>
                <w:sz w:val="20"/>
                <w:szCs w:val="20"/>
                <w:lang w:eastAsia="zh-CN" w:bidi="hi-IN"/>
              </w:rPr>
              <w:t>152</w:t>
            </w:r>
          </w:p>
        </w:tc>
        <w:tc>
          <w:tcPr>
            <w:tcW w:w="971" w:type="dxa"/>
            <w:shd w:val="clear" w:color="auto" w:fill="auto"/>
          </w:tcPr>
          <w:p w14:paraId="0337F24C" w14:textId="77777777" w:rsidR="00056442" w:rsidRPr="001D0C10" w:rsidRDefault="00056442" w:rsidP="00056442">
            <w:pPr>
              <w:widowControl w:val="0"/>
              <w:suppressLineNumbers/>
              <w:suppressAutoHyphens/>
              <w:spacing w:after="0" w:line="240" w:lineRule="auto"/>
              <w:rPr>
                <w:rFonts w:ascii="Book Antiqua" w:eastAsia="NSimSun" w:hAnsi="Book Antiqua" w:cs="Arial Unicode MS"/>
                <w:i/>
                <w:iCs/>
                <w:kern w:val="2"/>
                <w:sz w:val="20"/>
                <w:szCs w:val="20"/>
                <w:lang w:eastAsia="zh-CN" w:bidi="hi-IN"/>
              </w:rPr>
            </w:pPr>
          </w:p>
        </w:tc>
      </w:tr>
    </w:tbl>
    <w:p w14:paraId="2B2C7FFD" w14:textId="514EBA68" w:rsidR="00056442" w:rsidRPr="001D0C10" w:rsidRDefault="00056442" w:rsidP="00801ECD">
      <w:pPr>
        <w:spacing w:after="0" w:line="276" w:lineRule="auto"/>
        <w:jc w:val="both"/>
        <w:rPr>
          <w:rFonts w:ascii="Book Antiqua" w:eastAsia="Calibri" w:hAnsi="Book Antiqua" w:cs="Arial"/>
          <w:i/>
          <w:iCs/>
          <w:sz w:val="20"/>
          <w:szCs w:val="20"/>
        </w:rPr>
      </w:pPr>
    </w:p>
    <w:p w14:paraId="54520464" w14:textId="7FF81E4E" w:rsidR="00056442" w:rsidRPr="001D0C10" w:rsidRDefault="00056442" w:rsidP="00255ECF">
      <w:pPr>
        <w:spacing w:after="0" w:line="276" w:lineRule="auto"/>
        <w:jc w:val="center"/>
        <w:rPr>
          <w:rFonts w:ascii="Book Antiqua" w:eastAsia="Calibri" w:hAnsi="Book Antiqua" w:cs="Arial"/>
          <w:i/>
          <w:iCs/>
          <w:sz w:val="20"/>
          <w:szCs w:val="20"/>
        </w:rPr>
      </w:pPr>
    </w:p>
    <w:p w14:paraId="6CAF9B1B" w14:textId="567FC624" w:rsidR="00B173E4" w:rsidRPr="001D0C10" w:rsidRDefault="007E4094" w:rsidP="00255ECF">
      <w:pPr>
        <w:spacing w:after="0" w:line="276" w:lineRule="auto"/>
        <w:jc w:val="center"/>
        <w:rPr>
          <w:rFonts w:ascii="Book Antiqua" w:eastAsia="Calibri" w:hAnsi="Book Antiqua" w:cs="Arial"/>
          <w:i/>
          <w:iCs/>
          <w:sz w:val="20"/>
          <w:szCs w:val="20"/>
        </w:rPr>
      </w:pPr>
      <w:r w:rsidRPr="001D0C10">
        <w:rPr>
          <w:rFonts w:ascii="Book Antiqua" w:hAnsi="Book Antiqua"/>
          <w:i/>
          <w:iCs/>
          <w:noProof/>
          <w:sz w:val="20"/>
          <w:szCs w:val="20"/>
        </w:rPr>
        <w:drawing>
          <wp:inline distT="0" distB="0" distL="0" distR="0" wp14:anchorId="7EE144E4" wp14:editId="6D2533DE">
            <wp:extent cx="1263480" cy="1546079"/>
            <wp:effectExtent l="0" t="0" r="0" b="0"/>
            <wp:docPr id="20" name="Imagen1">
              <a:extLst xmlns:a="http://schemas.openxmlformats.org/drawingml/2006/main">
                <a:ext uri="{FF2B5EF4-FFF2-40B4-BE49-F238E27FC236}">
                  <a16:creationId xmlns:a16="http://schemas.microsoft.com/office/drawing/2014/main" id="{A05D8CEA-8172-455C-B934-3E71A7D13F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1">
                      <a:extLst>
                        <a:ext uri="{FF2B5EF4-FFF2-40B4-BE49-F238E27FC236}">
                          <a16:creationId xmlns:a16="http://schemas.microsoft.com/office/drawing/2014/main" id="{A05D8CEA-8172-455C-B934-3E71A7D13F85}"/>
                        </a:ext>
                      </a:extLst>
                    </pic:cNvPr>
                    <pic:cNvPicPr>
                      <a:picLocks noChangeAspect="1"/>
                    </pic:cNvPicPr>
                  </pic:nvPicPr>
                  <pic:blipFill>
                    <a:blip r:embed="rId74"/>
                    <a:stretch>
                      <a:fillRect/>
                    </a:stretch>
                  </pic:blipFill>
                  <pic:spPr bwMode="auto">
                    <a:xfrm>
                      <a:off x="0" y="0"/>
                      <a:ext cx="1268930" cy="1552748"/>
                    </a:xfrm>
                    <a:prstGeom prst="rect">
                      <a:avLst/>
                    </a:prstGeom>
                  </pic:spPr>
                </pic:pic>
              </a:graphicData>
            </a:graphic>
          </wp:inline>
        </w:drawing>
      </w:r>
    </w:p>
    <w:p w14:paraId="1AEFCBFD" w14:textId="35B478D2" w:rsidR="00B173E4" w:rsidRPr="001D0C10" w:rsidRDefault="00B173E4" w:rsidP="00255ECF">
      <w:pPr>
        <w:spacing w:after="0" w:line="276" w:lineRule="auto"/>
        <w:jc w:val="center"/>
        <w:rPr>
          <w:rFonts w:ascii="Book Antiqua" w:eastAsia="Calibri" w:hAnsi="Book Antiqua" w:cs="Arial"/>
          <w:i/>
          <w:iCs/>
          <w:sz w:val="20"/>
          <w:szCs w:val="20"/>
        </w:rPr>
      </w:pPr>
    </w:p>
    <w:p w14:paraId="0534D250" w14:textId="229D4F27" w:rsidR="00B173E4" w:rsidRDefault="007E4094" w:rsidP="00255ECF">
      <w:pPr>
        <w:spacing w:after="0" w:line="276" w:lineRule="auto"/>
        <w:jc w:val="center"/>
        <w:rPr>
          <w:rFonts w:ascii="Book Antiqua" w:eastAsia="Calibri" w:hAnsi="Book Antiqua" w:cs="Arial"/>
          <w:sz w:val="24"/>
          <w:szCs w:val="24"/>
        </w:rPr>
      </w:pPr>
      <w:r>
        <w:rPr>
          <w:noProof/>
        </w:rPr>
        <w:lastRenderedPageBreak/>
        <w:drawing>
          <wp:inline distT="0" distB="0" distL="0" distR="0" wp14:anchorId="07F250DB" wp14:editId="036EA85C">
            <wp:extent cx="3868320" cy="2843042"/>
            <wp:effectExtent l="0" t="0" r="0" b="0"/>
            <wp:docPr id="23" name="Imagen2" descr="Tabla&#10;&#10;Descripción generada automáticamente">
              <a:extLst xmlns:a="http://schemas.openxmlformats.org/drawingml/2006/main">
                <a:ext uri="{FF2B5EF4-FFF2-40B4-BE49-F238E27FC236}">
                  <a16:creationId xmlns:a16="http://schemas.microsoft.com/office/drawing/2014/main" id="{30E8B829-8C80-4CEA-87B6-9A9D71D6B5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2" descr="Tabla&#10;&#10;Descripción generada automáticamente">
                      <a:extLst>
                        <a:ext uri="{FF2B5EF4-FFF2-40B4-BE49-F238E27FC236}">
                          <a16:creationId xmlns:a16="http://schemas.microsoft.com/office/drawing/2014/main" id="{30E8B829-8C80-4CEA-87B6-9A9D71D6B50C}"/>
                        </a:ext>
                      </a:extLst>
                    </pic:cNvPr>
                    <pic:cNvPicPr>
                      <a:picLocks noChangeAspect="1"/>
                    </pic:cNvPicPr>
                  </pic:nvPicPr>
                  <pic:blipFill>
                    <a:blip r:embed="rId75"/>
                    <a:stretch>
                      <a:fillRect/>
                    </a:stretch>
                  </pic:blipFill>
                  <pic:spPr bwMode="auto">
                    <a:xfrm>
                      <a:off x="0" y="0"/>
                      <a:ext cx="3876508" cy="2849060"/>
                    </a:xfrm>
                    <a:prstGeom prst="rect">
                      <a:avLst/>
                    </a:prstGeom>
                  </pic:spPr>
                </pic:pic>
              </a:graphicData>
            </a:graphic>
          </wp:inline>
        </w:drawing>
      </w:r>
    </w:p>
    <w:p w14:paraId="1D428680" w14:textId="73531C4B" w:rsidR="00B173E4" w:rsidRDefault="00B173E4" w:rsidP="001D0C10">
      <w:pPr>
        <w:spacing w:after="0" w:line="276" w:lineRule="auto"/>
        <w:jc w:val="center"/>
        <w:rPr>
          <w:rFonts w:ascii="Book Antiqua" w:eastAsia="Calibri" w:hAnsi="Book Antiqua" w:cs="Arial"/>
          <w:sz w:val="24"/>
          <w:szCs w:val="24"/>
        </w:rPr>
      </w:pPr>
    </w:p>
    <w:p w14:paraId="52A6645C" w14:textId="77777777" w:rsidR="00791446" w:rsidRPr="001F5F76" w:rsidRDefault="00791446" w:rsidP="00791446">
      <w:pPr>
        <w:spacing w:after="0" w:line="276" w:lineRule="auto"/>
        <w:jc w:val="right"/>
        <w:rPr>
          <w:rFonts w:ascii="Book Antiqua" w:eastAsia="Calibri" w:hAnsi="Book Antiqua" w:cs="Arial"/>
          <w:i/>
          <w:iCs/>
          <w:sz w:val="20"/>
          <w:szCs w:val="20"/>
        </w:rPr>
      </w:pPr>
      <w:r>
        <w:rPr>
          <w:rFonts w:ascii="Book Antiqua" w:eastAsia="Calibri" w:hAnsi="Book Antiqua" w:cs="Arial"/>
          <w:i/>
          <w:iCs/>
          <w:sz w:val="20"/>
          <w:szCs w:val="20"/>
        </w:rPr>
        <w:t>…”</w:t>
      </w:r>
    </w:p>
    <w:p w14:paraId="1C6A6C9D" w14:textId="653B35B2" w:rsidR="008051A1" w:rsidRPr="00AA01E7" w:rsidRDefault="007442EC"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 xml:space="preserve">Dirección de Tecnología de </w:t>
      </w:r>
      <w:r w:rsidR="00AA01E7">
        <w:rPr>
          <w:rFonts w:ascii="Book Antiqua" w:eastAsiaTheme="majorEastAsia" w:hAnsi="Book Antiqua" w:cstheme="majorBidi"/>
          <w:b/>
          <w:color w:val="1F3864" w:themeColor="accent1" w:themeShade="80"/>
          <w:sz w:val="24"/>
          <w:lang w:val="es-ES"/>
        </w:rPr>
        <w:t xml:space="preserve">la </w:t>
      </w:r>
      <w:r w:rsidRPr="00AA01E7">
        <w:rPr>
          <w:rFonts w:ascii="Book Antiqua" w:eastAsiaTheme="majorEastAsia" w:hAnsi="Book Antiqua" w:cstheme="majorBidi"/>
          <w:b/>
          <w:color w:val="1F3864" w:themeColor="accent1" w:themeShade="80"/>
          <w:sz w:val="24"/>
          <w:lang w:val="es-ES"/>
        </w:rPr>
        <w:t>Información</w:t>
      </w:r>
      <w:r w:rsidR="00AA01E7">
        <w:rPr>
          <w:rFonts w:ascii="Book Antiqua" w:eastAsiaTheme="majorEastAsia" w:hAnsi="Book Antiqua" w:cstheme="majorBidi"/>
          <w:b/>
          <w:color w:val="1F3864" w:themeColor="accent1" w:themeShade="80"/>
          <w:sz w:val="24"/>
          <w:lang w:val="es-ES"/>
        </w:rPr>
        <w:t xml:space="preserve"> y Comunicaciones</w:t>
      </w:r>
    </w:p>
    <w:p w14:paraId="3BF54B5F" w14:textId="77777777" w:rsidR="00411EB4" w:rsidRDefault="00411EB4" w:rsidP="008051A1">
      <w:pPr>
        <w:shd w:val="clear" w:color="auto" w:fill="FFFFFF" w:themeFill="background1"/>
        <w:spacing w:after="0" w:line="276" w:lineRule="auto"/>
        <w:jc w:val="both"/>
        <w:rPr>
          <w:rFonts w:ascii="Book Antiqua" w:eastAsia="Calibri" w:hAnsi="Book Antiqua" w:cs="Times New Roman"/>
          <w:sz w:val="24"/>
          <w:szCs w:val="24"/>
          <w:lang w:val="es-ES" w:eastAsia="es-CR"/>
        </w:rPr>
      </w:pPr>
    </w:p>
    <w:p w14:paraId="05470FCB" w14:textId="06F251E0" w:rsidR="00291748" w:rsidRDefault="00A53FD9" w:rsidP="008051A1">
      <w:pPr>
        <w:shd w:val="clear" w:color="auto" w:fill="FFFFFF" w:themeFill="background1"/>
        <w:spacing w:after="0" w:line="276" w:lineRule="auto"/>
        <w:jc w:val="both"/>
        <w:rPr>
          <w:rFonts w:ascii="Book Antiqua" w:eastAsia="Calibri" w:hAnsi="Book Antiqua" w:cs="Times New Roman"/>
          <w:sz w:val="24"/>
          <w:szCs w:val="24"/>
          <w:lang w:val="es-ES" w:eastAsia="es-CR"/>
        </w:rPr>
      </w:pPr>
      <w:r>
        <w:rPr>
          <w:rFonts w:ascii="Book Antiqua" w:eastAsia="Calibri" w:hAnsi="Book Antiqua" w:cs="Times New Roman"/>
          <w:sz w:val="24"/>
          <w:szCs w:val="24"/>
          <w:lang w:val="es-ES" w:eastAsia="es-CR"/>
        </w:rPr>
        <w:t>Esta Dirección está en proceso de consulta, del presupuesto requerido por DTI, sin embargo, dada</w:t>
      </w:r>
      <w:r w:rsidR="00291748" w:rsidRPr="008051A1">
        <w:rPr>
          <w:rFonts w:ascii="Book Antiqua" w:eastAsia="Calibri" w:hAnsi="Book Antiqua" w:cs="Times New Roman"/>
          <w:sz w:val="24"/>
          <w:szCs w:val="24"/>
          <w:lang w:val="es-ES" w:eastAsia="es-CR"/>
        </w:rPr>
        <w:t xml:space="preserve"> </w:t>
      </w:r>
      <w:r>
        <w:rPr>
          <w:rFonts w:ascii="Book Antiqua" w:eastAsia="Calibri" w:hAnsi="Book Antiqua" w:cs="Times New Roman"/>
          <w:sz w:val="24"/>
          <w:szCs w:val="24"/>
          <w:lang w:val="es-ES" w:eastAsia="es-CR"/>
        </w:rPr>
        <w:t xml:space="preserve">la recomendación de plazas nuevas propuesta para 2023 </w:t>
      </w:r>
      <w:r w:rsidR="00291748" w:rsidRPr="008051A1">
        <w:rPr>
          <w:rFonts w:ascii="Book Antiqua" w:eastAsia="Calibri" w:hAnsi="Book Antiqua" w:cs="Times New Roman"/>
          <w:sz w:val="24"/>
          <w:szCs w:val="24"/>
          <w:lang w:val="es-ES" w:eastAsia="es-CR"/>
        </w:rPr>
        <w:t xml:space="preserve">nuevas así como la creación del sitio web de la Comisión de Familia, </w:t>
      </w:r>
      <w:r w:rsidR="009B5516" w:rsidRPr="008051A1">
        <w:rPr>
          <w:rFonts w:ascii="Book Antiqua" w:eastAsia="Calibri" w:hAnsi="Book Antiqua" w:cs="Times New Roman"/>
          <w:sz w:val="24"/>
          <w:szCs w:val="24"/>
          <w:lang w:val="es-ES" w:eastAsia="es-CR"/>
        </w:rPr>
        <w:t>se mantiene el presupuesto indicado mediante oficio 390-DTI-2022</w:t>
      </w:r>
      <w:r w:rsidR="000C367B">
        <w:rPr>
          <w:rFonts w:ascii="Book Antiqua" w:eastAsia="Calibri" w:hAnsi="Book Antiqua" w:cs="Times New Roman"/>
          <w:sz w:val="24"/>
          <w:szCs w:val="24"/>
          <w:lang w:val="es-ES" w:eastAsia="es-CR"/>
        </w:rPr>
        <w:t xml:space="preserve"> (anexo 25)</w:t>
      </w:r>
      <w:r>
        <w:rPr>
          <w:rFonts w:ascii="Book Antiqua" w:eastAsia="Calibri" w:hAnsi="Book Antiqua" w:cs="Times New Roman"/>
          <w:sz w:val="24"/>
          <w:szCs w:val="24"/>
          <w:lang w:val="es-ES" w:eastAsia="es-CR"/>
        </w:rPr>
        <w:t xml:space="preserve"> para 2022</w:t>
      </w:r>
      <w:r w:rsidR="009B5516" w:rsidRPr="008051A1">
        <w:rPr>
          <w:rFonts w:ascii="Book Antiqua" w:eastAsia="Calibri" w:hAnsi="Book Antiqua" w:cs="Times New Roman"/>
          <w:sz w:val="24"/>
          <w:szCs w:val="24"/>
          <w:lang w:val="es-ES" w:eastAsia="es-CR"/>
        </w:rPr>
        <w:t>, ya que a la fecha no se recibió la información solicitada y por un tema de la agenda del Consejo Superior y al no otorgarse en las ejecuciones presupuestarias del 2021 y 2022</w:t>
      </w:r>
      <w:r>
        <w:rPr>
          <w:rFonts w:ascii="Book Antiqua" w:eastAsia="Calibri" w:hAnsi="Book Antiqua" w:cs="Times New Roman"/>
          <w:sz w:val="24"/>
          <w:szCs w:val="24"/>
          <w:lang w:val="es-ES" w:eastAsia="es-CR"/>
        </w:rPr>
        <w:t xml:space="preserve"> </w:t>
      </w:r>
      <w:r w:rsidR="009B5516" w:rsidRPr="008051A1">
        <w:rPr>
          <w:rFonts w:ascii="Book Antiqua" w:eastAsia="Calibri" w:hAnsi="Book Antiqua" w:cs="Times New Roman"/>
          <w:sz w:val="24"/>
          <w:szCs w:val="24"/>
          <w:lang w:val="es-ES" w:eastAsia="es-CR"/>
        </w:rPr>
        <w:t xml:space="preserve">los recursos solicitados para la </w:t>
      </w:r>
      <w:r w:rsidR="00411EB4">
        <w:rPr>
          <w:rFonts w:ascii="Book Antiqua" w:eastAsia="Calibri" w:hAnsi="Book Antiqua" w:cs="Times New Roman"/>
          <w:sz w:val="24"/>
          <w:szCs w:val="24"/>
          <w:lang w:val="es-ES" w:eastAsia="es-CR"/>
        </w:rPr>
        <w:t>L</w:t>
      </w:r>
      <w:r w:rsidR="009B5516" w:rsidRPr="008051A1">
        <w:rPr>
          <w:rFonts w:ascii="Book Antiqua" w:eastAsia="Calibri" w:hAnsi="Book Antiqua" w:cs="Times New Roman"/>
          <w:sz w:val="24"/>
          <w:szCs w:val="24"/>
          <w:lang w:val="es-ES" w:eastAsia="es-CR"/>
        </w:rPr>
        <w:t xml:space="preserve">ey 9747, se </w:t>
      </w:r>
      <w:r w:rsidR="00411EB4">
        <w:rPr>
          <w:rFonts w:ascii="Book Antiqua" w:eastAsia="Calibri" w:hAnsi="Book Antiqua" w:cs="Times New Roman"/>
          <w:sz w:val="24"/>
          <w:szCs w:val="24"/>
          <w:lang w:val="es-ES" w:eastAsia="es-CR"/>
        </w:rPr>
        <w:t>mantiene</w:t>
      </w:r>
      <w:r w:rsidR="00291748" w:rsidRPr="008051A1">
        <w:rPr>
          <w:rFonts w:ascii="Book Antiqua" w:eastAsia="Calibri" w:hAnsi="Book Antiqua" w:cs="Times New Roman"/>
          <w:sz w:val="24"/>
          <w:szCs w:val="24"/>
          <w:lang w:val="es-ES" w:eastAsia="es-CR"/>
        </w:rPr>
        <w:t xml:space="preserve"> la incorporación de </w:t>
      </w:r>
      <w:r w:rsidR="00BE3A12">
        <w:rPr>
          <w:rFonts w:ascii="Book Antiqua" w:eastAsia="Calibri" w:hAnsi="Book Antiqua" w:cs="Times New Roman"/>
          <w:sz w:val="24"/>
          <w:szCs w:val="24"/>
          <w:lang w:val="es-ES" w:eastAsia="es-CR"/>
        </w:rPr>
        <w:t xml:space="preserve">15 millones de colones para la construcción del sitio web </w:t>
      </w:r>
      <w:r w:rsidR="005405C6">
        <w:rPr>
          <w:rFonts w:ascii="Book Antiqua" w:eastAsia="Calibri" w:hAnsi="Book Antiqua" w:cs="Times New Roman"/>
          <w:sz w:val="24"/>
          <w:szCs w:val="24"/>
          <w:lang w:val="es-ES" w:eastAsia="es-CR"/>
        </w:rPr>
        <w:t>de</w:t>
      </w:r>
      <w:r w:rsidR="00BE3A12">
        <w:rPr>
          <w:rFonts w:ascii="Book Antiqua" w:eastAsia="Calibri" w:hAnsi="Book Antiqua" w:cs="Times New Roman"/>
          <w:sz w:val="24"/>
          <w:szCs w:val="24"/>
          <w:lang w:val="es-ES" w:eastAsia="es-CR"/>
        </w:rPr>
        <w:t xml:space="preserve"> Comisión de Familia, más los equipos con el siguiente costo:</w:t>
      </w:r>
    </w:p>
    <w:p w14:paraId="21690BF9" w14:textId="55FD0D7F" w:rsidR="00BE3A12" w:rsidRDefault="00BE3A12" w:rsidP="008051A1">
      <w:pPr>
        <w:shd w:val="clear" w:color="auto" w:fill="FFFFFF" w:themeFill="background1"/>
        <w:spacing w:after="0" w:line="276" w:lineRule="auto"/>
        <w:jc w:val="both"/>
        <w:rPr>
          <w:rFonts w:ascii="Book Antiqua" w:eastAsia="Calibri" w:hAnsi="Book Antiqua" w:cs="Times New Roman"/>
          <w:sz w:val="24"/>
          <w:szCs w:val="24"/>
          <w:lang w:val="es-ES" w:eastAsia="es-CR"/>
        </w:rPr>
      </w:pPr>
    </w:p>
    <w:p w14:paraId="67FBAA42" w14:textId="455BF359" w:rsidR="00BE3A12" w:rsidRPr="005405C6" w:rsidRDefault="005405C6" w:rsidP="0090609F">
      <w:pPr>
        <w:pStyle w:val="Prrafodelista"/>
        <w:numPr>
          <w:ilvl w:val="0"/>
          <w:numId w:val="46"/>
        </w:numPr>
        <w:shd w:val="clear" w:color="auto" w:fill="FFFFFF" w:themeFill="background1"/>
        <w:spacing w:after="0" w:line="276" w:lineRule="auto"/>
        <w:jc w:val="both"/>
        <w:rPr>
          <w:rFonts w:ascii="Book Antiqua" w:eastAsia="Calibri" w:hAnsi="Book Antiqua" w:cs="Times New Roman"/>
          <w:sz w:val="24"/>
          <w:szCs w:val="24"/>
          <w:lang w:val="es-ES" w:eastAsia="es-CR"/>
        </w:rPr>
      </w:pP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 xml:space="preserve">134 137,0 </w:t>
      </w:r>
      <w:r>
        <w:rPr>
          <w:rFonts w:ascii="Book Antiqua" w:eastAsia="Calibri" w:hAnsi="Book Antiqua" w:cs="Times New Roman"/>
          <w:sz w:val="24"/>
          <w:szCs w:val="24"/>
          <w:lang w:val="es-ES" w:eastAsia="es-CR"/>
        </w:rPr>
        <w:t xml:space="preserve">de una </w:t>
      </w:r>
      <w:r w:rsidR="00BE3A12" w:rsidRPr="005405C6">
        <w:rPr>
          <w:rFonts w:ascii="Book Antiqua" w:eastAsia="Calibri" w:hAnsi="Book Antiqua" w:cs="Times New Roman"/>
          <w:sz w:val="24"/>
          <w:szCs w:val="24"/>
          <w:lang w:val="es-ES" w:eastAsia="es-CR"/>
        </w:rPr>
        <w:t xml:space="preserve">licencia E3 </w:t>
      </w:r>
      <w:r>
        <w:rPr>
          <w:rFonts w:ascii="Book Antiqua" w:eastAsia="Calibri" w:hAnsi="Book Antiqua" w:cs="Times New Roman"/>
          <w:sz w:val="24"/>
          <w:szCs w:val="24"/>
          <w:lang w:val="es-ES" w:eastAsia="es-CR"/>
        </w:rPr>
        <w:t xml:space="preserve">anual </w:t>
      </w:r>
      <w:r w:rsidR="00BE3A12" w:rsidRPr="005405C6">
        <w:rPr>
          <w:rFonts w:ascii="Book Antiqua" w:eastAsia="Calibri" w:hAnsi="Book Antiqua" w:cs="Times New Roman"/>
          <w:sz w:val="24"/>
          <w:szCs w:val="24"/>
          <w:lang w:val="es-ES" w:eastAsia="es-CR"/>
        </w:rPr>
        <w:t xml:space="preserve">para puestos profesionales + </w:t>
      </w: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 xml:space="preserve">913 053,8 </w:t>
      </w:r>
      <w:r w:rsidR="00BE3A12" w:rsidRPr="005405C6">
        <w:rPr>
          <w:rFonts w:ascii="Book Antiqua" w:eastAsia="Calibri" w:hAnsi="Book Antiqua" w:cs="Times New Roman"/>
          <w:sz w:val="24"/>
          <w:szCs w:val="24"/>
          <w:lang w:val="es-ES" w:eastAsia="es-CR"/>
        </w:rPr>
        <w:t xml:space="preserve">del equipo </w:t>
      </w:r>
      <w:r w:rsidRPr="005405C6">
        <w:rPr>
          <w:rFonts w:ascii="Book Antiqua" w:eastAsia="Calibri" w:hAnsi="Book Antiqua" w:cs="Times New Roman"/>
          <w:sz w:val="24"/>
          <w:szCs w:val="24"/>
          <w:lang w:val="es-ES" w:eastAsia="es-CR"/>
        </w:rPr>
        <w:t>portátil</w:t>
      </w:r>
      <w:r w:rsidR="00BE3A12" w:rsidRPr="005405C6">
        <w:rPr>
          <w:rFonts w:ascii="Book Antiqua" w:eastAsia="Calibri" w:hAnsi="Book Antiqua" w:cs="Times New Roman"/>
          <w:sz w:val="24"/>
          <w:szCs w:val="24"/>
          <w:lang w:val="es-ES" w:eastAsia="es-CR"/>
        </w:rPr>
        <w:t>=</w:t>
      </w:r>
      <w:r>
        <w:rPr>
          <w:rFonts w:ascii="Book Antiqua" w:eastAsia="Calibri" w:hAnsi="Book Antiqua" w:cs="Times New Roman"/>
          <w:sz w:val="24"/>
          <w:szCs w:val="24"/>
          <w:lang w:val="es-ES" w:eastAsia="es-CR"/>
        </w:rPr>
        <w:t xml:space="preserve"> </w:t>
      </w: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1 047 190,8</w:t>
      </w:r>
    </w:p>
    <w:p w14:paraId="6E33F7C3" w14:textId="17E2E042" w:rsidR="00BE3A12" w:rsidRPr="005405C6" w:rsidRDefault="005405C6" w:rsidP="0090609F">
      <w:pPr>
        <w:pStyle w:val="Prrafodelista"/>
        <w:numPr>
          <w:ilvl w:val="0"/>
          <w:numId w:val="46"/>
        </w:numPr>
        <w:shd w:val="clear" w:color="auto" w:fill="FFFFFF" w:themeFill="background1"/>
        <w:spacing w:after="0" w:line="276" w:lineRule="auto"/>
        <w:jc w:val="both"/>
        <w:rPr>
          <w:rFonts w:ascii="Book Antiqua" w:eastAsia="Calibri" w:hAnsi="Book Antiqua" w:cs="Times New Roman"/>
          <w:sz w:val="24"/>
          <w:szCs w:val="24"/>
          <w:lang w:val="es-ES" w:eastAsia="es-CR"/>
        </w:rPr>
      </w:pP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 xml:space="preserve">26 784,0 </w:t>
      </w:r>
      <w:r>
        <w:rPr>
          <w:rFonts w:ascii="Book Antiqua" w:eastAsia="Calibri" w:hAnsi="Book Antiqua" w:cs="Times New Roman"/>
          <w:sz w:val="24"/>
          <w:szCs w:val="24"/>
          <w:lang w:val="es-ES" w:eastAsia="es-CR"/>
        </w:rPr>
        <w:t xml:space="preserve">de una </w:t>
      </w:r>
      <w:r w:rsidR="00BE3A12" w:rsidRPr="005405C6">
        <w:rPr>
          <w:rFonts w:ascii="Book Antiqua" w:eastAsia="Calibri" w:hAnsi="Book Antiqua" w:cs="Times New Roman"/>
          <w:sz w:val="24"/>
          <w:szCs w:val="24"/>
          <w:lang w:val="es-ES" w:eastAsia="es-CR"/>
        </w:rPr>
        <w:t>licencia</w:t>
      </w:r>
      <w:r>
        <w:rPr>
          <w:rFonts w:ascii="Book Antiqua" w:eastAsia="Calibri" w:hAnsi="Book Antiqua" w:cs="Times New Roman"/>
          <w:sz w:val="24"/>
          <w:szCs w:val="24"/>
          <w:lang w:val="es-ES" w:eastAsia="es-CR"/>
        </w:rPr>
        <w:t xml:space="preserve"> anual</w:t>
      </w:r>
      <w:r w:rsidR="00BE3A12" w:rsidRPr="005405C6">
        <w:rPr>
          <w:rFonts w:ascii="Book Antiqua" w:eastAsia="Calibri" w:hAnsi="Book Antiqua" w:cs="Times New Roman"/>
          <w:sz w:val="24"/>
          <w:szCs w:val="24"/>
          <w:lang w:val="es-ES" w:eastAsia="es-CR"/>
        </w:rPr>
        <w:t xml:space="preserve"> E0 personal no profesional + </w:t>
      </w: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618 687,8 costo</w:t>
      </w:r>
      <w:r w:rsidR="00BE3A12" w:rsidRPr="005405C6">
        <w:rPr>
          <w:rFonts w:ascii="Book Antiqua" w:eastAsia="Calibri" w:hAnsi="Book Antiqua" w:cs="Times New Roman"/>
          <w:sz w:val="24"/>
          <w:szCs w:val="24"/>
          <w:lang w:val="es-ES" w:eastAsia="es-CR"/>
        </w:rPr>
        <w:t xml:space="preserve"> equipo computo de escritorio= </w:t>
      </w:r>
      <w:r w:rsidRPr="005405C6">
        <w:rPr>
          <w:rFonts w:ascii="Times New Roman" w:eastAsia="Calibri" w:hAnsi="Times New Roman" w:cs="Times New Roman"/>
          <w:sz w:val="24"/>
          <w:szCs w:val="24"/>
          <w:lang w:val="es-ES" w:eastAsia="es-CR"/>
        </w:rPr>
        <w:t>₡</w:t>
      </w:r>
      <w:r w:rsidRPr="005405C6">
        <w:rPr>
          <w:rFonts w:ascii="Book Antiqua" w:eastAsia="Calibri" w:hAnsi="Book Antiqua" w:cs="Times New Roman"/>
          <w:sz w:val="24"/>
          <w:szCs w:val="24"/>
          <w:lang w:val="es-ES" w:eastAsia="es-CR"/>
        </w:rPr>
        <w:t>645 471,8</w:t>
      </w:r>
    </w:p>
    <w:p w14:paraId="167DEDAF" w14:textId="77777777" w:rsidR="00291748" w:rsidRPr="001D0C10" w:rsidRDefault="00291748" w:rsidP="007442EC">
      <w:pPr>
        <w:spacing w:after="0" w:line="276" w:lineRule="auto"/>
        <w:jc w:val="both"/>
        <w:rPr>
          <w:rFonts w:ascii="Book Antiqua" w:eastAsia="Calibri" w:hAnsi="Book Antiqua" w:cs="Times New Roman"/>
          <w:i/>
          <w:iCs/>
          <w:sz w:val="20"/>
          <w:szCs w:val="20"/>
          <w:lang w:val="es-ES" w:eastAsia="es-CR"/>
        </w:rPr>
      </w:pPr>
    </w:p>
    <w:p w14:paraId="71BC402A" w14:textId="58EF4B53" w:rsidR="005405C6" w:rsidRDefault="000B0740" w:rsidP="005405C6">
      <w:pPr>
        <w:spacing w:after="0" w:line="240" w:lineRule="auto"/>
        <w:ind w:right="616"/>
        <w:jc w:val="both"/>
        <w:rPr>
          <w:rFonts w:ascii="Book Antiqua" w:eastAsia="Calibri" w:hAnsi="Book Antiqua" w:cs="Arial"/>
          <w:i/>
          <w:iCs/>
        </w:rPr>
      </w:pPr>
      <w:r>
        <w:rPr>
          <w:rFonts w:ascii="Book Antiqua" w:eastAsia="Calibri" w:hAnsi="Book Antiqua" w:cs="Arial"/>
          <w:sz w:val="24"/>
          <w:szCs w:val="24"/>
        </w:rPr>
        <w:t>Co</w:t>
      </w:r>
      <w:r w:rsidRPr="000B0740">
        <w:rPr>
          <w:rFonts w:ascii="Book Antiqua" w:eastAsia="Calibri" w:hAnsi="Book Antiqua" w:cs="Arial"/>
          <w:sz w:val="24"/>
          <w:szCs w:val="24"/>
        </w:rPr>
        <w:t>n eses montos indicados el año anterior se estima el presupuesto para DTI:</w:t>
      </w:r>
    </w:p>
    <w:p w14:paraId="45159166" w14:textId="6777E240" w:rsidR="000B0740" w:rsidRDefault="000B0740" w:rsidP="005405C6">
      <w:pPr>
        <w:spacing w:after="0" w:line="240" w:lineRule="auto"/>
        <w:ind w:right="616"/>
        <w:jc w:val="both"/>
        <w:rPr>
          <w:rFonts w:ascii="Book Antiqua" w:eastAsia="Calibri" w:hAnsi="Book Antiqua" w:cs="Arial"/>
          <w:i/>
          <w:iCs/>
        </w:rPr>
      </w:pPr>
    </w:p>
    <w:p w14:paraId="7D2F962D" w14:textId="77777777" w:rsidR="000B0740" w:rsidRDefault="000B0740" w:rsidP="005405C6">
      <w:pPr>
        <w:spacing w:after="0" w:line="240" w:lineRule="auto"/>
        <w:ind w:right="616"/>
        <w:jc w:val="both"/>
        <w:rPr>
          <w:rFonts w:ascii="Book Antiqua" w:eastAsia="Calibri" w:hAnsi="Book Antiqua" w:cs="Arial"/>
          <w:i/>
          <w:iCs/>
        </w:rPr>
      </w:pPr>
    </w:p>
    <w:tbl>
      <w:tblPr>
        <w:tblW w:w="5340" w:type="pct"/>
        <w:tblCellMar>
          <w:left w:w="70" w:type="dxa"/>
          <w:right w:w="70" w:type="dxa"/>
        </w:tblCellMar>
        <w:tblLook w:val="04A0" w:firstRow="1" w:lastRow="0" w:firstColumn="1" w:lastColumn="0" w:noHBand="0" w:noVBand="1"/>
      </w:tblPr>
      <w:tblGrid>
        <w:gridCol w:w="1213"/>
        <w:gridCol w:w="1727"/>
        <w:gridCol w:w="1471"/>
        <w:gridCol w:w="1640"/>
        <w:gridCol w:w="1529"/>
        <w:gridCol w:w="11"/>
        <w:gridCol w:w="1837"/>
      </w:tblGrid>
      <w:tr w:rsidR="00CF0E4E" w:rsidRPr="00030CBA" w14:paraId="5E2CBD2A" w14:textId="77777777" w:rsidTr="009B71C9">
        <w:trPr>
          <w:trHeight w:val="1167"/>
        </w:trPr>
        <w:tc>
          <w:tcPr>
            <w:tcW w:w="643" w:type="pct"/>
            <w:tcBorders>
              <w:top w:val="single" w:sz="4" w:space="0" w:color="auto"/>
              <w:left w:val="single" w:sz="4" w:space="0" w:color="auto"/>
              <w:bottom w:val="single" w:sz="4" w:space="0" w:color="auto"/>
              <w:right w:val="single" w:sz="4" w:space="0" w:color="auto"/>
            </w:tcBorders>
            <w:shd w:val="clear" w:color="000000" w:fill="DDEBF7"/>
            <w:vAlign w:val="center"/>
            <w:hideMark/>
          </w:tcPr>
          <w:p w14:paraId="308F34D8"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lastRenderedPageBreak/>
              <w:t>Cantidad</w:t>
            </w:r>
          </w:p>
        </w:tc>
        <w:tc>
          <w:tcPr>
            <w:tcW w:w="916" w:type="pct"/>
            <w:tcBorders>
              <w:top w:val="single" w:sz="4" w:space="0" w:color="auto"/>
              <w:left w:val="nil"/>
              <w:bottom w:val="single" w:sz="4" w:space="0" w:color="auto"/>
              <w:right w:val="single" w:sz="4" w:space="0" w:color="auto"/>
            </w:tcBorders>
            <w:shd w:val="clear" w:color="000000" w:fill="DDEBF7"/>
            <w:vAlign w:val="center"/>
            <w:hideMark/>
          </w:tcPr>
          <w:p w14:paraId="00EB1E1C"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Costo Licencia puesto no profesional (E0)</w:t>
            </w:r>
          </w:p>
        </w:tc>
        <w:tc>
          <w:tcPr>
            <w:tcW w:w="780" w:type="pct"/>
            <w:tcBorders>
              <w:top w:val="single" w:sz="4" w:space="0" w:color="auto"/>
              <w:left w:val="nil"/>
              <w:bottom w:val="single" w:sz="4" w:space="0" w:color="auto"/>
              <w:right w:val="single" w:sz="4" w:space="0" w:color="auto"/>
            </w:tcBorders>
            <w:shd w:val="clear" w:color="000000" w:fill="DDEBF7"/>
            <w:vAlign w:val="center"/>
            <w:hideMark/>
          </w:tcPr>
          <w:p w14:paraId="56EED144"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Costo equipo puesto no profesional (escritorio)</w:t>
            </w:r>
          </w:p>
        </w:tc>
        <w:tc>
          <w:tcPr>
            <w:tcW w:w="870" w:type="pct"/>
            <w:tcBorders>
              <w:top w:val="single" w:sz="4" w:space="0" w:color="auto"/>
              <w:left w:val="nil"/>
              <w:bottom w:val="single" w:sz="4" w:space="0" w:color="auto"/>
              <w:right w:val="single" w:sz="4" w:space="0" w:color="auto"/>
            </w:tcBorders>
            <w:shd w:val="clear" w:color="000000" w:fill="DDEBF7"/>
            <w:vAlign w:val="center"/>
            <w:hideMark/>
          </w:tcPr>
          <w:p w14:paraId="22DF0748" w14:textId="1AD1A4DF"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Costo Licencia puesto profesional (E03)</w:t>
            </w:r>
          </w:p>
        </w:tc>
        <w:tc>
          <w:tcPr>
            <w:tcW w:w="811" w:type="pct"/>
            <w:tcBorders>
              <w:top w:val="single" w:sz="4" w:space="0" w:color="auto"/>
              <w:left w:val="nil"/>
              <w:bottom w:val="single" w:sz="4" w:space="0" w:color="auto"/>
              <w:right w:val="single" w:sz="4" w:space="0" w:color="auto"/>
            </w:tcBorders>
            <w:shd w:val="clear" w:color="000000" w:fill="DDEBF7"/>
            <w:vAlign w:val="center"/>
            <w:hideMark/>
          </w:tcPr>
          <w:p w14:paraId="61271179" w14:textId="06ED9576"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 xml:space="preserve">Costo equipo portátil puesto profesional </w:t>
            </w:r>
          </w:p>
        </w:tc>
        <w:tc>
          <w:tcPr>
            <w:tcW w:w="980" w:type="pct"/>
            <w:gridSpan w:val="2"/>
            <w:tcBorders>
              <w:top w:val="single" w:sz="4" w:space="0" w:color="auto"/>
              <w:left w:val="nil"/>
              <w:bottom w:val="single" w:sz="4" w:space="0" w:color="auto"/>
              <w:right w:val="single" w:sz="4" w:space="0" w:color="auto"/>
            </w:tcBorders>
            <w:shd w:val="clear" w:color="000000" w:fill="DDEBF7"/>
            <w:vAlign w:val="center"/>
            <w:hideMark/>
          </w:tcPr>
          <w:p w14:paraId="32D63144"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Total</w:t>
            </w:r>
          </w:p>
        </w:tc>
      </w:tr>
      <w:tr w:rsidR="00CF0E4E" w:rsidRPr="00030CBA" w14:paraId="43B4D33F" w14:textId="77777777" w:rsidTr="009B71C9">
        <w:trPr>
          <w:trHeight w:val="260"/>
        </w:trPr>
        <w:tc>
          <w:tcPr>
            <w:tcW w:w="643" w:type="pct"/>
            <w:tcBorders>
              <w:top w:val="nil"/>
              <w:left w:val="single" w:sz="4" w:space="0" w:color="auto"/>
              <w:bottom w:val="single" w:sz="4" w:space="0" w:color="auto"/>
              <w:right w:val="single" w:sz="4" w:space="0" w:color="auto"/>
            </w:tcBorders>
            <w:shd w:val="clear" w:color="auto" w:fill="auto"/>
            <w:vAlign w:val="center"/>
            <w:hideMark/>
          </w:tcPr>
          <w:p w14:paraId="7561EEB0" w14:textId="6BD672B9" w:rsidR="00030CBA" w:rsidRPr="00030CBA" w:rsidRDefault="00030CBA" w:rsidP="00030CBA">
            <w:pPr>
              <w:spacing w:after="0" w:line="240" w:lineRule="auto"/>
              <w:jc w:val="center"/>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11</w:t>
            </w:r>
            <w:r>
              <w:rPr>
                <w:rStyle w:val="Refdenotaalpie"/>
                <w:rFonts w:ascii="Book Antiqua" w:eastAsia="Times New Roman" w:hAnsi="Book Antiqua" w:cs="Calibri"/>
                <w:color w:val="000000"/>
                <w:sz w:val="20"/>
                <w:szCs w:val="20"/>
                <w:lang w:eastAsia="es-CR"/>
              </w:rPr>
              <w:footnoteReference w:id="16"/>
            </w:r>
          </w:p>
        </w:tc>
        <w:tc>
          <w:tcPr>
            <w:tcW w:w="916" w:type="pct"/>
            <w:tcBorders>
              <w:top w:val="nil"/>
              <w:left w:val="nil"/>
              <w:bottom w:val="single" w:sz="4" w:space="0" w:color="auto"/>
              <w:right w:val="single" w:sz="4" w:space="0" w:color="auto"/>
            </w:tcBorders>
            <w:shd w:val="clear" w:color="auto" w:fill="auto"/>
            <w:vAlign w:val="center"/>
            <w:hideMark/>
          </w:tcPr>
          <w:p w14:paraId="490ECE7F" w14:textId="193BB8BF" w:rsidR="00030CBA" w:rsidRPr="00030CBA" w:rsidRDefault="00030CBA" w:rsidP="00030CBA">
            <w:pPr>
              <w:spacing w:after="0" w:line="240" w:lineRule="auto"/>
              <w:jc w:val="center"/>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26 784,0 </w:t>
            </w:r>
          </w:p>
        </w:tc>
        <w:tc>
          <w:tcPr>
            <w:tcW w:w="780" w:type="pct"/>
            <w:tcBorders>
              <w:top w:val="nil"/>
              <w:left w:val="nil"/>
              <w:bottom w:val="single" w:sz="4" w:space="0" w:color="auto"/>
              <w:right w:val="single" w:sz="4" w:space="0" w:color="auto"/>
            </w:tcBorders>
            <w:shd w:val="clear" w:color="auto" w:fill="auto"/>
            <w:vAlign w:val="center"/>
            <w:hideMark/>
          </w:tcPr>
          <w:p w14:paraId="5814C204" w14:textId="232B3DF9" w:rsidR="00030CBA" w:rsidRPr="00030CBA" w:rsidRDefault="00030CBA" w:rsidP="00030CBA">
            <w:pPr>
              <w:spacing w:after="0" w:line="240" w:lineRule="auto"/>
              <w:jc w:val="center"/>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618 687,8 </w:t>
            </w:r>
          </w:p>
        </w:tc>
        <w:tc>
          <w:tcPr>
            <w:tcW w:w="870" w:type="pct"/>
            <w:tcBorders>
              <w:top w:val="nil"/>
              <w:left w:val="nil"/>
              <w:bottom w:val="single" w:sz="4" w:space="0" w:color="auto"/>
              <w:right w:val="single" w:sz="4" w:space="0" w:color="auto"/>
            </w:tcBorders>
            <w:shd w:val="clear" w:color="auto" w:fill="auto"/>
            <w:vAlign w:val="center"/>
            <w:hideMark/>
          </w:tcPr>
          <w:p w14:paraId="2F63F22A"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w:t>
            </w:r>
          </w:p>
        </w:tc>
        <w:tc>
          <w:tcPr>
            <w:tcW w:w="811" w:type="pct"/>
            <w:tcBorders>
              <w:top w:val="nil"/>
              <w:left w:val="nil"/>
              <w:bottom w:val="single" w:sz="4" w:space="0" w:color="auto"/>
              <w:right w:val="single" w:sz="4" w:space="0" w:color="auto"/>
            </w:tcBorders>
            <w:shd w:val="clear" w:color="auto" w:fill="auto"/>
            <w:vAlign w:val="center"/>
            <w:hideMark/>
          </w:tcPr>
          <w:p w14:paraId="284DFF83"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w:t>
            </w:r>
          </w:p>
        </w:tc>
        <w:tc>
          <w:tcPr>
            <w:tcW w:w="980" w:type="pct"/>
            <w:gridSpan w:val="2"/>
            <w:tcBorders>
              <w:top w:val="nil"/>
              <w:left w:val="nil"/>
              <w:bottom w:val="single" w:sz="4" w:space="0" w:color="auto"/>
              <w:right w:val="single" w:sz="4" w:space="0" w:color="auto"/>
            </w:tcBorders>
            <w:shd w:val="clear" w:color="auto" w:fill="auto"/>
            <w:vAlign w:val="center"/>
            <w:hideMark/>
          </w:tcPr>
          <w:p w14:paraId="53501EA7"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7 100 189,8 </w:t>
            </w:r>
          </w:p>
        </w:tc>
      </w:tr>
      <w:tr w:rsidR="00CF0E4E" w:rsidRPr="00030CBA" w14:paraId="1C6F6900" w14:textId="77777777" w:rsidTr="009B71C9">
        <w:trPr>
          <w:trHeight w:val="260"/>
        </w:trPr>
        <w:tc>
          <w:tcPr>
            <w:tcW w:w="643" w:type="pct"/>
            <w:tcBorders>
              <w:top w:val="nil"/>
              <w:left w:val="single" w:sz="4" w:space="0" w:color="auto"/>
              <w:bottom w:val="single" w:sz="4" w:space="0" w:color="auto"/>
              <w:right w:val="single" w:sz="4" w:space="0" w:color="auto"/>
            </w:tcBorders>
            <w:shd w:val="clear" w:color="auto" w:fill="auto"/>
            <w:vAlign w:val="center"/>
            <w:hideMark/>
          </w:tcPr>
          <w:p w14:paraId="0B18E4EB" w14:textId="757737D5" w:rsidR="00030CBA" w:rsidRPr="00030CBA" w:rsidRDefault="00030CBA" w:rsidP="00030CBA">
            <w:pPr>
              <w:spacing w:after="0" w:line="240" w:lineRule="auto"/>
              <w:jc w:val="center"/>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15</w:t>
            </w:r>
            <w:r>
              <w:rPr>
                <w:rStyle w:val="Refdenotaalpie"/>
                <w:rFonts w:ascii="Book Antiqua" w:eastAsia="Times New Roman" w:hAnsi="Book Antiqua" w:cs="Calibri"/>
                <w:color w:val="000000"/>
                <w:sz w:val="20"/>
                <w:szCs w:val="20"/>
                <w:lang w:eastAsia="es-CR"/>
              </w:rPr>
              <w:footnoteReference w:id="17"/>
            </w:r>
          </w:p>
        </w:tc>
        <w:tc>
          <w:tcPr>
            <w:tcW w:w="916" w:type="pct"/>
            <w:tcBorders>
              <w:top w:val="nil"/>
              <w:left w:val="nil"/>
              <w:bottom w:val="single" w:sz="4" w:space="0" w:color="auto"/>
              <w:right w:val="single" w:sz="4" w:space="0" w:color="auto"/>
            </w:tcBorders>
            <w:shd w:val="clear" w:color="auto" w:fill="auto"/>
            <w:vAlign w:val="center"/>
            <w:hideMark/>
          </w:tcPr>
          <w:p w14:paraId="5512B45B"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w:t>
            </w:r>
          </w:p>
        </w:tc>
        <w:tc>
          <w:tcPr>
            <w:tcW w:w="780" w:type="pct"/>
            <w:tcBorders>
              <w:top w:val="nil"/>
              <w:left w:val="nil"/>
              <w:bottom w:val="single" w:sz="4" w:space="0" w:color="auto"/>
              <w:right w:val="single" w:sz="4" w:space="0" w:color="auto"/>
            </w:tcBorders>
            <w:shd w:val="clear" w:color="auto" w:fill="auto"/>
            <w:vAlign w:val="center"/>
            <w:hideMark/>
          </w:tcPr>
          <w:p w14:paraId="499DEE9C"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w:t>
            </w:r>
          </w:p>
        </w:tc>
        <w:tc>
          <w:tcPr>
            <w:tcW w:w="870" w:type="pct"/>
            <w:tcBorders>
              <w:top w:val="nil"/>
              <w:left w:val="nil"/>
              <w:bottom w:val="single" w:sz="4" w:space="0" w:color="auto"/>
              <w:right w:val="single" w:sz="4" w:space="0" w:color="auto"/>
            </w:tcBorders>
            <w:shd w:val="clear" w:color="auto" w:fill="auto"/>
            <w:vAlign w:val="center"/>
            <w:hideMark/>
          </w:tcPr>
          <w:p w14:paraId="4AD7B18F"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134 137,0 </w:t>
            </w:r>
          </w:p>
        </w:tc>
        <w:tc>
          <w:tcPr>
            <w:tcW w:w="811" w:type="pct"/>
            <w:tcBorders>
              <w:top w:val="nil"/>
              <w:left w:val="nil"/>
              <w:bottom w:val="single" w:sz="4" w:space="0" w:color="auto"/>
              <w:right w:val="single" w:sz="4" w:space="0" w:color="auto"/>
            </w:tcBorders>
            <w:shd w:val="clear" w:color="auto" w:fill="auto"/>
            <w:vAlign w:val="center"/>
            <w:hideMark/>
          </w:tcPr>
          <w:p w14:paraId="4FC3A173" w14:textId="4CF530FA"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913 053,8 </w:t>
            </w:r>
          </w:p>
        </w:tc>
        <w:tc>
          <w:tcPr>
            <w:tcW w:w="980" w:type="pct"/>
            <w:gridSpan w:val="2"/>
            <w:tcBorders>
              <w:top w:val="nil"/>
              <w:left w:val="nil"/>
              <w:bottom w:val="single" w:sz="4" w:space="0" w:color="auto"/>
              <w:right w:val="single" w:sz="4" w:space="0" w:color="auto"/>
            </w:tcBorders>
            <w:shd w:val="clear" w:color="auto" w:fill="auto"/>
            <w:vAlign w:val="center"/>
            <w:hideMark/>
          </w:tcPr>
          <w:p w14:paraId="1F15A533"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15 707 862,0 </w:t>
            </w:r>
          </w:p>
        </w:tc>
      </w:tr>
      <w:tr w:rsidR="00CF0E4E" w:rsidRPr="00030CBA" w14:paraId="0D7F3734" w14:textId="77777777" w:rsidTr="00CF0E4E">
        <w:trPr>
          <w:trHeight w:val="260"/>
        </w:trPr>
        <w:tc>
          <w:tcPr>
            <w:tcW w:w="4026"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91BE5CF" w14:textId="77777777" w:rsidR="00030CBA" w:rsidRPr="00030CBA" w:rsidRDefault="00030CBA" w:rsidP="00030CBA">
            <w:pPr>
              <w:spacing w:after="0" w:line="240" w:lineRule="auto"/>
              <w:jc w:val="center"/>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Costo de construcción sitio web </w:t>
            </w:r>
          </w:p>
        </w:tc>
        <w:tc>
          <w:tcPr>
            <w:tcW w:w="974" w:type="pct"/>
            <w:tcBorders>
              <w:top w:val="nil"/>
              <w:left w:val="nil"/>
              <w:bottom w:val="single" w:sz="4" w:space="0" w:color="auto"/>
              <w:right w:val="single" w:sz="4" w:space="0" w:color="auto"/>
            </w:tcBorders>
            <w:shd w:val="clear" w:color="auto" w:fill="auto"/>
            <w:vAlign w:val="center"/>
            <w:hideMark/>
          </w:tcPr>
          <w:p w14:paraId="3E4C3AF9" w14:textId="77777777" w:rsidR="00030CBA" w:rsidRPr="00030CBA" w:rsidRDefault="00030CBA" w:rsidP="00030CBA">
            <w:pPr>
              <w:spacing w:after="0" w:line="240" w:lineRule="auto"/>
              <w:rPr>
                <w:rFonts w:ascii="Book Antiqua" w:eastAsia="Times New Roman" w:hAnsi="Book Antiqua" w:cs="Calibri"/>
                <w:color w:val="000000"/>
                <w:sz w:val="20"/>
                <w:szCs w:val="20"/>
                <w:lang w:eastAsia="es-CR"/>
              </w:rPr>
            </w:pPr>
            <w:r w:rsidRPr="00030CBA">
              <w:rPr>
                <w:rFonts w:ascii="Book Antiqua" w:eastAsia="Times New Roman" w:hAnsi="Book Antiqua" w:cs="Calibri"/>
                <w:color w:val="000000"/>
                <w:sz w:val="20"/>
                <w:szCs w:val="20"/>
                <w:lang w:eastAsia="es-CR"/>
              </w:rPr>
              <w:t xml:space="preserve"> </w:t>
            </w:r>
            <w:r w:rsidRPr="00030CBA">
              <w:rPr>
                <w:rFonts w:ascii="Times New Roman" w:eastAsia="Times New Roman" w:hAnsi="Times New Roman" w:cs="Times New Roman"/>
                <w:color w:val="000000"/>
                <w:sz w:val="20"/>
                <w:szCs w:val="20"/>
                <w:lang w:eastAsia="es-CR"/>
              </w:rPr>
              <w:t>₡</w:t>
            </w:r>
            <w:r w:rsidRPr="00030CBA">
              <w:rPr>
                <w:rFonts w:ascii="Book Antiqua" w:eastAsia="Times New Roman" w:hAnsi="Book Antiqua" w:cs="Calibri"/>
                <w:color w:val="000000"/>
                <w:sz w:val="20"/>
                <w:szCs w:val="20"/>
                <w:lang w:eastAsia="es-CR"/>
              </w:rPr>
              <w:t xml:space="preserve">     15 000 000,0 </w:t>
            </w:r>
          </w:p>
        </w:tc>
      </w:tr>
      <w:tr w:rsidR="00CF0E4E" w:rsidRPr="00030CBA" w14:paraId="63237B4B" w14:textId="77777777" w:rsidTr="00CF0E4E">
        <w:trPr>
          <w:trHeight w:val="260"/>
        </w:trPr>
        <w:tc>
          <w:tcPr>
            <w:tcW w:w="4026" w:type="pct"/>
            <w:gridSpan w:val="6"/>
            <w:tcBorders>
              <w:top w:val="single" w:sz="4" w:space="0" w:color="auto"/>
              <w:left w:val="single" w:sz="4" w:space="0" w:color="auto"/>
              <w:bottom w:val="single" w:sz="4" w:space="0" w:color="auto"/>
              <w:right w:val="single" w:sz="4" w:space="0" w:color="auto"/>
            </w:tcBorders>
            <w:shd w:val="clear" w:color="000000" w:fill="DDEBF7"/>
            <w:vAlign w:val="center"/>
            <w:hideMark/>
          </w:tcPr>
          <w:p w14:paraId="64758A13" w14:textId="77777777" w:rsidR="00030CBA" w:rsidRPr="00030CBA" w:rsidRDefault="00030CBA" w:rsidP="00030CBA">
            <w:pPr>
              <w:spacing w:after="0" w:line="240" w:lineRule="auto"/>
              <w:jc w:val="center"/>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Total</w:t>
            </w:r>
          </w:p>
        </w:tc>
        <w:tc>
          <w:tcPr>
            <w:tcW w:w="974" w:type="pct"/>
            <w:tcBorders>
              <w:top w:val="nil"/>
              <w:left w:val="nil"/>
              <w:bottom w:val="single" w:sz="4" w:space="0" w:color="auto"/>
              <w:right w:val="single" w:sz="4" w:space="0" w:color="auto"/>
            </w:tcBorders>
            <w:shd w:val="clear" w:color="000000" w:fill="DDEBF7"/>
            <w:vAlign w:val="center"/>
            <w:hideMark/>
          </w:tcPr>
          <w:p w14:paraId="0C3EDFFC" w14:textId="7564D782" w:rsidR="00030CBA" w:rsidRPr="00030CBA" w:rsidRDefault="00030CBA" w:rsidP="00030CBA">
            <w:pPr>
              <w:spacing w:after="0" w:line="240" w:lineRule="auto"/>
              <w:rPr>
                <w:rFonts w:ascii="Book Antiqua" w:eastAsia="Times New Roman" w:hAnsi="Book Antiqua" w:cs="Calibri"/>
                <w:b/>
                <w:bCs/>
                <w:color w:val="000000"/>
                <w:sz w:val="20"/>
                <w:szCs w:val="20"/>
                <w:lang w:eastAsia="es-CR"/>
              </w:rPr>
            </w:pPr>
            <w:r w:rsidRPr="00030CBA">
              <w:rPr>
                <w:rFonts w:ascii="Book Antiqua" w:eastAsia="Times New Roman" w:hAnsi="Book Antiqua" w:cs="Calibri"/>
                <w:b/>
                <w:bCs/>
                <w:color w:val="000000"/>
                <w:sz w:val="20"/>
                <w:szCs w:val="20"/>
                <w:lang w:eastAsia="es-CR"/>
              </w:rPr>
              <w:t xml:space="preserve"> </w:t>
            </w:r>
            <w:r w:rsidRPr="00030CBA">
              <w:rPr>
                <w:rFonts w:ascii="Times New Roman" w:eastAsia="Times New Roman" w:hAnsi="Times New Roman" w:cs="Times New Roman"/>
                <w:b/>
                <w:bCs/>
                <w:color w:val="000000"/>
                <w:sz w:val="20"/>
                <w:szCs w:val="20"/>
                <w:lang w:eastAsia="es-CR"/>
              </w:rPr>
              <w:t>₡</w:t>
            </w:r>
            <w:r w:rsidRPr="00030CBA">
              <w:rPr>
                <w:rFonts w:ascii="Book Antiqua" w:eastAsia="Times New Roman" w:hAnsi="Book Antiqua" w:cs="Calibri"/>
                <w:b/>
                <w:bCs/>
                <w:color w:val="000000"/>
                <w:sz w:val="20"/>
                <w:szCs w:val="20"/>
                <w:lang w:eastAsia="es-CR"/>
              </w:rPr>
              <w:t xml:space="preserve">    37 808 052</w:t>
            </w:r>
            <w:r w:rsidR="00CF0E4E">
              <w:rPr>
                <w:rFonts w:ascii="Book Antiqua" w:eastAsia="Times New Roman" w:hAnsi="Book Antiqua" w:cs="Calibri"/>
                <w:b/>
                <w:bCs/>
                <w:color w:val="000000"/>
                <w:sz w:val="20"/>
                <w:szCs w:val="20"/>
                <w:lang w:eastAsia="es-CR"/>
              </w:rPr>
              <w:t>,80</w:t>
            </w:r>
            <w:r w:rsidRPr="00030CBA">
              <w:rPr>
                <w:rFonts w:ascii="Book Antiqua" w:eastAsia="Times New Roman" w:hAnsi="Book Antiqua" w:cs="Calibri"/>
                <w:b/>
                <w:bCs/>
                <w:color w:val="000000"/>
                <w:sz w:val="20"/>
                <w:szCs w:val="20"/>
                <w:lang w:eastAsia="es-CR"/>
              </w:rPr>
              <w:t xml:space="preserve"> </w:t>
            </w:r>
          </w:p>
        </w:tc>
      </w:tr>
    </w:tbl>
    <w:p w14:paraId="775AFACF" w14:textId="7854D633" w:rsidR="000B0740" w:rsidRDefault="000B0740" w:rsidP="005405C6">
      <w:pPr>
        <w:spacing w:after="0" w:line="240" w:lineRule="auto"/>
        <w:ind w:right="616"/>
        <w:jc w:val="both"/>
        <w:rPr>
          <w:rFonts w:ascii="Book Antiqua" w:eastAsia="Calibri" w:hAnsi="Book Antiqua" w:cs="Arial"/>
          <w:i/>
          <w:iCs/>
        </w:rPr>
      </w:pPr>
    </w:p>
    <w:p w14:paraId="69AA5E3B" w14:textId="77777777" w:rsidR="000B0740" w:rsidRDefault="000B0740" w:rsidP="005405C6">
      <w:pPr>
        <w:spacing w:after="0" w:line="240" w:lineRule="auto"/>
        <w:ind w:right="616"/>
        <w:jc w:val="both"/>
        <w:rPr>
          <w:rFonts w:ascii="Book Antiqua" w:eastAsia="Calibri" w:hAnsi="Book Antiqua" w:cs="Arial"/>
          <w:i/>
          <w:iCs/>
        </w:rPr>
      </w:pPr>
    </w:p>
    <w:p w14:paraId="52155072" w14:textId="77777777" w:rsidR="005405C6" w:rsidRPr="007442EC" w:rsidRDefault="005405C6" w:rsidP="005405C6">
      <w:pPr>
        <w:spacing w:after="0" w:line="240" w:lineRule="auto"/>
        <w:ind w:right="616"/>
        <w:jc w:val="both"/>
        <w:rPr>
          <w:rFonts w:ascii="Book Antiqua" w:eastAsia="Calibri" w:hAnsi="Book Antiqua" w:cs="Arial"/>
          <w:i/>
          <w:iCs/>
        </w:rPr>
      </w:pPr>
    </w:p>
    <w:p w14:paraId="5C95A250" w14:textId="0AFE703A" w:rsidR="008051A1" w:rsidRPr="00AA01E7" w:rsidRDefault="007442EC"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Dirección de Gestión Humana</w:t>
      </w:r>
    </w:p>
    <w:p w14:paraId="4390A923" w14:textId="77777777" w:rsidR="00AA01E7" w:rsidRDefault="00AA01E7" w:rsidP="007442EC">
      <w:pPr>
        <w:spacing w:after="0" w:line="276" w:lineRule="auto"/>
        <w:jc w:val="both"/>
        <w:rPr>
          <w:rFonts w:ascii="Book Antiqua" w:eastAsia="Calibri" w:hAnsi="Book Antiqua" w:cs="Arial"/>
          <w:sz w:val="24"/>
          <w:szCs w:val="24"/>
        </w:rPr>
      </w:pPr>
    </w:p>
    <w:p w14:paraId="43ADD82F" w14:textId="27B41B86" w:rsidR="007442EC" w:rsidRDefault="007442EC" w:rsidP="007442EC">
      <w:pPr>
        <w:spacing w:after="0" w:line="276" w:lineRule="auto"/>
        <w:jc w:val="both"/>
        <w:rPr>
          <w:rFonts w:ascii="Book Antiqua" w:eastAsia="Calibri" w:hAnsi="Book Antiqua" w:cs="Arial"/>
          <w:sz w:val="24"/>
          <w:szCs w:val="24"/>
        </w:rPr>
      </w:pPr>
      <w:r w:rsidRPr="007442EC">
        <w:rPr>
          <w:rFonts w:ascii="Book Antiqua" w:eastAsia="Calibri" w:hAnsi="Book Antiqua" w:cs="Arial"/>
          <w:sz w:val="24"/>
          <w:szCs w:val="24"/>
        </w:rPr>
        <w:t>Para 202</w:t>
      </w:r>
      <w:r w:rsidR="00EB1C02">
        <w:rPr>
          <w:rFonts w:ascii="Book Antiqua" w:eastAsia="Calibri" w:hAnsi="Book Antiqua" w:cs="Arial"/>
          <w:sz w:val="24"/>
          <w:szCs w:val="24"/>
        </w:rPr>
        <w:t>3</w:t>
      </w:r>
      <w:r w:rsidRPr="007442EC">
        <w:rPr>
          <w:rFonts w:ascii="Book Antiqua" w:eastAsia="Calibri" w:hAnsi="Book Antiqua" w:cs="Arial"/>
          <w:sz w:val="24"/>
          <w:szCs w:val="24"/>
        </w:rPr>
        <w:t xml:space="preserve"> esta dependencia no formuló presupuesto para la reforma al Código de Familia, </w:t>
      </w:r>
      <w:r w:rsidR="00EB1C02">
        <w:rPr>
          <w:rFonts w:ascii="Book Antiqua" w:eastAsia="Calibri" w:hAnsi="Book Antiqua" w:cs="Arial"/>
          <w:sz w:val="24"/>
          <w:szCs w:val="24"/>
        </w:rPr>
        <w:t>según lo indicado mediante correo electrónico del 7 de marzo de 2022, por el señor David Madrigal Robles, Coordinador de Unidad 4 de la Unidad de Presupuesto y Estudios Especiales de la Dirección de Gestión Humana</w:t>
      </w:r>
      <w:r w:rsidR="00F22E43">
        <w:rPr>
          <w:rFonts w:ascii="Book Antiqua" w:eastAsia="Calibri" w:hAnsi="Book Antiqua" w:cs="Arial"/>
          <w:sz w:val="24"/>
          <w:szCs w:val="24"/>
        </w:rPr>
        <w:t xml:space="preserve"> (anexo </w:t>
      </w:r>
      <w:r w:rsidR="00F22E43" w:rsidRPr="00E4418B">
        <w:rPr>
          <w:rFonts w:ascii="Book Antiqua" w:eastAsia="Calibri" w:hAnsi="Book Antiqua" w:cs="Arial"/>
          <w:sz w:val="24"/>
          <w:szCs w:val="24"/>
        </w:rPr>
        <w:t>2</w:t>
      </w:r>
      <w:r w:rsidR="003244E0">
        <w:rPr>
          <w:rFonts w:ascii="Book Antiqua" w:eastAsia="Calibri" w:hAnsi="Book Antiqua" w:cs="Arial"/>
          <w:sz w:val="24"/>
          <w:szCs w:val="24"/>
        </w:rPr>
        <w:t>4</w:t>
      </w:r>
      <w:r w:rsidR="00F22E43">
        <w:rPr>
          <w:rFonts w:ascii="Book Antiqua" w:eastAsia="Calibri" w:hAnsi="Book Antiqua" w:cs="Arial"/>
          <w:sz w:val="24"/>
          <w:szCs w:val="24"/>
        </w:rPr>
        <w:t>)</w:t>
      </w:r>
      <w:r w:rsidR="00EB1C02">
        <w:rPr>
          <w:rFonts w:ascii="Book Antiqua" w:eastAsia="Calibri" w:hAnsi="Book Antiqua" w:cs="Arial"/>
          <w:sz w:val="24"/>
          <w:szCs w:val="24"/>
        </w:rPr>
        <w:t xml:space="preserve">, </w:t>
      </w:r>
      <w:r w:rsidRPr="007442EC">
        <w:rPr>
          <w:rFonts w:ascii="Book Antiqua" w:eastAsia="Calibri" w:hAnsi="Book Antiqua" w:cs="Arial"/>
          <w:sz w:val="24"/>
          <w:szCs w:val="24"/>
        </w:rPr>
        <w:t>por lo que se mantiene así para 202</w:t>
      </w:r>
      <w:r w:rsidR="00EB1C02">
        <w:rPr>
          <w:rFonts w:ascii="Book Antiqua" w:eastAsia="Calibri" w:hAnsi="Book Antiqua" w:cs="Arial"/>
          <w:sz w:val="24"/>
          <w:szCs w:val="24"/>
        </w:rPr>
        <w:t>3</w:t>
      </w:r>
      <w:r w:rsidRPr="007442EC">
        <w:rPr>
          <w:rFonts w:ascii="Book Antiqua" w:eastAsia="Calibri" w:hAnsi="Book Antiqua" w:cs="Arial"/>
          <w:sz w:val="24"/>
          <w:szCs w:val="24"/>
        </w:rPr>
        <w:t xml:space="preserve">, y las acciones necesarias para la realización del entregable </w:t>
      </w:r>
      <w:r w:rsidRPr="007442EC">
        <w:rPr>
          <w:rFonts w:ascii="Book Antiqua" w:eastAsia="Calibri" w:hAnsi="Book Antiqua" w:cs="Arial"/>
          <w:i/>
          <w:iCs/>
          <w:sz w:val="24"/>
          <w:szCs w:val="24"/>
        </w:rPr>
        <w:t>“3.10. Informe de readecuación perfiles y gestión del cambio y evaluación DGH”</w:t>
      </w:r>
      <w:r w:rsidRPr="007442EC">
        <w:rPr>
          <w:rFonts w:ascii="Book Antiqua" w:eastAsia="Calibri" w:hAnsi="Book Antiqua" w:cs="Arial"/>
          <w:sz w:val="24"/>
          <w:szCs w:val="24"/>
        </w:rPr>
        <w:t xml:space="preserve"> </w:t>
      </w:r>
      <w:r w:rsidR="00447B31">
        <w:rPr>
          <w:rFonts w:ascii="Book Antiqua" w:eastAsia="Calibri" w:hAnsi="Book Antiqua" w:cs="Arial"/>
          <w:sz w:val="24"/>
          <w:szCs w:val="24"/>
        </w:rPr>
        <w:t>serán asumidos</w:t>
      </w:r>
      <w:r w:rsidRPr="007442EC">
        <w:rPr>
          <w:rFonts w:ascii="Book Antiqua" w:eastAsia="Calibri" w:hAnsi="Book Antiqua" w:cs="Arial"/>
          <w:sz w:val="24"/>
          <w:szCs w:val="24"/>
        </w:rPr>
        <w:t xml:space="preserve"> con recursos propios-ordinarios en coordinación con la Gestoría como hasta la fecha. </w:t>
      </w:r>
    </w:p>
    <w:p w14:paraId="3069C13E" w14:textId="77777777" w:rsidR="00302EC3" w:rsidRPr="007442EC" w:rsidRDefault="00302EC3" w:rsidP="007442EC">
      <w:pPr>
        <w:spacing w:after="0" w:line="276" w:lineRule="auto"/>
        <w:jc w:val="both"/>
        <w:rPr>
          <w:rFonts w:ascii="Book Antiqua" w:eastAsia="Calibri" w:hAnsi="Book Antiqua" w:cs="Arial"/>
          <w:sz w:val="24"/>
          <w:szCs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3557"/>
        <w:gridCol w:w="1067"/>
        <w:gridCol w:w="1337"/>
        <w:gridCol w:w="1246"/>
        <w:gridCol w:w="1621"/>
      </w:tblGrid>
      <w:tr w:rsidR="00302EC3" w:rsidRPr="00302EC3" w14:paraId="71936082"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48FE326"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Nombre de tarea</w:t>
            </w:r>
          </w:p>
        </w:tc>
        <w:tc>
          <w:tcPr>
            <w:tcW w:w="130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F0A02DE"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Duración</w:t>
            </w:r>
          </w:p>
        </w:tc>
        <w:tc>
          <w:tcPr>
            <w:tcW w:w="1661"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E1CE53A"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Comienzo</w:t>
            </w:r>
          </w:p>
        </w:tc>
        <w:tc>
          <w:tcPr>
            <w:tcW w:w="15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592AF18"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Fin</w:t>
            </w:r>
          </w:p>
        </w:tc>
        <w:tc>
          <w:tcPr>
            <w:tcW w:w="208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754216E" w14:textId="77777777" w:rsidR="00302EC3" w:rsidRPr="00302EC3" w:rsidRDefault="00302EC3" w:rsidP="00302EC3">
            <w:pPr>
              <w:spacing w:after="0" w:line="240" w:lineRule="auto"/>
              <w:rPr>
                <w:rFonts w:ascii="Segoe UI" w:eastAsia="Times New Roman" w:hAnsi="Segoe UI" w:cs="Segoe UI"/>
                <w:sz w:val="18"/>
                <w:szCs w:val="18"/>
                <w:lang w:eastAsia="es-CR"/>
              </w:rPr>
            </w:pPr>
            <w:r w:rsidRPr="00302EC3">
              <w:rPr>
                <w:rFonts w:ascii="Segoe UI" w:eastAsia="Times New Roman" w:hAnsi="Segoe UI" w:cs="Segoe UI"/>
                <w:color w:val="363636"/>
                <w:sz w:val="18"/>
                <w:szCs w:val="18"/>
                <w:shd w:val="clear" w:color="auto" w:fill="DFE3E8"/>
                <w:lang w:eastAsia="es-CR"/>
              </w:rPr>
              <w:t>% completado</w:t>
            </w:r>
          </w:p>
        </w:tc>
      </w:tr>
      <w:tr w:rsidR="00302EC3" w:rsidRPr="00302EC3" w14:paraId="6A4067B6"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EA5CA1"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3.10. Informe de readecuación perfiles y gestión del cambio y evaluación DGH</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F05AA3"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D20A5D"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E461E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8BFB9C"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b/>
                <w:bCs/>
                <w:color w:val="000000"/>
                <w:lang w:eastAsia="es-CR"/>
              </w:rPr>
              <w:t>47%</w:t>
            </w:r>
          </w:p>
        </w:tc>
      </w:tr>
      <w:tr w:rsidR="00302EC3" w:rsidRPr="00302EC3" w14:paraId="0CF4C256"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D79B5E"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Diseño de Perfiles </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702E5B"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AF1E4C"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29F6CA"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ED9187"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60%</w:t>
            </w:r>
          </w:p>
        </w:tc>
      </w:tr>
      <w:tr w:rsidR="00302EC3" w:rsidRPr="00302EC3" w14:paraId="0228183F"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D00C00"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Preparación para el cambio</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691CA9"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100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7D763B"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13/04/20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2D926C"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31/08/20</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56FCAB"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100%</w:t>
            </w:r>
          </w:p>
        </w:tc>
      </w:tr>
      <w:tr w:rsidR="00302EC3" w:rsidRPr="00302EC3" w14:paraId="1413141E"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36E08F"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Abordaje de Ambiente Laboral</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51A637"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90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627BC6"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mar 01/09/20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33351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vie 22/01/21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87BAB9"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0%</w:t>
            </w:r>
          </w:p>
        </w:tc>
      </w:tr>
      <w:tr w:rsidR="00302EC3" w:rsidRPr="00302EC3" w14:paraId="56B5C382"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F76C4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Elaboración de nuevos contenidos e ítems de examen de judicatura</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01040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F03870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jue 01/10/20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5F401B"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01/03/21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2B004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0%</w:t>
            </w:r>
          </w:p>
        </w:tc>
      </w:tr>
      <w:tr w:rsidR="00302EC3" w:rsidRPr="00302EC3" w14:paraId="018A6D66" w14:textId="77777777" w:rsidTr="00306313">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1A42C6"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 xml:space="preserve">   Capacitación Virtual (Capacítate)</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8052AA"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F00818"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lun 24/08/20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734D5F"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jue 21/01/21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6C0862" w14:textId="77777777" w:rsidR="00302EC3" w:rsidRPr="00302EC3" w:rsidRDefault="00302EC3" w:rsidP="00302EC3">
            <w:pPr>
              <w:spacing w:after="0" w:line="240" w:lineRule="auto"/>
              <w:rPr>
                <w:rFonts w:ascii="Calibri" w:eastAsia="Times New Roman" w:hAnsi="Calibri" w:cs="Times New Roman"/>
                <w:lang w:eastAsia="es-CR"/>
              </w:rPr>
            </w:pPr>
            <w:r w:rsidRPr="00302EC3">
              <w:rPr>
                <w:rFonts w:ascii="Calibri" w:eastAsia="Times New Roman" w:hAnsi="Calibri" w:cs="Times New Roman"/>
                <w:color w:val="000000"/>
                <w:lang w:eastAsia="es-CR"/>
              </w:rPr>
              <w:t>28%</w:t>
            </w:r>
          </w:p>
        </w:tc>
      </w:tr>
    </w:tbl>
    <w:p w14:paraId="1E5269B0" w14:textId="1E38AD00" w:rsidR="007442EC" w:rsidRDefault="007442EC" w:rsidP="009E73B0">
      <w:pPr>
        <w:pStyle w:val="Ttulo"/>
        <w:spacing w:line="276" w:lineRule="auto"/>
        <w:jc w:val="left"/>
        <w:rPr>
          <w:szCs w:val="24"/>
          <w:lang w:val="es-CR"/>
        </w:rPr>
      </w:pPr>
    </w:p>
    <w:p w14:paraId="2E7EF804" w14:textId="20FE1181" w:rsidR="008051A1" w:rsidRPr="00AA01E7" w:rsidRDefault="0018633E"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lastRenderedPageBreak/>
        <w:t>Dirección de Planificación</w:t>
      </w:r>
    </w:p>
    <w:p w14:paraId="624DE13F" w14:textId="77777777" w:rsidR="00AA01E7" w:rsidRDefault="00AA01E7" w:rsidP="0018633E">
      <w:pPr>
        <w:spacing w:after="0" w:line="276" w:lineRule="auto"/>
        <w:jc w:val="both"/>
        <w:rPr>
          <w:rFonts w:ascii="Book Antiqua" w:eastAsia="Calibri" w:hAnsi="Book Antiqua" w:cs="Arial"/>
          <w:sz w:val="24"/>
          <w:szCs w:val="24"/>
        </w:rPr>
      </w:pPr>
    </w:p>
    <w:p w14:paraId="54ED2713" w14:textId="4DF24500" w:rsidR="0018633E" w:rsidRP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t>La Auditoría Judicial mediante informe 60-08-SAO-2017, destaca en la recomendación 4.1. la siguiente solicitud a la Dirección de Planificación:</w:t>
      </w:r>
    </w:p>
    <w:p w14:paraId="2900F605" w14:textId="77777777" w:rsidR="0018633E" w:rsidRPr="0018633E" w:rsidRDefault="0018633E" w:rsidP="0018633E">
      <w:pPr>
        <w:spacing w:after="0" w:line="276" w:lineRule="auto"/>
        <w:jc w:val="both"/>
        <w:rPr>
          <w:rFonts w:ascii="Book Antiqua" w:eastAsia="Calibri" w:hAnsi="Book Antiqua" w:cs="Arial"/>
          <w:sz w:val="24"/>
          <w:szCs w:val="24"/>
        </w:rPr>
      </w:pPr>
    </w:p>
    <w:p w14:paraId="24EAE9CC" w14:textId="77777777" w:rsidR="0018633E" w:rsidRPr="001D0C10" w:rsidRDefault="0018633E" w:rsidP="001D0C10">
      <w:pPr>
        <w:spacing w:after="0" w:line="276" w:lineRule="auto"/>
        <w:ind w:left="567" w:right="474"/>
        <w:jc w:val="both"/>
        <w:rPr>
          <w:rFonts w:ascii="Book Antiqua" w:eastAsia="Calibri" w:hAnsi="Book Antiqua" w:cs="Arial"/>
          <w:i/>
          <w:iCs/>
        </w:rPr>
      </w:pPr>
      <w:r w:rsidRPr="001D0C10">
        <w:rPr>
          <w:rFonts w:ascii="Book Antiqua" w:eastAsia="Calibri" w:hAnsi="Book Antiqua" w:cs="Arial"/>
          <w:i/>
          <w:iCs/>
        </w:rPr>
        <w:t>“…</w:t>
      </w:r>
    </w:p>
    <w:p w14:paraId="6317F1A0" w14:textId="77777777" w:rsidR="0018633E" w:rsidRPr="001D0C10" w:rsidRDefault="0018633E" w:rsidP="001D0C10">
      <w:pPr>
        <w:spacing w:after="0" w:line="276" w:lineRule="auto"/>
        <w:ind w:left="567" w:right="474"/>
        <w:jc w:val="both"/>
        <w:rPr>
          <w:rFonts w:ascii="Book Antiqua" w:eastAsia="Calibri" w:hAnsi="Book Antiqua" w:cs="Arial"/>
          <w:i/>
          <w:iCs/>
        </w:rPr>
      </w:pPr>
      <w:r w:rsidRPr="001D0C10">
        <w:rPr>
          <w:rFonts w:ascii="Book Antiqua" w:eastAsia="Calibri" w:hAnsi="Book Antiqua" w:cs="Arial"/>
          <w:i/>
          <w:iCs/>
        </w:rPr>
        <w:t>4.1. Realizar un estudio de las cargas de trabajo, plazas asignadas y rendimiento en los juzgados especializados de Familia del país, en aras de determinar si en la actualidad existe o no una distribución equitativa de las labores encomendadas en función del recurso existente, maximizar y orientar los recursos instituciones, se ajusten los modelos de trabajo, según sea necesario, para mejorar la efectividad de los procesos bajo su responsabilidad. Lo anterior, de conformidad con los cambios que se implementen en la jurisdicción de familia con la reforma procesal que se implementará…”.</w:t>
      </w:r>
    </w:p>
    <w:p w14:paraId="289D8202" w14:textId="370DE38A" w:rsidR="0018633E" w:rsidRDefault="0018633E" w:rsidP="0018633E">
      <w:pPr>
        <w:spacing w:after="0" w:line="276" w:lineRule="auto"/>
        <w:jc w:val="both"/>
        <w:rPr>
          <w:rFonts w:ascii="Book Antiqua" w:eastAsia="Calibri" w:hAnsi="Book Antiqua" w:cs="Arial"/>
          <w:sz w:val="24"/>
          <w:szCs w:val="24"/>
        </w:rPr>
      </w:pPr>
    </w:p>
    <w:p w14:paraId="5F7BC31A" w14:textId="57FD8FC9" w:rsidR="00D662BA" w:rsidRDefault="00D662BA" w:rsidP="0018633E">
      <w:pPr>
        <w:spacing w:after="0" w:line="276" w:lineRule="auto"/>
        <w:jc w:val="both"/>
        <w:rPr>
          <w:rFonts w:ascii="Book Antiqua" w:eastAsia="Calibri" w:hAnsi="Book Antiqua" w:cs="Arial"/>
          <w:b/>
          <w:bCs/>
          <w:sz w:val="24"/>
          <w:szCs w:val="24"/>
        </w:rPr>
      </w:pPr>
      <w:r w:rsidRPr="001D0C10">
        <w:rPr>
          <w:rFonts w:ascii="Book Antiqua" w:eastAsia="Calibri" w:hAnsi="Book Antiqua" w:cs="Arial"/>
          <w:b/>
          <w:bCs/>
          <w:sz w:val="24"/>
          <w:szCs w:val="24"/>
        </w:rPr>
        <w:t>Año</w:t>
      </w:r>
      <w:r>
        <w:rPr>
          <w:rFonts w:ascii="Book Antiqua" w:eastAsia="Calibri" w:hAnsi="Book Antiqua" w:cs="Arial"/>
          <w:b/>
          <w:bCs/>
          <w:sz w:val="24"/>
          <w:szCs w:val="24"/>
        </w:rPr>
        <w:t>s</w:t>
      </w:r>
      <w:r w:rsidRPr="001D0C10">
        <w:rPr>
          <w:rFonts w:ascii="Book Antiqua" w:eastAsia="Calibri" w:hAnsi="Book Antiqua" w:cs="Arial"/>
          <w:b/>
          <w:bCs/>
          <w:sz w:val="24"/>
          <w:szCs w:val="24"/>
        </w:rPr>
        <w:t xml:space="preserve"> 2020</w:t>
      </w:r>
      <w:r>
        <w:rPr>
          <w:rFonts w:ascii="Book Antiqua" w:eastAsia="Calibri" w:hAnsi="Book Antiqua" w:cs="Arial"/>
          <w:b/>
          <w:bCs/>
          <w:sz w:val="24"/>
          <w:szCs w:val="24"/>
        </w:rPr>
        <w:t>-2021</w:t>
      </w:r>
      <w:r w:rsidRPr="001D0C10">
        <w:rPr>
          <w:rFonts w:ascii="Book Antiqua" w:eastAsia="Calibri" w:hAnsi="Book Antiqua" w:cs="Arial"/>
          <w:b/>
          <w:bCs/>
          <w:sz w:val="24"/>
          <w:szCs w:val="24"/>
        </w:rPr>
        <w:t>:</w:t>
      </w:r>
    </w:p>
    <w:p w14:paraId="35820629" w14:textId="77777777" w:rsidR="008051A1" w:rsidRPr="001D0C10" w:rsidRDefault="008051A1" w:rsidP="0018633E">
      <w:pPr>
        <w:spacing w:after="0" w:line="276" w:lineRule="auto"/>
        <w:jc w:val="both"/>
        <w:rPr>
          <w:rFonts w:ascii="Book Antiqua" w:eastAsia="Calibri" w:hAnsi="Book Antiqua" w:cs="Arial"/>
          <w:b/>
          <w:bCs/>
          <w:sz w:val="24"/>
          <w:szCs w:val="24"/>
        </w:rPr>
      </w:pPr>
    </w:p>
    <w:p w14:paraId="3D915C5F" w14:textId="51E6B3B2" w:rsidR="0018633E" w:rsidRP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t xml:space="preserve">En línea con lo anterior, es importante agregar que para el exitoso proceso de implementación de la Reforma Procesal de Familia, una de las acciones prioritarias </w:t>
      </w:r>
      <w:r w:rsidR="00447B31">
        <w:rPr>
          <w:rFonts w:ascii="Book Antiqua" w:eastAsia="Calibri" w:hAnsi="Book Antiqua" w:cs="Arial"/>
          <w:sz w:val="24"/>
          <w:szCs w:val="24"/>
        </w:rPr>
        <w:t>que se ejecutó en 202</w:t>
      </w:r>
      <w:r w:rsidR="00D662BA">
        <w:rPr>
          <w:rFonts w:ascii="Book Antiqua" w:eastAsia="Calibri" w:hAnsi="Book Antiqua" w:cs="Arial"/>
          <w:sz w:val="24"/>
          <w:szCs w:val="24"/>
        </w:rPr>
        <w:t>0-2021</w:t>
      </w:r>
      <w:r w:rsidR="00447B31">
        <w:rPr>
          <w:rFonts w:ascii="Book Antiqua" w:eastAsia="Calibri" w:hAnsi="Book Antiqua" w:cs="Arial"/>
          <w:sz w:val="24"/>
          <w:szCs w:val="24"/>
        </w:rPr>
        <w:t xml:space="preserve"> fue</w:t>
      </w:r>
      <w:r w:rsidRPr="0018633E">
        <w:rPr>
          <w:rFonts w:ascii="Book Antiqua" w:eastAsia="Calibri" w:hAnsi="Book Antiqua" w:cs="Arial"/>
          <w:sz w:val="24"/>
          <w:szCs w:val="24"/>
        </w:rPr>
        <w:t xml:space="preserve"> el proceso previo de diagnóstico de las oficinas judiciales que conocen de esas materias a nivel nacional, lo que concuerda con la solicitud de estudio recomendado por la Auditoría Judicial, donde </w:t>
      </w:r>
      <w:r w:rsidR="00447B31">
        <w:rPr>
          <w:rFonts w:ascii="Book Antiqua" w:eastAsia="Calibri" w:hAnsi="Book Antiqua" w:cs="Arial"/>
          <w:sz w:val="24"/>
          <w:szCs w:val="24"/>
        </w:rPr>
        <w:t>s</w:t>
      </w:r>
      <w:r w:rsidRPr="0018633E">
        <w:rPr>
          <w:rFonts w:ascii="Book Antiqua" w:eastAsia="Calibri" w:hAnsi="Book Antiqua" w:cs="Arial"/>
          <w:sz w:val="24"/>
          <w:szCs w:val="24"/>
        </w:rPr>
        <w:t>e abordará toda la Jurisdicción a nivel nacional</w:t>
      </w:r>
      <w:r w:rsidR="00447B31">
        <w:rPr>
          <w:rFonts w:ascii="Book Antiqua" w:eastAsia="Calibri" w:hAnsi="Book Antiqua" w:cs="Arial"/>
          <w:sz w:val="24"/>
          <w:szCs w:val="24"/>
        </w:rPr>
        <w:t xml:space="preserve">, con la misma </w:t>
      </w:r>
      <w:r w:rsidRPr="0018633E">
        <w:rPr>
          <w:rFonts w:ascii="Book Antiqua" w:eastAsia="Calibri" w:hAnsi="Book Antiqua" w:cs="Arial"/>
          <w:sz w:val="24"/>
          <w:szCs w:val="24"/>
        </w:rPr>
        <w:t>línea de acción es la que se ha venido ejecutando desde la implementación de la Reforma al Código de Trabajo, Reforma Procesal Civil y Código Procesal Agrario.</w:t>
      </w:r>
    </w:p>
    <w:p w14:paraId="0C917398" w14:textId="77777777" w:rsidR="0018633E" w:rsidRPr="0018633E" w:rsidRDefault="0018633E" w:rsidP="0018633E">
      <w:pPr>
        <w:spacing w:after="0" w:line="276" w:lineRule="auto"/>
        <w:jc w:val="both"/>
        <w:rPr>
          <w:rFonts w:ascii="Book Antiqua" w:eastAsia="Calibri" w:hAnsi="Book Antiqua" w:cs="Arial"/>
          <w:sz w:val="24"/>
          <w:szCs w:val="24"/>
        </w:rPr>
      </w:pPr>
    </w:p>
    <w:p w14:paraId="430C41D8" w14:textId="1022F67E" w:rsid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t xml:space="preserve">La particularidad en Familia fue que la implementación de este proyecto </w:t>
      </w:r>
      <w:r w:rsidR="00F94535">
        <w:rPr>
          <w:rFonts w:ascii="Book Antiqua" w:eastAsia="Calibri" w:hAnsi="Book Antiqua" w:cs="Arial"/>
          <w:sz w:val="24"/>
          <w:szCs w:val="24"/>
        </w:rPr>
        <w:t xml:space="preserve">se desarrolló </w:t>
      </w:r>
      <w:r w:rsidRPr="0018633E">
        <w:rPr>
          <w:rFonts w:ascii="Book Antiqua" w:eastAsia="Calibri" w:hAnsi="Book Antiqua" w:cs="Arial"/>
          <w:sz w:val="24"/>
          <w:szCs w:val="24"/>
        </w:rPr>
        <w:t xml:space="preserve">en forma simultánea con la atención de las recomendaciones emitidas por la Contraloría General de la República y los plazos establecidos por el órgano contralor para el cumplimiento de cada una de ellas; lo que </w:t>
      </w:r>
      <w:r w:rsidR="007F7D79">
        <w:rPr>
          <w:rFonts w:ascii="Book Antiqua" w:eastAsia="Calibri" w:hAnsi="Book Antiqua" w:cs="Arial"/>
          <w:sz w:val="24"/>
          <w:szCs w:val="24"/>
        </w:rPr>
        <w:t>implicó</w:t>
      </w:r>
      <w:r w:rsidRPr="0018633E">
        <w:rPr>
          <w:rFonts w:ascii="Book Antiqua" w:eastAsia="Calibri" w:hAnsi="Book Antiqua" w:cs="Arial"/>
          <w:sz w:val="24"/>
          <w:szCs w:val="24"/>
        </w:rPr>
        <w:t xml:space="preserve"> ajustes en el cronograma tal y como está debidamente documentado en el sitio del proyecto</w:t>
      </w:r>
      <w:r w:rsidR="00447B31">
        <w:rPr>
          <w:rFonts w:ascii="Book Antiqua" w:eastAsia="Calibri" w:hAnsi="Book Antiqua" w:cs="Arial"/>
          <w:sz w:val="24"/>
          <w:szCs w:val="24"/>
        </w:rPr>
        <w:t xml:space="preserve"> y la realización de estudios complementarios que implican una inversión de tiempo mayor y que se podrán desarrollar hasta en 2022 todo con recurso ordinario de la Dirección, que ha tenido que priorizar en sus planes de trabajo estudios relacionados con las 3 materias que impacta la Ley 9747</w:t>
      </w:r>
      <w:r w:rsidRPr="0018633E">
        <w:rPr>
          <w:rFonts w:ascii="Book Antiqua" w:eastAsia="Calibri" w:hAnsi="Book Antiqua" w:cs="Arial"/>
          <w:sz w:val="24"/>
          <w:szCs w:val="24"/>
        </w:rPr>
        <w:t xml:space="preserve">.  </w:t>
      </w:r>
    </w:p>
    <w:p w14:paraId="2856EB03" w14:textId="77777777" w:rsidR="007F7D79" w:rsidRPr="0018633E" w:rsidRDefault="007F7D79" w:rsidP="0018633E">
      <w:pPr>
        <w:spacing w:after="0" w:line="276" w:lineRule="auto"/>
        <w:jc w:val="both"/>
        <w:rPr>
          <w:rFonts w:ascii="Book Antiqua" w:eastAsia="Calibri" w:hAnsi="Book Antiqua" w:cs="Arial"/>
          <w:sz w:val="24"/>
          <w:szCs w:val="24"/>
        </w:rPr>
      </w:pPr>
    </w:p>
    <w:p w14:paraId="614F5F69" w14:textId="189E5155" w:rsidR="0018633E" w:rsidRP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lastRenderedPageBreak/>
        <w:t xml:space="preserve">Durante el diagnóstico se </w:t>
      </w:r>
      <w:r w:rsidR="00F94535">
        <w:rPr>
          <w:rFonts w:ascii="Book Antiqua" w:eastAsia="Calibri" w:hAnsi="Book Antiqua" w:cs="Arial"/>
          <w:sz w:val="24"/>
          <w:szCs w:val="24"/>
        </w:rPr>
        <w:t>detectaron</w:t>
      </w:r>
      <w:r w:rsidRPr="0018633E">
        <w:rPr>
          <w:rFonts w:ascii="Book Antiqua" w:eastAsia="Calibri" w:hAnsi="Book Antiqua" w:cs="Arial"/>
          <w:sz w:val="24"/>
          <w:szCs w:val="24"/>
        </w:rPr>
        <w:t xml:space="preserve"> diferentes oportunidades </w:t>
      </w:r>
      <w:r w:rsidR="007F7D79">
        <w:rPr>
          <w:rFonts w:ascii="Book Antiqua" w:eastAsia="Calibri" w:hAnsi="Book Antiqua" w:cs="Arial"/>
          <w:sz w:val="24"/>
          <w:szCs w:val="24"/>
        </w:rPr>
        <w:t xml:space="preserve">de mejora </w:t>
      </w:r>
      <w:r w:rsidRPr="0018633E">
        <w:rPr>
          <w:rFonts w:ascii="Book Antiqua" w:eastAsia="Calibri" w:hAnsi="Book Antiqua" w:cs="Arial"/>
          <w:sz w:val="24"/>
          <w:szCs w:val="24"/>
        </w:rPr>
        <w:t xml:space="preserve">a nivel estructural o de metodología de trabajo, bajo el modelo de sostenibilidad, el establecimiento de cuotas de trabajo, indicadores de Gestión </w:t>
      </w:r>
      <w:r w:rsidR="00D80539">
        <w:rPr>
          <w:rFonts w:ascii="Book Antiqua" w:eastAsia="Calibri" w:hAnsi="Book Antiqua" w:cs="Arial"/>
          <w:sz w:val="24"/>
          <w:szCs w:val="24"/>
        </w:rPr>
        <w:t>en la totalidad de oficinas que conocen la materia de Familia y Pensiones a nivel nacional desde diciembre 2020</w:t>
      </w:r>
      <w:r w:rsidR="007F7D79">
        <w:rPr>
          <w:rFonts w:ascii="Book Antiqua" w:eastAsia="Calibri" w:hAnsi="Book Antiqua" w:cs="Arial"/>
          <w:sz w:val="24"/>
          <w:szCs w:val="24"/>
        </w:rPr>
        <w:t xml:space="preserve"> se tienen un mayor control del rendimiento de las oficinas</w:t>
      </w:r>
      <w:r w:rsidR="00D80539">
        <w:rPr>
          <w:rFonts w:ascii="Book Antiqua" w:eastAsia="Calibri" w:hAnsi="Book Antiqua" w:cs="Arial"/>
          <w:sz w:val="24"/>
          <w:szCs w:val="24"/>
        </w:rPr>
        <w:t xml:space="preserve">. </w:t>
      </w:r>
    </w:p>
    <w:p w14:paraId="3D0C347C" w14:textId="77777777" w:rsidR="0018633E" w:rsidRPr="0018633E" w:rsidRDefault="0018633E" w:rsidP="0018633E">
      <w:pPr>
        <w:spacing w:after="0" w:line="276" w:lineRule="auto"/>
        <w:jc w:val="both"/>
        <w:rPr>
          <w:rFonts w:ascii="Book Antiqua" w:eastAsia="Calibri" w:hAnsi="Book Antiqua" w:cs="Arial"/>
          <w:sz w:val="24"/>
          <w:szCs w:val="24"/>
        </w:rPr>
      </w:pPr>
    </w:p>
    <w:p w14:paraId="18463DC2" w14:textId="7CE2749D" w:rsidR="0018633E" w:rsidRPr="0018633E" w:rsidRDefault="00D80539" w:rsidP="0018633E">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sz w:val="24"/>
          <w:szCs w:val="24"/>
          <w:lang w:eastAsia="es-CR"/>
        </w:rPr>
        <w:t>En</w:t>
      </w:r>
      <w:r w:rsidR="0018633E" w:rsidRPr="0018633E">
        <w:rPr>
          <w:rFonts w:ascii="Book Antiqua" w:eastAsia="Calibri" w:hAnsi="Book Antiqua" w:cs="Arial"/>
          <w:sz w:val="24"/>
          <w:szCs w:val="24"/>
          <w:lang w:eastAsia="es-CR"/>
        </w:rPr>
        <w:t xml:space="preserve"> cumplimiento de recomendaciones emitidas por la Contraloría General de la República </w:t>
      </w:r>
      <w:r w:rsidR="0018633E" w:rsidRPr="0018633E">
        <w:rPr>
          <w:rFonts w:ascii="Book Antiqua" w:eastAsia="Calibri" w:hAnsi="Book Antiqua" w:cs="Arial"/>
          <w:color w:val="000000"/>
          <w:sz w:val="24"/>
          <w:szCs w:val="24"/>
          <w:lang w:eastAsia="es-CR"/>
        </w:rPr>
        <w:t xml:space="preserve">en el informe </w:t>
      </w:r>
      <w:r w:rsidR="0018633E" w:rsidRPr="0018633E">
        <w:rPr>
          <w:rFonts w:ascii="Book Antiqua" w:eastAsia="Calibri" w:hAnsi="Book Antiqua" w:cs="Arial"/>
          <w:sz w:val="24"/>
          <w:szCs w:val="24"/>
          <w:lang w:eastAsia="es-CR"/>
        </w:rPr>
        <w:t xml:space="preserve">DFOE-PG-0098 (2683)-2020, relacionado con el informe DFOE-PG-IF-00002-2020 </w:t>
      </w:r>
      <w:r w:rsidR="0018633E" w:rsidRPr="0018633E">
        <w:rPr>
          <w:rFonts w:ascii="Book Antiqua" w:eastAsia="Calibri" w:hAnsi="Book Antiqua" w:cs="Arial"/>
          <w:i/>
          <w:iCs/>
          <w:sz w:val="24"/>
          <w:szCs w:val="24"/>
          <w:lang w:eastAsia="es-CR"/>
        </w:rPr>
        <w:t>“Informe de Auditoría Operativa sobre la gestión del Poder Judicial en cuanto a la oportunidad de la prestación del servicio público de administración de la justicia de los juzgados de Familia y de Pensiones alimentarias</w:t>
      </w:r>
      <w:r w:rsidR="0018633E" w:rsidRPr="0018633E">
        <w:rPr>
          <w:rFonts w:ascii="Book Antiqua" w:eastAsia="Calibri" w:hAnsi="Book Antiqua" w:cs="Arial"/>
          <w:sz w:val="24"/>
          <w:szCs w:val="24"/>
          <w:lang w:eastAsia="es-CR"/>
        </w:rPr>
        <w:t>”</w:t>
      </w:r>
      <w:r w:rsidR="0018633E" w:rsidRPr="0018633E">
        <w:rPr>
          <w:rFonts w:ascii="Book Antiqua" w:eastAsia="Calibri" w:hAnsi="Book Antiqua" w:cs="Arial"/>
          <w:color w:val="000000"/>
          <w:sz w:val="24"/>
          <w:szCs w:val="24"/>
          <w:lang w:eastAsia="es-CR"/>
        </w:rPr>
        <w:t xml:space="preserve"> y únicamente en las oficinas competentes en materia de Familia y Pensiones Alimentarias.  Esta situación </w:t>
      </w:r>
      <w:r w:rsidR="0018633E" w:rsidRPr="0018633E">
        <w:rPr>
          <w:rFonts w:ascii="Book Antiqua" w:eastAsia="Calibri" w:hAnsi="Book Antiqua" w:cs="Arial"/>
          <w:sz w:val="24"/>
          <w:szCs w:val="24"/>
          <w:lang w:eastAsia="es-CR"/>
        </w:rPr>
        <w:t xml:space="preserve">implicó una variación en la metodología, y estas oficinas no fueron rediseñadas propiamente, sino que fueron abordadas revisando las siguientes </w:t>
      </w:r>
      <w:r w:rsidR="009B71C9" w:rsidRPr="0018633E">
        <w:rPr>
          <w:rFonts w:ascii="Book Antiqua" w:eastAsia="Calibri" w:hAnsi="Book Antiqua" w:cs="Arial"/>
          <w:sz w:val="24"/>
          <w:szCs w:val="24"/>
          <w:lang w:eastAsia="es-CR"/>
        </w:rPr>
        <w:t>tar</w:t>
      </w:r>
      <w:r w:rsidR="009B71C9">
        <w:rPr>
          <w:rFonts w:ascii="Book Antiqua" w:eastAsia="Calibri" w:hAnsi="Book Antiqua" w:cs="Arial"/>
          <w:sz w:val="24"/>
          <w:szCs w:val="24"/>
          <w:lang w:eastAsia="es-CR"/>
        </w:rPr>
        <w:t>e</w:t>
      </w:r>
      <w:r w:rsidR="009B71C9" w:rsidRPr="0018633E">
        <w:rPr>
          <w:rFonts w:ascii="Book Antiqua" w:eastAsia="Calibri" w:hAnsi="Book Antiqua" w:cs="Arial"/>
          <w:sz w:val="24"/>
          <w:szCs w:val="24"/>
          <w:lang w:eastAsia="es-CR"/>
        </w:rPr>
        <w:t>as</w:t>
      </w:r>
      <w:r w:rsidR="0018633E" w:rsidRPr="0018633E">
        <w:rPr>
          <w:rFonts w:ascii="Book Antiqua" w:eastAsia="Calibri" w:hAnsi="Book Antiqua" w:cs="Arial"/>
          <w:sz w:val="24"/>
          <w:szCs w:val="24"/>
          <w:lang w:eastAsia="es-CR"/>
        </w:rPr>
        <w:t xml:space="preserve"> conforme a lo aprobado por el Consejo Superior en sesión 70-2020 celebrada el 09 de julio del 2020, artículo LVIII:</w:t>
      </w:r>
    </w:p>
    <w:p w14:paraId="1D0992F1"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Reunión inicial con el equipo de trabajo para mostrar la metodología de trabajo.</w:t>
      </w:r>
    </w:p>
    <w:p w14:paraId="1356D8DB"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Análisis de la estructura organizacional y funcional.</w:t>
      </w:r>
    </w:p>
    <w:p w14:paraId="05CA10F8" w14:textId="1E5565E1"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Análisis de la distribución </w:t>
      </w:r>
      <w:r w:rsidR="007F7D79">
        <w:rPr>
          <w:rFonts w:ascii="Book Antiqua" w:eastAsia="Calibri" w:hAnsi="Book Antiqua" w:cs="Arial"/>
          <w:sz w:val="24"/>
          <w:szCs w:val="24"/>
        </w:rPr>
        <w:t>de la entrada y el circulante</w:t>
      </w:r>
      <w:r w:rsidRPr="0018633E">
        <w:rPr>
          <w:rFonts w:ascii="Book Antiqua" w:eastAsia="Calibri" w:hAnsi="Book Antiqua" w:cs="Arial"/>
          <w:sz w:val="24"/>
          <w:szCs w:val="24"/>
        </w:rPr>
        <w:t xml:space="preserve">, desde el reparto inicial de casos </w:t>
      </w:r>
      <w:r w:rsidR="007F7D79">
        <w:rPr>
          <w:rFonts w:ascii="Book Antiqua" w:eastAsia="Calibri" w:hAnsi="Book Antiqua" w:cs="Arial"/>
          <w:sz w:val="24"/>
          <w:szCs w:val="24"/>
        </w:rPr>
        <w:t xml:space="preserve">de forma </w:t>
      </w:r>
      <w:r w:rsidRPr="0018633E">
        <w:rPr>
          <w:rFonts w:ascii="Book Antiqua" w:eastAsia="Calibri" w:hAnsi="Book Antiqua" w:cs="Arial"/>
          <w:sz w:val="24"/>
          <w:szCs w:val="24"/>
        </w:rPr>
        <w:t>como de la carga asignada actualmente por cada persona involucrada en el equipo</w:t>
      </w:r>
      <w:r w:rsidR="007F7D79">
        <w:rPr>
          <w:rFonts w:ascii="Book Antiqua" w:eastAsia="Calibri" w:hAnsi="Book Antiqua" w:cs="Arial"/>
          <w:sz w:val="24"/>
          <w:szCs w:val="24"/>
        </w:rPr>
        <w:t>.</w:t>
      </w:r>
    </w:p>
    <w:p w14:paraId="33F9B18B"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Definición del diseño del reparto de causas nuevas para la implementación o ajuste de la herramienta de reparto automático de casos, así como diseño de herramienta de reparto en Excel, en los casos que corresponda. </w:t>
      </w:r>
    </w:p>
    <w:p w14:paraId="0D1CE4DC"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Implementación de la herramienta de pase a fallo en el Escritorio Virtual e implementación de libro de pase a fallo según los lineamientos establecidos. </w:t>
      </w:r>
    </w:p>
    <w:p w14:paraId="28848AB7"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Conformación del Equipo de Mejora en el Despacho. </w:t>
      </w:r>
    </w:p>
    <w:p w14:paraId="7FCA4A32"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 xml:space="preserve">Implementación del Modelo de Sostenibilidad en cada uno de los despachos involucrados. </w:t>
      </w:r>
    </w:p>
    <w:p w14:paraId="0E8D5774" w14:textId="77777777" w:rsidR="0018633E" w:rsidRPr="0018633E" w:rsidRDefault="0018633E" w:rsidP="0090609F">
      <w:pPr>
        <w:numPr>
          <w:ilvl w:val="0"/>
          <w:numId w:val="30"/>
        </w:numPr>
        <w:tabs>
          <w:tab w:val="left" w:pos="284"/>
        </w:tabs>
        <w:spacing w:after="0" w:line="276" w:lineRule="auto"/>
        <w:ind w:left="284" w:hanging="284"/>
        <w:jc w:val="both"/>
        <w:rPr>
          <w:rFonts w:ascii="Book Antiqua" w:eastAsia="Calibri" w:hAnsi="Book Antiqua" w:cs="Arial"/>
          <w:sz w:val="24"/>
          <w:szCs w:val="24"/>
        </w:rPr>
      </w:pPr>
      <w:r w:rsidRPr="0018633E">
        <w:rPr>
          <w:rFonts w:ascii="Book Antiqua" w:eastAsia="Calibri" w:hAnsi="Book Antiqua" w:cs="Arial"/>
          <w:sz w:val="24"/>
          <w:szCs w:val="24"/>
        </w:rPr>
        <w:t>Capacitación e implementación de los Indicadores de Gestión.</w:t>
      </w:r>
    </w:p>
    <w:p w14:paraId="5F60B735" w14:textId="77777777" w:rsidR="0018633E" w:rsidRPr="0018633E" w:rsidRDefault="0018633E" w:rsidP="0018633E">
      <w:pPr>
        <w:tabs>
          <w:tab w:val="left" w:pos="284"/>
        </w:tabs>
        <w:spacing w:after="0" w:line="276" w:lineRule="auto"/>
        <w:ind w:left="284"/>
        <w:jc w:val="both"/>
        <w:rPr>
          <w:rFonts w:ascii="Book Antiqua" w:eastAsia="Calibri" w:hAnsi="Book Antiqua" w:cs="Arial"/>
          <w:sz w:val="24"/>
          <w:szCs w:val="24"/>
        </w:rPr>
      </w:pPr>
    </w:p>
    <w:p w14:paraId="1C6163B1" w14:textId="249A7242" w:rsidR="0018633E" w:rsidRPr="0018633E" w:rsidRDefault="0018633E" w:rsidP="0018633E">
      <w:pPr>
        <w:spacing w:after="0" w:line="276" w:lineRule="auto"/>
        <w:contextualSpacing/>
        <w:jc w:val="both"/>
        <w:rPr>
          <w:rFonts w:ascii="Book Antiqua" w:eastAsia="Calibri" w:hAnsi="Book Antiqua" w:cs="Arial"/>
          <w:color w:val="000000"/>
          <w:sz w:val="24"/>
          <w:szCs w:val="24"/>
          <w:lang w:eastAsia="es-CR"/>
        </w:rPr>
      </w:pPr>
      <w:r w:rsidRPr="0018633E">
        <w:rPr>
          <w:rFonts w:ascii="Book Antiqua" w:eastAsia="Calibri" w:hAnsi="Book Antiqua" w:cs="Arial"/>
          <w:color w:val="000000"/>
          <w:sz w:val="24"/>
          <w:szCs w:val="24"/>
          <w:lang w:eastAsia="es-CR"/>
        </w:rPr>
        <w:t xml:space="preserve">Adicional a las tareas descritas anteriormente, de forma inmediata a la conclusión del abordaje, los profesionales encargados del estudio y durante el </w:t>
      </w:r>
      <w:r w:rsidR="00447B31">
        <w:rPr>
          <w:rFonts w:ascii="Book Antiqua" w:eastAsia="Calibri" w:hAnsi="Book Antiqua" w:cs="Arial"/>
          <w:color w:val="000000"/>
          <w:sz w:val="24"/>
          <w:szCs w:val="24"/>
          <w:lang w:eastAsia="es-CR"/>
        </w:rPr>
        <w:t>periodo de diciembre 2020 a octubre 2021 aproximadamente, realizaron</w:t>
      </w:r>
      <w:r w:rsidRPr="0018633E">
        <w:rPr>
          <w:rFonts w:ascii="Book Antiqua" w:eastAsia="Calibri" w:hAnsi="Book Antiqua" w:cs="Arial"/>
          <w:color w:val="000000"/>
          <w:sz w:val="24"/>
          <w:szCs w:val="24"/>
          <w:lang w:eastAsia="es-CR"/>
        </w:rPr>
        <w:t xml:space="preserve"> el seguimiento a la implementación de Equipo de Mejora y de las tareas relacionadas al Modelo de </w:t>
      </w:r>
      <w:r w:rsidRPr="0018633E">
        <w:rPr>
          <w:rFonts w:ascii="Book Antiqua" w:eastAsia="Calibri" w:hAnsi="Book Antiqua" w:cs="Arial"/>
          <w:color w:val="000000"/>
          <w:sz w:val="24"/>
          <w:szCs w:val="24"/>
          <w:lang w:eastAsia="es-CR"/>
        </w:rPr>
        <w:lastRenderedPageBreak/>
        <w:t>Sostenibilidad que contemplan la elaboración de los Indicadores de Gestión, realización de reunión mensual del equipo, la generación de la minuta de la reunión y el diseño de los planes remediales; con lo cual se garantice que se realice el análisis adecuado de la información, se identifi</w:t>
      </w:r>
      <w:r w:rsidR="00D662BA">
        <w:rPr>
          <w:rFonts w:ascii="Book Antiqua" w:eastAsia="Calibri" w:hAnsi="Book Antiqua" w:cs="Arial"/>
          <w:color w:val="000000"/>
          <w:sz w:val="24"/>
          <w:szCs w:val="24"/>
          <w:lang w:eastAsia="es-CR"/>
        </w:rPr>
        <w:t>caron</w:t>
      </w:r>
      <w:r w:rsidRPr="0018633E">
        <w:rPr>
          <w:rFonts w:ascii="Book Antiqua" w:eastAsia="Calibri" w:hAnsi="Book Antiqua" w:cs="Arial"/>
          <w:color w:val="000000"/>
          <w:sz w:val="24"/>
          <w:szCs w:val="24"/>
          <w:lang w:eastAsia="es-CR"/>
        </w:rPr>
        <w:t xml:space="preserve"> oportunidades de mejora y se diseñ</w:t>
      </w:r>
      <w:r w:rsidR="00D662BA">
        <w:rPr>
          <w:rFonts w:ascii="Book Antiqua" w:eastAsia="Calibri" w:hAnsi="Book Antiqua" w:cs="Arial"/>
          <w:color w:val="000000"/>
          <w:sz w:val="24"/>
          <w:szCs w:val="24"/>
          <w:lang w:eastAsia="es-CR"/>
        </w:rPr>
        <w:t>aron en conjunto con las oficinas</w:t>
      </w:r>
      <w:r w:rsidRPr="0018633E">
        <w:rPr>
          <w:rFonts w:ascii="Book Antiqua" w:eastAsia="Calibri" w:hAnsi="Book Antiqua" w:cs="Arial"/>
          <w:color w:val="000000"/>
          <w:sz w:val="24"/>
          <w:szCs w:val="24"/>
          <w:lang w:eastAsia="es-CR"/>
        </w:rPr>
        <w:t xml:space="preserve"> planes remediales </w:t>
      </w:r>
      <w:r w:rsidR="00D662BA">
        <w:rPr>
          <w:rFonts w:ascii="Book Antiqua" w:eastAsia="Calibri" w:hAnsi="Book Antiqua" w:cs="Arial"/>
          <w:color w:val="000000"/>
          <w:sz w:val="24"/>
          <w:szCs w:val="24"/>
          <w:lang w:eastAsia="es-CR"/>
        </w:rPr>
        <w:t>para dar</w:t>
      </w:r>
      <w:r w:rsidRPr="0018633E">
        <w:rPr>
          <w:rFonts w:ascii="Book Antiqua" w:eastAsia="Calibri" w:hAnsi="Book Antiqua" w:cs="Arial"/>
          <w:color w:val="000000"/>
          <w:sz w:val="24"/>
          <w:szCs w:val="24"/>
          <w:lang w:eastAsia="es-CR"/>
        </w:rPr>
        <w:t xml:space="preserve"> solución a la situación crítica detectada.</w:t>
      </w:r>
    </w:p>
    <w:p w14:paraId="5981B087" w14:textId="0A9FD907" w:rsidR="0018633E" w:rsidRDefault="0018633E" w:rsidP="0018633E">
      <w:pPr>
        <w:spacing w:after="0" w:line="276" w:lineRule="auto"/>
        <w:contextualSpacing/>
        <w:jc w:val="both"/>
        <w:rPr>
          <w:rFonts w:ascii="Book Antiqua" w:eastAsia="Calibri" w:hAnsi="Book Antiqua" w:cs="Arial"/>
          <w:sz w:val="24"/>
          <w:szCs w:val="24"/>
          <w:lang w:eastAsia="es-CR"/>
        </w:rPr>
      </w:pPr>
      <w:r w:rsidRPr="0018633E">
        <w:rPr>
          <w:rFonts w:ascii="Book Antiqua" w:eastAsia="Calibri" w:hAnsi="Book Antiqua" w:cs="Arial"/>
          <w:color w:val="000000"/>
          <w:sz w:val="24"/>
          <w:szCs w:val="24"/>
          <w:lang w:eastAsia="es-CR"/>
        </w:rPr>
        <w:t xml:space="preserve">Lo descrito en el párrafo anterior, va en línea </w:t>
      </w:r>
      <w:r w:rsidRPr="0018633E">
        <w:rPr>
          <w:rFonts w:ascii="Book Antiqua" w:eastAsia="Calibri" w:hAnsi="Book Antiqua" w:cs="Arial"/>
          <w:sz w:val="24"/>
          <w:szCs w:val="24"/>
          <w:lang w:eastAsia="es-CR"/>
        </w:rPr>
        <w:t>con la disposición 4.7 indicada en el informe DFOE-PG-IF-00002-2020 relacionado con</w:t>
      </w:r>
      <w:r w:rsidRPr="0018633E">
        <w:rPr>
          <w:rFonts w:ascii="Book Antiqua" w:eastAsia="Calibri" w:hAnsi="Book Antiqua" w:cs="Arial"/>
          <w:i/>
          <w:iCs/>
          <w:sz w:val="24"/>
          <w:szCs w:val="24"/>
          <w:lang w:eastAsia="es-CR"/>
        </w:rPr>
        <w:t xml:space="preserve"> “Informe de la Auditoría Operativa sobre la Gestión del Poder Judicial en cuanto a la Oportunidad de la Prestación del Servicio Público de Administración de la Justicia de los Juzgados de Familia y de Pensiones Alimentarias</w:t>
      </w:r>
      <w:r w:rsidRPr="0018633E">
        <w:rPr>
          <w:rFonts w:ascii="Book Antiqua" w:eastAsia="Calibri" w:hAnsi="Book Antiqua" w:cs="Arial"/>
          <w:sz w:val="24"/>
          <w:szCs w:val="24"/>
          <w:lang w:eastAsia="es-CR"/>
        </w:rPr>
        <w:t>” de la Contraloría General de la República.</w:t>
      </w:r>
    </w:p>
    <w:p w14:paraId="31558BBB" w14:textId="77777777" w:rsidR="003323D3" w:rsidRPr="0018633E" w:rsidRDefault="003323D3" w:rsidP="0018633E">
      <w:pPr>
        <w:spacing w:after="0" w:line="276" w:lineRule="auto"/>
        <w:contextualSpacing/>
        <w:jc w:val="both"/>
        <w:rPr>
          <w:rFonts w:ascii="Book Antiqua" w:eastAsia="Calibri" w:hAnsi="Book Antiqua" w:cs="Arial"/>
          <w:color w:val="000000"/>
          <w:sz w:val="24"/>
          <w:szCs w:val="24"/>
          <w:lang w:eastAsia="es-CR"/>
        </w:rPr>
      </w:pPr>
    </w:p>
    <w:p w14:paraId="503F7C0C" w14:textId="515C591D" w:rsidR="00D662BA" w:rsidRPr="0018633E" w:rsidRDefault="00D662BA" w:rsidP="00D662BA">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E</w:t>
      </w:r>
      <w:r w:rsidRPr="0018633E">
        <w:rPr>
          <w:rFonts w:ascii="Book Antiqua" w:eastAsia="Calibri" w:hAnsi="Book Antiqua" w:cs="Arial"/>
          <w:color w:val="000000"/>
          <w:sz w:val="24"/>
          <w:szCs w:val="24"/>
          <w:lang w:eastAsia="es-CR"/>
        </w:rPr>
        <w:t>n 2020, la Dirección de Planificación con colaboración del Juez Gestor en la materia</w:t>
      </w:r>
      <w:r>
        <w:rPr>
          <w:rFonts w:ascii="Book Antiqua" w:eastAsia="Calibri" w:hAnsi="Book Antiqua" w:cs="Arial"/>
          <w:color w:val="000000"/>
          <w:sz w:val="24"/>
          <w:szCs w:val="24"/>
          <w:lang w:eastAsia="es-CR"/>
        </w:rPr>
        <w:t xml:space="preserve"> </w:t>
      </w:r>
      <w:r w:rsidRPr="0018633E">
        <w:rPr>
          <w:rFonts w:ascii="Book Antiqua" w:eastAsia="Calibri" w:hAnsi="Book Antiqua" w:cs="Arial"/>
          <w:color w:val="000000"/>
          <w:sz w:val="24"/>
          <w:szCs w:val="24"/>
          <w:lang w:eastAsia="es-CR"/>
        </w:rPr>
        <w:t xml:space="preserve">se avocó a: </w:t>
      </w:r>
    </w:p>
    <w:p w14:paraId="02382BA4" w14:textId="77777777" w:rsidR="00D662BA" w:rsidRPr="0018633E" w:rsidRDefault="00D662BA"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Revisión y ajustes de las estructuras de trabajo de los Despachos que atienden las materias involucradas con las modificaciones en entrada que surjan a partir de la nueva legislación.</w:t>
      </w:r>
    </w:p>
    <w:p w14:paraId="3FEEE288" w14:textId="77777777" w:rsidR="00D662BA" w:rsidRPr="0018633E" w:rsidRDefault="00D662BA"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 xml:space="preserve">Realización inventarios, y distribución equitativa de circulantes, así como la configuración reparto automático para distribuir equitativamente los asuntos nuevos.  Todo lo anterior también en atención a las recomendaciones de la Contraloría General de la República.  </w:t>
      </w:r>
    </w:p>
    <w:p w14:paraId="4A755ED7" w14:textId="77777777" w:rsidR="00D662BA" w:rsidRPr="0018633E" w:rsidRDefault="00D662BA"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Estandarización de la lista de tareas y ubicaciones entre los juzgados especializados de Pensiones Alimentarias.</w:t>
      </w:r>
    </w:p>
    <w:p w14:paraId="5AC92C9B" w14:textId="77777777" w:rsidR="00D662BA" w:rsidRDefault="00D662BA" w:rsidP="0018633E">
      <w:pPr>
        <w:spacing w:after="0" w:line="276" w:lineRule="auto"/>
        <w:contextualSpacing/>
        <w:jc w:val="both"/>
        <w:rPr>
          <w:rFonts w:ascii="Book Antiqua" w:eastAsia="Calibri" w:hAnsi="Book Antiqua" w:cs="Arial"/>
          <w:color w:val="000000"/>
          <w:sz w:val="24"/>
          <w:szCs w:val="24"/>
          <w:lang w:eastAsia="es-CR"/>
        </w:rPr>
      </w:pPr>
    </w:p>
    <w:p w14:paraId="73D6A912" w14:textId="6C78DD5D" w:rsidR="00D80539" w:rsidRDefault="00D662BA" w:rsidP="0018633E">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En 2021 se emitieron los informes de cierre, </w:t>
      </w:r>
      <w:r w:rsidR="00D80539">
        <w:rPr>
          <w:rFonts w:ascii="Book Antiqua" w:eastAsia="Calibri" w:hAnsi="Book Antiqua" w:cs="Arial"/>
          <w:color w:val="000000"/>
          <w:sz w:val="24"/>
          <w:szCs w:val="24"/>
          <w:lang w:eastAsia="es-CR"/>
        </w:rPr>
        <w:t>resumen lo realizado, calificaciones, planes y recomendaciones emitidas</w:t>
      </w:r>
      <w:r>
        <w:rPr>
          <w:rFonts w:ascii="Book Antiqua" w:eastAsia="Calibri" w:hAnsi="Book Antiqua" w:cs="Arial"/>
          <w:color w:val="000000"/>
          <w:sz w:val="24"/>
          <w:szCs w:val="24"/>
          <w:lang w:eastAsia="es-CR"/>
        </w:rPr>
        <w:t xml:space="preserve">. Por el trámite interno en la Dirección, salen en 2022. </w:t>
      </w:r>
      <w:r w:rsidR="00D80539">
        <w:rPr>
          <w:rFonts w:ascii="Book Antiqua" w:eastAsia="Calibri" w:hAnsi="Book Antiqua" w:cs="Arial"/>
          <w:color w:val="000000"/>
          <w:sz w:val="24"/>
          <w:szCs w:val="24"/>
          <w:lang w:eastAsia="es-CR"/>
        </w:rPr>
        <w:t xml:space="preserve"> </w:t>
      </w:r>
    </w:p>
    <w:p w14:paraId="4D51353D" w14:textId="77777777" w:rsidR="00D80539" w:rsidRDefault="00D80539" w:rsidP="0018633E">
      <w:pPr>
        <w:spacing w:after="0" w:line="276" w:lineRule="auto"/>
        <w:contextualSpacing/>
        <w:jc w:val="both"/>
        <w:rPr>
          <w:rFonts w:ascii="Book Antiqua" w:eastAsia="Calibri" w:hAnsi="Book Antiqua" w:cs="Arial"/>
          <w:color w:val="000000"/>
          <w:sz w:val="24"/>
          <w:szCs w:val="24"/>
          <w:lang w:eastAsia="es-CR"/>
        </w:rPr>
      </w:pPr>
    </w:p>
    <w:p w14:paraId="205731A2" w14:textId="77777777" w:rsidR="009D2CCC" w:rsidRPr="001D0C10" w:rsidRDefault="009D2CCC" w:rsidP="0090609F">
      <w:pPr>
        <w:pStyle w:val="Prrafodelista"/>
        <w:numPr>
          <w:ilvl w:val="0"/>
          <w:numId w:val="40"/>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Informe 6-PLA-MI-2022, relacionado con el cierre del seguimiento efectuado a los Juzgados Especializados de Familia, incorporados en el Proyecto 1374-CF-P01 “Implementación del Código Procesal de Familia”, aprobado por el Consejo Superior en la sesión 7-2022 del 25 de enero de 2022, artículo XXXV.</w:t>
      </w:r>
    </w:p>
    <w:p w14:paraId="4C17CE5F" w14:textId="77777777" w:rsidR="009D2CCC" w:rsidRPr="001D0C10" w:rsidRDefault="009D2CCC" w:rsidP="0090609F">
      <w:pPr>
        <w:pStyle w:val="Prrafodelista"/>
        <w:numPr>
          <w:ilvl w:val="0"/>
          <w:numId w:val="40"/>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 xml:space="preserve">Informe 46-PLA-MI-2022, relacionado con el informe de cierre del seguimiento efectuado a los Juzgados especializados en materia de Pensiones Alimentarias, incorporados en el proyecto 1374-CF-P01 “Implementación del </w:t>
      </w:r>
      <w:r w:rsidRPr="001D0C10">
        <w:rPr>
          <w:rFonts w:ascii="Book Antiqua" w:eastAsia="Calibri" w:hAnsi="Book Antiqua" w:cs="Arial"/>
          <w:color w:val="000000"/>
          <w:sz w:val="24"/>
          <w:szCs w:val="24"/>
          <w:lang w:eastAsia="es-CR"/>
        </w:rPr>
        <w:lastRenderedPageBreak/>
        <w:t>Código Procesal de Familia”, aprobado por el Consejo Superior en la sesión 11-2022 del 8 de febrero de 2022, artículo XXXII.</w:t>
      </w:r>
    </w:p>
    <w:p w14:paraId="4854E708" w14:textId="77777777" w:rsidR="009D2CCC" w:rsidRPr="001D0C10" w:rsidRDefault="009D2CCC" w:rsidP="0090609F">
      <w:pPr>
        <w:pStyle w:val="Prrafodelista"/>
        <w:numPr>
          <w:ilvl w:val="0"/>
          <w:numId w:val="40"/>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Informe 48-PLA-MI-2022, relacionado con el cierre del seguimiento efectuado a los Juzgados de naturaleza mixta con competencia en materia de Familia, incorporados en el Proyecto 1374-CF-P01 “Implementación del Código Procesal de Familia”.</w:t>
      </w:r>
    </w:p>
    <w:p w14:paraId="7C2FF38C" w14:textId="6CD7DFC6" w:rsidR="009D2CCC" w:rsidRDefault="009D2CCC" w:rsidP="0090609F">
      <w:pPr>
        <w:pStyle w:val="Prrafodelista"/>
        <w:numPr>
          <w:ilvl w:val="0"/>
          <w:numId w:val="40"/>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Informe relacionado con el cierre del seguimiento efectuado a los Juzgados Contravencionales de naturaleza mixta con competencia en materia de Pensiones Alimentarias, los cuales fueron incorporados como parte del Proyecto 1374-CF-P01 “Implementación del Código Procesal de Familia”, en revisión.</w:t>
      </w:r>
    </w:p>
    <w:p w14:paraId="30B0AB16" w14:textId="7446E206" w:rsidR="00D662BA" w:rsidRPr="001D0C10" w:rsidRDefault="00D662BA" w:rsidP="0090609F">
      <w:pPr>
        <w:pStyle w:val="Prrafodelista"/>
        <w:numPr>
          <w:ilvl w:val="0"/>
          <w:numId w:val="40"/>
        </w:numPr>
        <w:spacing w:after="0" w:line="276" w:lineRule="auto"/>
        <w:jc w:val="both"/>
        <w:rPr>
          <w:rFonts w:ascii="Book Antiqua" w:eastAsia="Calibri" w:hAnsi="Book Antiqua" w:cs="Arial"/>
          <w:color w:val="000000"/>
          <w:sz w:val="24"/>
          <w:szCs w:val="24"/>
          <w:u w:val="single"/>
          <w:lang w:eastAsia="es-CR"/>
        </w:rPr>
      </w:pPr>
      <w:r w:rsidRPr="001D0C10">
        <w:rPr>
          <w:rFonts w:ascii="Book Antiqua" w:eastAsia="Calibri" w:hAnsi="Book Antiqua" w:cs="Arial"/>
          <w:color w:val="000000"/>
          <w:sz w:val="24"/>
          <w:szCs w:val="24"/>
          <w:u w:val="single"/>
          <w:lang w:eastAsia="es-CR"/>
        </w:rPr>
        <w:t xml:space="preserve">Se encuentra pendiente el informe de cierre del Juzgado de </w:t>
      </w:r>
      <w:r w:rsidR="00AE123B">
        <w:rPr>
          <w:rFonts w:ascii="Book Antiqua" w:eastAsia="Calibri" w:hAnsi="Book Antiqua" w:cs="Arial"/>
          <w:color w:val="000000"/>
          <w:sz w:val="24"/>
          <w:szCs w:val="24"/>
          <w:u w:val="single"/>
          <w:lang w:eastAsia="es-CR"/>
        </w:rPr>
        <w:t xml:space="preserve">Familia, de </w:t>
      </w:r>
      <w:r w:rsidRPr="001D0C10">
        <w:rPr>
          <w:rFonts w:ascii="Book Antiqua" w:eastAsia="Calibri" w:hAnsi="Book Antiqua" w:cs="Arial"/>
          <w:color w:val="000000"/>
          <w:sz w:val="24"/>
          <w:szCs w:val="24"/>
          <w:u w:val="single"/>
          <w:lang w:eastAsia="es-CR"/>
        </w:rPr>
        <w:t xml:space="preserve">Niñez y Adolescencia, Tribunal de Familia y los PISAV. </w:t>
      </w:r>
    </w:p>
    <w:p w14:paraId="17C74C44" w14:textId="77777777" w:rsidR="007F7D79" w:rsidRDefault="007F7D79" w:rsidP="009D2CCC">
      <w:pPr>
        <w:spacing w:after="0" w:line="276" w:lineRule="auto"/>
        <w:contextualSpacing/>
        <w:jc w:val="both"/>
        <w:rPr>
          <w:rFonts w:ascii="Book Antiqua" w:eastAsia="Calibri" w:hAnsi="Book Antiqua" w:cs="Arial"/>
          <w:color w:val="000000"/>
          <w:sz w:val="24"/>
          <w:szCs w:val="24"/>
          <w:lang w:eastAsia="es-CR"/>
        </w:rPr>
      </w:pPr>
    </w:p>
    <w:p w14:paraId="5C99A727" w14:textId="4D322521" w:rsidR="009D2CCC" w:rsidRDefault="009D2CCC" w:rsidP="009D2CCC">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En </w:t>
      </w:r>
      <w:r w:rsidR="00D662BA">
        <w:rPr>
          <w:rFonts w:ascii="Book Antiqua" w:eastAsia="Calibri" w:hAnsi="Book Antiqua" w:cs="Arial"/>
          <w:color w:val="000000"/>
          <w:sz w:val="24"/>
          <w:szCs w:val="24"/>
          <w:lang w:eastAsia="es-CR"/>
        </w:rPr>
        <w:t>los</w:t>
      </w:r>
      <w:r>
        <w:rPr>
          <w:rFonts w:ascii="Book Antiqua" w:eastAsia="Calibri" w:hAnsi="Book Antiqua" w:cs="Arial"/>
          <w:color w:val="000000"/>
          <w:sz w:val="24"/>
          <w:szCs w:val="24"/>
          <w:lang w:eastAsia="es-CR"/>
        </w:rPr>
        <w:t xml:space="preserve"> informes </w:t>
      </w:r>
      <w:r w:rsidR="00D662BA">
        <w:rPr>
          <w:rFonts w:ascii="Book Antiqua" w:eastAsia="Calibri" w:hAnsi="Book Antiqua" w:cs="Arial"/>
          <w:color w:val="000000"/>
          <w:sz w:val="24"/>
          <w:szCs w:val="24"/>
          <w:lang w:eastAsia="es-CR"/>
        </w:rPr>
        <w:t>de cierre se</w:t>
      </w:r>
      <w:r>
        <w:rPr>
          <w:rFonts w:ascii="Book Antiqua" w:eastAsia="Calibri" w:hAnsi="Book Antiqua" w:cs="Arial"/>
          <w:color w:val="000000"/>
          <w:sz w:val="24"/>
          <w:szCs w:val="24"/>
          <w:lang w:eastAsia="es-CR"/>
        </w:rPr>
        <w:t xml:space="preserve"> realizaron las siguientes actividades:</w:t>
      </w:r>
    </w:p>
    <w:p w14:paraId="71EFC9C1" w14:textId="77777777" w:rsidR="009D2CCC" w:rsidRDefault="009D2CCC" w:rsidP="009D2CCC">
      <w:pPr>
        <w:spacing w:after="0" w:line="276" w:lineRule="auto"/>
        <w:contextualSpacing/>
        <w:jc w:val="both"/>
        <w:rPr>
          <w:rFonts w:ascii="Book Antiqua" w:eastAsia="Calibri" w:hAnsi="Book Antiqua" w:cs="Arial"/>
          <w:color w:val="000000"/>
          <w:sz w:val="24"/>
          <w:szCs w:val="24"/>
          <w:lang w:eastAsia="es-CR"/>
        </w:rPr>
      </w:pPr>
    </w:p>
    <w:p w14:paraId="012972B1" w14:textId="2856F81A"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Análisis estadísticos de los juzgados especializados en la</w:t>
      </w:r>
      <w:r w:rsidR="0051552D">
        <w:rPr>
          <w:rFonts w:ascii="Book Antiqua" w:eastAsia="Calibri" w:hAnsi="Book Antiqua" w:cs="Arial"/>
          <w:color w:val="000000"/>
          <w:sz w:val="24"/>
          <w:szCs w:val="24"/>
          <w:lang w:eastAsia="es-CR"/>
        </w:rPr>
        <w:t>s</w:t>
      </w:r>
      <w:r w:rsidRPr="001D0C10">
        <w:rPr>
          <w:rFonts w:ascii="Book Antiqua" w:eastAsia="Calibri" w:hAnsi="Book Antiqua" w:cs="Arial"/>
          <w:color w:val="000000"/>
          <w:sz w:val="24"/>
          <w:szCs w:val="24"/>
          <w:lang w:eastAsia="es-CR"/>
        </w:rPr>
        <w:t xml:space="preserve"> materia</w:t>
      </w:r>
      <w:r w:rsidR="0051552D">
        <w:rPr>
          <w:rFonts w:ascii="Book Antiqua" w:eastAsia="Calibri" w:hAnsi="Book Antiqua" w:cs="Arial"/>
          <w:color w:val="000000"/>
          <w:sz w:val="24"/>
          <w:szCs w:val="24"/>
          <w:lang w:eastAsia="es-CR"/>
        </w:rPr>
        <w:t>s</w:t>
      </w:r>
      <w:r w:rsidRPr="001D0C10">
        <w:rPr>
          <w:rFonts w:ascii="Book Antiqua" w:eastAsia="Calibri" w:hAnsi="Book Antiqua" w:cs="Arial"/>
          <w:color w:val="000000"/>
          <w:sz w:val="24"/>
          <w:szCs w:val="24"/>
          <w:lang w:eastAsia="es-CR"/>
        </w:rPr>
        <w:t xml:space="preserve"> de Famil</w:t>
      </w:r>
      <w:r w:rsidR="0051552D">
        <w:rPr>
          <w:rFonts w:ascii="Book Antiqua" w:eastAsia="Calibri" w:hAnsi="Book Antiqua" w:cs="Arial"/>
          <w:color w:val="000000"/>
          <w:sz w:val="24"/>
          <w:szCs w:val="24"/>
          <w:lang w:eastAsia="es-CR"/>
        </w:rPr>
        <w:t>i</w:t>
      </w:r>
      <w:r w:rsidRPr="001D0C10">
        <w:rPr>
          <w:rFonts w:ascii="Book Antiqua" w:eastAsia="Calibri" w:hAnsi="Book Antiqua" w:cs="Arial"/>
          <w:color w:val="000000"/>
          <w:sz w:val="24"/>
          <w:szCs w:val="24"/>
          <w:lang w:eastAsia="es-CR"/>
        </w:rPr>
        <w:t>a</w:t>
      </w:r>
      <w:r w:rsidR="0051552D">
        <w:rPr>
          <w:rFonts w:ascii="Book Antiqua" w:eastAsia="Calibri" w:hAnsi="Book Antiqua" w:cs="Arial"/>
          <w:color w:val="000000"/>
          <w:sz w:val="24"/>
          <w:szCs w:val="24"/>
          <w:lang w:eastAsia="es-CR"/>
        </w:rPr>
        <w:t>, Pensiones Alimentarias, Mixtos y Contravencionales.</w:t>
      </w:r>
    </w:p>
    <w:p w14:paraId="2E219637" w14:textId="5B6E4C06" w:rsidR="009D2CCC" w:rsidRPr="001D0C10" w:rsidRDefault="00D662BA"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Resumen de la documentación: </w:t>
      </w:r>
      <w:r w:rsidR="009D2CCC" w:rsidRPr="001D0C10">
        <w:rPr>
          <w:rFonts w:ascii="Book Antiqua" w:eastAsia="Calibri" w:hAnsi="Book Antiqua" w:cs="Arial"/>
          <w:color w:val="000000"/>
          <w:sz w:val="24"/>
          <w:szCs w:val="24"/>
          <w:lang w:eastAsia="es-CR"/>
        </w:rPr>
        <w:t xml:space="preserve">Confección de documentos bajo la modalidad </w:t>
      </w:r>
      <w:r w:rsidR="00CA647A">
        <w:rPr>
          <w:rFonts w:ascii="Book Antiqua" w:eastAsia="Calibri" w:hAnsi="Book Antiqua" w:cs="Arial"/>
          <w:color w:val="000000"/>
          <w:sz w:val="24"/>
          <w:szCs w:val="24"/>
          <w:lang w:eastAsia="es-CR"/>
        </w:rPr>
        <w:t>de “</w:t>
      </w:r>
      <w:r w:rsidR="009D2CCC" w:rsidRPr="001D0C10">
        <w:rPr>
          <w:rFonts w:ascii="Book Antiqua" w:eastAsia="Calibri" w:hAnsi="Book Antiqua" w:cs="Arial"/>
          <w:color w:val="000000"/>
          <w:sz w:val="24"/>
          <w:szCs w:val="24"/>
          <w:lang w:eastAsia="es-CR"/>
        </w:rPr>
        <w:t xml:space="preserve">Trámites </w:t>
      </w:r>
      <w:r w:rsidR="00CA647A" w:rsidRPr="00CA647A">
        <w:rPr>
          <w:rFonts w:ascii="Book Antiqua" w:eastAsia="Calibri" w:hAnsi="Book Antiqua" w:cs="Arial"/>
          <w:color w:val="000000"/>
          <w:sz w:val="24"/>
          <w:szCs w:val="24"/>
          <w:lang w:eastAsia="es-CR"/>
        </w:rPr>
        <w:t>Rápi</w:t>
      </w:r>
      <w:r w:rsidR="00CA647A">
        <w:rPr>
          <w:rFonts w:ascii="Book Antiqua" w:eastAsia="Calibri" w:hAnsi="Book Antiqua" w:cs="Arial"/>
          <w:color w:val="000000"/>
          <w:sz w:val="24"/>
          <w:szCs w:val="24"/>
          <w:lang w:eastAsia="es-CR"/>
        </w:rPr>
        <w:t>d</w:t>
      </w:r>
      <w:r w:rsidR="00CA647A" w:rsidRPr="00CA647A">
        <w:rPr>
          <w:rFonts w:ascii="Book Antiqua" w:eastAsia="Calibri" w:hAnsi="Book Antiqua" w:cs="Arial"/>
          <w:color w:val="000000"/>
          <w:sz w:val="24"/>
          <w:szCs w:val="24"/>
          <w:lang w:eastAsia="es-CR"/>
        </w:rPr>
        <w:t>os</w:t>
      </w:r>
      <w:r w:rsidR="009D2CCC" w:rsidRPr="001D0C10">
        <w:rPr>
          <w:rFonts w:ascii="Book Antiqua" w:eastAsia="Calibri" w:hAnsi="Book Antiqua" w:cs="Arial"/>
          <w:color w:val="000000"/>
          <w:sz w:val="24"/>
          <w:szCs w:val="24"/>
          <w:lang w:eastAsia="es-CR"/>
        </w:rPr>
        <w:t>", en los que se realimentó a los despachos con oportunidades de mejora y confección de planes de trabajo específicos para atender la criticidad de los despachos con el fin de estabilizarlos</w:t>
      </w:r>
      <w:r w:rsidR="0051552D">
        <w:rPr>
          <w:rFonts w:ascii="Book Antiqua" w:eastAsia="Calibri" w:hAnsi="Book Antiqua" w:cs="Arial"/>
          <w:color w:val="000000"/>
          <w:sz w:val="24"/>
          <w:szCs w:val="24"/>
          <w:lang w:eastAsia="es-CR"/>
        </w:rPr>
        <w:t>.</w:t>
      </w:r>
    </w:p>
    <w:p w14:paraId="598C925F" w14:textId="77777777"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Análisis integral de los resultados de la matriz de indicadores de gestión basado en el “Modelo de Análisis Integral de Circuitos Judiciales”, que tiene como finalidad generar una visión global del despacho, de la cual se permite identificar la Oficina o Despacho que requiere colaboración prioritaria en un momento determinado o la necesaria ejecución de un plan remedial que corrija situaciones determinadas.</w:t>
      </w:r>
    </w:p>
    <w:p w14:paraId="00D83C6A" w14:textId="77777777"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Identificación de los principales logros de las oficinas en cuanto a disminución de plazos, circulante, porcentajes de rendimiento, entre otros.</w:t>
      </w:r>
    </w:p>
    <w:p w14:paraId="468EDDA8" w14:textId="56A0D86B"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Realización de taller</w:t>
      </w:r>
      <w:r w:rsidR="008F6F25">
        <w:rPr>
          <w:rFonts w:ascii="Book Antiqua" w:eastAsia="Calibri" w:hAnsi="Book Antiqua" w:cs="Arial"/>
          <w:color w:val="000000"/>
          <w:sz w:val="24"/>
          <w:szCs w:val="24"/>
          <w:lang w:eastAsia="es-CR"/>
        </w:rPr>
        <w:t>es</w:t>
      </w:r>
      <w:r w:rsidRPr="001D0C10">
        <w:rPr>
          <w:rFonts w:ascii="Book Antiqua" w:eastAsia="Calibri" w:hAnsi="Book Antiqua" w:cs="Arial"/>
          <w:color w:val="000000"/>
          <w:sz w:val="24"/>
          <w:szCs w:val="24"/>
          <w:lang w:eastAsia="es-CR"/>
        </w:rPr>
        <w:t xml:space="preserve"> a lo interno de la Dirección de Planificación, en el que se involucró a los diferentes profesionales del Modelo de Sostenibilidad, ubicados en las diferentes regiones del país, en los que se identificaron aspectos a mejorar o abordar.</w:t>
      </w:r>
    </w:p>
    <w:p w14:paraId="71DA57D8" w14:textId="27300997"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lastRenderedPageBreak/>
        <w:t xml:space="preserve">Como parte del seguimiento a las matrices de indicadores de gestión, se detectaron oportunidades de mejora por lo que se realizaron ajustes a estas, lo anterior, </w:t>
      </w:r>
      <w:r w:rsidR="008F6F25">
        <w:rPr>
          <w:rFonts w:ascii="Book Antiqua" w:eastAsia="Calibri" w:hAnsi="Book Antiqua" w:cs="Arial"/>
          <w:color w:val="000000"/>
          <w:sz w:val="24"/>
          <w:szCs w:val="24"/>
          <w:lang w:eastAsia="es-CR"/>
        </w:rPr>
        <w:t>con el</w:t>
      </w:r>
      <w:r w:rsidRPr="001D0C10">
        <w:rPr>
          <w:rFonts w:ascii="Book Antiqua" w:eastAsia="Calibri" w:hAnsi="Book Antiqua" w:cs="Arial"/>
          <w:color w:val="000000"/>
          <w:sz w:val="24"/>
          <w:szCs w:val="24"/>
          <w:lang w:eastAsia="es-CR"/>
        </w:rPr>
        <w:t xml:space="preserve"> compromiso </w:t>
      </w:r>
      <w:r w:rsidR="008F6F25">
        <w:rPr>
          <w:rFonts w:ascii="Book Antiqua" w:eastAsia="Calibri" w:hAnsi="Book Antiqua" w:cs="Arial"/>
          <w:color w:val="000000"/>
          <w:sz w:val="24"/>
          <w:szCs w:val="24"/>
          <w:lang w:eastAsia="es-CR"/>
        </w:rPr>
        <w:t>de</w:t>
      </w:r>
      <w:r w:rsidRPr="001D0C10">
        <w:rPr>
          <w:rFonts w:ascii="Book Antiqua" w:eastAsia="Calibri" w:hAnsi="Book Antiqua" w:cs="Arial"/>
          <w:color w:val="000000"/>
          <w:sz w:val="24"/>
          <w:szCs w:val="24"/>
          <w:lang w:eastAsia="es-CR"/>
        </w:rPr>
        <w:t xml:space="preserve"> la mejora continua de los servicios que se brindan a nivel institucional, con la finalidad de mejorar la calidad y cantidad de la información.</w:t>
      </w:r>
    </w:p>
    <w:p w14:paraId="6068FAF1" w14:textId="3ACAFB03"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Se realizó una sesión con los despachos especializados de Familia</w:t>
      </w:r>
      <w:r w:rsidR="008F6F25">
        <w:rPr>
          <w:rFonts w:ascii="Book Antiqua" w:eastAsia="Calibri" w:hAnsi="Book Antiqua" w:cs="Arial"/>
          <w:color w:val="000000"/>
          <w:sz w:val="24"/>
          <w:szCs w:val="24"/>
          <w:lang w:eastAsia="es-CR"/>
        </w:rPr>
        <w:t>, Pensiones Alimentarias, Mixtos y Contravencionales</w:t>
      </w:r>
      <w:r w:rsidRPr="001D0C10">
        <w:rPr>
          <w:rFonts w:ascii="Book Antiqua" w:eastAsia="Calibri" w:hAnsi="Book Antiqua" w:cs="Arial"/>
          <w:color w:val="000000"/>
          <w:sz w:val="24"/>
          <w:szCs w:val="24"/>
          <w:lang w:eastAsia="es-CR"/>
        </w:rPr>
        <w:t xml:space="preserve"> en la que se capacitó en los cambios realizados a la matriz de indicadores de gestión, lo cual también fue comunicado mediante correo electrónico.</w:t>
      </w:r>
    </w:p>
    <w:p w14:paraId="366FEAF5" w14:textId="6B9F63C5" w:rsidR="009D2CCC" w:rsidRPr="001D0C10"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En línea con lo establecido en el Modelo de Seguimiento y Sostenibilidad de los Proyectos de Rediseño, una vez concluida esta fase de implementación y seguimiento por parte del Subproceso de Modernización Institucional, el seguimiento continuará por los profesionales del Modelo de Sostenibilidad del Subproceso de Evaluación de la Dirección de Planificación.</w:t>
      </w:r>
    </w:p>
    <w:p w14:paraId="4659102B" w14:textId="2D076B21" w:rsidR="00D662BA" w:rsidRDefault="009D2CCC"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Se analizaron aspectos relevantes en algunos despachos.</w:t>
      </w:r>
    </w:p>
    <w:p w14:paraId="156BAE67" w14:textId="6F4A79F3" w:rsidR="008F6F25" w:rsidRPr="001D0C10" w:rsidRDefault="0051552D" w:rsidP="0090609F">
      <w:pPr>
        <w:pStyle w:val="Prrafodelista"/>
        <w:numPr>
          <w:ilvl w:val="0"/>
          <w:numId w:val="39"/>
        </w:numPr>
        <w:spacing w:after="0" w:line="276" w:lineRule="auto"/>
        <w:jc w:val="both"/>
        <w:rPr>
          <w:rFonts w:ascii="Book Antiqua" w:eastAsia="Calibri" w:hAnsi="Book Antiqua" w:cs="Arial"/>
          <w:color w:val="000000"/>
          <w:sz w:val="24"/>
          <w:szCs w:val="24"/>
          <w:lang w:eastAsia="es-CR"/>
        </w:rPr>
      </w:pPr>
      <w:r w:rsidRPr="001D0C10">
        <w:rPr>
          <w:rFonts w:ascii="Book Antiqua" w:eastAsia="Calibri" w:hAnsi="Book Antiqua" w:cs="Arial"/>
          <w:color w:val="000000"/>
          <w:sz w:val="24"/>
          <w:szCs w:val="24"/>
          <w:lang w:eastAsia="es-CR"/>
        </w:rPr>
        <w:t xml:space="preserve">Se emitieron recomendaciones al Consejo Superior, a los Juzgados, al </w:t>
      </w:r>
      <w:r w:rsidR="008F6F25" w:rsidRPr="001D0C10">
        <w:rPr>
          <w:rFonts w:ascii="Book Antiqua" w:eastAsia="Calibri" w:hAnsi="Book Antiqua" w:cs="Arial"/>
          <w:color w:val="000000"/>
          <w:sz w:val="24"/>
          <w:szCs w:val="24"/>
          <w:lang w:eastAsia="es-CR"/>
        </w:rPr>
        <w:t xml:space="preserve">a la Comisión de Familia, al </w:t>
      </w:r>
      <w:r w:rsidRPr="001D0C10">
        <w:rPr>
          <w:rFonts w:ascii="Book Antiqua" w:eastAsia="Calibri" w:hAnsi="Book Antiqua" w:cs="Arial"/>
          <w:color w:val="000000"/>
          <w:sz w:val="24"/>
          <w:szCs w:val="24"/>
          <w:lang w:eastAsia="es-CR"/>
        </w:rPr>
        <w:t>CACMFJ,</w:t>
      </w:r>
      <w:r w:rsidR="008F6F25" w:rsidRPr="001D0C10">
        <w:rPr>
          <w:rFonts w:ascii="Book Antiqua" w:eastAsia="Calibri" w:hAnsi="Book Antiqua" w:cs="Arial"/>
          <w:color w:val="000000"/>
          <w:sz w:val="24"/>
          <w:szCs w:val="24"/>
          <w:lang w:eastAsia="es-CR"/>
        </w:rPr>
        <w:t xml:space="preserve"> a las Administraciones Regionales de los distintos circuitos judiciales a nivel nacional, entre otro.</w:t>
      </w:r>
    </w:p>
    <w:p w14:paraId="396645B9" w14:textId="5453297E" w:rsidR="0051552D" w:rsidRPr="001D0C10" w:rsidRDefault="0051552D" w:rsidP="001D0C10">
      <w:pPr>
        <w:pStyle w:val="Prrafodelista"/>
        <w:spacing w:after="0" w:line="276" w:lineRule="auto"/>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 </w:t>
      </w:r>
    </w:p>
    <w:p w14:paraId="677D4735" w14:textId="16A0991C" w:rsidR="00AC61FA" w:rsidRDefault="00D662BA" w:rsidP="0018633E">
      <w:pPr>
        <w:spacing w:after="0" w:line="276" w:lineRule="auto"/>
        <w:contextualSpacing/>
        <w:jc w:val="both"/>
        <w:rPr>
          <w:rFonts w:ascii="Book Antiqua" w:eastAsia="Calibri" w:hAnsi="Book Antiqua" w:cs="Arial"/>
          <w:color w:val="000000"/>
          <w:sz w:val="24"/>
          <w:szCs w:val="24"/>
          <w:lang w:eastAsia="es-CR"/>
        </w:rPr>
      </w:pPr>
      <w:r w:rsidRPr="001D0C10">
        <w:rPr>
          <w:rFonts w:ascii="Book Antiqua" w:eastAsia="Calibri" w:hAnsi="Book Antiqua" w:cs="Arial"/>
          <w:b/>
          <w:bCs/>
          <w:color w:val="000000"/>
          <w:sz w:val="24"/>
          <w:szCs w:val="24"/>
          <w:lang w:eastAsia="es-CR"/>
        </w:rPr>
        <w:t>También, d</w:t>
      </w:r>
      <w:r w:rsidR="00D80539" w:rsidRPr="001D0C10">
        <w:rPr>
          <w:rFonts w:ascii="Book Antiqua" w:eastAsia="Calibri" w:hAnsi="Book Antiqua" w:cs="Arial"/>
          <w:b/>
          <w:bCs/>
          <w:color w:val="000000"/>
          <w:sz w:val="24"/>
          <w:szCs w:val="24"/>
          <w:lang w:eastAsia="es-CR"/>
        </w:rPr>
        <w:t xml:space="preserve">urante </w:t>
      </w:r>
      <w:r w:rsidR="0018633E" w:rsidRPr="001D0C10">
        <w:rPr>
          <w:rFonts w:ascii="Book Antiqua" w:eastAsia="Calibri" w:hAnsi="Book Antiqua" w:cs="Arial"/>
          <w:b/>
          <w:bCs/>
          <w:color w:val="000000"/>
          <w:sz w:val="24"/>
          <w:szCs w:val="24"/>
          <w:lang w:eastAsia="es-CR"/>
        </w:rPr>
        <w:t>2021</w:t>
      </w:r>
      <w:r w:rsidR="0018633E" w:rsidRPr="0018633E">
        <w:rPr>
          <w:rFonts w:ascii="Book Antiqua" w:eastAsia="Calibri" w:hAnsi="Book Antiqua" w:cs="Arial"/>
          <w:color w:val="000000"/>
          <w:sz w:val="24"/>
          <w:szCs w:val="24"/>
          <w:lang w:eastAsia="es-CR"/>
        </w:rPr>
        <w:t xml:space="preserve"> se le</w:t>
      </w:r>
      <w:r w:rsidR="00B75652">
        <w:rPr>
          <w:rFonts w:ascii="Book Antiqua" w:eastAsia="Calibri" w:hAnsi="Book Antiqua" w:cs="Arial"/>
          <w:color w:val="000000"/>
          <w:sz w:val="24"/>
          <w:szCs w:val="24"/>
          <w:lang w:eastAsia="es-CR"/>
        </w:rPr>
        <w:t xml:space="preserve"> dio</w:t>
      </w:r>
      <w:r w:rsidR="0018633E" w:rsidRPr="0018633E">
        <w:rPr>
          <w:rFonts w:ascii="Book Antiqua" w:eastAsia="Calibri" w:hAnsi="Book Antiqua" w:cs="Arial"/>
          <w:color w:val="000000"/>
          <w:sz w:val="24"/>
          <w:szCs w:val="24"/>
          <w:lang w:eastAsia="es-CR"/>
        </w:rPr>
        <w:t xml:space="preserve"> seguimiento a cada una de las 106 oficinas competentes en materia de Familia y Pensiones Alimentarias</w:t>
      </w:r>
      <w:r w:rsidR="00D80539">
        <w:rPr>
          <w:rFonts w:ascii="Book Antiqua" w:eastAsia="Calibri" w:hAnsi="Book Antiqua" w:cs="Arial"/>
          <w:color w:val="000000"/>
          <w:sz w:val="24"/>
          <w:szCs w:val="24"/>
          <w:lang w:eastAsia="es-CR"/>
        </w:rPr>
        <w:t xml:space="preserve">, </w:t>
      </w:r>
      <w:r w:rsidR="00A53FD9">
        <w:rPr>
          <w:rFonts w:ascii="Book Antiqua" w:eastAsia="Calibri" w:hAnsi="Book Antiqua" w:cs="Arial"/>
          <w:color w:val="000000"/>
          <w:sz w:val="24"/>
          <w:szCs w:val="24"/>
          <w:lang w:eastAsia="es-CR"/>
        </w:rPr>
        <w:t>así como el seguimiento que se mantiene a la fecha para asegurar e</w:t>
      </w:r>
      <w:r w:rsidR="00D80539">
        <w:rPr>
          <w:rFonts w:ascii="Book Antiqua" w:eastAsia="Calibri" w:hAnsi="Book Antiqua" w:cs="Arial"/>
          <w:color w:val="000000"/>
          <w:sz w:val="24"/>
          <w:szCs w:val="24"/>
          <w:lang w:eastAsia="es-CR"/>
        </w:rPr>
        <w:t>l cumplimiento de los entregables del proyecto</w:t>
      </w:r>
      <w:r w:rsidR="00AC61FA">
        <w:rPr>
          <w:rFonts w:ascii="Book Antiqua" w:eastAsia="Calibri" w:hAnsi="Book Antiqua" w:cs="Arial"/>
          <w:color w:val="000000"/>
          <w:sz w:val="24"/>
          <w:szCs w:val="24"/>
          <w:lang w:eastAsia="es-CR"/>
        </w:rPr>
        <w:t xml:space="preserve">, que presenta un </w:t>
      </w:r>
      <w:r w:rsidR="00391C8F">
        <w:rPr>
          <w:rFonts w:ascii="Book Antiqua" w:eastAsia="Calibri" w:hAnsi="Book Antiqua" w:cs="Arial"/>
          <w:color w:val="000000"/>
          <w:sz w:val="24"/>
          <w:szCs w:val="24"/>
          <w:lang w:eastAsia="es-CR"/>
        </w:rPr>
        <w:t>85</w:t>
      </w:r>
      <w:r w:rsidR="00AC61FA">
        <w:rPr>
          <w:rFonts w:ascii="Book Antiqua" w:eastAsia="Calibri" w:hAnsi="Book Antiqua" w:cs="Arial"/>
          <w:color w:val="000000"/>
          <w:sz w:val="24"/>
          <w:szCs w:val="24"/>
          <w:lang w:eastAsia="es-CR"/>
        </w:rPr>
        <w:t>% de avance</w:t>
      </w:r>
      <w:r w:rsidR="009E1C03">
        <w:rPr>
          <w:rFonts w:ascii="Book Antiqua" w:eastAsia="Calibri" w:hAnsi="Book Antiqua" w:cs="Arial"/>
          <w:color w:val="000000"/>
          <w:sz w:val="24"/>
          <w:szCs w:val="24"/>
          <w:lang w:eastAsia="es-CR"/>
        </w:rPr>
        <w:t xml:space="preserve"> a </w:t>
      </w:r>
      <w:r w:rsidR="00391C8F">
        <w:rPr>
          <w:rFonts w:ascii="Book Antiqua" w:eastAsia="Calibri" w:hAnsi="Book Antiqua" w:cs="Arial"/>
          <w:color w:val="000000"/>
          <w:sz w:val="24"/>
          <w:szCs w:val="24"/>
          <w:lang w:eastAsia="es-CR"/>
        </w:rPr>
        <w:t>marzo</w:t>
      </w:r>
      <w:r w:rsidR="009E1C03">
        <w:rPr>
          <w:rFonts w:ascii="Book Antiqua" w:eastAsia="Calibri" w:hAnsi="Book Antiqua" w:cs="Arial"/>
          <w:color w:val="000000"/>
          <w:sz w:val="24"/>
          <w:szCs w:val="24"/>
          <w:lang w:eastAsia="es-CR"/>
        </w:rPr>
        <w:t xml:space="preserve"> 2022</w:t>
      </w:r>
      <w:r w:rsidR="00AC61FA">
        <w:rPr>
          <w:rFonts w:ascii="Book Antiqua" w:eastAsia="Calibri" w:hAnsi="Book Antiqua" w:cs="Arial"/>
          <w:color w:val="000000"/>
          <w:sz w:val="24"/>
          <w:szCs w:val="24"/>
          <w:lang w:eastAsia="es-CR"/>
        </w:rPr>
        <w:t>, según consta en el sitio del proyecto</w:t>
      </w:r>
      <w:r w:rsidR="00D80539">
        <w:rPr>
          <w:rFonts w:ascii="Book Antiqua" w:eastAsia="Calibri" w:hAnsi="Book Antiqua" w:cs="Arial"/>
          <w:color w:val="000000"/>
          <w:sz w:val="24"/>
          <w:szCs w:val="24"/>
          <w:lang w:eastAsia="es-CR"/>
        </w:rPr>
        <w:t>.</w:t>
      </w:r>
    </w:p>
    <w:p w14:paraId="0C3C9547" w14:textId="77777777" w:rsidR="00AC61FA" w:rsidRDefault="00AC61FA" w:rsidP="0018633E">
      <w:pPr>
        <w:spacing w:after="0" w:line="276" w:lineRule="auto"/>
        <w:contextualSpacing/>
        <w:jc w:val="both"/>
        <w:rPr>
          <w:rFonts w:ascii="Book Antiqua" w:eastAsia="Calibri" w:hAnsi="Book Antiqua" w:cs="Arial"/>
          <w:color w:val="000000"/>
          <w:sz w:val="24"/>
          <w:szCs w:val="24"/>
          <w:lang w:eastAsia="es-CR"/>
        </w:rPr>
      </w:pPr>
    </w:p>
    <w:tbl>
      <w:tblPr>
        <w:tblW w:w="8920" w:type="dxa"/>
        <w:jc w:val="center"/>
        <w:tblCellMar>
          <w:left w:w="0" w:type="dxa"/>
          <w:right w:w="0" w:type="dxa"/>
        </w:tblCellMar>
        <w:tblLook w:val="04A0" w:firstRow="1" w:lastRow="0" w:firstColumn="1" w:lastColumn="0" w:noHBand="0" w:noVBand="1"/>
      </w:tblPr>
      <w:tblGrid>
        <w:gridCol w:w="642"/>
        <w:gridCol w:w="5492"/>
        <w:gridCol w:w="1924"/>
        <w:gridCol w:w="862"/>
      </w:tblGrid>
      <w:tr w:rsidR="00AC61FA" w:rsidRPr="00391C8F" w14:paraId="124B4E53" w14:textId="77777777" w:rsidTr="001D0C10">
        <w:trPr>
          <w:trHeight w:val="294"/>
          <w:jc w:val="center"/>
        </w:trPr>
        <w:tc>
          <w:tcPr>
            <w:tcW w:w="642" w:type="dxa"/>
            <w:vMerge w:val="restart"/>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7E82219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COD</w:t>
            </w:r>
          </w:p>
        </w:tc>
        <w:tc>
          <w:tcPr>
            <w:tcW w:w="5492" w:type="dxa"/>
            <w:vMerge w:val="restart"/>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61507B8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Productos Entregables</w:t>
            </w:r>
          </w:p>
        </w:tc>
        <w:tc>
          <w:tcPr>
            <w:tcW w:w="2786" w:type="dxa"/>
            <w:gridSpan w:val="2"/>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67A078E8"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Estado del entregable</w:t>
            </w:r>
          </w:p>
        </w:tc>
      </w:tr>
      <w:tr w:rsidR="00AC61FA" w:rsidRPr="00391C8F" w14:paraId="09D43E7D" w14:textId="77777777" w:rsidTr="001D0C10">
        <w:trPr>
          <w:trHeight w:val="595"/>
          <w:jc w:val="center"/>
        </w:trPr>
        <w:tc>
          <w:tcPr>
            <w:tcW w:w="0" w:type="auto"/>
            <w:vMerge/>
            <w:tcBorders>
              <w:top w:val="dotted" w:sz="8" w:space="0" w:color="000000"/>
              <w:left w:val="dotted" w:sz="8" w:space="0" w:color="000000"/>
              <w:bottom w:val="dotted" w:sz="8" w:space="0" w:color="000000"/>
              <w:right w:val="dotted" w:sz="8" w:space="0" w:color="000000"/>
            </w:tcBorders>
            <w:vAlign w:val="center"/>
            <w:hideMark/>
          </w:tcPr>
          <w:p w14:paraId="6E088B29"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p>
        </w:tc>
        <w:tc>
          <w:tcPr>
            <w:tcW w:w="0" w:type="auto"/>
            <w:vMerge/>
            <w:tcBorders>
              <w:top w:val="dotted" w:sz="8" w:space="0" w:color="000000"/>
              <w:left w:val="dotted" w:sz="8" w:space="0" w:color="000000"/>
              <w:bottom w:val="dotted" w:sz="8" w:space="0" w:color="000000"/>
              <w:right w:val="dotted" w:sz="8" w:space="0" w:color="000000"/>
            </w:tcBorders>
            <w:vAlign w:val="center"/>
            <w:hideMark/>
          </w:tcPr>
          <w:p w14:paraId="58CF88E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p>
        </w:tc>
        <w:tc>
          <w:tcPr>
            <w:tcW w:w="1924" w:type="dxa"/>
            <w:tcBorders>
              <w:top w:val="dotted" w:sz="8" w:space="0" w:color="000000"/>
              <w:left w:val="dotted" w:sz="8" w:space="0" w:color="000000"/>
              <w:bottom w:val="dotted" w:sz="8" w:space="0" w:color="000000"/>
              <w:right w:val="dotted" w:sz="8" w:space="0" w:color="000000"/>
            </w:tcBorders>
            <w:shd w:val="clear" w:color="auto" w:fill="D9E2F3"/>
            <w:tcMar>
              <w:top w:w="15" w:type="dxa"/>
              <w:left w:w="37" w:type="dxa"/>
              <w:bottom w:w="0" w:type="dxa"/>
              <w:right w:w="37" w:type="dxa"/>
            </w:tcMar>
            <w:vAlign w:val="center"/>
            <w:hideMark/>
          </w:tcPr>
          <w:p w14:paraId="2CC3B3B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Estado</w:t>
            </w:r>
          </w:p>
        </w:tc>
        <w:tc>
          <w:tcPr>
            <w:tcW w:w="862" w:type="dxa"/>
            <w:tcBorders>
              <w:top w:val="dotted" w:sz="8" w:space="0" w:color="000000"/>
              <w:left w:val="dotted" w:sz="8" w:space="0" w:color="000000"/>
              <w:bottom w:val="dotted" w:sz="8" w:space="0" w:color="000000"/>
              <w:right w:val="dotted" w:sz="8" w:space="0" w:color="000000"/>
            </w:tcBorders>
            <w:shd w:val="clear" w:color="auto" w:fill="D9E2F3"/>
            <w:tcMar>
              <w:top w:w="15" w:type="dxa"/>
              <w:left w:w="37" w:type="dxa"/>
              <w:bottom w:w="0" w:type="dxa"/>
              <w:right w:w="37" w:type="dxa"/>
            </w:tcMar>
            <w:vAlign w:val="center"/>
            <w:hideMark/>
          </w:tcPr>
          <w:p w14:paraId="6AD1B33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 de avance</w:t>
            </w:r>
          </w:p>
        </w:tc>
      </w:tr>
      <w:tr w:rsidR="00AC61FA" w:rsidRPr="00391C8F" w14:paraId="09AE0EE8" w14:textId="77777777" w:rsidTr="001D0C10">
        <w:trPr>
          <w:trHeight w:val="897"/>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E6DF33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B193CF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Certificación de implementación de las recomendaciones de la Contraloría General de la República en materia de Familia y Pensiones</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245508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82E7792"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37998719"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57E9F3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3.2</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5AEDF05"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Formatos jurídicos, asociados a cada fase y estado a utilizar con el nuevo CPC</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0AE74CA"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FC36F80"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5174E147"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7E09ED4"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3.3.</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F39EF34"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Fórmulas estadísticas FA, PA, VD tareas y ubicaciones a utilizar con el CPF</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0C9A5C9C"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proceso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8DF816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88%</w:t>
            </w:r>
          </w:p>
        </w:tc>
      </w:tr>
      <w:tr w:rsidR="00AC61FA" w:rsidRPr="00391C8F" w14:paraId="39E42EA8"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BF340D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lastRenderedPageBreak/>
              <w:t>3.4</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E0BBFC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con propuesta de Juzgados de asuntos sumarios por Ministerio de Ley</w:t>
            </w:r>
          </w:p>
        </w:tc>
        <w:tc>
          <w:tcPr>
            <w:tcW w:w="1924" w:type="dxa"/>
            <w:tcBorders>
              <w:top w:val="dotted" w:sz="8" w:space="0" w:color="000000"/>
              <w:left w:val="dotted" w:sz="8" w:space="0" w:color="000000"/>
              <w:bottom w:val="dotted" w:sz="8" w:space="0" w:color="000000"/>
              <w:right w:val="dotted" w:sz="8" w:space="0" w:color="000000"/>
            </w:tcBorders>
            <w:shd w:val="clear" w:color="auto" w:fill="4F81BD"/>
            <w:tcMar>
              <w:top w:w="15" w:type="dxa"/>
              <w:left w:w="37" w:type="dxa"/>
              <w:bottom w:w="0" w:type="dxa"/>
              <w:right w:w="37" w:type="dxa"/>
            </w:tcMar>
            <w:hideMark/>
          </w:tcPr>
          <w:p w14:paraId="73C984FE"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Pendiente de iniciar</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4FFF199"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0%</w:t>
            </w:r>
          </w:p>
        </w:tc>
      </w:tr>
      <w:tr w:rsidR="00AC61FA" w:rsidRPr="00391C8F" w14:paraId="6B442C70"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1DEC617"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3.5</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A6218C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Cambio nombre oficinas de VD a nivel nacional/SIGA PJ y RP</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005D5B8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88CC3E7"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737058B7"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169C3C0"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3.6</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1875A9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Emisión directrices oficinas sobre el uso obligatorio de sistemas</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00AA40E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E887154"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1A76A473" w14:textId="77777777" w:rsidTr="001D0C10">
        <w:trPr>
          <w:trHeight w:val="74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8084879"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3.7</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0D1200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Emisión directrices de readecuación procesos, reglas prácticas y nueva forma de tramitación CPF</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1C7613F"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8EA958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7F59BF41"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48F8BC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3.8</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1F2D78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Minuta de acuerdo-enlaces con instituciones</w:t>
            </w:r>
          </w:p>
          <w:p w14:paraId="7C43BF7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participes procesos CPF</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E144AFC"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B8D85FA"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2643F586"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10B0F22"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3.9</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0506232"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de la Implantación de EV y mejoras a nivel de sistemas para CPF</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6D3DFA5"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937A1B9"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1CE71B50"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82EDBD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3.10</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8B39500"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de readecuación perfiles y gestión del cambio y evaluación DGH</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7C68040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proceso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D706BDF"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77%</w:t>
            </w:r>
          </w:p>
        </w:tc>
      </w:tr>
      <w:tr w:rsidR="00AC61FA" w:rsidRPr="00391C8F" w14:paraId="584E727D"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90F829C"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3.11</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3127D8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de resultados del plan de descongestionamiento</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476587BE"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D15619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490E2A6C"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48B16E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3.12</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6FB630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 xml:space="preserve">Informe Dirección Ejecutiva, diagnóstico de áreas infantiles </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2513EB9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841380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63B01D4F" w14:textId="77777777" w:rsidTr="001D0C10">
        <w:trPr>
          <w:trHeight w:val="29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F7E4395"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3.13</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9F37681"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de la EJ capacitación en CPF</w:t>
            </w:r>
          </w:p>
        </w:tc>
        <w:tc>
          <w:tcPr>
            <w:tcW w:w="1924"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3C1628BA"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92536B2"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5AD7CF4D" w14:textId="77777777" w:rsidTr="001D0C10">
        <w:trPr>
          <w:trHeight w:val="596"/>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66146F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3.14</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CEBBDA9"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Campaña de divulgación de los principales cambios (Prensa).</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4AD7A6BB"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proceso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E241F76"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12%</w:t>
            </w:r>
          </w:p>
        </w:tc>
      </w:tr>
      <w:tr w:rsidR="00AC61FA" w:rsidRPr="00391C8F" w14:paraId="6DEF0314"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438AA38"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3.15</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CE6F9BE"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Informe Contraloría, afiches y acercamiento CPU</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3407A7DE"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proceso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4BFD22E" w14:textId="11042EF4" w:rsidR="00AC61FA" w:rsidRPr="001D0C10" w:rsidRDefault="000F5376" w:rsidP="00AC61FA">
            <w:pPr>
              <w:spacing w:after="0" w:line="276" w:lineRule="auto"/>
              <w:contextualSpacing/>
              <w:jc w:val="both"/>
              <w:rPr>
                <w:rFonts w:ascii="Book Antiqua" w:eastAsia="Calibri" w:hAnsi="Book Antiqua" w:cs="Arial"/>
                <w:color w:val="000000"/>
                <w:sz w:val="20"/>
                <w:szCs w:val="20"/>
                <w:lang w:eastAsia="es-CR"/>
              </w:rPr>
            </w:pPr>
            <w:r>
              <w:rPr>
                <w:rFonts w:ascii="Book Antiqua" w:eastAsia="Calibri" w:hAnsi="Book Antiqua" w:cs="Arial"/>
                <w:color w:val="000000"/>
                <w:sz w:val="20"/>
                <w:szCs w:val="20"/>
                <w:lang w:eastAsia="es-CR"/>
              </w:rPr>
              <w:t>29</w:t>
            </w:r>
            <w:r w:rsidR="00AC61FA" w:rsidRPr="001D0C10">
              <w:rPr>
                <w:rFonts w:ascii="Book Antiqua" w:eastAsia="Calibri" w:hAnsi="Book Antiqua" w:cs="Arial"/>
                <w:color w:val="000000"/>
                <w:sz w:val="20"/>
                <w:szCs w:val="20"/>
                <w:lang w:eastAsia="es-CR"/>
              </w:rPr>
              <w:t>%</w:t>
            </w:r>
          </w:p>
        </w:tc>
      </w:tr>
      <w:tr w:rsidR="00AC61FA" w:rsidRPr="00391C8F" w14:paraId="28E7A7A6"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5560457"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b/>
                <w:bCs/>
                <w:color w:val="000000"/>
                <w:sz w:val="20"/>
                <w:szCs w:val="20"/>
                <w:lang w:eastAsia="es-CR"/>
              </w:rPr>
              <w:t>3.16</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FF12AA3"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Resultado plan descongestionamiento 2021</w:t>
            </w:r>
          </w:p>
        </w:tc>
        <w:tc>
          <w:tcPr>
            <w:tcW w:w="1924" w:type="dxa"/>
            <w:tcBorders>
              <w:top w:val="dotted" w:sz="8" w:space="0" w:color="000000"/>
              <w:left w:val="dotted" w:sz="8" w:space="0" w:color="000000"/>
              <w:bottom w:val="dotted" w:sz="8" w:space="0" w:color="000000"/>
              <w:right w:val="dotted" w:sz="8" w:space="0" w:color="000000"/>
            </w:tcBorders>
            <w:shd w:val="clear" w:color="auto" w:fill="FFFFFF"/>
            <w:tcMar>
              <w:top w:w="15" w:type="dxa"/>
              <w:left w:w="37" w:type="dxa"/>
              <w:bottom w:w="0" w:type="dxa"/>
              <w:right w:w="37" w:type="dxa"/>
            </w:tcMar>
            <w:hideMark/>
          </w:tcPr>
          <w:p w14:paraId="71FD8F6C"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77404C4"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AC61FA" w:rsidRPr="00391C8F" w14:paraId="6AA26AEC"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A1759FA" w14:textId="77777777" w:rsidR="00AC61FA" w:rsidRPr="001D0C10" w:rsidRDefault="00AC61FA" w:rsidP="00AC61FA">
            <w:pPr>
              <w:spacing w:after="0" w:line="276" w:lineRule="auto"/>
              <w:contextualSpacing/>
              <w:jc w:val="both"/>
              <w:rPr>
                <w:rFonts w:ascii="Book Antiqua" w:eastAsia="Calibri" w:hAnsi="Book Antiqua" w:cs="Arial"/>
                <w:b/>
                <w:bCs/>
                <w:color w:val="000000"/>
                <w:sz w:val="20"/>
                <w:szCs w:val="20"/>
                <w:lang w:eastAsia="es-CR"/>
              </w:rPr>
            </w:pPr>
            <w:r w:rsidRPr="001D0C10">
              <w:rPr>
                <w:rFonts w:ascii="Book Antiqua" w:eastAsia="Calibri" w:hAnsi="Book Antiqua" w:cs="Arial"/>
                <w:b/>
                <w:bCs/>
                <w:color w:val="000000"/>
                <w:sz w:val="20"/>
                <w:szCs w:val="20"/>
                <w:lang w:eastAsia="es-CR"/>
              </w:rPr>
              <w:t>3.17</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CE3C162"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Resultado plan capacitación Escuela Judicial 2021</w:t>
            </w:r>
          </w:p>
        </w:tc>
        <w:tc>
          <w:tcPr>
            <w:tcW w:w="1924" w:type="dxa"/>
            <w:tcBorders>
              <w:top w:val="dotted" w:sz="8" w:space="0" w:color="000000"/>
              <w:left w:val="dotted" w:sz="8" w:space="0" w:color="000000"/>
              <w:bottom w:val="dotted" w:sz="8" w:space="0" w:color="000000"/>
              <w:right w:val="dotted" w:sz="8" w:space="0" w:color="000000"/>
            </w:tcBorders>
            <w:shd w:val="clear" w:color="auto" w:fill="FFFFFF"/>
            <w:tcMar>
              <w:top w:w="15" w:type="dxa"/>
              <w:left w:w="37" w:type="dxa"/>
              <w:bottom w:w="0" w:type="dxa"/>
              <w:right w:w="37" w:type="dxa"/>
            </w:tcMar>
            <w:hideMark/>
          </w:tcPr>
          <w:p w14:paraId="587EA637"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Completado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DBB6F1D" w14:textId="77777777" w:rsidR="00AC61FA" w:rsidRPr="001D0C10" w:rsidRDefault="00AC61FA" w:rsidP="00AC61FA">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100%</w:t>
            </w:r>
          </w:p>
        </w:tc>
      </w:tr>
      <w:tr w:rsidR="00391C8F" w:rsidRPr="00391C8F" w14:paraId="246B584E"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0CBD287D" w14:textId="2288C627" w:rsidR="00391C8F" w:rsidRPr="00391C8F" w:rsidRDefault="00391C8F" w:rsidP="00391C8F">
            <w:pPr>
              <w:spacing w:after="0" w:line="276" w:lineRule="auto"/>
              <w:contextualSpacing/>
              <w:jc w:val="both"/>
              <w:rPr>
                <w:rFonts w:ascii="Book Antiqua" w:eastAsia="Calibri" w:hAnsi="Book Antiqua" w:cs="Arial"/>
                <w:b/>
                <w:bCs/>
                <w:color w:val="000000"/>
                <w:sz w:val="20"/>
                <w:szCs w:val="20"/>
                <w:lang w:eastAsia="es-CR"/>
              </w:rPr>
            </w:pPr>
            <w:r w:rsidRPr="001D0C10">
              <w:rPr>
                <w:rFonts w:ascii="Book Antiqua" w:eastAsia="Calibri" w:hAnsi="Book Antiqua" w:cs="Arial"/>
                <w:b/>
                <w:bCs/>
                <w:color w:val="000000"/>
                <w:sz w:val="20"/>
                <w:szCs w:val="20"/>
                <w:lang w:eastAsia="es-CR"/>
              </w:rPr>
              <w:t>3.18</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4FC7038C" w14:textId="7426810F"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Resultado plan descongestionamiento Familia 2022</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20DFFE48" w14:textId="043213D0"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progreso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4C2AE3A0" w14:textId="102ED3AE"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20%</w:t>
            </w:r>
          </w:p>
        </w:tc>
      </w:tr>
      <w:tr w:rsidR="00391C8F" w:rsidRPr="00391C8F" w14:paraId="1270F03B"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569E3C4C" w14:textId="6F7B67C4" w:rsidR="00391C8F" w:rsidRPr="00391C8F" w:rsidRDefault="00391C8F" w:rsidP="00391C8F">
            <w:pPr>
              <w:spacing w:after="0" w:line="276" w:lineRule="auto"/>
              <w:contextualSpacing/>
              <w:jc w:val="both"/>
              <w:rPr>
                <w:rFonts w:ascii="Book Antiqua" w:eastAsia="Calibri" w:hAnsi="Book Antiqua" w:cs="Arial"/>
                <w:b/>
                <w:bCs/>
                <w:color w:val="000000"/>
                <w:sz w:val="20"/>
                <w:szCs w:val="20"/>
                <w:lang w:eastAsia="es-CR"/>
              </w:rPr>
            </w:pPr>
            <w:r w:rsidRPr="001D0C10">
              <w:rPr>
                <w:rFonts w:ascii="Book Antiqua" w:eastAsia="Calibri" w:hAnsi="Book Antiqua" w:cs="Arial"/>
                <w:b/>
                <w:bCs/>
                <w:color w:val="000000"/>
                <w:sz w:val="20"/>
                <w:szCs w:val="20"/>
                <w:lang w:eastAsia="es-CR"/>
              </w:rPr>
              <w:t>3.19</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0F7C0E66" w14:textId="6C48B4D3"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Resultado plan descongestionamiento Pensiones Alimentarias 2022</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254109EA" w14:textId="3C4DEEC6"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progreso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4B262BF3" w14:textId="14CDFFF8"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20%</w:t>
            </w:r>
          </w:p>
        </w:tc>
      </w:tr>
      <w:tr w:rsidR="00391C8F" w:rsidRPr="00391C8F" w14:paraId="402522CA"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2C2C7111" w14:textId="3DE17EFF" w:rsidR="00391C8F" w:rsidRPr="00391C8F" w:rsidRDefault="00391C8F" w:rsidP="00391C8F">
            <w:pPr>
              <w:spacing w:after="0" w:line="276" w:lineRule="auto"/>
              <w:contextualSpacing/>
              <w:jc w:val="both"/>
              <w:rPr>
                <w:rFonts w:ascii="Book Antiqua" w:eastAsia="Calibri" w:hAnsi="Book Antiqua" w:cs="Arial"/>
                <w:b/>
                <w:bCs/>
                <w:color w:val="000000"/>
                <w:sz w:val="20"/>
                <w:szCs w:val="20"/>
                <w:lang w:eastAsia="es-CR"/>
              </w:rPr>
            </w:pPr>
            <w:r w:rsidRPr="001D0C10">
              <w:rPr>
                <w:rFonts w:ascii="Book Antiqua" w:eastAsia="Calibri" w:hAnsi="Book Antiqua" w:cs="Arial"/>
                <w:b/>
                <w:bCs/>
                <w:color w:val="000000"/>
                <w:sz w:val="20"/>
                <w:szCs w:val="20"/>
                <w:lang w:eastAsia="es-CR"/>
              </w:rPr>
              <w:t>3.20</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3FFA7603" w14:textId="0ED1D56E"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Resultado plan capacitación Escuela Judicial 2022</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068E2CF5" w14:textId="22F599CE"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progreso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175F5AA5" w14:textId="431A3A32"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20%</w:t>
            </w:r>
          </w:p>
        </w:tc>
      </w:tr>
      <w:tr w:rsidR="00391C8F" w:rsidRPr="00391C8F" w14:paraId="3666E0C3" w14:textId="77777777" w:rsidTr="001D0C10">
        <w:trPr>
          <w:trHeight w:val="445"/>
          <w:jc w:val="center"/>
        </w:trPr>
        <w:tc>
          <w:tcPr>
            <w:tcW w:w="64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72CB4283" w14:textId="60375925" w:rsidR="00391C8F" w:rsidRPr="00391C8F" w:rsidRDefault="00391C8F" w:rsidP="00391C8F">
            <w:pPr>
              <w:spacing w:after="0" w:line="276" w:lineRule="auto"/>
              <w:contextualSpacing/>
              <w:jc w:val="both"/>
              <w:rPr>
                <w:rFonts w:ascii="Book Antiqua" w:eastAsia="Calibri" w:hAnsi="Book Antiqua" w:cs="Arial"/>
                <w:b/>
                <w:bCs/>
                <w:color w:val="000000"/>
                <w:sz w:val="20"/>
                <w:szCs w:val="20"/>
                <w:lang w:eastAsia="es-CR"/>
              </w:rPr>
            </w:pPr>
            <w:r w:rsidRPr="001D0C10">
              <w:rPr>
                <w:rFonts w:ascii="Book Antiqua" w:eastAsia="Calibri" w:hAnsi="Book Antiqua" w:cs="Arial"/>
                <w:b/>
                <w:bCs/>
                <w:color w:val="000000"/>
                <w:sz w:val="20"/>
                <w:szCs w:val="20"/>
                <w:lang w:eastAsia="es-CR"/>
              </w:rPr>
              <w:t>3.21</w:t>
            </w:r>
          </w:p>
        </w:tc>
        <w:tc>
          <w:tcPr>
            <w:tcW w:w="549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7AC38F6D" w14:textId="4663B722"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Estandarización materia de VD</w:t>
            </w:r>
          </w:p>
        </w:tc>
        <w:tc>
          <w:tcPr>
            <w:tcW w:w="1924" w:type="dxa"/>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3B6241E8" w14:textId="7A757342"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En progreso</w:t>
            </w:r>
          </w:p>
        </w:tc>
        <w:tc>
          <w:tcPr>
            <w:tcW w:w="862" w:type="dxa"/>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43873E1E" w14:textId="06D39800" w:rsidR="00391C8F" w:rsidRPr="00391C8F" w:rsidRDefault="00391C8F" w:rsidP="00391C8F">
            <w:pPr>
              <w:spacing w:after="0" w:line="276" w:lineRule="auto"/>
              <w:contextualSpacing/>
              <w:jc w:val="both"/>
              <w:rPr>
                <w:rFonts w:ascii="Book Antiqua" w:eastAsia="Calibri" w:hAnsi="Book Antiqua" w:cs="Arial"/>
                <w:color w:val="000000"/>
                <w:sz w:val="20"/>
                <w:szCs w:val="20"/>
                <w:lang w:eastAsia="es-CR"/>
              </w:rPr>
            </w:pPr>
            <w:r w:rsidRPr="001D0C10">
              <w:rPr>
                <w:rFonts w:ascii="Book Antiqua" w:eastAsia="Calibri" w:hAnsi="Book Antiqua" w:cs="Arial"/>
                <w:color w:val="000000"/>
                <w:sz w:val="20"/>
                <w:szCs w:val="20"/>
                <w:lang w:eastAsia="es-CR"/>
              </w:rPr>
              <w:t>10%</w:t>
            </w:r>
          </w:p>
        </w:tc>
      </w:tr>
    </w:tbl>
    <w:p w14:paraId="54262446" w14:textId="22630E44" w:rsidR="0018633E" w:rsidRPr="0018633E" w:rsidRDefault="00D80539" w:rsidP="0018633E">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 xml:space="preserve">  </w:t>
      </w:r>
    </w:p>
    <w:p w14:paraId="4133D8E1" w14:textId="58E15C1B" w:rsidR="0018633E" w:rsidRDefault="00AC61FA" w:rsidP="0018633E">
      <w:pPr>
        <w:spacing w:after="0" w:line="276" w:lineRule="auto"/>
        <w:contextualSpacing/>
        <w:jc w:val="both"/>
        <w:rPr>
          <w:rFonts w:ascii="Book Antiqua" w:eastAsia="Calibri" w:hAnsi="Book Antiqua" w:cs="Arial"/>
          <w:b/>
          <w:bCs/>
          <w:i/>
          <w:iCs/>
          <w:color w:val="000000"/>
          <w:sz w:val="24"/>
          <w:szCs w:val="24"/>
          <w:lang w:eastAsia="es-CR"/>
        </w:rPr>
      </w:pPr>
      <w:r w:rsidRPr="001D0C10">
        <w:rPr>
          <w:rFonts w:ascii="Book Antiqua" w:eastAsia="Calibri" w:hAnsi="Book Antiqua" w:cs="Arial"/>
          <w:b/>
          <w:bCs/>
          <w:i/>
          <w:iCs/>
          <w:color w:val="000000"/>
          <w:sz w:val="24"/>
          <w:szCs w:val="24"/>
          <w:lang w:eastAsia="es-CR"/>
        </w:rPr>
        <w:t>2022</w:t>
      </w:r>
    </w:p>
    <w:p w14:paraId="5CFF43E6" w14:textId="6C9D5D19" w:rsidR="00AC61FA" w:rsidRDefault="00AC61FA" w:rsidP="0018633E">
      <w:pPr>
        <w:spacing w:after="0" w:line="276" w:lineRule="auto"/>
        <w:contextualSpacing/>
        <w:jc w:val="both"/>
        <w:rPr>
          <w:rFonts w:ascii="Book Antiqua" w:eastAsia="Calibri" w:hAnsi="Book Antiqua" w:cs="Arial"/>
          <w:b/>
          <w:bCs/>
          <w:i/>
          <w:iCs/>
          <w:color w:val="000000"/>
          <w:sz w:val="24"/>
          <w:szCs w:val="24"/>
          <w:lang w:eastAsia="es-CR"/>
        </w:rPr>
      </w:pPr>
    </w:p>
    <w:p w14:paraId="09B57348" w14:textId="77777777" w:rsidR="00AC61FA" w:rsidRPr="0018633E" w:rsidRDefault="00AC61FA" w:rsidP="00AC61FA">
      <w:pPr>
        <w:spacing w:after="0" w:line="276" w:lineRule="auto"/>
        <w:contextualSpacing/>
        <w:jc w:val="both"/>
        <w:rPr>
          <w:rFonts w:ascii="Book Antiqua" w:eastAsia="Calibri" w:hAnsi="Book Antiqua" w:cs="Arial"/>
          <w:color w:val="000000"/>
          <w:sz w:val="24"/>
          <w:szCs w:val="24"/>
          <w:lang w:eastAsia="es-CR"/>
        </w:rPr>
      </w:pPr>
      <w:r w:rsidRPr="0018633E">
        <w:rPr>
          <w:rFonts w:ascii="Book Antiqua" w:eastAsia="Calibri" w:hAnsi="Book Antiqua" w:cs="Arial"/>
          <w:color w:val="000000"/>
          <w:sz w:val="24"/>
          <w:szCs w:val="24"/>
          <w:lang w:eastAsia="es-CR"/>
        </w:rPr>
        <w:t xml:space="preserve">Debido a que el Código Procesal de Familia presenta implicaciones en Violencia Doméstica, la Dirección de Planificación </w:t>
      </w:r>
      <w:r>
        <w:rPr>
          <w:rFonts w:ascii="Book Antiqua" w:eastAsia="Calibri" w:hAnsi="Book Antiqua" w:cs="Arial"/>
          <w:color w:val="000000"/>
          <w:sz w:val="24"/>
          <w:szCs w:val="24"/>
          <w:lang w:eastAsia="es-CR"/>
        </w:rPr>
        <w:t xml:space="preserve">inicio en febrero 2022 con la metodología para </w:t>
      </w:r>
      <w:r w:rsidRPr="0018633E">
        <w:rPr>
          <w:rFonts w:ascii="Book Antiqua" w:eastAsia="Calibri" w:hAnsi="Book Antiqua" w:cs="Arial"/>
          <w:color w:val="000000"/>
          <w:sz w:val="24"/>
          <w:szCs w:val="24"/>
          <w:lang w:eastAsia="es-CR"/>
        </w:rPr>
        <w:t xml:space="preserve">el abordaje de los Despachos que </w:t>
      </w:r>
      <w:r>
        <w:rPr>
          <w:rFonts w:ascii="Book Antiqua" w:eastAsia="Calibri" w:hAnsi="Book Antiqua" w:cs="Arial"/>
          <w:color w:val="000000"/>
          <w:sz w:val="24"/>
          <w:szCs w:val="24"/>
          <w:lang w:eastAsia="es-CR"/>
        </w:rPr>
        <w:t xml:space="preserve">atienden esta materia. Iniciando con los </w:t>
      </w:r>
      <w:r>
        <w:rPr>
          <w:rFonts w:ascii="Book Antiqua" w:eastAsia="Calibri" w:hAnsi="Book Antiqua" w:cs="Arial"/>
          <w:color w:val="000000"/>
          <w:sz w:val="24"/>
          <w:szCs w:val="24"/>
          <w:lang w:eastAsia="es-CR"/>
        </w:rPr>
        <w:lastRenderedPageBreak/>
        <w:t xml:space="preserve">talleres con peonas juzgadoras, de despachos especializados y mixtos y PISAV, los días 21 y 22 de febrero y 1 de marzo 2022. </w:t>
      </w:r>
      <w:r w:rsidRPr="0018633E">
        <w:rPr>
          <w:rFonts w:ascii="Book Antiqua" w:eastAsia="Calibri" w:hAnsi="Book Antiqua" w:cs="Arial"/>
          <w:color w:val="000000"/>
          <w:sz w:val="24"/>
          <w:szCs w:val="24"/>
          <w:lang w:eastAsia="es-CR"/>
        </w:rPr>
        <w:t xml:space="preserve"> </w:t>
      </w:r>
    </w:p>
    <w:p w14:paraId="1114411D" w14:textId="77777777" w:rsidR="00AC61FA" w:rsidRPr="0018633E" w:rsidRDefault="00AC61FA" w:rsidP="00AC61FA">
      <w:pPr>
        <w:spacing w:after="0" w:line="276" w:lineRule="auto"/>
        <w:contextualSpacing/>
        <w:jc w:val="both"/>
        <w:rPr>
          <w:rFonts w:ascii="Book Antiqua" w:eastAsia="Calibri" w:hAnsi="Book Antiqua" w:cs="Arial"/>
          <w:color w:val="000000"/>
          <w:sz w:val="24"/>
          <w:szCs w:val="24"/>
          <w:lang w:eastAsia="es-CR"/>
        </w:rPr>
      </w:pPr>
    </w:p>
    <w:p w14:paraId="6B09289C" w14:textId="77777777" w:rsidR="00AC61FA" w:rsidRDefault="00AC61FA" w:rsidP="00AC61FA">
      <w:pPr>
        <w:spacing w:after="0" w:line="276" w:lineRule="auto"/>
        <w:contextualSpacing/>
        <w:jc w:val="both"/>
        <w:rPr>
          <w:rFonts w:ascii="Book Antiqua" w:eastAsia="Calibri" w:hAnsi="Book Antiqua" w:cs="Arial"/>
          <w:color w:val="000000"/>
          <w:sz w:val="24"/>
          <w:szCs w:val="24"/>
          <w:lang w:eastAsia="es-CR"/>
        </w:rPr>
      </w:pPr>
      <w:bookmarkStart w:id="68" w:name="_Hlk97808196"/>
      <w:r>
        <w:rPr>
          <w:rFonts w:ascii="Book Antiqua" w:eastAsia="Calibri" w:hAnsi="Book Antiqua" w:cs="Arial"/>
          <w:color w:val="000000"/>
          <w:sz w:val="24"/>
          <w:szCs w:val="24"/>
          <w:lang w:eastAsia="es-CR"/>
        </w:rPr>
        <w:t xml:space="preserve">El abordaje a los </w:t>
      </w:r>
      <w:r w:rsidRPr="0018633E">
        <w:rPr>
          <w:rFonts w:ascii="Book Antiqua" w:eastAsia="Calibri" w:hAnsi="Book Antiqua" w:cs="Arial"/>
          <w:color w:val="000000"/>
          <w:sz w:val="24"/>
          <w:szCs w:val="24"/>
          <w:lang w:eastAsia="es-CR"/>
        </w:rPr>
        <w:t xml:space="preserve">Juzgados Especializados de Violencia Doméstica por parte de los </w:t>
      </w:r>
      <w:r>
        <w:rPr>
          <w:rFonts w:ascii="Book Antiqua" w:eastAsia="Calibri" w:hAnsi="Book Antiqua" w:cs="Arial"/>
          <w:color w:val="000000"/>
          <w:sz w:val="24"/>
          <w:szCs w:val="24"/>
          <w:lang w:eastAsia="es-CR"/>
        </w:rPr>
        <w:t>P</w:t>
      </w:r>
      <w:r w:rsidRPr="0018633E">
        <w:rPr>
          <w:rFonts w:ascii="Book Antiqua" w:eastAsia="Calibri" w:hAnsi="Book Antiqua" w:cs="Arial"/>
          <w:color w:val="000000"/>
          <w:sz w:val="24"/>
          <w:szCs w:val="24"/>
          <w:lang w:eastAsia="es-CR"/>
        </w:rPr>
        <w:t xml:space="preserve">rofesionales 2 de la Dirección de Planificación asignados al Subproceso de Modernización Institucional </w:t>
      </w:r>
      <w:r>
        <w:rPr>
          <w:rFonts w:ascii="Book Antiqua" w:eastAsia="Calibri" w:hAnsi="Book Antiqua" w:cs="Arial"/>
          <w:color w:val="000000"/>
          <w:sz w:val="24"/>
          <w:szCs w:val="24"/>
          <w:lang w:eastAsia="es-CR"/>
        </w:rPr>
        <w:t>se efectuará de abril a setiembre 2022, previo abordaje y realización de inventario por parte del Subproceso de Estadística</w:t>
      </w:r>
      <w:bookmarkEnd w:id="68"/>
      <w:r>
        <w:rPr>
          <w:rFonts w:ascii="Book Antiqua" w:eastAsia="Calibri" w:hAnsi="Book Antiqua" w:cs="Arial"/>
          <w:color w:val="000000"/>
          <w:sz w:val="24"/>
          <w:szCs w:val="24"/>
          <w:lang w:eastAsia="es-CR"/>
        </w:rPr>
        <w:t>.</w:t>
      </w:r>
    </w:p>
    <w:p w14:paraId="3CD762A9" w14:textId="77777777" w:rsidR="00A53FD9" w:rsidRPr="0018633E" w:rsidRDefault="00A53FD9" w:rsidP="00AC61FA">
      <w:pPr>
        <w:spacing w:after="0" w:line="276" w:lineRule="auto"/>
        <w:contextualSpacing/>
        <w:jc w:val="both"/>
        <w:rPr>
          <w:rFonts w:ascii="Book Antiqua" w:eastAsia="Calibri" w:hAnsi="Book Antiqua" w:cs="Arial"/>
          <w:color w:val="000000"/>
          <w:sz w:val="24"/>
          <w:szCs w:val="24"/>
          <w:lang w:eastAsia="es-CR"/>
        </w:rPr>
      </w:pPr>
    </w:p>
    <w:p w14:paraId="03A970FC" w14:textId="1644495A" w:rsidR="0018633E" w:rsidRDefault="00AC61FA" w:rsidP="0018633E">
      <w:pPr>
        <w:spacing w:after="0" w:line="276" w:lineRule="auto"/>
        <w:contextualSpacing/>
        <w:jc w:val="both"/>
        <w:rPr>
          <w:rFonts w:ascii="Book Antiqua" w:eastAsia="Calibri" w:hAnsi="Book Antiqua" w:cs="Arial"/>
          <w:color w:val="000000"/>
          <w:sz w:val="24"/>
          <w:szCs w:val="24"/>
          <w:lang w:eastAsia="es-CR"/>
        </w:rPr>
      </w:pPr>
      <w:r>
        <w:rPr>
          <w:rFonts w:ascii="Book Antiqua" w:eastAsia="Calibri" w:hAnsi="Book Antiqua" w:cs="Arial"/>
          <w:color w:val="000000"/>
          <w:sz w:val="24"/>
          <w:szCs w:val="24"/>
          <w:lang w:eastAsia="es-CR"/>
        </w:rPr>
        <w:t>De manera paralela también se están realizando los estudios complementarios citados en el informe 389-PLA-RH-MI-202</w:t>
      </w:r>
      <w:r w:rsidR="00327FDF">
        <w:rPr>
          <w:rFonts w:ascii="Book Antiqua" w:eastAsia="Calibri" w:hAnsi="Book Antiqua" w:cs="Arial"/>
          <w:color w:val="000000"/>
          <w:sz w:val="24"/>
          <w:szCs w:val="24"/>
          <w:lang w:eastAsia="es-CR"/>
        </w:rPr>
        <w:t>1</w:t>
      </w:r>
      <w:r>
        <w:rPr>
          <w:rFonts w:ascii="Book Antiqua" w:eastAsia="Calibri" w:hAnsi="Book Antiqua" w:cs="Arial"/>
          <w:color w:val="000000"/>
          <w:sz w:val="24"/>
          <w:szCs w:val="24"/>
          <w:lang w:eastAsia="es-CR"/>
        </w:rPr>
        <w:t xml:space="preserve">.  </w:t>
      </w:r>
    </w:p>
    <w:p w14:paraId="15050434" w14:textId="0EBCFB5F" w:rsidR="00AC61FA" w:rsidRDefault="00AC61FA" w:rsidP="0018633E">
      <w:pPr>
        <w:spacing w:after="0" w:line="276" w:lineRule="auto"/>
        <w:contextualSpacing/>
        <w:jc w:val="both"/>
        <w:rPr>
          <w:rFonts w:ascii="Book Antiqua" w:eastAsia="Calibri" w:hAnsi="Book Antiqua" w:cs="Arial"/>
          <w:color w:val="000000"/>
          <w:sz w:val="24"/>
          <w:szCs w:val="24"/>
          <w:lang w:eastAsia="es-CR"/>
        </w:rPr>
      </w:pPr>
    </w:p>
    <w:tbl>
      <w:tblPr>
        <w:tblW w:w="5000" w:type="pct"/>
        <w:tblCellMar>
          <w:left w:w="0" w:type="dxa"/>
          <w:right w:w="0" w:type="dxa"/>
        </w:tblCellMar>
        <w:tblLook w:val="04A0" w:firstRow="1" w:lastRow="0" w:firstColumn="1" w:lastColumn="0" w:noHBand="0" w:noVBand="1"/>
      </w:tblPr>
      <w:tblGrid>
        <w:gridCol w:w="375"/>
        <w:gridCol w:w="570"/>
        <w:gridCol w:w="6582"/>
        <w:gridCol w:w="1291"/>
      </w:tblGrid>
      <w:tr w:rsidR="0065534E" w:rsidRPr="0065534E" w14:paraId="304D3910" w14:textId="77777777" w:rsidTr="0065534E">
        <w:trPr>
          <w:trHeight w:val="281"/>
        </w:trPr>
        <w:tc>
          <w:tcPr>
            <w:tcW w:w="213" w:type="pct"/>
            <w:tcBorders>
              <w:top w:val="single" w:sz="8" w:space="0" w:color="FFFFFF"/>
              <w:left w:val="single" w:sz="8" w:space="0" w:color="FFFFFF"/>
              <w:bottom w:val="single" w:sz="24" w:space="0" w:color="FFFFFF"/>
              <w:right w:val="single" w:sz="8" w:space="0" w:color="FFFFFF"/>
            </w:tcBorders>
            <w:shd w:val="clear" w:color="auto" w:fill="4F81BD"/>
            <w:tcMar>
              <w:top w:w="15" w:type="dxa"/>
              <w:left w:w="20" w:type="dxa"/>
              <w:bottom w:w="0" w:type="dxa"/>
              <w:right w:w="20" w:type="dxa"/>
            </w:tcMar>
            <w:vAlign w:val="center"/>
            <w:hideMark/>
          </w:tcPr>
          <w:p w14:paraId="37A57E74"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w:t>
            </w:r>
          </w:p>
        </w:tc>
        <w:tc>
          <w:tcPr>
            <w:tcW w:w="323" w:type="pct"/>
            <w:tcBorders>
              <w:top w:val="single" w:sz="8" w:space="0" w:color="FFFFFF"/>
              <w:left w:val="single" w:sz="8" w:space="0" w:color="FFFFFF"/>
              <w:bottom w:val="single" w:sz="24" w:space="0" w:color="FFFFFF"/>
              <w:right w:val="single" w:sz="8" w:space="0" w:color="FFFFFF"/>
            </w:tcBorders>
            <w:shd w:val="clear" w:color="auto" w:fill="4F81BD"/>
            <w:tcMar>
              <w:top w:w="15" w:type="dxa"/>
              <w:left w:w="20" w:type="dxa"/>
              <w:bottom w:w="0" w:type="dxa"/>
              <w:right w:w="20" w:type="dxa"/>
            </w:tcMar>
            <w:vAlign w:val="center"/>
            <w:hideMark/>
          </w:tcPr>
          <w:p w14:paraId="62F10640"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Ref</w:t>
            </w:r>
          </w:p>
        </w:tc>
        <w:tc>
          <w:tcPr>
            <w:tcW w:w="3732" w:type="pct"/>
            <w:tcBorders>
              <w:top w:val="single" w:sz="8" w:space="0" w:color="FFFFFF"/>
              <w:left w:val="single" w:sz="8" w:space="0" w:color="FFFFFF"/>
              <w:bottom w:val="single" w:sz="24" w:space="0" w:color="FFFFFF"/>
              <w:right w:val="single" w:sz="8" w:space="0" w:color="FFFFFF"/>
            </w:tcBorders>
            <w:shd w:val="clear" w:color="auto" w:fill="4F81BD"/>
            <w:tcMar>
              <w:top w:w="15" w:type="dxa"/>
              <w:left w:w="20" w:type="dxa"/>
              <w:bottom w:w="0" w:type="dxa"/>
              <w:right w:w="20" w:type="dxa"/>
            </w:tcMar>
            <w:vAlign w:val="center"/>
            <w:hideMark/>
          </w:tcPr>
          <w:p w14:paraId="5389A47C"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Nombre del informe</w:t>
            </w:r>
          </w:p>
        </w:tc>
        <w:tc>
          <w:tcPr>
            <w:tcW w:w="732" w:type="pct"/>
            <w:tcBorders>
              <w:top w:val="single" w:sz="8" w:space="0" w:color="FFFFFF"/>
              <w:left w:val="single" w:sz="8" w:space="0" w:color="FFFFFF"/>
              <w:bottom w:val="single" w:sz="24" w:space="0" w:color="FFFFFF"/>
              <w:right w:val="single" w:sz="8" w:space="0" w:color="FFFFFF"/>
            </w:tcBorders>
            <w:shd w:val="clear" w:color="auto" w:fill="4F81BD"/>
            <w:tcMar>
              <w:top w:w="15" w:type="dxa"/>
              <w:left w:w="20" w:type="dxa"/>
              <w:bottom w:w="0" w:type="dxa"/>
              <w:right w:w="20" w:type="dxa"/>
            </w:tcMar>
            <w:vAlign w:val="center"/>
            <w:hideMark/>
          </w:tcPr>
          <w:p w14:paraId="6277FDB7"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val="es-ES" w:eastAsia="es-CR"/>
              </w:rPr>
              <w:t>Estado actual</w:t>
            </w:r>
          </w:p>
        </w:tc>
      </w:tr>
      <w:tr w:rsidR="0065534E" w:rsidRPr="0065534E" w14:paraId="033AF5C3" w14:textId="77777777" w:rsidTr="0065534E">
        <w:trPr>
          <w:trHeight w:val="281"/>
        </w:trPr>
        <w:tc>
          <w:tcPr>
            <w:tcW w:w="213" w:type="pct"/>
            <w:tcBorders>
              <w:top w:val="single" w:sz="24"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1D92DDA7"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1</w:t>
            </w:r>
          </w:p>
        </w:tc>
        <w:tc>
          <w:tcPr>
            <w:tcW w:w="323" w:type="pct"/>
            <w:tcBorders>
              <w:top w:val="single" w:sz="24"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264E040B"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 1679-2021</w:t>
            </w:r>
          </w:p>
        </w:tc>
        <w:tc>
          <w:tcPr>
            <w:tcW w:w="3732" w:type="pct"/>
            <w:tcBorders>
              <w:top w:val="single" w:sz="24"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19FDF290"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Análisis de carga de trabajo de los Juzgados de Familia del Primer Circuito Judicial de San José.  </w:t>
            </w:r>
          </w:p>
        </w:tc>
        <w:tc>
          <w:tcPr>
            <w:tcW w:w="732" w:type="pct"/>
            <w:tcBorders>
              <w:top w:val="single" w:sz="24"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E4F4C9D"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60%</w:t>
            </w:r>
          </w:p>
        </w:tc>
      </w:tr>
      <w:tr w:rsidR="0065534E" w:rsidRPr="0065534E" w14:paraId="3FA1EB7A"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07F2DB5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2</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0AD52D24"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1687-2021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2F317FB5" w14:textId="54BEBD6A"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Análisis de carga de trabajo y factibilidad de asignación definitiva de la plaza de Auxiliar de Servicios Generales compartida entre el Juzgado de Violencia del I Circuito Judicial San José y el Juzgado de Niñez y Adolescencia.</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18FD11D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20%</w:t>
            </w:r>
          </w:p>
        </w:tc>
      </w:tr>
      <w:tr w:rsidR="0065534E" w:rsidRPr="0065534E" w14:paraId="1A46CD45"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41D36BA8"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2</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66D5D8AE"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1680-2021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4E68472"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Estudio de factibilidad de creación Juzgado Especializado para atender las apelaciones de asuntos en segunda instancia (pensiones alimentarias). </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0A73DF3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85% en revisión de la coordinadora</w:t>
            </w:r>
          </w:p>
        </w:tc>
      </w:tr>
      <w:tr w:rsidR="0065534E" w:rsidRPr="0065534E" w14:paraId="2CC466E4" w14:textId="77777777" w:rsidTr="0065534E">
        <w:trPr>
          <w:trHeight w:val="1403"/>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293DA1D1"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4</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3C7588EC"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1681-2021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04128FD8"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Revisión general de competencias actuales en materia de Familia  a partir de los cambios de la ley 9747 y las propuestas de cambio planteadas por el Juez Gestor en la materia (crear un Juzgado en Aguas Zarcas; trasladar los asuntos de Pensiones de Tucurrique, El Humo y Pejibaye (ahora competencia del Contravencional de Jiménez) y pasarlo al Contravencional de Turrialba (baja carga de trabajo perdió disponibilidad en Penal, perdió competencia en Civil y Trabajo); asuntos de Trabajo de Paraíso se vean en Cartago y se libere a la plaza del Contravencional).  Competencia Monteverde. </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5724F73B"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Paraíso esta en revisión de la coordinadora.</w:t>
            </w:r>
          </w:p>
          <w:p w14:paraId="402D8141"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Restantes: Pendiente</w:t>
            </w:r>
          </w:p>
        </w:tc>
      </w:tr>
      <w:tr w:rsidR="0065534E" w:rsidRPr="0065534E" w14:paraId="7F4BA653" w14:textId="77777777" w:rsidTr="0065534E">
        <w:trPr>
          <w:trHeight w:val="28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05AC0F3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5</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4D0C1BE"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1689-2021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47A56D2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Análisis competencia actual del Juzgado de Niñez y Adolescencia, respecto casos de Pérez Zeledón</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059C79D"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Listo, se incluye en este informe.</w:t>
            </w:r>
          </w:p>
        </w:tc>
      </w:tr>
      <w:tr w:rsidR="0065534E" w:rsidRPr="0065534E" w14:paraId="0D533C4E" w14:textId="77777777" w:rsidTr="0065534E">
        <w:trPr>
          <w:trHeight w:val="28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1438CB9F"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6</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61E843D7"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1682-2021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267F67F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Análisis de cuota de audiencias para personas juzgadoras de Familia</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00C47F45"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Pendiente</w:t>
            </w:r>
          </w:p>
        </w:tc>
      </w:tr>
      <w:tr w:rsidR="0065534E" w:rsidRPr="0065534E" w14:paraId="42199170"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4D3D45B1"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7</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42A775F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1683-2021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2D65AB5F"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Análisis de carga de trabajo y necesidad de incluir en estructura ordinaria plazas supernumerarias en el Juzgado de Pensiones del Segundo Circuito Judicial de San José (revisión necesidad de 3 plazas de audiencias tempranas). </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06C3427"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85% en revisión de la coordinadora</w:t>
            </w:r>
          </w:p>
        </w:tc>
      </w:tr>
      <w:tr w:rsidR="0065534E" w:rsidRPr="0065534E" w14:paraId="10335B91"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69ED444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8</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4E61931D"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1684-2021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10559D4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Factibilidad de asignar definitivamente plaza de Auxiliar de Servicios Generales actualmente compartida entre el Juzgado Civil y Trabajo y el Juzgado de Familia y Violencia de Cañas</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3F7F42D2"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85% en revisión de la coordinadora</w:t>
            </w:r>
          </w:p>
        </w:tc>
      </w:tr>
      <w:tr w:rsidR="0065534E" w:rsidRPr="0065534E" w14:paraId="6A798248"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1D4C8505"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lastRenderedPageBreak/>
              <w:t>9</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1B97E543"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1685-2021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2D430A04"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Factibilidad de asignar definitivamente plaza de Auxiliar de Servicios Generales actualmente compartida entre el Juzgado Contravencional y Juzgado de Pensiones Alimentarias de Sarapiquí. </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7FE40AA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Listo</w:t>
            </w:r>
          </w:p>
        </w:tc>
      </w:tr>
      <w:tr w:rsidR="0065534E" w:rsidRPr="0065534E" w14:paraId="08DA76A4" w14:textId="77777777" w:rsidTr="0065534E">
        <w:trPr>
          <w:trHeight w:val="56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5287E74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10</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42C0C14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1686-2021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77C36787"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Análisis de carga de trabajo y factibilidad de asignación definitiva de la plaza de persona juzgadora actualmente compartida entre los Juzgados Contravencionales de Golfito y Corredores. </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1E67A2B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85% en revisión de la coordinadora</w:t>
            </w:r>
          </w:p>
        </w:tc>
      </w:tr>
      <w:tr w:rsidR="0065534E" w:rsidRPr="0065534E" w14:paraId="54F12D23" w14:textId="77777777" w:rsidTr="0065534E">
        <w:trPr>
          <w:trHeight w:val="1122"/>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4006267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11</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46FEF94D"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1688-2021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EAED6C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Análisis de carga de trabajo a partir hallazgos en los oficios de estructuras en las siguientes oficinas:   Juzgado Contravencional de Turrialba, Juzgado de Pensiones de Nicoya, Juzgado Contravencional de Alajuelita, Juzgado Contravencional de Corredores, Juzgado Contravencional de Santa Ana, Juzgado Contravencional de Palmares y Juzgado Contravencional de San Ramón.</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5472D8B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2%</w:t>
            </w:r>
          </w:p>
        </w:tc>
      </w:tr>
      <w:tr w:rsidR="0065534E" w:rsidRPr="0065534E" w14:paraId="408BC96A" w14:textId="77777777" w:rsidTr="0065534E">
        <w:trPr>
          <w:trHeight w:val="28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435D8230"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12</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7558498B"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1690-2021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570A5F18"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Despacho Modelo de Violencia Doméstica</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43EEF07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55%</w:t>
            </w:r>
          </w:p>
        </w:tc>
      </w:tr>
      <w:tr w:rsidR="0065534E" w:rsidRPr="0065534E" w14:paraId="4B7528B5" w14:textId="77777777" w:rsidTr="0065534E">
        <w:trPr>
          <w:trHeight w:val="28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4DBACC96"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13</w:t>
            </w:r>
          </w:p>
        </w:tc>
        <w:tc>
          <w:tcPr>
            <w:tcW w:w="323"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1247719C"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1916-2021</w:t>
            </w:r>
          </w:p>
        </w:tc>
        <w:tc>
          <w:tcPr>
            <w:tcW w:w="3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59DE1C5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Análisis del Juzgado de Niñez y Adolescencia, el tema de valorar la especialización a lo interno de alguien en adopciones</w:t>
            </w:r>
          </w:p>
        </w:tc>
        <w:tc>
          <w:tcPr>
            <w:tcW w:w="732" w:type="pct"/>
            <w:tcBorders>
              <w:top w:val="single" w:sz="8" w:space="0" w:color="FFFFFF"/>
              <w:left w:val="single" w:sz="8" w:space="0" w:color="FFFFFF"/>
              <w:bottom w:val="single" w:sz="8" w:space="0" w:color="FFFFFF"/>
              <w:right w:val="single" w:sz="8" w:space="0" w:color="FFFFFF"/>
            </w:tcBorders>
            <w:shd w:val="clear" w:color="auto" w:fill="D0D8E8"/>
            <w:tcMar>
              <w:top w:w="15" w:type="dxa"/>
              <w:left w:w="20" w:type="dxa"/>
              <w:bottom w:w="0" w:type="dxa"/>
              <w:right w:w="20" w:type="dxa"/>
            </w:tcMar>
            <w:vAlign w:val="center"/>
            <w:hideMark/>
          </w:tcPr>
          <w:p w14:paraId="38F288C1"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80%</w:t>
            </w:r>
          </w:p>
        </w:tc>
      </w:tr>
      <w:tr w:rsidR="0065534E" w:rsidRPr="0065534E" w14:paraId="2A7E2430" w14:textId="77777777" w:rsidTr="0065534E">
        <w:trPr>
          <w:trHeight w:val="281"/>
        </w:trPr>
        <w:tc>
          <w:tcPr>
            <w:tcW w:w="213" w:type="pct"/>
            <w:tcBorders>
              <w:top w:val="single" w:sz="8" w:space="0" w:color="FFFFFF"/>
              <w:left w:val="single" w:sz="8" w:space="0" w:color="FFFFFF"/>
              <w:bottom w:val="single" w:sz="8" w:space="0" w:color="FFFFFF"/>
              <w:right w:val="single" w:sz="8" w:space="0" w:color="FFFFFF"/>
            </w:tcBorders>
            <w:shd w:val="clear" w:color="auto" w:fill="4F81BD"/>
            <w:tcMar>
              <w:top w:w="15" w:type="dxa"/>
              <w:left w:w="20" w:type="dxa"/>
              <w:bottom w:w="0" w:type="dxa"/>
              <w:right w:w="20" w:type="dxa"/>
            </w:tcMar>
            <w:vAlign w:val="center"/>
            <w:hideMark/>
          </w:tcPr>
          <w:p w14:paraId="68A7845D"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val="es-ES" w:eastAsia="es-CR"/>
              </w:rPr>
              <w:t>14</w:t>
            </w:r>
          </w:p>
        </w:tc>
        <w:tc>
          <w:tcPr>
            <w:tcW w:w="323"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7D8DD11A"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2146-2021</w:t>
            </w:r>
          </w:p>
        </w:tc>
        <w:tc>
          <w:tcPr>
            <w:tcW w:w="3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449BD32C"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Oficina Modelo PA con el CPF</w:t>
            </w:r>
          </w:p>
        </w:tc>
        <w:tc>
          <w:tcPr>
            <w:tcW w:w="732" w:type="pct"/>
            <w:tcBorders>
              <w:top w:val="single" w:sz="8" w:space="0" w:color="FFFFFF"/>
              <w:left w:val="single" w:sz="8" w:space="0" w:color="FFFFFF"/>
              <w:bottom w:val="single" w:sz="8" w:space="0" w:color="FFFFFF"/>
              <w:right w:val="single" w:sz="8" w:space="0" w:color="FFFFFF"/>
            </w:tcBorders>
            <w:shd w:val="clear" w:color="auto" w:fill="E9EDF4"/>
            <w:tcMar>
              <w:top w:w="15" w:type="dxa"/>
              <w:left w:w="20" w:type="dxa"/>
              <w:bottom w:w="0" w:type="dxa"/>
              <w:right w:w="20" w:type="dxa"/>
            </w:tcMar>
            <w:vAlign w:val="center"/>
            <w:hideMark/>
          </w:tcPr>
          <w:p w14:paraId="29011B39" w14:textId="77777777" w:rsidR="0065534E" w:rsidRPr="001D0C10" w:rsidRDefault="0065534E" w:rsidP="0065534E">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val="es-ES" w:eastAsia="es-CR"/>
              </w:rPr>
              <w:t>Proceso 2%</w:t>
            </w:r>
          </w:p>
        </w:tc>
      </w:tr>
    </w:tbl>
    <w:p w14:paraId="6649F9EA" w14:textId="4033550F" w:rsidR="0018633E" w:rsidRPr="0018633E" w:rsidRDefault="002A271D" w:rsidP="0018633E">
      <w:pPr>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color w:val="000000"/>
          <w:sz w:val="24"/>
          <w:szCs w:val="24"/>
          <w:lang w:eastAsia="es-CR"/>
        </w:rPr>
        <w:t>También</w:t>
      </w:r>
      <w:r w:rsidR="0018633E" w:rsidRPr="0018633E">
        <w:rPr>
          <w:rFonts w:ascii="Book Antiqua" w:eastAsia="Calibri" w:hAnsi="Book Antiqua" w:cs="Arial"/>
          <w:color w:val="000000"/>
          <w:sz w:val="24"/>
          <w:szCs w:val="24"/>
          <w:lang w:eastAsia="es-CR"/>
        </w:rPr>
        <w:t xml:space="preserve"> se deberán analizar los Juzgados de Familia y proponer a Corte Plena la creación de </w:t>
      </w:r>
      <w:r w:rsidR="0018633E" w:rsidRPr="00065203">
        <w:rPr>
          <w:rFonts w:ascii="Book Antiqua" w:eastAsia="Calibri" w:hAnsi="Book Antiqua" w:cs="Arial"/>
          <w:color w:val="000000"/>
          <w:sz w:val="24"/>
          <w:szCs w:val="24"/>
          <w:lang w:eastAsia="es-CR"/>
        </w:rPr>
        <w:t>Juzgados de Familia por Ministerio de Ley</w:t>
      </w:r>
      <w:r w:rsidR="0018633E" w:rsidRPr="0018633E">
        <w:rPr>
          <w:rFonts w:ascii="Book Antiqua" w:eastAsia="Calibri" w:hAnsi="Book Antiqua" w:cs="Arial"/>
          <w:color w:val="000000"/>
          <w:sz w:val="24"/>
          <w:szCs w:val="24"/>
          <w:lang w:eastAsia="es-CR"/>
        </w:rPr>
        <w:t xml:space="preserve"> de conformidad con el artículo </w:t>
      </w:r>
      <w:r w:rsidR="0018633E" w:rsidRPr="0018633E">
        <w:rPr>
          <w:rFonts w:ascii="Book Antiqua" w:eastAsia="Calibri" w:hAnsi="Book Antiqua" w:cs="Arial"/>
          <w:sz w:val="24"/>
          <w:szCs w:val="24"/>
          <w:lang w:eastAsia="es-CR"/>
        </w:rPr>
        <w:t xml:space="preserve">119 bis de la Ley 9747. </w:t>
      </w:r>
      <w:r w:rsidR="0065534E" w:rsidRPr="001D0C10">
        <w:rPr>
          <w:rFonts w:ascii="Book Antiqua" w:eastAsia="Calibri" w:hAnsi="Book Antiqua" w:cs="Arial"/>
          <w:b/>
          <w:bCs/>
          <w:sz w:val="24"/>
          <w:szCs w:val="24"/>
          <w:lang w:eastAsia="es-CR"/>
        </w:rPr>
        <w:t>Referencia interna: 1681-21</w:t>
      </w:r>
    </w:p>
    <w:p w14:paraId="3F0563F8" w14:textId="77777777" w:rsidR="0018633E" w:rsidRPr="0018633E" w:rsidRDefault="0018633E" w:rsidP="0018633E">
      <w:pPr>
        <w:spacing w:after="0" w:line="276" w:lineRule="auto"/>
        <w:contextualSpacing/>
        <w:jc w:val="both"/>
        <w:rPr>
          <w:rFonts w:ascii="Book Antiqua" w:eastAsia="Calibri" w:hAnsi="Book Antiqua" w:cs="Arial"/>
          <w:sz w:val="24"/>
          <w:szCs w:val="24"/>
          <w:lang w:eastAsia="es-CR"/>
        </w:rPr>
      </w:pPr>
    </w:p>
    <w:p w14:paraId="4CD8F264" w14:textId="77777777" w:rsidR="0018633E" w:rsidRPr="0018633E" w:rsidRDefault="0018633E" w:rsidP="0018633E">
      <w:pPr>
        <w:spacing w:after="0" w:line="276" w:lineRule="auto"/>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Esta tarea consta en el cronograma del Proyecto 1374-CF-P01</w:t>
      </w:r>
      <w:r w:rsidRPr="0018633E">
        <w:rPr>
          <w:rFonts w:ascii="Book Antiqua" w:eastAsia="Calibri" w:hAnsi="Book Antiqua" w:cs="Arial"/>
          <w:i/>
          <w:iCs/>
          <w:sz w:val="24"/>
          <w:szCs w:val="24"/>
          <w:lang w:eastAsia="es-CR"/>
        </w:rPr>
        <w:t xml:space="preserve"> “Implementación del Código Procesal de Familia”</w:t>
      </w:r>
    </w:p>
    <w:p w14:paraId="39D7C33D" w14:textId="77777777" w:rsidR="0018633E" w:rsidRPr="0018633E" w:rsidRDefault="0018633E" w:rsidP="0018633E">
      <w:pPr>
        <w:spacing w:after="0" w:line="276" w:lineRule="auto"/>
        <w:jc w:val="both"/>
        <w:rPr>
          <w:rFonts w:ascii="Book Antiqua" w:eastAsia="Calibri" w:hAnsi="Book Antiqua" w:cs="Arial"/>
          <w:sz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3525"/>
        <w:gridCol w:w="1077"/>
        <w:gridCol w:w="1339"/>
        <w:gridCol w:w="1245"/>
        <w:gridCol w:w="1642"/>
      </w:tblGrid>
      <w:tr w:rsidR="0018633E" w:rsidRPr="0018633E" w14:paraId="6EB182C6" w14:textId="77777777" w:rsidTr="00306313">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569DDFE"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9762327"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42F6CC0"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A6BFCEE"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BD327F9" w14:textId="77777777" w:rsidR="0018633E" w:rsidRPr="0018633E" w:rsidRDefault="0018633E" w:rsidP="0018633E">
            <w:pPr>
              <w:spacing w:after="0" w:line="240" w:lineRule="auto"/>
              <w:rPr>
                <w:rFonts w:ascii="Segoe UI" w:eastAsia="Times New Roman" w:hAnsi="Segoe UI" w:cs="Segoe UI"/>
                <w:sz w:val="18"/>
                <w:szCs w:val="18"/>
                <w:lang w:eastAsia="es-CR"/>
              </w:rPr>
            </w:pPr>
            <w:r w:rsidRPr="0018633E">
              <w:rPr>
                <w:rFonts w:ascii="Segoe UI" w:eastAsia="Times New Roman" w:hAnsi="Segoe UI" w:cs="Segoe UI"/>
                <w:color w:val="363636"/>
                <w:sz w:val="18"/>
                <w:szCs w:val="18"/>
                <w:shd w:val="clear" w:color="auto" w:fill="DFE3E8"/>
                <w:lang w:eastAsia="es-CR"/>
              </w:rPr>
              <w:t>% completado</w:t>
            </w:r>
          </w:p>
        </w:tc>
      </w:tr>
      <w:tr w:rsidR="0018633E" w:rsidRPr="0018633E" w14:paraId="5E8F179A" w14:textId="77777777" w:rsidTr="00306313">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F2E7EF"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3.4.Informe con propuesta de Juzgados de asuntos sumarios por Ministerio de Ley</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B874FF"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124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6D24D2"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lun 04/04/22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2A3905"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vie 30/09/22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DA5F84" w14:textId="77777777" w:rsidR="0018633E" w:rsidRPr="0018633E" w:rsidRDefault="0018633E" w:rsidP="0018633E">
            <w:pPr>
              <w:spacing w:after="0" w:line="240" w:lineRule="auto"/>
              <w:rPr>
                <w:rFonts w:ascii="Calibri" w:eastAsia="Times New Roman" w:hAnsi="Calibri" w:cs="Times New Roman"/>
                <w:lang w:eastAsia="es-CR"/>
              </w:rPr>
            </w:pPr>
            <w:r w:rsidRPr="0018633E">
              <w:rPr>
                <w:rFonts w:ascii="Calibri" w:eastAsia="Times New Roman" w:hAnsi="Calibri" w:cs="Times New Roman"/>
                <w:color w:val="000000"/>
                <w:lang w:eastAsia="es-CR"/>
              </w:rPr>
              <w:t>0%</w:t>
            </w:r>
          </w:p>
        </w:tc>
      </w:tr>
    </w:tbl>
    <w:p w14:paraId="3289682E" w14:textId="77777777" w:rsidR="0018633E" w:rsidRPr="0018633E" w:rsidRDefault="0018633E" w:rsidP="0018633E">
      <w:pPr>
        <w:spacing w:after="0" w:line="276" w:lineRule="auto"/>
        <w:jc w:val="both"/>
        <w:rPr>
          <w:rFonts w:ascii="Book Antiqua" w:eastAsia="Calibri" w:hAnsi="Book Antiqua" w:cs="Arial"/>
          <w:sz w:val="24"/>
        </w:rPr>
      </w:pPr>
    </w:p>
    <w:p w14:paraId="5C6E8281" w14:textId="2A1E7435" w:rsidR="0018633E" w:rsidRPr="0018633E" w:rsidRDefault="0018633E" w:rsidP="0018633E">
      <w:pPr>
        <w:spacing w:after="0" w:line="276" w:lineRule="auto"/>
        <w:jc w:val="both"/>
        <w:rPr>
          <w:rFonts w:ascii="Book Antiqua" w:eastAsia="Calibri" w:hAnsi="Book Antiqua" w:cs="Arial"/>
          <w:sz w:val="24"/>
        </w:rPr>
      </w:pPr>
      <w:r w:rsidRPr="0018633E">
        <w:rPr>
          <w:rFonts w:ascii="Book Antiqua" w:eastAsia="Calibri" w:hAnsi="Book Antiqua" w:cs="Arial"/>
          <w:sz w:val="24"/>
        </w:rPr>
        <w:t>Para ello, en el inventario 202</w:t>
      </w:r>
      <w:r w:rsidR="00A01E07">
        <w:rPr>
          <w:rFonts w:ascii="Book Antiqua" w:eastAsia="Calibri" w:hAnsi="Book Antiqua" w:cs="Arial"/>
          <w:sz w:val="24"/>
        </w:rPr>
        <w:t>0</w:t>
      </w:r>
      <w:r w:rsidRPr="0018633E">
        <w:rPr>
          <w:rFonts w:ascii="Book Antiqua" w:eastAsia="Calibri" w:hAnsi="Book Antiqua" w:cs="Arial"/>
          <w:sz w:val="24"/>
        </w:rPr>
        <w:t xml:space="preserve"> de la Jurisdicción de Familia, los Juzgados Especializados </w:t>
      </w:r>
      <w:r w:rsidR="0065534E">
        <w:rPr>
          <w:rFonts w:ascii="Book Antiqua" w:eastAsia="Calibri" w:hAnsi="Book Antiqua" w:cs="Arial"/>
          <w:sz w:val="24"/>
        </w:rPr>
        <w:t>completaron una</w:t>
      </w:r>
      <w:r w:rsidRPr="0018633E">
        <w:rPr>
          <w:rFonts w:ascii="Book Antiqua" w:eastAsia="Calibri" w:hAnsi="Book Antiqua" w:cs="Arial"/>
          <w:sz w:val="24"/>
        </w:rPr>
        <w:t xml:space="preserve"> información adicional </w:t>
      </w:r>
      <w:r w:rsidR="0065534E">
        <w:rPr>
          <w:rFonts w:ascii="Book Antiqua" w:eastAsia="Calibri" w:hAnsi="Book Antiqua" w:cs="Arial"/>
          <w:sz w:val="24"/>
        </w:rPr>
        <w:t>que servirá</w:t>
      </w:r>
      <w:r w:rsidRPr="0018633E">
        <w:rPr>
          <w:rFonts w:ascii="Book Antiqua" w:eastAsia="Calibri" w:hAnsi="Book Antiqua" w:cs="Arial"/>
          <w:sz w:val="24"/>
        </w:rPr>
        <w:t xml:space="preserve"> </w:t>
      </w:r>
      <w:r w:rsidR="00065203">
        <w:rPr>
          <w:rFonts w:ascii="Book Antiqua" w:eastAsia="Calibri" w:hAnsi="Book Antiqua" w:cs="Arial"/>
          <w:sz w:val="24"/>
        </w:rPr>
        <w:t xml:space="preserve">de </w:t>
      </w:r>
      <w:r w:rsidRPr="0018633E">
        <w:rPr>
          <w:rFonts w:ascii="Book Antiqua" w:eastAsia="Calibri" w:hAnsi="Book Antiqua" w:cs="Arial"/>
          <w:sz w:val="24"/>
        </w:rPr>
        <w:t>insumo a la Dirección de Planificación para plantear la propuesta definitiva a Corte Plena y que contemple el análisis de las propuestas presentadas por el Juez Gestor en la materia (La Cruz, Cóbano, Monteverde, Puerto Jiménez, Coto Brus, Bribrí, los Chiles).</w:t>
      </w:r>
    </w:p>
    <w:p w14:paraId="169167E2" w14:textId="77777777" w:rsidR="0018633E" w:rsidRPr="0018633E" w:rsidRDefault="0018633E" w:rsidP="0018633E">
      <w:pPr>
        <w:spacing w:after="0" w:line="276" w:lineRule="auto"/>
        <w:jc w:val="both"/>
        <w:rPr>
          <w:rFonts w:ascii="Book Antiqua" w:eastAsia="Calibri" w:hAnsi="Book Antiqua" w:cs="Arial"/>
          <w:sz w:val="24"/>
        </w:rPr>
      </w:pPr>
    </w:p>
    <w:p w14:paraId="634AF47C" w14:textId="6D5CCF19" w:rsidR="0018633E" w:rsidRPr="0018633E" w:rsidRDefault="0018633E" w:rsidP="0018633E">
      <w:pPr>
        <w:spacing w:after="0" w:line="276" w:lineRule="auto"/>
        <w:contextualSpacing/>
        <w:jc w:val="both"/>
        <w:rPr>
          <w:rFonts w:ascii="Book Antiqua" w:eastAsia="Calibri" w:hAnsi="Book Antiqua" w:cs="Arial"/>
          <w:b/>
          <w:bCs/>
          <w:i/>
          <w:iCs/>
          <w:sz w:val="24"/>
          <w:szCs w:val="24"/>
          <w:lang w:eastAsia="es-CR"/>
        </w:rPr>
      </w:pPr>
      <w:r w:rsidRPr="0018633E">
        <w:rPr>
          <w:rFonts w:ascii="Book Antiqua" w:eastAsia="Calibri" w:hAnsi="Book Antiqua" w:cs="Arial"/>
          <w:b/>
          <w:bCs/>
          <w:i/>
          <w:iCs/>
          <w:sz w:val="24"/>
          <w:szCs w:val="24"/>
          <w:lang w:eastAsia="es-CR"/>
        </w:rPr>
        <w:t xml:space="preserve">Variables </w:t>
      </w:r>
      <w:r w:rsidR="0065534E">
        <w:rPr>
          <w:rFonts w:ascii="Book Antiqua" w:eastAsia="Calibri" w:hAnsi="Book Antiqua" w:cs="Arial"/>
          <w:b/>
          <w:bCs/>
          <w:i/>
          <w:iCs/>
          <w:sz w:val="24"/>
          <w:szCs w:val="24"/>
          <w:lang w:eastAsia="es-CR"/>
        </w:rPr>
        <w:t>consultadas durante el</w:t>
      </w:r>
      <w:r w:rsidRPr="0018633E">
        <w:rPr>
          <w:rFonts w:ascii="Book Antiqua" w:eastAsia="Calibri" w:hAnsi="Book Antiqua" w:cs="Arial"/>
          <w:b/>
          <w:bCs/>
          <w:i/>
          <w:iCs/>
          <w:sz w:val="24"/>
          <w:szCs w:val="24"/>
          <w:lang w:eastAsia="es-CR"/>
        </w:rPr>
        <w:t xml:space="preserve"> inventario</w:t>
      </w:r>
      <w:r w:rsidR="0065534E">
        <w:rPr>
          <w:rFonts w:ascii="Book Antiqua" w:eastAsia="Calibri" w:hAnsi="Book Antiqua" w:cs="Arial"/>
          <w:b/>
          <w:bCs/>
          <w:i/>
          <w:iCs/>
          <w:sz w:val="24"/>
          <w:szCs w:val="24"/>
          <w:lang w:eastAsia="es-CR"/>
        </w:rPr>
        <w:t xml:space="preserve"> de Familia 202</w:t>
      </w:r>
      <w:r w:rsidR="00A01E07">
        <w:rPr>
          <w:rFonts w:ascii="Book Antiqua" w:eastAsia="Calibri" w:hAnsi="Book Antiqua" w:cs="Arial"/>
          <w:b/>
          <w:bCs/>
          <w:i/>
          <w:iCs/>
          <w:sz w:val="24"/>
          <w:szCs w:val="24"/>
          <w:lang w:eastAsia="es-CR"/>
        </w:rPr>
        <w:t>0</w:t>
      </w:r>
    </w:p>
    <w:p w14:paraId="4D921967" w14:textId="77777777" w:rsidR="0018633E" w:rsidRPr="0018633E" w:rsidRDefault="0018633E" w:rsidP="0018633E">
      <w:pPr>
        <w:spacing w:after="0" w:line="276" w:lineRule="auto"/>
        <w:contextualSpacing/>
        <w:jc w:val="both"/>
        <w:rPr>
          <w:rFonts w:ascii="Book Antiqua" w:eastAsia="Calibri" w:hAnsi="Book Antiqua" w:cs="Arial"/>
          <w:b/>
          <w:bCs/>
          <w:i/>
          <w:iCs/>
          <w:sz w:val="24"/>
          <w:szCs w:val="24"/>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4320"/>
      </w:tblGrid>
      <w:tr w:rsidR="0018633E" w:rsidRPr="009B71C9" w14:paraId="4CD133AD" w14:textId="77777777" w:rsidTr="00306313">
        <w:trPr>
          <w:jc w:val="center"/>
        </w:trPr>
        <w:tc>
          <w:tcPr>
            <w:tcW w:w="4320" w:type="dxa"/>
          </w:tcPr>
          <w:p w14:paraId="78E574E2" w14:textId="77777777" w:rsidR="0018633E" w:rsidRPr="009B71C9" w:rsidRDefault="0018633E" w:rsidP="0018633E">
            <w:pPr>
              <w:spacing w:after="0" w:line="240" w:lineRule="auto"/>
              <w:jc w:val="center"/>
              <w:rPr>
                <w:rFonts w:ascii="Book Antiqua" w:eastAsia="Calibri" w:hAnsi="Book Antiqua" w:cs="Arial"/>
                <w:b/>
                <w:sz w:val="20"/>
                <w:szCs w:val="20"/>
              </w:rPr>
            </w:pPr>
            <w:r w:rsidRPr="009B71C9">
              <w:rPr>
                <w:rFonts w:ascii="Book Antiqua" w:eastAsia="Calibri" w:hAnsi="Book Antiqua" w:cs="Arial"/>
                <w:b/>
                <w:sz w:val="20"/>
                <w:szCs w:val="20"/>
                <w:lang w:val="es-ES_tradnl"/>
              </w:rPr>
              <w:t xml:space="preserve">Tipo de Proceso en Familia </w:t>
            </w:r>
            <w:r w:rsidRPr="009B71C9">
              <w:rPr>
                <w:rFonts w:ascii="Book Antiqua" w:eastAsia="Calibri" w:hAnsi="Book Antiqua" w:cs="Arial"/>
                <w:sz w:val="20"/>
                <w:szCs w:val="20"/>
              </w:rPr>
              <w:t>(sumarios)</w:t>
            </w:r>
          </w:p>
        </w:tc>
        <w:tc>
          <w:tcPr>
            <w:tcW w:w="4320" w:type="dxa"/>
          </w:tcPr>
          <w:p w14:paraId="15C1F498" w14:textId="77777777" w:rsidR="0018633E" w:rsidRPr="009B71C9" w:rsidRDefault="0018633E" w:rsidP="0018633E">
            <w:pPr>
              <w:spacing w:after="0" w:line="240" w:lineRule="auto"/>
              <w:jc w:val="center"/>
              <w:rPr>
                <w:rFonts w:ascii="Book Antiqua" w:eastAsia="Calibri" w:hAnsi="Book Antiqua" w:cs="Arial"/>
                <w:b/>
                <w:sz w:val="20"/>
                <w:szCs w:val="20"/>
              </w:rPr>
            </w:pPr>
            <w:r w:rsidRPr="009B71C9">
              <w:rPr>
                <w:rFonts w:ascii="Book Antiqua" w:eastAsia="Calibri" w:hAnsi="Book Antiqua" w:cs="Arial"/>
                <w:b/>
                <w:sz w:val="20"/>
                <w:szCs w:val="20"/>
              </w:rPr>
              <w:t>Variable para revisar en el inventario</w:t>
            </w:r>
          </w:p>
        </w:tc>
      </w:tr>
      <w:tr w:rsidR="0018633E" w:rsidRPr="009B71C9" w14:paraId="766B9DD9" w14:textId="77777777" w:rsidTr="00306313">
        <w:trPr>
          <w:jc w:val="center"/>
        </w:trPr>
        <w:tc>
          <w:tcPr>
            <w:tcW w:w="4320" w:type="dxa"/>
          </w:tcPr>
          <w:p w14:paraId="10B84021"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Guarda crianza y educación</w:t>
            </w:r>
          </w:p>
        </w:tc>
        <w:tc>
          <w:tcPr>
            <w:tcW w:w="4320" w:type="dxa"/>
          </w:tcPr>
          <w:p w14:paraId="0780E205"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7E5EB2BE" w14:textId="77777777" w:rsidTr="00306313">
        <w:trPr>
          <w:jc w:val="center"/>
        </w:trPr>
        <w:tc>
          <w:tcPr>
            <w:tcW w:w="4320" w:type="dxa"/>
          </w:tcPr>
          <w:p w14:paraId="19938B57"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Régimen de visitas</w:t>
            </w:r>
          </w:p>
        </w:tc>
        <w:tc>
          <w:tcPr>
            <w:tcW w:w="4320" w:type="dxa"/>
          </w:tcPr>
          <w:p w14:paraId="4C5545AC"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12A55DF3" w14:textId="77777777" w:rsidTr="00306313">
        <w:trPr>
          <w:jc w:val="center"/>
        </w:trPr>
        <w:tc>
          <w:tcPr>
            <w:tcW w:w="4320" w:type="dxa"/>
          </w:tcPr>
          <w:p w14:paraId="11FC2C5F"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lastRenderedPageBreak/>
              <w:t>Desafectación al régimen de habitación familiar</w:t>
            </w:r>
          </w:p>
        </w:tc>
        <w:tc>
          <w:tcPr>
            <w:tcW w:w="4320" w:type="dxa"/>
          </w:tcPr>
          <w:p w14:paraId="123EEA0B"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Ubicación del inmueble</w:t>
            </w:r>
          </w:p>
        </w:tc>
      </w:tr>
      <w:tr w:rsidR="0018633E" w:rsidRPr="009B71C9" w14:paraId="606FE3CE" w14:textId="77777777" w:rsidTr="00306313">
        <w:trPr>
          <w:jc w:val="center"/>
        </w:trPr>
        <w:tc>
          <w:tcPr>
            <w:tcW w:w="4320" w:type="dxa"/>
          </w:tcPr>
          <w:p w14:paraId="6D11DE5C"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 xml:space="preserve">Autorizaciones de salida del país </w:t>
            </w:r>
          </w:p>
        </w:tc>
        <w:tc>
          <w:tcPr>
            <w:tcW w:w="4320" w:type="dxa"/>
          </w:tcPr>
          <w:p w14:paraId="618C5A45"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2E6DAC91" w14:textId="77777777" w:rsidTr="00306313">
        <w:trPr>
          <w:jc w:val="center"/>
        </w:trPr>
        <w:tc>
          <w:tcPr>
            <w:tcW w:w="4320" w:type="dxa"/>
          </w:tcPr>
          <w:p w14:paraId="3F832E67"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Conflictos de autoridad parental</w:t>
            </w:r>
          </w:p>
        </w:tc>
        <w:tc>
          <w:tcPr>
            <w:tcW w:w="4320" w:type="dxa"/>
          </w:tcPr>
          <w:p w14:paraId="2697F3B8"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069DB2C2" w14:textId="77777777" w:rsidTr="00306313">
        <w:trPr>
          <w:jc w:val="center"/>
        </w:trPr>
        <w:tc>
          <w:tcPr>
            <w:tcW w:w="4320" w:type="dxa"/>
          </w:tcPr>
          <w:p w14:paraId="4081FE88"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Depósitos de menores de edad</w:t>
            </w:r>
          </w:p>
        </w:tc>
        <w:tc>
          <w:tcPr>
            <w:tcW w:w="4320" w:type="dxa"/>
          </w:tcPr>
          <w:p w14:paraId="560E88AA" w14:textId="77777777" w:rsidR="0018633E" w:rsidRPr="009B71C9" w:rsidRDefault="0018633E" w:rsidP="0018633E">
            <w:pPr>
              <w:spacing w:after="0" w:line="240" w:lineRule="auto"/>
              <w:jc w:val="both"/>
              <w:rPr>
                <w:rFonts w:ascii="Book Antiqua" w:eastAsia="Calibri" w:hAnsi="Book Antiqua" w:cs="Arial"/>
                <w:sz w:val="20"/>
                <w:szCs w:val="20"/>
                <w:lang w:val="es-ES_tradnl"/>
              </w:rPr>
            </w:pPr>
            <w:r w:rsidRPr="009B71C9">
              <w:rPr>
                <w:rFonts w:ascii="Book Antiqua" w:eastAsia="Calibri" w:hAnsi="Book Antiqua" w:cs="Arial"/>
                <w:sz w:val="20"/>
                <w:szCs w:val="20"/>
              </w:rPr>
              <w:t>Residencia de la persona menor</w:t>
            </w:r>
          </w:p>
        </w:tc>
      </w:tr>
      <w:tr w:rsidR="0018633E" w:rsidRPr="009B71C9" w14:paraId="77BF75BC" w14:textId="77777777" w:rsidTr="00306313">
        <w:trPr>
          <w:jc w:val="center"/>
        </w:trPr>
        <w:tc>
          <w:tcPr>
            <w:tcW w:w="4320" w:type="dxa"/>
          </w:tcPr>
          <w:p w14:paraId="6ADF7D83"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Tutelas</w:t>
            </w:r>
          </w:p>
        </w:tc>
        <w:tc>
          <w:tcPr>
            <w:tcW w:w="4320" w:type="dxa"/>
          </w:tcPr>
          <w:p w14:paraId="1ADEFDE8"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Residencia de la persona menor</w:t>
            </w:r>
          </w:p>
        </w:tc>
      </w:tr>
      <w:tr w:rsidR="0018633E" w:rsidRPr="009B71C9" w14:paraId="23E527E8" w14:textId="77777777" w:rsidTr="00306313">
        <w:trPr>
          <w:jc w:val="center"/>
        </w:trPr>
        <w:tc>
          <w:tcPr>
            <w:tcW w:w="4320" w:type="dxa"/>
          </w:tcPr>
          <w:p w14:paraId="07149FF1"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Curatelas/salvaguardia</w:t>
            </w:r>
          </w:p>
        </w:tc>
        <w:tc>
          <w:tcPr>
            <w:tcW w:w="4320" w:type="dxa"/>
          </w:tcPr>
          <w:p w14:paraId="3D4890BB"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Residencia de la persona sujeta a la salvaguardia (menor, con discapacidad)</w:t>
            </w:r>
          </w:p>
        </w:tc>
      </w:tr>
      <w:tr w:rsidR="0018633E" w:rsidRPr="009B71C9" w14:paraId="64DEF52D" w14:textId="77777777" w:rsidTr="00306313">
        <w:trPr>
          <w:jc w:val="center"/>
        </w:trPr>
        <w:tc>
          <w:tcPr>
            <w:tcW w:w="4320" w:type="dxa"/>
          </w:tcPr>
          <w:p w14:paraId="2938BE2F"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Diligencias de utilidad y necesidad</w:t>
            </w:r>
          </w:p>
        </w:tc>
        <w:tc>
          <w:tcPr>
            <w:tcW w:w="4320" w:type="dxa"/>
          </w:tcPr>
          <w:p w14:paraId="00E4CED2" w14:textId="77777777" w:rsidR="0018633E" w:rsidRPr="009B71C9" w:rsidRDefault="0018633E" w:rsidP="0018633E">
            <w:pPr>
              <w:spacing w:after="0" w:line="240" w:lineRule="auto"/>
              <w:jc w:val="both"/>
              <w:rPr>
                <w:rFonts w:ascii="Book Antiqua" w:eastAsia="Calibri" w:hAnsi="Book Antiqua" w:cs="Arial"/>
                <w:sz w:val="20"/>
                <w:szCs w:val="20"/>
              </w:rPr>
            </w:pPr>
            <w:r w:rsidRPr="009B71C9">
              <w:rPr>
                <w:rFonts w:ascii="Book Antiqua" w:eastAsia="Calibri" w:hAnsi="Book Antiqua" w:cs="Arial"/>
                <w:sz w:val="20"/>
                <w:szCs w:val="20"/>
              </w:rPr>
              <w:t xml:space="preserve">Residencia de la persona menor </w:t>
            </w:r>
          </w:p>
        </w:tc>
      </w:tr>
    </w:tbl>
    <w:p w14:paraId="5961D9FE" w14:textId="77777777" w:rsidR="00AA01E7" w:rsidRDefault="00AA01E7" w:rsidP="00AA01E7">
      <w:pPr>
        <w:spacing w:after="0" w:line="276" w:lineRule="auto"/>
        <w:jc w:val="both"/>
        <w:rPr>
          <w:rFonts w:ascii="Book Antiqua" w:eastAsia="Calibri" w:hAnsi="Book Antiqua" w:cs="Arial"/>
          <w:b/>
          <w:bCs/>
          <w:sz w:val="24"/>
          <w:szCs w:val="24"/>
        </w:rPr>
      </w:pPr>
    </w:p>
    <w:p w14:paraId="5870A39A" w14:textId="1E37AFD9" w:rsidR="0018633E" w:rsidRPr="00AA01E7" w:rsidRDefault="0018633E" w:rsidP="00AA01E7">
      <w:pPr>
        <w:spacing w:after="0" w:line="276" w:lineRule="auto"/>
        <w:jc w:val="both"/>
        <w:rPr>
          <w:rFonts w:ascii="Book Antiqua" w:eastAsia="Calibri" w:hAnsi="Book Antiqua" w:cs="Arial"/>
          <w:b/>
          <w:bCs/>
          <w:sz w:val="24"/>
          <w:szCs w:val="24"/>
        </w:rPr>
      </w:pPr>
      <w:r w:rsidRPr="00AA01E7">
        <w:rPr>
          <w:rFonts w:ascii="Book Antiqua" w:eastAsia="Calibri" w:hAnsi="Book Antiqua" w:cs="Arial"/>
          <w:b/>
          <w:bCs/>
          <w:sz w:val="24"/>
          <w:szCs w:val="24"/>
        </w:rPr>
        <w:t>Actividades durante y post entrada en vigencia del CPF</w:t>
      </w:r>
      <w:r w:rsidR="00327FDF" w:rsidRPr="00AA01E7">
        <w:rPr>
          <w:rFonts w:ascii="Book Antiqua" w:eastAsia="Calibri" w:hAnsi="Book Antiqua" w:cs="Arial"/>
          <w:b/>
          <w:bCs/>
          <w:sz w:val="24"/>
          <w:szCs w:val="24"/>
        </w:rPr>
        <w:t xml:space="preserve"> 2022-2023</w:t>
      </w:r>
    </w:p>
    <w:p w14:paraId="5F909378" w14:textId="77777777" w:rsidR="00AA01E7" w:rsidRDefault="00AA01E7" w:rsidP="0018633E">
      <w:pPr>
        <w:spacing w:after="0" w:line="276" w:lineRule="auto"/>
        <w:jc w:val="both"/>
        <w:rPr>
          <w:rFonts w:ascii="Book Antiqua" w:eastAsia="Calibri" w:hAnsi="Book Antiqua" w:cs="Arial"/>
          <w:sz w:val="24"/>
          <w:szCs w:val="24"/>
        </w:rPr>
      </w:pPr>
    </w:p>
    <w:p w14:paraId="04188E95" w14:textId="19F4CE07" w:rsidR="0018633E" w:rsidRPr="0018633E" w:rsidRDefault="0018633E" w:rsidP="0018633E">
      <w:pPr>
        <w:spacing w:after="0" w:line="276" w:lineRule="auto"/>
        <w:jc w:val="both"/>
        <w:rPr>
          <w:rFonts w:ascii="Book Antiqua" w:eastAsia="Calibri" w:hAnsi="Book Antiqua" w:cs="Arial"/>
          <w:sz w:val="24"/>
          <w:szCs w:val="24"/>
        </w:rPr>
      </w:pPr>
      <w:r w:rsidRPr="0018633E">
        <w:rPr>
          <w:rFonts w:ascii="Book Antiqua" w:eastAsia="Calibri" w:hAnsi="Book Antiqua" w:cs="Arial"/>
          <w:sz w:val="24"/>
          <w:szCs w:val="24"/>
        </w:rPr>
        <w:t xml:space="preserve">A raíz de las experiencias suscitadas con la entrada en vigencia de la Reforma al Código de Trabajo, en el 2017, y el Nuevo Código Procesal Civil en el 2018, se describen a continuación algunas de las actividades que se prevé que se realizarán al momento de la entrada en vigencia del Código Procesal de Familia: </w:t>
      </w:r>
    </w:p>
    <w:p w14:paraId="3D228F12" w14:textId="77777777" w:rsidR="0018633E" w:rsidRPr="0018633E" w:rsidRDefault="0018633E" w:rsidP="0018633E">
      <w:pPr>
        <w:spacing w:after="0" w:line="276" w:lineRule="auto"/>
        <w:jc w:val="both"/>
        <w:rPr>
          <w:rFonts w:ascii="Book Antiqua" w:eastAsia="Calibri" w:hAnsi="Book Antiqua" w:cs="Arial"/>
        </w:rPr>
      </w:pPr>
    </w:p>
    <w:p w14:paraId="3DC20B45" w14:textId="77777777" w:rsidR="00097996" w:rsidRDefault="0018633E" w:rsidP="009B71C9">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 xml:space="preserve">Con la finalidad de utilizar las herramientas tecnológicas con </w:t>
      </w:r>
      <w:r w:rsidR="003E2E0A">
        <w:rPr>
          <w:rFonts w:ascii="Book Antiqua" w:eastAsia="Calibri" w:hAnsi="Book Antiqua" w:cs="Arial"/>
          <w:sz w:val="24"/>
          <w:szCs w:val="24"/>
          <w:lang w:eastAsia="es-CR"/>
        </w:rPr>
        <w:t xml:space="preserve">las que </w:t>
      </w:r>
      <w:r w:rsidRPr="0018633E">
        <w:rPr>
          <w:rFonts w:ascii="Book Antiqua" w:eastAsia="Calibri" w:hAnsi="Book Antiqua" w:cs="Arial"/>
          <w:sz w:val="24"/>
          <w:szCs w:val="24"/>
          <w:lang w:eastAsia="es-CR"/>
        </w:rPr>
        <w:t xml:space="preserve">cuenta la Institución y en la línea de la inteligencia de negocios, el equipo del Subproceso de Evaluación se da a la tarea del diseño de Indicadores de Gestión en SIGMA, lo que automatiza la generación de los indicadores. Dicho trabajo implica el involucramiento del Equipo de la Dirección </w:t>
      </w:r>
      <w:r w:rsidR="003E2E0A">
        <w:rPr>
          <w:rFonts w:ascii="Book Antiqua" w:eastAsia="Calibri" w:hAnsi="Book Antiqua" w:cs="Arial"/>
          <w:sz w:val="24"/>
          <w:szCs w:val="24"/>
          <w:lang w:eastAsia="es-CR"/>
        </w:rPr>
        <w:t xml:space="preserve">de </w:t>
      </w:r>
      <w:r w:rsidRPr="0018633E">
        <w:rPr>
          <w:rFonts w:ascii="Book Antiqua" w:eastAsia="Calibri" w:hAnsi="Book Antiqua" w:cs="Arial"/>
          <w:sz w:val="24"/>
          <w:szCs w:val="24"/>
          <w:lang w:eastAsia="es-CR"/>
        </w:rPr>
        <w:t xml:space="preserve">Tecnología de la Información y de la validación de la información que suministre cada uno de los indicadores diseñados. </w:t>
      </w:r>
    </w:p>
    <w:p w14:paraId="222F46B9" w14:textId="129BFCC2" w:rsidR="0065534E" w:rsidRDefault="0018633E" w:rsidP="009B71C9">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097996">
        <w:rPr>
          <w:rFonts w:ascii="Book Antiqua" w:eastAsia="Calibri" w:hAnsi="Book Antiqua" w:cs="Arial"/>
          <w:sz w:val="24"/>
          <w:szCs w:val="24"/>
          <w:lang w:eastAsia="es-CR"/>
        </w:rPr>
        <w:t>Acompañamiento durante la entrada en vigencia del Código Procesal de Familia, e</w:t>
      </w:r>
      <w:r w:rsidR="00C861E0" w:rsidRPr="00097996">
        <w:rPr>
          <w:rFonts w:ascii="Book Antiqua" w:eastAsia="Calibri" w:hAnsi="Book Antiqua" w:cs="Arial"/>
          <w:sz w:val="24"/>
          <w:szCs w:val="24"/>
          <w:lang w:eastAsia="es-CR"/>
        </w:rPr>
        <w:t>l</w:t>
      </w:r>
      <w:r w:rsidRPr="00097996">
        <w:rPr>
          <w:rFonts w:ascii="Book Antiqua" w:eastAsia="Calibri" w:hAnsi="Book Antiqua" w:cs="Arial"/>
          <w:sz w:val="24"/>
          <w:szCs w:val="24"/>
          <w:lang w:eastAsia="es-CR"/>
        </w:rPr>
        <w:t xml:space="preserve"> cual se prevé brindar con la finalidad de estabilizar a los despachos en caso de ser necesario a raíz de las modificaciones en la conformación de personas que se podría realizar, cambios en las competencias, en los lineamientos del trabajo, entre otros</w:t>
      </w:r>
      <w:r w:rsidR="00097996">
        <w:rPr>
          <w:rFonts w:ascii="Book Antiqua" w:eastAsia="Calibri" w:hAnsi="Book Antiqua" w:cs="Arial"/>
          <w:sz w:val="24"/>
          <w:szCs w:val="24"/>
          <w:lang w:eastAsia="es-CR"/>
        </w:rPr>
        <w:t>.</w:t>
      </w:r>
    </w:p>
    <w:p w14:paraId="053C4B4A" w14:textId="77777777" w:rsidR="00097996" w:rsidRPr="00097996" w:rsidRDefault="00097996" w:rsidP="00097996">
      <w:pPr>
        <w:spacing w:after="0" w:line="276" w:lineRule="auto"/>
        <w:contextualSpacing/>
        <w:jc w:val="both"/>
        <w:rPr>
          <w:rFonts w:ascii="Book Antiqua" w:eastAsia="Calibri" w:hAnsi="Book Antiqua" w:cs="Arial"/>
          <w:sz w:val="24"/>
          <w:szCs w:val="24"/>
          <w:lang w:eastAsia="es-CR"/>
        </w:rPr>
      </w:pPr>
    </w:p>
    <w:p w14:paraId="6D4A4769" w14:textId="69A03898" w:rsidR="0018633E" w:rsidRDefault="0018633E"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Seguimiento de Indicadores de Gestión</w:t>
      </w:r>
      <w:r w:rsidR="00097996">
        <w:rPr>
          <w:rFonts w:ascii="Book Antiqua" w:eastAsia="Calibri" w:hAnsi="Book Antiqua" w:cs="Arial"/>
          <w:sz w:val="24"/>
          <w:szCs w:val="24"/>
          <w:lang w:eastAsia="es-CR"/>
        </w:rPr>
        <w:t xml:space="preserve"> de los juzgados especializados de violencia doméstica</w:t>
      </w:r>
      <w:r w:rsidRPr="0018633E">
        <w:rPr>
          <w:rFonts w:ascii="Book Antiqua" w:eastAsia="Calibri" w:hAnsi="Book Antiqua" w:cs="Arial"/>
          <w:sz w:val="24"/>
          <w:szCs w:val="24"/>
          <w:lang w:eastAsia="es-CR"/>
        </w:rPr>
        <w:t xml:space="preserve"> por parte del equipo de la Dirección de Planificación, de forma de empoderar a los equipos de trabajo de los Juzgados en el Modelo de Sostenibilidad promoviendo la autogestión en miras del crecimiento y mejora de cada uno de los Despachos involucrados. El trabajo que provoca esta acción corresponde al seguimiento mensual, revisión de la calidad del dato, análisis del comportamiento de los indicadores, revisión del diseño de planes remediales y minutas de trabajo, así como la retroalimentación al Despacho.</w:t>
      </w:r>
    </w:p>
    <w:p w14:paraId="007A2A65" w14:textId="77777777" w:rsidR="00A01E07" w:rsidRPr="0018633E" w:rsidRDefault="00A01E07" w:rsidP="009B71C9">
      <w:pPr>
        <w:spacing w:after="0" w:line="276" w:lineRule="auto"/>
        <w:contextualSpacing/>
        <w:jc w:val="both"/>
        <w:rPr>
          <w:rFonts w:ascii="Book Antiqua" w:eastAsia="Calibri" w:hAnsi="Book Antiqua" w:cs="Arial"/>
          <w:sz w:val="24"/>
          <w:szCs w:val="24"/>
          <w:lang w:eastAsia="es-CR"/>
        </w:rPr>
      </w:pPr>
    </w:p>
    <w:p w14:paraId="533DD7DC" w14:textId="77777777" w:rsidR="00E85731" w:rsidRPr="001D0C10" w:rsidRDefault="0018633E"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D0C10">
        <w:rPr>
          <w:rFonts w:ascii="Book Antiqua" w:eastAsia="Calibri" w:hAnsi="Book Antiqua" w:cs="Arial"/>
          <w:sz w:val="24"/>
          <w:szCs w:val="24"/>
          <w:lang w:eastAsia="es-CR"/>
        </w:rPr>
        <w:t>Informe de Cierre de Proyecto, elaborado conforme a lo indicado por la metodología de Administración de Proyectos, con la finalidad de evidenciar el progreso en las tareas realizadas, las lecciones aprendidas, los pendientes entre otros. Información que será insumo para nuevos proyectos de la misma índole</w:t>
      </w:r>
    </w:p>
    <w:p w14:paraId="54FBCC6D" w14:textId="51B0D7A2" w:rsidR="0018633E" w:rsidRPr="0018633E" w:rsidRDefault="0018633E" w:rsidP="0092119C">
      <w:pPr>
        <w:spacing w:after="0" w:line="276" w:lineRule="auto"/>
        <w:contextualSpacing/>
        <w:jc w:val="both"/>
        <w:rPr>
          <w:rFonts w:ascii="Book Antiqua" w:eastAsia="Calibri" w:hAnsi="Book Antiqua" w:cs="Arial"/>
          <w:sz w:val="24"/>
          <w:szCs w:val="24"/>
          <w:lang w:eastAsia="es-CR"/>
        </w:rPr>
      </w:pPr>
    </w:p>
    <w:p w14:paraId="068EE892" w14:textId="77777777" w:rsidR="00E85731" w:rsidRDefault="0018633E" w:rsidP="0090609F">
      <w:pPr>
        <w:numPr>
          <w:ilvl w:val="0"/>
          <w:numId w:val="31"/>
        </w:numPr>
        <w:spacing w:after="0" w:line="276" w:lineRule="auto"/>
        <w:ind w:left="0" w:firstLine="0"/>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Informe de Evaluación de resultados, conforme a la metodología de Proyectos institucional, de 6-12 meses posterior a la entrada en vigencia de la Ley</w:t>
      </w:r>
    </w:p>
    <w:p w14:paraId="1E4B6A7D" w14:textId="60A29187" w:rsidR="0018633E" w:rsidRPr="0018633E" w:rsidRDefault="0018633E" w:rsidP="0092119C">
      <w:pPr>
        <w:spacing w:after="0" w:line="276" w:lineRule="auto"/>
        <w:contextualSpacing/>
        <w:jc w:val="both"/>
        <w:rPr>
          <w:rFonts w:ascii="Book Antiqua" w:eastAsia="Calibri" w:hAnsi="Book Antiqua" w:cs="Arial"/>
          <w:sz w:val="24"/>
          <w:szCs w:val="24"/>
          <w:lang w:eastAsia="es-CR"/>
        </w:rPr>
      </w:pPr>
      <w:r w:rsidRPr="0018633E">
        <w:rPr>
          <w:rFonts w:ascii="Book Antiqua" w:eastAsia="Calibri" w:hAnsi="Book Antiqua" w:cs="Arial"/>
          <w:sz w:val="24"/>
          <w:szCs w:val="24"/>
          <w:lang w:eastAsia="es-CR"/>
        </w:rPr>
        <w:t xml:space="preserve"> </w:t>
      </w:r>
    </w:p>
    <w:p w14:paraId="4E41093D" w14:textId="77777777" w:rsidR="0018633E" w:rsidRPr="0018633E" w:rsidRDefault="0018633E" w:rsidP="0018633E">
      <w:pPr>
        <w:spacing w:after="0" w:line="276" w:lineRule="auto"/>
        <w:jc w:val="both"/>
        <w:rPr>
          <w:rFonts w:ascii="Book Antiqua" w:eastAsia="Calibri" w:hAnsi="Book Antiqua" w:cs="Arial"/>
          <w:sz w:val="24"/>
          <w:szCs w:val="24"/>
        </w:rPr>
      </w:pPr>
    </w:p>
    <w:p w14:paraId="0E5E551B" w14:textId="1A357F2F" w:rsidR="00C861E0" w:rsidRPr="00AA01E7" w:rsidRDefault="00C861E0"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Comisión de Familia, Niñez y Adolescencia</w:t>
      </w:r>
    </w:p>
    <w:p w14:paraId="53F39365" w14:textId="77777777" w:rsidR="00C861E0" w:rsidRPr="00C861E0" w:rsidRDefault="00C861E0" w:rsidP="00C861E0">
      <w:pPr>
        <w:spacing w:after="0" w:line="240" w:lineRule="auto"/>
        <w:jc w:val="both"/>
        <w:rPr>
          <w:rFonts w:ascii="Book Antiqua" w:eastAsia="Calibri" w:hAnsi="Book Antiqua" w:cs="Arial"/>
          <w:sz w:val="24"/>
          <w:szCs w:val="24"/>
        </w:rPr>
      </w:pPr>
    </w:p>
    <w:p w14:paraId="3FAFE848" w14:textId="77777777" w:rsidR="004B7E99" w:rsidRDefault="00C861E0" w:rsidP="001D0C10">
      <w:pPr>
        <w:spacing w:after="0" w:line="276" w:lineRule="auto"/>
        <w:jc w:val="both"/>
        <w:rPr>
          <w:rFonts w:ascii="Book Antiqua" w:eastAsia="Calibri" w:hAnsi="Book Antiqua" w:cs="Arial"/>
          <w:sz w:val="24"/>
          <w:szCs w:val="24"/>
        </w:rPr>
      </w:pPr>
      <w:r w:rsidRPr="00C861E0">
        <w:rPr>
          <w:rFonts w:ascii="Book Antiqua" w:eastAsia="Calibri" w:hAnsi="Book Antiqua" w:cs="Arial"/>
          <w:sz w:val="24"/>
          <w:szCs w:val="24"/>
        </w:rPr>
        <w:t>Conforme a</w:t>
      </w:r>
      <w:r w:rsidR="0065534E">
        <w:rPr>
          <w:rFonts w:ascii="Book Antiqua" w:eastAsia="Calibri" w:hAnsi="Book Antiqua" w:cs="Arial"/>
          <w:sz w:val="24"/>
          <w:szCs w:val="24"/>
        </w:rPr>
        <w:t xml:space="preserve">l oficio </w:t>
      </w:r>
      <w:r w:rsidR="004B7E99">
        <w:rPr>
          <w:rFonts w:ascii="Book Antiqua" w:eastAsia="Calibri" w:hAnsi="Book Antiqua" w:cs="Arial"/>
          <w:sz w:val="24"/>
          <w:szCs w:val="24"/>
        </w:rPr>
        <w:t>1356-PLA-MI-2021</w:t>
      </w:r>
      <w:r w:rsidR="0065534E">
        <w:rPr>
          <w:rFonts w:ascii="Book Antiqua" w:eastAsia="Calibri" w:hAnsi="Book Antiqua" w:cs="Arial"/>
          <w:sz w:val="24"/>
          <w:szCs w:val="24"/>
        </w:rPr>
        <w:t xml:space="preserve"> se encuentran pendientes</w:t>
      </w:r>
      <w:r w:rsidR="004B7E99">
        <w:rPr>
          <w:rFonts w:ascii="Book Antiqua" w:eastAsia="Calibri" w:hAnsi="Book Antiqua" w:cs="Arial"/>
          <w:sz w:val="24"/>
          <w:szCs w:val="24"/>
        </w:rPr>
        <w:t xml:space="preserve"> o en progreso</w:t>
      </w:r>
      <w:r w:rsidR="0065534E">
        <w:rPr>
          <w:rFonts w:ascii="Book Antiqua" w:eastAsia="Calibri" w:hAnsi="Book Antiqua" w:cs="Arial"/>
          <w:sz w:val="24"/>
          <w:szCs w:val="24"/>
        </w:rPr>
        <w:t xml:space="preserve"> las siguientes tareas</w:t>
      </w:r>
      <w:r w:rsidR="004B7E99">
        <w:rPr>
          <w:rFonts w:ascii="Book Antiqua" w:eastAsia="Calibri" w:hAnsi="Book Antiqua" w:cs="Arial"/>
          <w:sz w:val="24"/>
          <w:szCs w:val="24"/>
        </w:rPr>
        <w:t xml:space="preserve"> a cargo de la Comisión</w:t>
      </w:r>
      <w:r w:rsidR="0065534E">
        <w:rPr>
          <w:rFonts w:ascii="Book Antiqua" w:eastAsia="Calibri" w:hAnsi="Book Antiqua" w:cs="Arial"/>
          <w:sz w:val="24"/>
          <w:szCs w:val="24"/>
        </w:rPr>
        <w:t>:</w:t>
      </w:r>
    </w:p>
    <w:p w14:paraId="3CD23E42" w14:textId="77777777" w:rsidR="004B7E99" w:rsidRDefault="004B7E99" w:rsidP="00C861E0">
      <w:pPr>
        <w:spacing w:after="0" w:line="240" w:lineRule="auto"/>
        <w:jc w:val="both"/>
        <w:rPr>
          <w:rFonts w:ascii="Book Antiqua" w:eastAsia="Calibri" w:hAnsi="Book Antiqua" w:cs="Arial"/>
          <w:sz w:val="24"/>
          <w:szCs w:val="24"/>
        </w:rPr>
      </w:pPr>
    </w:p>
    <w:tbl>
      <w:tblPr>
        <w:tblW w:w="11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6"/>
        <w:gridCol w:w="1271"/>
        <w:gridCol w:w="1368"/>
        <w:gridCol w:w="5720"/>
      </w:tblGrid>
      <w:tr w:rsidR="004B7E99" w:rsidRPr="00291E81" w14:paraId="257E9F9A" w14:textId="77777777" w:rsidTr="00035934">
        <w:trPr>
          <w:jc w:val="center"/>
        </w:trPr>
        <w:tc>
          <w:tcPr>
            <w:tcW w:w="2826" w:type="dxa"/>
            <w:shd w:val="clear" w:color="auto" w:fill="0070C0"/>
            <w:vAlign w:val="center"/>
          </w:tcPr>
          <w:p w14:paraId="5C25DF38" w14:textId="77777777" w:rsidR="004B7E99" w:rsidRPr="00291E81" w:rsidRDefault="004B7E99"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Recomendación informe 389-PLA-RH-MI-2021</w:t>
            </w:r>
          </w:p>
        </w:tc>
        <w:tc>
          <w:tcPr>
            <w:tcW w:w="1271" w:type="dxa"/>
            <w:shd w:val="clear" w:color="auto" w:fill="0070C0"/>
            <w:vAlign w:val="center"/>
          </w:tcPr>
          <w:p w14:paraId="33F1436F" w14:textId="77777777" w:rsidR="004B7E99" w:rsidRPr="00291E81" w:rsidRDefault="004B7E99"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Estado</w:t>
            </w:r>
          </w:p>
        </w:tc>
        <w:tc>
          <w:tcPr>
            <w:tcW w:w="1368" w:type="dxa"/>
            <w:shd w:val="clear" w:color="auto" w:fill="0070C0"/>
            <w:vAlign w:val="center"/>
          </w:tcPr>
          <w:p w14:paraId="49B4B5DE" w14:textId="77777777" w:rsidR="004B7E99" w:rsidRPr="00291E81" w:rsidRDefault="004B7E99"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Plazo</w:t>
            </w:r>
          </w:p>
        </w:tc>
        <w:tc>
          <w:tcPr>
            <w:tcW w:w="5720" w:type="dxa"/>
            <w:shd w:val="clear" w:color="auto" w:fill="0070C0"/>
            <w:vAlign w:val="center"/>
          </w:tcPr>
          <w:p w14:paraId="34B1D67F" w14:textId="77777777" w:rsidR="004B7E99" w:rsidRPr="00291E81" w:rsidRDefault="004B7E99"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Observaciones</w:t>
            </w:r>
          </w:p>
        </w:tc>
      </w:tr>
      <w:tr w:rsidR="004B7E99" w:rsidRPr="00291E81" w14:paraId="613EDF8A" w14:textId="77777777" w:rsidTr="00035934">
        <w:trPr>
          <w:jc w:val="center"/>
        </w:trPr>
        <w:tc>
          <w:tcPr>
            <w:tcW w:w="2826" w:type="dxa"/>
            <w:shd w:val="clear" w:color="auto" w:fill="auto"/>
            <w:vAlign w:val="center"/>
          </w:tcPr>
          <w:p w14:paraId="05BDAC25" w14:textId="77777777" w:rsidR="004B7E99" w:rsidRPr="00291E81" w:rsidRDefault="004B7E99" w:rsidP="00035934">
            <w:pPr>
              <w:pStyle w:val="Prrafodelista"/>
              <w:spacing w:line="276" w:lineRule="auto"/>
              <w:ind w:left="0"/>
              <w:jc w:val="both"/>
              <w:rPr>
                <w:rFonts w:ascii="Book Antiqua" w:hAnsi="Book Antiqua"/>
                <w:sz w:val="20"/>
                <w:szCs w:val="20"/>
              </w:rPr>
            </w:pPr>
            <w:r w:rsidRPr="00291E81">
              <w:rPr>
                <w:rFonts w:ascii="Book Antiqua" w:hAnsi="Book Antiqua"/>
                <w:i/>
                <w:iCs/>
                <w:sz w:val="20"/>
                <w:szCs w:val="20"/>
                <w:lang w:eastAsia="es-CR"/>
              </w:rPr>
              <w:t>12.7. Dar seguimiento al cumplimiento de los entregables que se encuentran a su cargo junto con el Juez Gestor en la materia del Centro de Apoyo, Coordinación y Mejoramiento de la Función Jurisdiccional</w:t>
            </w:r>
          </w:p>
        </w:tc>
        <w:tc>
          <w:tcPr>
            <w:tcW w:w="1271" w:type="dxa"/>
            <w:shd w:val="clear" w:color="auto" w:fill="FFD966"/>
            <w:vAlign w:val="center"/>
          </w:tcPr>
          <w:p w14:paraId="5881A8B5" w14:textId="77777777" w:rsidR="004B7E99" w:rsidRPr="00291E81" w:rsidRDefault="004B7E99"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En progreso</w:t>
            </w:r>
          </w:p>
        </w:tc>
        <w:tc>
          <w:tcPr>
            <w:tcW w:w="1368" w:type="dxa"/>
            <w:shd w:val="clear" w:color="auto" w:fill="auto"/>
            <w:vAlign w:val="center"/>
          </w:tcPr>
          <w:p w14:paraId="01321A79" w14:textId="77777777" w:rsidR="004B7E99" w:rsidRPr="00291E81" w:rsidRDefault="004B7E99" w:rsidP="00035934">
            <w:pPr>
              <w:pStyle w:val="Prrafodelista"/>
              <w:spacing w:line="276" w:lineRule="auto"/>
              <w:ind w:left="0"/>
              <w:jc w:val="center"/>
              <w:rPr>
                <w:rFonts w:ascii="Book Antiqua" w:hAnsi="Book Antiqua"/>
                <w:sz w:val="20"/>
                <w:szCs w:val="20"/>
              </w:rPr>
            </w:pPr>
            <w:r>
              <w:rPr>
                <w:rFonts w:ascii="Book Antiqua" w:hAnsi="Book Antiqua"/>
                <w:sz w:val="20"/>
                <w:szCs w:val="20"/>
              </w:rPr>
              <w:t>Diciembre 2022</w:t>
            </w:r>
          </w:p>
        </w:tc>
        <w:tc>
          <w:tcPr>
            <w:tcW w:w="5720" w:type="dxa"/>
            <w:shd w:val="clear" w:color="auto" w:fill="auto"/>
            <w:vAlign w:val="center"/>
          </w:tcPr>
          <w:p w14:paraId="7A2E4AF4" w14:textId="77777777" w:rsidR="004B7E99" w:rsidRPr="00C219B9" w:rsidRDefault="004B7E99" w:rsidP="00035934">
            <w:pPr>
              <w:pStyle w:val="Prrafodelista"/>
              <w:spacing w:line="276" w:lineRule="auto"/>
              <w:ind w:left="0"/>
              <w:jc w:val="both"/>
              <w:rPr>
                <w:rFonts w:ascii="Book Antiqua" w:hAnsi="Book Antiqua"/>
                <w:sz w:val="20"/>
                <w:szCs w:val="20"/>
              </w:rPr>
            </w:pPr>
            <w:r w:rsidRPr="00C219B9">
              <w:rPr>
                <w:rFonts w:ascii="Book Antiqua" w:hAnsi="Book Antiqua"/>
                <w:sz w:val="20"/>
                <w:szCs w:val="20"/>
              </w:rPr>
              <w:t xml:space="preserve">El avance del proyecto por entregable se detalló líneas atrás. </w:t>
            </w:r>
          </w:p>
          <w:p w14:paraId="5CFE58EB" w14:textId="77777777" w:rsidR="004B7E99" w:rsidRDefault="004B7E99" w:rsidP="00035934">
            <w:pPr>
              <w:pStyle w:val="Prrafodelista"/>
              <w:spacing w:line="276" w:lineRule="auto"/>
              <w:ind w:left="0"/>
              <w:jc w:val="both"/>
              <w:rPr>
                <w:rFonts w:ascii="Book Antiqua" w:hAnsi="Book Antiqua"/>
                <w:b/>
                <w:bCs/>
                <w:sz w:val="20"/>
                <w:szCs w:val="20"/>
              </w:rPr>
            </w:pPr>
          </w:p>
          <w:p w14:paraId="24A61281" w14:textId="77777777" w:rsidR="004B7E99" w:rsidRDefault="004B7E99" w:rsidP="00035934">
            <w:pPr>
              <w:pStyle w:val="Prrafodelista"/>
              <w:spacing w:line="276" w:lineRule="auto"/>
              <w:ind w:left="0"/>
              <w:jc w:val="both"/>
              <w:rPr>
                <w:rFonts w:ascii="Book Antiqua" w:hAnsi="Book Antiqua"/>
                <w:b/>
                <w:bCs/>
                <w:sz w:val="20"/>
                <w:szCs w:val="20"/>
              </w:rPr>
            </w:pPr>
          </w:p>
          <w:p w14:paraId="12209E41" w14:textId="77777777" w:rsidR="004B7E99" w:rsidRDefault="004B7E99" w:rsidP="00035934">
            <w:pPr>
              <w:pStyle w:val="Prrafodelista"/>
              <w:spacing w:line="276" w:lineRule="auto"/>
              <w:ind w:left="0"/>
              <w:jc w:val="both"/>
              <w:rPr>
                <w:rFonts w:ascii="Book Antiqua" w:hAnsi="Book Antiqua"/>
                <w:b/>
                <w:bCs/>
                <w:sz w:val="20"/>
                <w:szCs w:val="20"/>
              </w:rPr>
            </w:pPr>
          </w:p>
          <w:p w14:paraId="0863F0B8" w14:textId="77777777" w:rsidR="004B7E99" w:rsidRDefault="004B7E99" w:rsidP="00035934">
            <w:pPr>
              <w:pStyle w:val="Prrafodelista"/>
              <w:spacing w:line="276" w:lineRule="auto"/>
              <w:ind w:left="0"/>
              <w:jc w:val="both"/>
              <w:rPr>
                <w:rFonts w:ascii="Book Antiqua" w:hAnsi="Book Antiqua"/>
                <w:b/>
                <w:bCs/>
                <w:sz w:val="20"/>
                <w:szCs w:val="20"/>
              </w:rPr>
            </w:pPr>
          </w:p>
          <w:p w14:paraId="7D1672CB" w14:textId="77777777" w:rsidR="004B7E99" w:rsidRPr="00291E81" w:rsidRDefault="004B7E99" w:rsidP="00035934">
            <w:pPr>
              <w:pStyle w:val="Prrafodelista"/>
              <w:spacing w:line="276" w:lineRule="auto"/>
              <w:ind w:left="0"/>
              <w:jc w:val="both"/>
              <w:rPr>
                <w:rFonts w:ascii="Book Antiqua" w:hAnsi="Book Antiqua"/>
                <w:b/>
                <w:bCs/>
                <w:sz w:val="20"/>
                <w:szCs w:val="20"/>
              </w:rPr>
            </w:pPr>
          </w:p>
        </w:tc>
      </w:tr>
      <w:tr w:rsidR="004B7E99" w:rsidRPr="00291E81" w14:paraId="6192C65C" w14:textId="77777777" w:rsidTr="00035934">
        <w:trPr>
          <w:jc w:val="center"/>
        </w:trPr>
        <w:tc>
          <w:tcPr>
            <w:tcW w:w="2826" w:type="dxa"/>
            <w:shd w:val="clear" w:color="auto" w:fill="auto"/>
            <w:vAlign w:val="center"/>
          </w:tcPr>
          <w:p w14:paraId="44128C78" w14:textId="77777777" w:rsidR="004B7E99" w:rsidRPr="00291E81" w:rsidRDefault="004B7E99" w:rsidP="00035934">
            <w:pPr>
              <w:spacing w:line="276" w:lineRule="auto"/>
              <w:jc w:val="both"/>
              <w:rPr>
                <w:rFonts w:ascii="Book Antiqua" w:hAnsi="Book Antiqua"/>
                <w:i/>
                <w:iCs/>
                <w:sz w:val="20"/>
                <w:szCs w:val="20"/>
              </w:rPr>
            </w:pPr>
            <w:r w:rsidRPr="00291E81">
              <w:rPr>
                <w:rFonts w:ascii="Book Antiqua" w:hAnsi="Book Antiqua"/>
                <w:i/>
                <w:iCs/>
                <w:sz w:val="20"/>
                <w:szCs w:val="20"/>
              </w:rPr>
              <w:t xml:space="preserve">12.11. Revisar y actualizar junto con el Subproceso de estadística la prioridad a nivel estadístico, que deben de ser categorías exhaustivas y excluyentes. </w:t>
            </w:r>
          </w:p>
        </w:tc>
        <w:tc>
          <w:tcPr>
            <w:tcW w:w="1271" w:type="dxa"/>
            <w:shd w:val="clear" w:color="auto" w:fill="FFD966"/>
            <w:vAlign w:val="center"/>
          </w:tcPr>
          <w:p w14:paraId="16A3C18C" w14:textId="77777777" w:rsidR="004B7E99" w:rsidRPr="00291E81" w:rsidRDefault="004B7E99"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En progreso</w:t>
            </w:r>
          </w:p>
        </w:tc>
        <w:tc>
          <w:tcPr>
            <w:tcW w:w="1368" w:type="dxa"/>
            <w:shd w:val="clear" w:color="auto" w:fill="auto"/>
            <w:vAlign w:val="center"/>
          </w:tcPr>
          <w:p w14:paraId="2344C531" w14:textId="77777777" w:rsidR="004B7E99" w:rsidRPr="00291E81" w:rsidRDefault="004B7E99"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Noviembre 2021</w:t>
            </w:r>
          </w:p>
        </w:tc>
        <w:tc>
          <w:tcPr>
            <w:tcW w:w="5720" w:type="dxa"/>
            <w:shd w:val="clear" w:color="auto" w:fill="auto"/>
            <w:vAlign w:val="center"/>
          </w:tcPr>
          <w:p w14:paraId="204DBE85" w14:textId="77777777" w:rsidR="004B7E99" w:rsidRPr="00291E81" w:rsidRDefault="004B7E99"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 xml:space="preserve">De parte del gestor y el Subproceso de Estadística se está actualizando el tema de las nuevas variables en las fórmulas estadísticas con la nueva Ley. Tarea asociada al entregable del proyecto </w:t>
            </w:r>
            <w:r w:rsidRPr="00291E81">
              <w:rPr>
                <w:rFonts w:ascii="Book Antiqua" w:hAnsi="Book Antiqua"/>
                <w:b/>
                <w:bCs/>
                <w:sz w:val="20"/>
                <w:szCs w:val="20"/>
                <w:lang w:eastAsia="es-CR"/>
              </w:rPr>
              <w:t>3.3. Fórmulas estadísticas FA, PA, VD tareas y ubicaciones a utilizar con el CPF</w:t>
            </w:r>
          </w:p>
        </w:tc>
      </w:tr>
      <w:tr w:rsidR="004B7E99" w:rsidRPr="00291E81" w14:paraId="4DA1ACC4" w14:textId="77777777" w:rsidTr="00035934">
        <w:trPr>
          <w:jc w:val="center"/>
        </w:trPr>
        <w:tc>
          <w:tcPr>
            <w:tcW w:w="2826" w:type="dxa"/>
            <w:shd w:val="clear" w:color="auto" w:fill="auto"/>
            <w:vAlign w:val="center"/>
          </w:tcPr>
          <w:p w14:paraId="56D0B3A7" w14:textId="77777777" w:rsidR="004B7E99" w:rsidRPr="00291E81" w:rsidRDefault="004B7E99" w:rsidP="00035934">
            <w:pPr>
              <w:spacing w:line="276" w:lineRule="auto"/>
              <w:jc w:val="both"/>
              <w:rPr>
                <w:rFonts w:ascii="Book Antiqua" w:hAnsi="Book Antiqua"/>
                <w:i/>
                <w:iCs/>
                <w:sz w:val="20"/>
                <w:szCs w:val="20"/>
              </w:rPr>
            </w:pPr>
            <w:r w:rsidRPr="00291E81">
              <w:rPr>
                <w:rFonts w:ascii="Book Antiqua" w:hAnsi="Book Antiqua"/>
                <w:i/>
                <w:iCs/>
                <w:sz w:val="20"/>
                <w:szCs w:val="20"/>
              </w:rPr>
              <w:t>12.12. Revisar junto con el Juez Gestor, el reporte actual que genera SIGMA de los apremios, para contabilizar la cantidad de solicitud y las que finalmente se emiten, y si aplica o no adicionar la categoría de “conservación de derecho”.</w:t>
            </w:r>
          </w:p>
        </w:tc>
        <w:tc>
          <w:tcPr>
            <w:tcW w:w="1271" w:type="dxa"/>
            <w:shd w:val="clear" w:color="auto" w:fill="auto"/>
            <w:vAlign w:val="center"/>
          </w:tcPr>
          <w:p w14:paraId="1F88EDA7" w14:textId="77777777" w:rsidR="004B7E99" w:rsidRPr="00291E81" w:rsidRDefault="004B7E99"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Suspendido</w:t>
            </w:r>
          </w:p>
        </w:tc>
        <w:tc>
          <w:tcPr>
            <w:tcW w:w="1368" w:type="dxa"/>
            <w:shd w:val="clear" w:color="auto" w:fill="auto"/>
            <w:vAlign w:val="center"/>
          </w:tcPr>
          <w:p w14:paraId="6311ED4B" w14:textId="77777777" w:rsidR="004B7E99" w:rsidRPr="00291E81" w:rsidRDefault="004B7E99" w:rsidP="00035934">
            <w:pPr>
              <w:pStyle w:val="Prrafodelista"/>
              <w:spacing w:line="276" w:lineRule="auto"/>
              <w:ind w:left="0"/>
              <w:jc w:val="center"/>
              <w:rPr>
                <w:rFonts w:ascii="Book Antiqua" w:hAnsi="Book Antiqua"/>
                <w:strike/>
                <w:sz w:val="20"/>
                <w:szCs w:val="20"/>
              </w:rPr>
            </w:pPr>
            <w:r w:rsidRPr="00A77BE6">
              <w:rPr>
                <w:rFonts w:ascii="Book Antiqua" w:hAnsi="Book Antiqua"/>
                <w:strike/>
                <w:sz w:val="20"/>
                <w:szCs w:val="20"/>
              </w:rPr>
              <w:t>Febrero 2021</w:t>
            </w:r>
          </w:p>
        </w:tc>
        <w:tc>
          <w:tcPr>
            <w:tcW w:w="5720" w:type="dxa"/>
            <w:shd w:val="clear" w:color="auto" w:fill="auto"/>
            <w:vAlign w:val="center"/>
          </w:tcPr>
          <w:p w14:paraId="41C936FB" w14:textId="77777777" w:rsidR="004B7E99" w:rsidRPr="00291E81" w:rsidRDefault="004B7E99"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Para poder obtener la información con este detalle se requiere</w:t>
            </w:r>
            <w:r>
              <w:rPr>
                <w:rFonts w:ascii="Book Antiqua" w:hAnsi="Book Antiqua"/>
                <w:sz w:val="20"/>
                <w:szCs w:val="20"/>
              </w:rPr>
              <w:t xml:space="preserve"> </w:t>
            </w:r>
            <w:r w:rsidRPr="00291E81">
              <w:rPr>
                <w:rFonts w:ascii="Book Antiqua" w:hAnsi="Book Antiqua"/>
                <w:sz w:val="20"/>
                <w:szCs w:val="20"/>
              </w:rPr>
              <w:t xml:space="preserve">de mejoras informáticas: </w:t>
            </w:r>
          </w:p>
          <w:p w14:paraId="5F4F01C4" w14:textId="26FB26D5" w:rsidR="004B7E99" w:rsidRPr="00291E81" w:rsidRDefault="004B7E99"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fldChar w:fldCharType="begin"/>
            </w:r>
            <w:r w:rsidRPr="00291E81">
              <w:rPr>
                <w:rFonts w:ascii="Book Antiqua" w:hAnsi="Book Antiqua"/>
                <w:sz w:val="20"/>
                <w:szCs w:val="20"/>
              </w:rPr>
              <w:instrText xml:space="preserve"> INCLUDEPICTURE  "cid:image006.png@01D7686B.1C192BC0" \* MERGEFORMATINET </w:instrText>
            </w:r>
            <w:r w:rsidRPr="00291E81">
              <w:rPr>
                <w:rFonts w:ascii="Book Antiqua" w:hAnsi="Book Antiqua"/>
                <w:sz w:val="20"/>
                <w:szCs w:val="20"/>
              </w:rPr>
              <w:fldChar w:fldCharType="separate"/>
            </w:r>
            <w:r w:rsidR="00BB00D5">
              <w:rPr>
                <w:rFonts w:ascii="Book Antiqua" w:hAnsi="Book Antiqua"/>
                <w:sz w:val="20"/>
                <w:szCs w:val="20"/>
              </w:rPr>
              <w:fldChar w:fldCharType="begin"/>
            </w:r>
            <w:r w:rsidR="00BB00D5">
              <w:rPr>
                <w:rFonts w:ascii="Book Antiqua" w:hAnsi="Book Antiqua"/>
                <w:sz w:val="20"/>
                <w:szCs w:val="20"/>
              </w:rPr>
              <w:instrText xml:space="preserve"> INCLUDEPICTURE  "cid:image006.png@01D7686B.1C192BC0" \* MERGEFORMATINET </w:instrText>
            </w:r>
            <w:r w:rsidR="00BB00D5">
              <w:rPr>
                <w:rFonts w:ascii="Book Antiqua" w:hAnsi="Book Antiqua"/>
                <w:sz w:val="20"/>
                <w:szCs w:val="20"/>
              </w:rPr>
              <w:fldChar w:fldCharType="separate"/>
            </w:r>
            <w:r w:rsidR="00185168">
              <w:rPr>
                <w:rFonts w:ascii="Book Antiqua" w:hAnsi="Book Antiqua"/>
                <w:sz w:val="20"/>
                <w:szCs w:val="20"/>
              </w:rPr>
              <w:fldChar w:fldCharType="begin"/>
            </w:r>
            <w:r w:rsidR="00185168">
              <w:rPr>
                <w:rFonts w:ascii="Book Antiqua" w:hAnsi="Book Antiqua"/>
                <w:sz w:val="20"/>
                <w:szCs w:val="20"/>
              </w:rPr>
              <w:instrText xml:space="preserve"> INCLUDEPICTURE  "cid:image006.png@01D7686B.1C192BC0" \* MERGEFORMATINET </w:instrText>
            </w:r>
            <w:r w:rsidR="00185168">
              <w:rPr>
                <w:rFonts w:ascii="Book Antiqua" w:hAnsi="Book Antiqua"/>
                <w:sz w:val="20"/>
                <w:szCs w:val="20"/>
              </w:rPr>
              <w:fldChar w:fldCharType="separate"/>
            </w:r>
            <w:r w:rsidR="004A6281">
              <w:rPr>
                <w:rFonts w:ascii="Book Antiqua" w:hAnsi="Book Antiqua"/>
                <w:sz w:val="20"/>
                <w:szCs w:val="20"/>
              </w:rPr>
              <w:fldChar w:fldCharType="begin"/>
            </w:r>
            <w:r w:rsidR="004A6281">
              <w:rPr>
                <w:rFonts w:ascii="Book Antiqua" w:hAnsi="Book Antiqua"/>
                <w:sz w:val="20"/>
                <w:szCs w:val="20"/>
              </w:rPr>
              <w:instrText xml:space="preserve"> INCLUDEPICTURE  "cid:image006.png@01D7686B.1C192BC0" \* MERGEFORMATINET </w:instrText>
            </w:r>
            <w:r w:rsidR="004A6281">
              <w:rPr>
                <w:rFonts w:ascii="Book Antiqua" w:hAnsi="Book Antiqua"/>
                <w:sz w:val="20"/>
                <w:szCs w:val="20"/>
              </w:rPr>
              <w:fldChar w:fldCharType="separate"/>
            </w:r>
            <w:r w:rsidR="00EA6B04">
              <w:rPr>
                <w:rFonts w:ascii="Book Antiqua" w:hAnsi="Book Antiqua"/>
                <w:sz w:val="20"/>
                <w:szCs w:val="20"/>
              </w:rPr>
              <w:fldChar w:fldCharType="begin"/>
            </w:r>
            <w:r w:rsidR="00EA6B04">
              <w:rPr>
                <w:rFonts w:ascii="Book Antiqua" w:hAnsi="Book Antiqua"/>
                <w:sz w:val="20"/>
                <w:szCs w:val="20"/>
              </w:rPr>
              <w:instrText xml:space="preserve"> INCLUDEPICTURE  "cid:image006.png@01D7686B.1C192BC0" \* MERGEFORMATINET </w:instrText>
            </w:r>
            <w:r w:rsidR="00EA6B04">
              <w:rPr>
                <w:rFonts w:ascii="Book Antiqua" w:hAnsi="Book Antiqua"/>
                <w:sz w:val="20"/>
                <w:szCs w:val="20"/>
              </w:rPr>
              <w:fldChar w:fldCharType="separate"/>
            </w:r>
            <w:r w:rsidR="00621981">
              <w:rPr>
                <w:rFonts w:ascii="Book Antiqua" w:hAnsi="Book Antiqua"/>
                <w:sz w:val="20"/>
                <w:szCs w:val="20"/>
              </w:rPr>
              <w:fldChar w:fldCharType="begin"/>
            </w:r>
            <w:r w:rsidR="00621981">
              <w:rPr>
                <w:rFonts w:ascii="Book Antiqua" w:hAnsi="Book Antiqua"/>
                <w:sz w:val="20"/>
                <w:szCs w:val="20"/>
              </w:rPr>
              <w:instrText xml:space="preserve"> INCLUDEPICTURE  "cid:image006.png@01D7686B.1C192BC0" \* MERGEFORMATINET </w:instrText>
            </w:r>
            <w:r w:rsidR="00621981">
              <w:rPr>
                <w:rFonts w:ascii="Book Antiqua" w:hAnsi="Book Antiqua"/>
                <w:sz w:val="20"/>
                <w:szCs w:val="20"/>
              </w:rPr>
              <w:fldChar w:fldCharType="separate"/>
            </w:r>
            <w:r w:rsidR="006277DC">
              <w:rPr>
                <w:rFonts w:ascii="Book Antiqua" w:hAnsi="Book Antiqua"/>
                <w:sz w:val="20"/>
                <w:szCs w:val="20"/>
              </w:rPr>
              <w:fldChar w:fldCharType="begin"/>
            </w:r>
            <w:r w:rsidR="006277DC">
              <w:rPr>
                <w:rFonts w:ascii="Book Antiqua" w:hAnsi="Book Antiqua"/>
                <w:sz w:val="20"/>
                <w:szCs w:val="20"/>
              </w:rPr>
              <w:instrText xml:space="preserve"> INCLUDEPICTURE  "cid:image006.png@01D7686B.1C192BC0" \* MERGEFORMATINET </w:instrText>
            </w:r>
            <w:r w:rsidR="006277DC">
              <w:rPr>
                <w:rFonts w:ascii="Book Antiqua" w:hAnsi="Book Antiqua"/>
                <w:sz w:val="20"/>
                <w:szCs w:val="20"/>
              </w:rPr>
              <w:fldChar w:fldCharType="separate"/>
            </w:r>
            <w:r w:rsidR="00C207D2">
              <w:rPr>
                <w:rFonts w:ascii="Book Antiqua" w:hAnsi="Book Antiqua"/>
                <w:sz w:val="20"/>
                <w:szCs w:val="20"/>
              </w:rPr>
              <w:fldChar w:fldCharType="begin"/>
            </w:r>
            <w:r w:rsidR="00C207D2">
              <w:rPr>
                <w:rFonts w:ascii="Book Antiqua" w:hAnsi="Book Antiqua"/>
                <w:sz w:val="20"/>
                <w:szCs w:val="20"/>
              </w:rPr>
              <w:instrText xml:space="preserve"> INCLUDEPICTURE  "cid:image006.png@01D7686B.1C192BC0" \* MERGEFORMATINET </w:instrText>
            </w:r>
            <w:r w:rsidR="00C207D2">
              <w:rPr>
                <w:rFonts w:ascii="Book Antiqua" w:hAnsi="Book Antiqua"/>
                <w:sz w:val="20"/>
                <w:szCs w:val="20"/>
              </w:rPr>
              <w:fldChar w:fldCharType="separate"/>
            </w:r>
            <w:r w:rsidR="00E73C10">
              <w:rPr>
                <w:rFonts w:ascii="Book Antiqua" w:hAnsi="Book Antiqua"/>
                <w:sz w:val="20"/>
                <w:szCs w:val="20"/>
              </w:rPr>
              <w:fldChar w:fldCharType="begin"/>
            </w:r>
            <w:r w:rsidR="00E73C10">
              <w:rPr>
                <w:rFonts w:ascii="Book Antiqua" w:hAnsi="Book Antiqua"/>
                <w:sz w:val="20"/>
                <w:szCs w:val="20"/>
              </w:rPr>
              <w:instrText xml:space="preserve"> INCLUDEPICTURE  "cid:image006.png@01D7686B.1C192BC0" \* MERGEFORMATINET </w:instrText>
            </w:r>
            <w:r w:rsidR="00E73C10">
              <w:rPr>
                <w:rFonts w:ascii="Book Antiqua" w:hAnsi="Book Antiqua"/>
                <w:sz w:val="20"/>
                <w:szCs w:val="20"/>
              </w:rPr>
              <w:fldChar w:fldCharType="separate"/>
            </w:r>
            <w:r w:rsidR="0041643F">
              <w:rPr>
                <w:rFonts w:ascii="Book Antiqua" w:hAnsi="Book Antiqua"/>
                <w:sz w:val="20"/>
                <w:szCs w:val="20"/>
              </w:rPr>
              <w:fldChar w:fldCharType="begin"/>
            </w:r>
            <w:r w:rsidR="0041643F">
              <w:rPr>
                <w:rFonts w:ascii="Book Antiqua" w:hAnsi="Book Antiqua"/>
                <w:sz w:val="20"/>
                <w:szCs w:val="20"/>
              </w:rPr>
              <w:instrText xml:space="preserve"> INCLUDEPICTURE  "cid:image006.png@01D7686B.1C192BC0" \* MERGEFORMATINET </w:instrText>
            </w:r>
            <w:r w:rsidR="0041643F">
              <w:rPr>
                <w:rFonts w:ascii="Book Antiqua" w:hAnsi="Book Antiqua"/>
                <w:sz w:val="20"/>
                <w:szCs w:val="20"/>
              </w:rPr>
              <w:fldChar w:fldCharType="separate"/>
            </w:r>
            <w:r w:rsidR="00A01C97">
              <w:rPr>
                <w:rFonts w:ascii="Book Antiqua" w:hAnsi="Book Antiqua"/>
                <w:sz w:val="20"/>
                <w:szCs w:val="20"/>
              </w:rPr>
              <w:fldChar w:fldCharType="begin"/>
            </w:r>
            <w:r w:rsidR="00A01C97">
              <w:rPr>
                <w:rFonts w:ascii="Book Antiqua" w:hAnsi="Book Antiqua"/>
                <w:sz w:val="20"/>
                <w:szCs w:val="20"/>
              </w:rPr>
              <w:instrText xml:space="preserve"> INCLUDEPICTURE  "cid:image006.png@01D7686B.1C192BC0" \* MERGEFORMATINET </w:instrText>
            </w:r>
            <w:r w:rsidR="00A01C97">
              <w:rPr>
                <w:rFonts w:ascii="Book Antiqua" w:hAnsi="Book Antiqua"/>
                <w:sz w:val="20"/>
                <w:szCs w:val="20"/>
              </w:rPr>
              <w:fldChar w:fldCharType="separate"/>
            </w:r>
            <w:r w:rsidR="000B307B">
              <w:rPr>
                <w:rFonts w:ascii="Book Antiqua" w:hAnsi="Book Antiqua"/>
                <w:sz w:val="20"/>
                <w:szCs w:val="20"/>
              </w:rPr>
              <w:fldChar w:fldCharType="begin"/>
            </w:r>
            <w:r w:rsidR="000B307B">
              <w:rPr>
                <w:rFonts w:ascii="Book Antiqua" w:hAnsi="Book Antiqua"/>
                <w:sz w:val="20"/>
                <w:szCs w:val="20"/>
              </w:rPr>
              <w:instrText xml:space="preserve"> INCLUDEPICTURE  "cid:image006.png@01D7686B.1C192BC0" \* MERGEFORMATINET </w:instrText>
            </w:r>
            <w:r w:rsidR="000B307B">
              <w:rPr>
                <w:rFonts w:ascii="Book Antiqua" w:hAnsi="Book Antiqua"/>
                <w:sz w:val="20"/>
                <w:szCs w:val="20"/>
              </w:rPr>
              <w:fldChar w:fldCharType="separate"/>
            </w:r>
            <w:r w:rsidR="000B307B">
              <w:rPr>
                <w:rFonts w:ascii="Book Antiqua" w:hAnsi="Book Antiqua"/>
                <w:sz w:val="20"/>
                <w:szCs w:val="20"/>
              </w:rPr>
              <w:fldChar w:fldCharType="begin"/>
            </w:r>
            <w:r w:rsidR="000B307B">
              <w:rPr>
                <w:rFonts w:ascii="Book Antiqua" w:hAnsi="Book Antiqua"/>
                <w:sz w:val="20"/>
                <w:szCs w:val="20"/>
              </w:rPr>
              <w:instrText xml:space="preserve"> INCLUDEPICTURE  "cid:image006.png@01D7686B.1C192BC0" \* MERGEFORMATINET </w:instrText>
            </w:r>
            <w:r w:rsidR="000B307B">
              <w:rPr>
                <w:rFonts w:ascii="Book Antiqua" w:hAnsi="Book Antiqua"/>
                <w:sz w:val="20"/>
                <w:szCs w:val="20"/>
              </w:rPr>
              <w:fldChar w:fldCharType="separate"/>
            </w:r>
            <w:r w:rsidR="0090609F">
              <w:rPr>
                <w:rFonts w:ascii="Book Antiqua" w:hAnsi="Book Antiqua"/>
                <w:sz w:val="20"/>
                <w:szCs w:val="20"/>
              </w:rPr>
              <w:fldChar w:fldCharType="begin"/>
            </w:r>
            <w:r w:rsidR="0090609F">
              <w:rPr>
                <w:rFonts w:ascii="Book Antiqua" w:hAnsi="Book Antiqua"/>
                <w:sz w:val="20"/>
                <w:szCs w:val="20"/>
              </w:rPr>
              <w:instrText xml:space="preserve"> INCLUDEPICTURE  "cid:image006.png@01D7686B.1C192BC0" \* MERGEFORMATINET </w:instrText>
            </w:r>
            <w:r w:rsidR="0090609F">
              <w:rPr>
                <w:rFonts w:ascii="Book Antiqua" w:hAnsi="Book Antiqua"/>
                <w:sz w:val="20"/>
                <w:szCs w:val="20"/>
              </w:rPr>
              <w:fldChar w:fldCharType="separate"/>
            </w:r>
            <w:r w:rsidR="00035934">
              <w:rPr>
                <w:rFonts w:ascii="Book Antiqua" w:hAnsi="Book Antiqua"/>
                <w:sz w:val="20"/>
                <w:szCs w:val="20"/>
              </w:rPr>
              <w:fldChar w:fldCharType="begin"/>
            </w:r>
            <w:r w:rsidR="00035934">
              <w:rPr>
                <w:rFonts w:ascii="Book Antiqua" w:hAnsi="Book Antiqua"/>
                <w:sz w:val="20"/>
                <w:szCs w:val="20"/>
              </w:rPr>
              <w:instrText xml:space="preserve"> INCLUDEPICTURE  "cid:image006.png@01D7686B.1C192BC0" \* MERGEFORMATINET </w:instrText>
            </w:r>
            <w:r w:rsidR="00035934">
              <w:rPr>
                <w:rFonts w:ascii="Book Antiqua" w:hAnsi="Book Antiqua"/>
                <w:sz w:val="20"/>
                <w:szCs w:val="20"/>
              </w:rPr>
              <w:fldChar w:fldCharType="separate"/>
            </w:r>
            <w:r w:rsidR="004F137B">
              <w:rPr>
                <w:rFonts w:ascii="Book Antiqua" w:hAnsi="Book Antiqua"/>
                <w:sz w:val="20"/>
                <w:szCs w:val="20"/>
              </w:rPr>
              <w:fldChar w:fldCharType="begin"/>
            </w:r>
            <w:r w:rsidR="004F137B">
              <w:rPr>
                <w:rFonts w:ascii="Book Antiqua" w:hAnsi="Book Antiqua"/>
                <w:sz w:val="20"/>
                <w:szCs w:val="20"/>
              </w:rPr>
              <w:instrText xml:space="preserve"> INCLUDEPICTURE  "cid:image006.png@01D7686B.1C192BC0" \* MERGEFORMATINET </w:instrText>
            </w:r>
            <w:r w:rsidR="004F137B">
              <w:rPr>
                <w:rFonts w:ascii="Book Antiqua" w:hAnsi="Book Antiqua"/>
                <w:sz w:val="20"/>
                <w:szCs w:val="20"/>
              </w:rPr>
              <w:fldChar w:fldCharType="separate"/>
            </w:r>
            <w:r w:rsidR="00A30CBC">
              <w:rPr>
                <w:rFonts w:ascii="Book Antiqua" w:hAnsi="Book Antiqua"/>
                <w:sz w:val="20"/>
                <w:szCs w:val="20"/>
              </w:rPr>
              <w:fldChar w:fldCharType="begin"/>
            </w:r>
            <w:r w:rsidR="00A30CBC">
              <w:rPr>
                <w:rFonts w:ascii="Book Antiqua" w:hAnsi="Book Antiqua"/>
                <w:sz w:val="20"/>
                <w:szCs w:val="20"/>
              </w:rPr>
              <w:instrText xml:space="preserve"> INCLUDEPICTURE  "cid:image006.png@01D7686B.1C192BC0" \* MERGEFORMATINET </w:instrText>
            </w:r>
            <w:r w:rsidR="00A30CBC">
              <w:rPr>
                <w:rFonts w:ascii="Book Antiqua" w:hAnsi="Book Antiqua"/>
                <w:sz w:val="20"/>
                <w:szCs w:val="20"/>
              </w:rPr>
              <w:fldChar w:fldCharType="separate"/>
            </w:r>
            <w:r w:rsidR="00DF289E">
              <w:rPr>
                <w:rFonts w:ascii="Book Antiqua" w:hAnsi="Book Antiqua"/>
                <w:sz w:val="20"/>
                <w:szCs w:val="20"/>
              </w:rPr>
              <w:fldChar w:fldCharType="begin"/>
            </w:r>
            <w:r w:rsidR="00DF289E">
              <w:rPr>
                <w:rFonts w:ascii="Book Antiqua" w:hAnsi="Book Antiqua"/>
                <w:sz w:val="20"/>
                <w:szCs w:val="20"/>
              </w:rPr>
              <w:instrText xml:space="preserve"> INCLUDEPICTURE  "cid:image006.png@01D7686B.1C192BC0" \* MERGEFORMATINET </w:instrText>
            </w:r>
            <w:r w:rsidR="00DF289E">
              <w:rPr>
                <w:rFonts w:ascii="Book Antiqua" w:hAnsi="Book Antiqua"/>
                <w:sz w:val="20"/>
                <w:szCs w:val="20"/>
              </w:rPr>
              <w:fldChar w:fldCharType="separate"/>
            </w:r>
            <w:r w:rsidR="009F2359">
              <w:rPr>
                <w:rFonts w:ascii="Book Antiqua" w:hAnsi="Book Antiqua"/>
                <w:sz w:val="20"/>
                <w:szCs w:val="20"/>
              </w:rPr>
              <w:fldChar w:fldCharType="begin"/>
            </w:r>
            <w:r w:rsidR="009F2359">
              <w:rPr>
                <w:rFonts w:ascii="Book Antiqua" w:hAnsi="Book Antiqua"/>
                <w:sz w:val="20"/>
                <w:szCs w:val="20"/>
              </w:rPr>
              <w:instrText xml:space="preserve"> INCLUDEPICTURE  "cid:image006.png@01D7686B.1C192BC0" \* MERGEFORMATINET </w:instrText>
            </w:r>
            <w:r w:rsidR="009F2359">
              <w:rPr>
                <w:rFonts w:ascii="Book Antiqua" w:hAnsi="Book Antiqua"/>
                <w:sz w:val="20"/>
                <w:szCs w:val="20"/>
              </w:rPr>
              <w:fldChar w:fldCharType="end"/>
            </w:r>
            <w:r w:rsidR="00DF289E">
              <w:rPr>
                <w:rFonts w:ascii="Book Antiqua" w:hAnsi="Book Antiqua"/>
                <w:sz w:val="20"/>
                <w:szCs w:val="20"/>
              </w:rPr>
              <w:fldChar w:fldCharType="end"/>
            </w:r>
            <w:r w:rsidR="00A30CBC">
              <w:rPr>
                <w:rFonts w:ascii="Book Antiqua" w:hAnsi="Book Antiqua"/>
                <w:sz w:val="20"/>
                <w:szCs w:val="20"/>
              </w:rPr>
              <w:fldChar w:fldCharType="end"/>
            </w:r>
            <w:r w:rsidR="004F137B">
              <w:rPr>
                <w:rFonts w:ascii="Book Antiqua" w:hAnsi="Book Antiqua"/>
                <w:sz w:val="20"/>
                <w:szCs w:val="20"/>
              </w:rPr>
              <w:fldChar w:fldCharType="end"/>
            </w:r>
            <w:r w:rsidR="00035934">
              <w:rPr>
                <w:rFonts w:ascii="Book Antiqua" w:hAnsi="Book Antiqua"/>
                <w:sz w:val="20"/>
                <w:szCs w:val="20"/>
              </w:rPr>
              <w:fldChar w:fldCharType="end"/>
            </w:r>
            <w:r w:rsidR="0090609F">
              <w:rPr>
                <w:rFonts w:ascii="Book Antiqua" w:hAnsi="Book Antiqua"/>
                <w:sz w:val="20"/>
                <w:szCs w:val="20"/>
              </w:rPr>
              <w:fldChar w:fldCharType="end"/>
            </w:r>
            <w:r w:rsidR="000B307B">
              <w:rPr>
                <w:rFonts w:ascii="Book Antiqua" w:hAnsi="Book Antiqua"/>
                <w:sz w:val="20"/>
                <w:szCs w:val="20"/>
              </w:rPr>
              <w:fldChar w:fldCharType="end"/>
            </w:r>
            <w:r w:rsidR="000B307B">
              <w:rPr>
                <w:rFonts w:ascii="Book Antiqua" w:hAnsi="Book Antiqua"/>
                <w:sz w:val="20"/>
                <w:szCs w:val="20"/>
              </w:rPr>
              <w:fldChar w:fldCharType="end"/>
            </w:r>
            <w:r w:rsidR="00A01C97">
              <w:rPr>
                <w:rFonts w:ascii="Book Antiqua" w:hAnsi="Book Antiqua"/>
                <w:sz w:val="20"/>
                <w:szCs w:val="20"/>
              </w:rPr>
              <w:fldChar w:fldCharType="end"/>
            </w:r>
            <w:r w:rsidR="0041643F">
              <w:rPr>
                <w:rFonts w:ascii="Book Antiqua" w:hAnsi="Book Antiqua"/>
                <w:sz w:val="20"/>
                <w:szCs w:val="20"/>
              </w:rPr>
              <w:fldChar w:fldCharType="end"/>
            </w:r>
            <w:r w:rsidR="00E73C10">
              <w:rPr>
                <w:rFonts w:ascii="Book Antiqua" w:hAnsi="Book Antiqua"/>
                <w:sz w:val="20"/>
                <w:szCs w:val="20"/>
              </w:rPr>
              <w:fldChar w:fldCharType="end"/>
            </w:r>
            <w:r w:rsidR="00C207D2">
              <w:rPr>
                <w:rFonts w:ascii="Book Antiqua" w:hAnsi="Book Antiqua"/>
                <w:sz w:val="20"/>
                <w:szCs w:val="20"/>
              </w:rPr>
              <w:fldChar w:fldCharType="end"/>
            </w:r>
            <w:r w:rsidR="006277DC">
              <w:rPr>
                <w:rFonts w:ascii="Book Antiqua" w:hAnsi="Book Antiqua"/>
                <w:sz w:val="20"/>
                <w:szCs w:val="20"/>
              </w:rPr>
              <w:fldChar w:fldCharType="end"/>
            </w:r>
            <w:r w:rsidR="00621981">
              <w:rPr>
                <w:rFonts w:ascii="Book Antiqua" w:hAnsi="Book Antiqua"/>
                <w:sz w:val="20"/>
                <w:szCs w:val="20"/>
              </w:rPr>
              <w:fldChar w:fldCharType="end"/>
            </w:r>
            <w:r w:rsidR="00EA6B04">
              <w:rPr>
                <w:rFonts w:ascii="Book Antiqua" w:hAnsi="Book Antiqua"/>
                <w:sz w:val="20"/>
                <w:szCs w:val="20"/>
              </w:rPr>
              <w:fldChar w:fldCharType="end"/>
            </w:r>
            <w:r w:rsidR="004A6281">
              <w:rPr>
                <w:rFonts w:ascii="Book Antiqua" w:hAnsi="Book Antiqua"/>
                <w:sz w:val="20"/>
                <w:szCs w:val="20"/>
              </w:rPr>
              <w:fldChar w:fldCharType="end"/>
            </w:r>
            <w:r w:rsidR="00185168">
              <w:rPr>
                <w:rFonts w:ascii="Book Antiqua" w:hAnsi="Book Antiqua"/>
                <w:sz w:val="20"/>
                <w:szCs w:val="20"/>
              </w:rPr>
              <w:fldChar w:fldCharType="end"/>
            </w:r>
            <w:r w:rsidR="00BB00D5">
              <w:rPr>
                <w:rFonts w:ascii="Book Antiqua" w:hAnsi="Book Antiqua"/>
                <w:sz w:val="20"/>
                <w:szCs w:val="20"/>
              </w:rPr>
              <w:fldChar w:fldCharType="end"/>
            </w:r>
            <w:r w:rsidRPr="00291E81">
              <w:rPr>
                <w:rFonts w:ascii="Book Antiqua" w:hAnsi="Book Antiqua"/>
                <w:sz w:val="20"/>
                <w:szCs w:val="20"/>
              </w:rPr>
              <w:fldChar w:fldCharType="end"/>
            </w:r>
          </w:p>
          <w:p w14:paraId="75039A16" w14:textId="77777777" w:rsidR="004B7E99" w:rsidRPr="00291E81" w:rsidRDefault="004B7E99" w:rsidP="00035934">
            <w:pPr>
              <w:pStyle w:val="Prrafodelista"/>
              <w:spacing w:line="276" w:lineRule="auto"/>
              <w:ind w:left="0"/>
              <w:jc w:val="center"/>
              <w:rPr>
                <w:rFonts w:ascii="Book Antiqua" w:hAnsi="Book Antiqua"/>
                <w:sz w:val="20"/>
                <w:szCs w:val="20"/>
              </w:rPr>
            </w:pPr>
          </w:p>
          <w:p w14:paraId="263B2EB0" w14:textId="77777777" w:rsidR="004B7E99" w:rsidRDefault="004B7E99"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Según indica doña Vivian Rímola de DTI el 6 de agosto 2021 la solicitud de analizará pero para el nuevo sistema (SIAGPJ).</w:t>
            </w:r>
            <w:r>
              <w:rPr>
                <w:rFonts w:ascii="Book Antiqua" w:hAnsi="Book Antiqua"/>
                <w:sz w:val="20"/>
                <w:szCs w:val="20"/>
              </w:rPr>
              <w:t xml:space="preserve"> El 24 de noviembre 2021 indica doña Vivian que </w:t>
            </w:r>
            <w:r w:rsidRPr="00D2670C">
              <w:rPr>
                <w:rFonts w:ascii="Book Antiqua" w:hAnsi="Book Antiqua"/>
                <w:sz w:val="20"/>
                <w:szCs w:val="20"/>
              </w:rPr>
              <w:t>la mejora está en la lista de pendientes, más no se tiene aún fecha en que se pueda atender, está pendiente la priorización de todas las mejoras solicitadas.</w:t>
            </w:r>
          </w:p>
          <w:p w14:paraId="477AD09B" w14:textId="77777777" w:rsidR="004B7E99" w:rsidRPr="00291E81" w:rsidRDefault="004B7E99" w:rsidP="00035934">
            <w:pPr>
              <w:pStyle w:val="Prrafodelista"/>
              <w:spacing w:line="276" w:lineRule="auto"/>
              <w:ind w:left="0"/>
              <w:jc w:val="both"/>
              <w:rPr>
                <w:rFonts w:ascii="Book Antiqua" w:hAnsi="Book Antiqua"/>
                <w:sz w:val="20"/>
                <w:szCs w:val="20"/>
              </w:rPr>
            </w:pPr>
            <w:r>
              <w:rPr>
                <w:rFonts w:ascii="Book Antiqua" w:hAnsi="Book Antiqua"/>
                <w:sz w:val="20"/>
                <w:szCs w:val="20"/>
              </w:rPr>
              <w:lastRenderedPageBreak/>
              <w:t xml:space="preserve">Doña Fabiola Arancibia de DTI indica el 24 de noviembre de 2021 que </w:t>
            </w:r>
            <w:r w:rsidRPr="00F36BFB">
              <w:rPr>
                <w:rFonts w:ascii="Book Antiqua" w:hAnsi="Book Antiqua"/>
                <w:i/>
                <w:iCs/>
                <w:sz w:val="20"/>
                <w:szCs w:val="20"/>
              </w:rPr>
              <w:t>“El SIAGPJ estaría implantado a nivel nacional en las materias de pensiones, Familia y VD en octubre del 2024”</w:t>
            </w:r>
            <w:r>
              <w:rPr>
                <w:rFonts w:ascii="Book Antiqua" w:hAnsi="Book Antiqua"/>
                <w:i/>
                <w:iCs/>
                <w:sz w:val="20"/>
                <w:szCs w:val="20"/>
              </w:rPr>
              <w:t>.</w:t>
            </w:r>
          </w:p>
        </w:tc>
      </w:tr>
    </w:tbl>
    <w:p w14:paraId="426A7870" w14:textId="26C6971B" w:rsidR="00C861E0" w:rsidRPr="00C861E0" w:rsidRDefault="0065534E" w:rsidP="00C861E0">
      <w:pPr>
        <w:spacing w:after="0" w:line="240" w:lineRule="auto"/>
        <w:jc w:val="both"/>
        <w:rPr>
          <w:rFonts w:ascii="Calibri" w:eastAsia="Calibri" w:hAnsi="Calibri" w:cs="Arial"/>
          <w:sz w:val="24"/>
          <w:szCs w:val="24"/>
          <w:lang w:val="es-MX"/>
        </w:rPr>
      </w:pPr>
      <w:r>
        <w:rPr>
          <w:rFonts w:ascii="Book Antiqua" w:eastAsia="Calibri" w:hAnsi="Book Antiqua" w:cs="Arial"/>
          <w:sz w:val="24"/>
          <w:szCs w:val="24"/>
        </w:rPr>
        <w:lastRenderedPageBreak/>
        <w:t xml:space="preserve"> </w:t>
      </w:r>
    </w:p>
    <w:p w14:paraId="2148BBFB" w14:textId="77777777" w:rsidR="001374AE" w:rsidRDefault="001374AE" w:rsidP="00C861E0">
      <w:pPr>
        <w:pStyle w:val="Ttulo"/>
        <w:spacing w:line="276" w:lineRule="auto"/>
        <w:jc w:val="both"/>
        <w:rPr>
          <w:szCs w:val="24"/>
          <w:lang w:val="es-CR"/>
        </w:rPr>
      </w:pPr>
    </w:p>
    <w:tbl>
      <w:tblPr>
        <w:tblW w:w="11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06"/>
        <w:gridCol w:w="2472"/>
        <w:gridCol w:w="1379"/>
        <w:gridCol w:w="1180"/>
        <w:gridCol w:w="5074"/>
      </w:tblGrid>
      <w:tr w:rsidR="004B7E99" w:rsidRPr="004E7EEE" w14:paraId="18732A4B" w14:textId="77777777" w:rsidTr="00035934">
        <w:trPr>
          <w:trHeight w:val="529"/>
          <w:jc w:val="center"/>
        </w:trPr>
        <w:tc>
          <w:tcPr>
            <w:tcW w:w="1506" w:type="dxa"/>
            <w:shd w:val="clear" w:color="auto" w:fill="4F81BD"/>
            <w:tcMar>
              <w:top w:w="15" w:type="dxa"/>
              <w:left w:w="25" w:type="dxa"/>
              <w:bottom w:w="0" w:type="dxa"/>
              <w:right w:w="25" w:type="dxa"/>
            </w:tcMar>
            <w:vAlign w:val="center"/>
            <w:hideMark/>
          </w:tcPr>
          <w:p w14:paraId="683D9487" w14:textId="77777777" w:rsidR="004B7E99" w:rsidRPr="004E7EEE" w:rsidRDefault="004B7E99" w:rsidP="00035934">
            <w:pPr>
              <w:jc w:val="center"/>
              <w:rPr>
                <w:rFonts w:ascii="Book Antiqua" w:hAnsi="Book Antiqua"/>
                <w:sz w:val="20"/>
                <w:szCs w:val="20"/>
              </w:rPr>
            </w:pPr>
            <w:r w:rsidRPr="004E7EEE">
              <w:rPr>
                <w:rFonts w:ascii="Book Antiqua" w:hAnsi="Book Antiqua"/>
                <w:b/>
                <w:bCs/>
                <w:sz w:val="20"/>
                <w:szCs w:val="20"/>
              </w:rPr>
              <w:t>Tarea incluida en el oficio 1091-PLA-EV-2020</w:t>
            </w:r>
          </w:p>
        </w:tc>
        <w:tc>
          <w:tcPr>
            <w:tcW w:w="2472" w:type="dxa"/>
            <w:shd w:val="clear" w:color="auto" w:fill="4F81BD"/>
            <w:tcMar>
              <w:top w:w="15" w:type="dxa"/>
              <w:left w:w="25" w:type="dxa"/>
              <w:bottom w:w="0" w:type="dxa"/>
              <w:right w:w="25" w:type="dxa"/>
            </w:tcMar>
            <w:vAlign w:val="center"/>
            <w:hideMark/>
          </w:tcPr>
          <w:p w14:paraId="1D77F894" w14:textId="77777777" w:rsidR="004B7E99" w:rsidRPr="004E7EEE" w:rsidRDefault="004B7E99" w:rsidP="00035934">
            <w:pPr>
              <w:jc w:val="center"/>
              <w:rPr>
                <w:rFonts w:ascii="Book Antiqua" w:hAnsi="Book Antiqua"/>
                <w:sz w:val="20"/>
                <w:szCs w:val="20"/>
              </w:rPr>
            </w:pPr>
            <w:r w:rsidRPr="004E7EEE">
              <w:rPr>
                <w:rFonts w:ascii="Book Antiqua" w:hAnsi="Book Antiqua"/>
                <w:b/>
                <w:bCs/>
                <w:color w:val="000000"/>
                <w:sz w:val="20"/>
                <w:szCs w:val="20"/>
              </w:rPr>
              <w:t>Detalle</w:t>
            </w:r>
          </w:p>
        </w:tc>
        <w:tc>
          <w:tcPr>
            <w:tcW w:w="1379" w:type="dxa"/>
            <w:shd w:val="clear" w:color="auto" w:fill="4F81BD"/>
            <w:tcMar>
              <w:top w:w="15" w:type="dxa"/>
              <w:left w:w="25" w:type="dxa"/>
              <w:bottom w:w="0" w:type="dxa"/>
              <w:right w:w="25" w:type="dxa"/>
            </w:tcMar>
            <w:vAlign w:val="center"/>
            <w:hideMark/>
          </w:tcPr>
          <w:p w14:paraId="1E881112" w14:textId="77777777" w:rsidR="004B7E99" w:rsidRPr="004E7EEE" w:rsidRDefault="004B7E99" w:rsidP="00035934">
            <w:pPr>
              <w:jc w:val="center"/>
              <w:rPr>
                <w:rFonts w:ascii="Book Antiqua" w:hAnsi="Book Antiqua"/>
                <w:sz w:val="20"/>
                <w:szCs w:val="20"/>
              </w:rPr>
            </w:pPr>
            <w:r w:rsidRPr="004E7EEE">
              <w:rPr>
                <w:rFonts w:ascii="Book Antiqua" w:hAnsi="Book Antiqua"/>
                <w:b/>
                <w:bCs/>
                <w:color w:val="000000"/>
                <w:sz w:val="20"/>
                <w:szCs w:val="20"/>
              </w:rPr>
              <w:t>Estado</w:t>
            </w:r>
          </w:p>
        </w:tc>
        <w:tc>
          <w:tcPr>
            <w:tcW w:w="1180" w:type="dxa"/>
            <w:shd w:val="clear" w:color="auto" w:fill="4F81BD"/>
            <w:tcMar>
              <w:top w:w="15" w:type="dxa"/>
              <w:left w:w="25" w:type="dxa"/>
              <w:bottom w:w="0" w:type="dxa"/>
              <w:right w:w="25" w:type="dxa"/>
            </w:tcMar>
            <w:vAlign w:val="center"/>
            <w:hideMark/>
          </w:tcPr>
          <w:p w14:paraId="6503A811" w14:textId="77777777" w:rsidR="004B7E99" w:rsidRPr="004E7EEE" w:rsidRDefault="004B7E99" w:rsidP="00035934">
            <w:pPr>
              <w:jc w:val="center"/>
              <w:rPr>
                <w:rFonts w:ascii="Book Antiqua" w:hAnsi="Book Antiqua"/>
                <w:sz w:val="20"/>
                <w:szCs w:val="20"/>
              </w:rPr>
            </w:pPr>
            <w:r w:rsidRPr="004E7EEE">
              <w:rPr>
                <w:rFonts w:ascii="Book Antiqua" w:hAnsi="Book Antiqua"/>
                <w:b/>
                <w:bCs/>
                <w:color w:val="000000"/>
                <w:sz w:val="20"/>
                <w:szCs w:val="20"/>
              </w:rPr>
              <w:t>Plazo</w:t>
            </w:r>
          </w:p>
        </w:tc>
        <w:tc>
          <w:tcPr>
            <w:tcW w:w="5074" w:type="dxa"/>
            <w:shd w:val="clear" w:color="auto" w:fill="4F81BD"/>
            <w:tcMar>
              <w:top w:w="15" w:type="dxa"/>
              <w:left w:w="25" w:type="dxa"/>
              <w:bottom w:w="0" w:type="dxa"/>
              <w:right w:w="25" w:type="dxa"/>
            </w:tcMar>
            <w:vAlign w:val="center"/>
            <w:hideMark/>
          </w:tcPr>
          <w:p w14:paraId="58538DC9" w14:textId="77777777" w:rsidR="004B7E99" w:rsidRPr="004E7EEE" w:rsidRDefault="004B7E99" w:rsidP="00035934">
            <w:pPr>
              <w:jc w:val="center"/>
              <w:rPr>
                <w:rFonts w:ascii="Book Antiqua" w:hAnsi="Book Antiqua"/>
                <w:sz w:val="20"/>
                <w:szCs w:val="20"/>
              </w:rPr>
            </w:pPr>
            <w:r w:rsidRPr="004E7EEE">
              <w:rPr>
                <w:rFonts w:ascii="Book Antiqua" w:hAnsi="Book Antiqua"/>
                <w:sz w:val="20"/>
                <w:szCs w:val="20"/>
              </w:rPr>
              <w:t>Observaciones</w:t>
            </w:r>
          </w:p>
        </w:tc>
      </w:tr>
      <w:tr w:rsidR="004B7E99" w:rsidRPr="004E7EEE" w14:paraId="7496EF37" w14:textId="77777777" w:rsidTr="00035934">
        <w:trPr>
          <w:trHeight w:val="1474"/>
          <w:jc w:val="center"/>
        </w:trPr>
        <w:tc>
          <w:tcPr>
            <w:tcW w:w="1506" w:type="dxa"/>
            <w:vMerge w:val="restart"/>
            <w:shd w:val="clear" w:color="auto" w:fill="auto"/>
            <w:tcMar>
              <w:top w:w="15" w:type="dxa"/>
              <w:left w:w="25" w:type="dxa"/>
              <w:bottom w:w="0" w:type="dxa"/>
              <w:right w:w="25" w:type="dxa"/>
            </w:tcMar>
            <w:vAlign w:val="center"/>
            <w:hideMark/>
          </w:tcPr>
          <w:p w14:paraId="152A43A9" w14:textId="77777777" w:rsidR="004B7E99" w:rsidRPr="004E7EEE" w:rsidRDefault="004B7E99" w:rsidP="00035934">
            <w:pPr>
              <w:jc w:val="both"/>
              <w:rPr>
                <w:rFonts w:ascii="Book Antiqua" w:hAnsi="Book Antiqua"/>
                <w:sz w:val="20"/>
                <w:szCs w:val="20"/>
              </w:rPr>
            </w:pPr>
            <w:r w:rsidRPr="004E7EEE">
              <w:rPr>
                <w:rFonts w:ascii="Book Antiqua" w:hAnsi="Book Antiqua"/>
                <w:b/>
                <w:bCs/>
                <w:color w:val="000000"/>
                <w:sz w:val="20"/>
                <w:szCs w:val="20"/>
              </w:rPr>
              <w:t xml:space="preserve">Diseño de los </w:t>
            </w:r>
            <w:r w:rsidRPr="004E7EEE">
              <w:rPr>
                <w:rFonts w:ascii="Book Antiqua" w:hAnsi="Book Antiqua"/>
                <w:b/>
                <w:bCs/>
                <w:color w:val="000000"/>
                <w:sz w:val="20"/>
                <w:szCs w:val="20"/>
                <w:u w:val="single"/>
              </w:rPr>
              <w:t>nuevos</w:t>
            </w:r>
            <w:r w:rsidRPr="004E7EEE">
              <w:rPr>
                <w:rFonts w:ascii="Book Antiqua" w:hAnsi="Book Antiqua"/>
                <w:b/>
                <w:bCs/>
                <w:color w:val="000000"/>
                <w:sz w:val="20"/>
                <w:szCs w:val="20"/>
              </w:rPr>
              <w:t xml:space="preserve"> formatos jurídicos (machotes).</w:t>
            </w:r>
          </w:p>
        </w:tc>
        <w:tc>
          <w:tcPr>
            <w:tcW w:w="2472" w:type="dxa"/>
            <w:vMerge w:val="restart"/>
            <w:shd w:val="clear" w:color="auto" w:fill="auto"/>
            <w:tcMar>
              <w:top w:w="15" w:type="dxa"/>
              <w:left w:w="25" w:type="dxa"/>
              <w:bottom w:w="0" w:type="dxa"/>
              <w:right w:w="25" w:type="dxa"/>
            </w:tcMar>
            <w:vAlign w:val="center"/>
            <w:hideMark/>
          </w:tcPr>
          <w:p w14:paraId="117257A8"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t xml:space="preserve">Los </w:t>
            </w:r>
            <w:r w:rsidRPr="004E7EEE">
              <w:rPr>
                <w:rFonts w:ascii="Book Antiqua" w:hAnsi="Book Antiqua"/>
                <w:color w:val="000000"/>
                <w:sz w:val="20"/>
                <w:szCs w:val="20"/>
                <w:u w:val="single"/>
              </w:rPr>
              <w:t>nuevos</w:t>
            </w:r>
            <w:r w:rsidRPr="004E7EEE">
              <w:rPr>
                <w:rFonts w:ascii="Book Antiqua" w:hAnsi="Book Antiqua"/>
                <w:color w:val="000000"/>
                <w:sz w:val="20"/>
                <w:szCs w:val="20"/>
              </w:rPr>
              <w:t xml:space="preserve"> formatos jurídicos, con la indicación además de cuales están asociados a cambios de fase o estados para las materias de Familia, Pensiones Alimentarias y Violencia Doméstica.</w:t>
            </w:r>
          </w:p>
        </w:tc>
        <w:tc>
          <w:tcPr>
            <w:tcW w:w="1379" w:type="dxa"/>
            <w:shd w:val="clear" w:color="auto" w:fill="92D050"/>
            <w:tcMar>
              <w:top w:w="15" w:type="dxa"/>
              <w:left w:w="25" w:type="dxa"/>
              <w:bottom w:w="0" w:type="dxa"/>
              <w:right w:w="25" w:type="dxa"/>
            </w:tcMar>
            <w:vAlign w:val="center"/>
            <w:hideMark/>
          </w:tcPr>
          <w:p w14:paraId="6A99706A"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Elaboración de los formatos:</w:t>
            </w:r>
          </w:p>
          <w:p w14:paraId="1B7A8F0B" w14:textId="77777777" w:rsidR="004B7E99" w:rsidRPr="004E7EEE" w:rsidRDefault="004B7E99" w:rsidP="00035934">
            <w:pPr>
              <w:jc w:val="center"/>
              <w:rPr>
                <w:rFonts w:ascii="Book Antiqua" w:hAnsi="Book Antiqua"/>
                <w:sz w:val="20"/>
                <w:szCs w:val="20"/>
              </w:rPr>
            </w:pPr>
            <w:r w:rsidRPr="004E7EEE">
              <w:rPr>
                <w:rFonts w:ascii="Book Antiqua" w:hAnsi="Book Antiqua"/>
                <w:sz w:val="20"/>
                <w:szCs w:val="20"/>
              </w:rPr>
              <w:t>Listo</w:t>
            </w:r>
          </w:p>
        </w:tc>
        <w:tc>
          <w:tcPr>
            <w:tcW w:w="1180" w:type="dxa"/>
            <w:shd w:val="clear" w:color="auto" w:fill="auto"/>
            <w:tcMar>
              <w:top w:w="15" w:type="dxa"/>
              <w:left w:w="25" w:type="dxa"/>
              <w:bottom w:w="0" w:type="dxa"/>
              <w:right w:w="25" w:type="dxa"/>
            </w:tcMar>
            <w:vAlign w:val="center"/>
            <w:hideMark/>
          </w:tcPr>
          <w:p w14:paraId="47CE4820" w14:textId="77777777" w:rsidR="004B7E99" w:rsidRPr="004E7EEE" w:rsidRDefault="004B7E99" w:rsidP="00035934">
            <w:pPr>
              <w:rPr>
                <w:rFonts w:ascii="Book Antiqua" w:hAnsi="Book Antiqua"/>
                <w:sz w:val="20"/>
                <w:szCs w:val="20"/>
              </w:rPr>
            </w:pPr>
            <w:r w:rsidRPr="004E7EEE">
              <w:rPr>
                <w:rFonts w:ascii="Book Antiqua" w:hAnsi="Book Antiqua"/>
                <w:color w:val="000000"/>
                <w:sz w:val="20"/>
                <w:szCs w:val="20"/>
              </w:rPr>
              <w:t> Noviembre 2020</w:t>
            </w:r>
          </w:p>
        </w:tc>
        <w:tc>
          <w:tcPr>
            <w:tcW w:w="5074" w:type="dxa"/>
            <w:shd w:val="clear" w:color="auto" w:fill="auto"/>
            <w:tcMar>
              <w:top w:w="15" w:type="dxa"/>
              <w:left w:w="25" w:type="dxa"/>
              <w:bottom w:w="0" w:type="dxa"/>
              <w:right w:w="25" w:type="dxa"/>
            </w:tcMar>
            <w:vAlign w:val="center"/>
            <w:hideMark/>
          </w:tcPr>
          <w:p w14:paraId="4FB1D721" w14:textId="77777777" w:rsidR="004B7E99" w:rsidRPr="004E7EEE" w:rsidRDefault="004B7E99" w:rsidP="00035934">
            <w:pPr>
              <w:rPr>
                <w:rFonts w:ascii="Book Antiqua" w:hAnsi="Book Antiqua"/>
                <w:sz w:val="20"/>
                <w:szCs w:val="20"/>
              </w:rPr>
            </w:pPr>
          </w:p>
        </w:tc>
      </w:tr>
      <w:tr w:rsidR="004B7E99" w:rsidRPr="004E7EEE" w14:paraId="39457907" w14:textId="77777777" w:rsidTr="00035934">
        <w:trPr>
          <w:trHeight w:val="1473"/>
          <w:jc w:val="center"/>
        </w:trPr>
        <w:tc>
          <w:tcPr>
            <w:tcW w:w="1506" w:type="dxa"/>
            <w:vMerge/>
            <w:shd w:val="clear" w:color="auto" w:fill="auto"/>
            <w:tcMar>
              <w:top w:w="15" w:type="dxa"/>
              <w:left w:w="25" w:type="dxa"/>
              <w:bottom w:w="0" w:type="dxa"/>
              <w:right w:w="25" w:type="dxa"/>
            </w:tcMar>
            <w:vAlign w:val="center"/>
          </w:tcPr>
          <w:p w14:paraId="5D641634" w14:textId="77777777" w:rsidR="004B7E99" w:rsidRPr="004E7EEE" w:rsidRDefault="004B7E99"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63B4A13B" w14:textId="77777777" w:rsidR="004B7E99" w:rsidRPr="004E7EEE" w:rsidRDefault="004B7E99" w:rsidP="00035934">
            <w:pPr>
              <w:rPr>
                <w:rFonts w:ascii="Book Antiqua" w:hAnsi="Book Antiqua"/>
                <w:color w:val="000000"/>
                <w:sz w:val="20"/>
                <w:szCs w:val="20"/>
              </w:rPr>
            </w:pPr>
          </w:p>
        </w:tc>
        <w:tc>
          <w:tcPr>
            <w:tcW w:w="1379" w:type="dxa"/>
            <w:shd w:val="clear" w:color="auto" w:fill="92D050"/>
            <w:tcMar>
              <w:top w:w="15" w:type="dxa"/>
              <w:left w:w="25" w:type="dxa"/>
              <w:bottom w:w="0" w:type="dxa"/>
              <w:right w:w="25" w:type="dxa"/>
            </w:tcMar>
            <w:vAlign w:val="center"/>
          </w:tcPr>
          <w:p w14:paraId="239A3432"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Aprobación por parte de la Comisión formatos y comunicación a DTI:</w:t>
            </w:r>
          </w:p>
          <w:p w14:paraId="6DD11AE2"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Listo</w:t>
            </w:r>
          </w:p>
        </w:tc>
        <w:tc>
          <w:tcPr>
            <w:tcW w:w="1180" w:type="dxa"/>
            <w:shd w:val="clear" w:color="auto" w:fill="auto"/>
            <w:tcMar>
              <w:top w:w="15" w:type="dxa"/>
              <w:left w:w="25" w:type="dxa"/>
              <w:bottom w:w="0" w:type="dxa"/>
              <w:right w:w="25" w:type="dxa"/>
            </w:tcMar>
            <w:vAlign w:val="center"/>
          </w:tcPr>
          <w:p w14:paraId="0A013D33" w14:textId="77777777" w:rsidR="004B7E99" w:rsidRPr="004E7EEE" w:rsidRDefault="004B7E99" w:rsidP="00035934">
            <w:pPr>
              <w:rPr>
                <w:rFonts w:ascii="Book Antiqua" w:hAnsi="Book Antiqua"/>
                <w:color w:val="000000"/>
                <w:sz w:val="20"/>
                <w:szCs w:val="20"/>
              </w:rPr>
            </w:pPr>
            <w:r w:rsidRPr="004E7EEE">
              <w:rPr>
                <w:rFonts w:ascii="Book Antiqua" w:hAnsi="Book Antiqua"/>
                <w:color w:val="000000"/>
                <w:sz w:val="20"/>
                <w:szCs w:val="20"/>
              </w:rPr>
              <w:t>Julio 2021</w:t>
            </w:r>
          </w:p>
        </w:tc>
        <w:tc>
          <w:tcPr>
            <w:tcW w:w="5074" w:type="dxa"/>
            <w:shd w:val="clear" w:color="auto" w:fill="auto"/>
            <w:tcMar>
              <w:top w:w="15" w:type="dxa"/>
              <w:left w:w="25" w:type="dxa"/>
              <w:bottom w:w="0" w:type="dxa"/>
              <w:right w:w="25" w:type="dxa"/>
            </w:tcMar>
            <w:vAlign w:val="center"/>
          </w:tcPr>
          <w:p w14:paraId="6C9592FC" w14:textId="77777777" w:rsidR="004B7E99" w:rsidRPr="004E7EEE" w:rsidRDefault="004B7E99" w:rsidP="00035934">
            <w:pPr>
              <w:jc w:val="both"/>
              <w:rPr>
                <w:rFonts w:ascii="Book Antiqua" w:hAnsi="Book Antiqua"/>
                <w:sz w:val="20"/>
                <w:szCs w:val="20"/>
              </w:rPr>
            </w:pPr>
            <w:r w:rsidRPr="004E7EEE">
              <w:rPr>
                <w:rFonts w:ascii="Book Antiqua" w:hAnsi="Book Antiqua"/>
                <w:sz w:val="20"/>
                <w:szCs w:val="20"/>
              </w:rPr>
              <w:t xml:space="preserve">El CACMFJ comunicó los formatos ya aprobados por la Comisión, a Normalización de DTI el 29 de abril de 2021 para que procedan con la inclusión en el sistema. </w:t>
            </w:r>
          </w:p>
          <w:p w14:paraId="4134B5FF" w14:textId="77777777" w:rsidR="004B7E99" w:rsidRPr="004E7EEE" w:rsidRDefault="004B7E99" w:rsidP="00035934">
            <w:pPr>
              <w:jc w:val="both"/>
              <w:rPr>
                <w:rFonts w:ascii="Book Antiqua" w:hAnsi="Book Antiqua"/>
                <w:i/>
                <w:iCs/>
                <w:sz w:val="20"/>
                <w:szCs w:val="20"/>
              </w:rPr>
            </w:pPr>
            <w:r w:rsidRPr="004E7EEE">
              <w:rPr>
                <w:rFonts w:ascii="Book Antiqua" w:hAnsi="Book Antiqua"/>
                <w:sz w:val="20"/>
                <w:szCs w:val="20"/>
              </w:rPr>
              <w:t xml:space="preserve">Doña Fabiola de DTI indica el 24 de noviembre 2021 que: </w:t>
            </w:r>
            <w:r w:rsidRPr="004E7EEE">
              <w:rPr>
                <w:rFonts w:ascii="Book Antiqua" w:hAnsi="Book Antiqua"/>
                <w:i/>
                <w:iCs/>
                <w:sz w:val="20"/>
                <w:szCs w:val="20"/>
              </w:rPr>
              <w:t>“se inició la configuración de los modelos de la materia de Familia y Pensiones Alimentarias, las 514 plantillas se están configurando en Libre Office para el SIAGPJ y luego se pasarán a plantillas de Pedidor (creación de variables y demás).</w:t>
            </w:r>
          </w:p>
          <w:p w14:paraId="1E36D992" w14:textId="77777777" w:rsidR="004B7E99" w:rsidRPr="004E7EEE" w:rsidRDefault="004B7E99" w:rsidP="00035934">
            <w:pPr>
              <w:jc w:val="both"/>
              <w:rPr>
                <w:rFonts w:ascii="Book Antiqua" w:hAnsi="Book Antiqua"/>
                <w:sz w:val="20"/>
                <w:szCs w:val="20"/>
              </w:rPr>
            </w:pPr>
            <w:r w:rsidRPr="004E7EEE">
              <w:rPr>
                <w:rFonts w:ascii="Book Antiqua" w:hAnsi="Book Antiqua"/>
                <w:i/>
                <w:iCs/>
                <w:sz w:val="20"/>
                <w:szCs w:val="20"/>
              </w:rPr>
              <w:t>Al día de hoy se encuentran 29 modelos completamente configurados, 49 en proceso de inclusión de las variables y se espera que al 17 de diciembre se hayan configurado al menos 120 modelos más.”</w:t>
            </w:r>
          </w:p>
        </w:tc>
      </w:tr>
      <w:tr w:rsidR="004B7E99" w:rsidRPr="004E7EEE" w14:paraId="30B101B9" w14:textId="77777777" w:rsidTr="00035934">
        <w:trPr>
          <w:trHeight w:val="1473"/>
          <w:jc w:val="center"/>
        </w:trPr>
        <w:tc>
          <w:tcPr>
            <w:tcW w:w="1506" w:type="dxa"/>
            <w:vMerge/>
            <w:shd w:val="clear" w:color="auto" w:fill="auto"/>
            <w:tcMar>
              <w:top w:w="15" w:type="dxa"/>
              <w:left w:w="25" w:type="dxa"/>
              <w:bottom w:w="0" w:type="dxa"/>
              <w:right w:w="25" w:type="dxa"/>
            </w:tcMar>
            <w:vAlign w:val="center"/>
          </w:tcPr>
          <w:p w14:paraId="3940C3DB" w14:textId="77777777" w:rsidR="004B7E99" w:rsidRPr="004E7EEE" w:rsidRDefault="004B7E99"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04A678E3" w14:textId="77777777" w:rsidR="004B7E99" w:rsidRPr="004E7EEE" w:rsidRDefault="004B7E99" w:rsidP="00035934">
            <w:pPr>
              <w:rPr>
                <w:rFonts w:ascii="Book Antiqua" w:hAnsi="Book Antiqua"/>
                <w:color w:val="000000"/>
                <w:sz w:val="20"/>
                <w:szCs w:val="20"/>
              </w:rPr>
            </w:pPr>
          </w:p>
        </w:tc>
        <w:tc>
          <w:tcPr>
            <w:tcW w:w="1379" w:type="dxa"/>
            <w:shd w:val="clear" w:color="auto" w:fill="C00000"/>
            <w:tcMar>
              <w:top w:w="15" w:type="dxa"/>
              <w:left w:w="25" w:type="dxa"/>
              <w:bottom w:w="0" w:type="dxa"/>
              <w:right w:w="25" w:type="dxa"/>
            </w:tcMar>
            <w:vAlign w:val="center"/>
          </w:tcPr>
          <w:p w14:paraId="01784528"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Solicitar al CS emisión de circular: pendiente</w:t>
            </w:r>
          </w:p>
        </w:tc>
        <w:tc>
          <w:tcPr>
            <w:tcW w:w="1180" w:type="dxa"/>
            <w:shd w:val="clear" w:color="auto" w:fill="auto"/>
            <w:tcMar>
              <w:top w:w="15" w:type="dxa"/>
              <w:left w:w="25" w:type="dxa"/>
              <w:bottom w:w="0" w:type="dxa"/>
              <w:right w:w="25" w:type="dxa"/>
            </w:tcMar>
            <w:vAlign w:val="center"/>
          </w:tcPr>
          <w:p w14:paraId="7E01B4D8" w14:textId="77777777" w:rsidR="004B7E99" w:rsidRPr="004E7EEE" w:rsidRDefault="004B7E99" w:rsidP="00035934">
            <w:pPr>
              <w:rPr>
                <w:rFonts w:ascii="Book Antiqua" w:hAnsi="Book Antiqua"/>
                <w:color w:val="000000"/>
                <w:sz w:val="20"/>
                <w:szCs w:val="20"/>
              </w:rPr>
            </w:pPr>
            <w:r w:rsidRPr="004E7EEE">
              <w:rPr>
                <w:rFonts w:ascii="Book Antiqua" w:hAnsi="Book Antiqua"/>
                <w:color w:val="000000"/>
                <w:sz w:val="20"/>
                <w:szCs w:val="20"/>
              </w:rPr>
              <w:t>Julio 2022</w:t>
            </w:r>
          </w:p>
        </w:tc>
        <w:tc>
          <w:tcPr>
            <w:tcW w:w="5074" w:type="dxa"/>
            <w:shd w:val="clear" w:color="auto" w:fill="auto"/>
            <w:tcMar>
              <w:top w:w="15" w:type="dxa"/>
              <w:left w:w="25" w:type="dxa"/>
              <w:bottom w:w="0" w:type="dxa"/>
              <w:right w:w="25" w:type="dxa"/>
            </w:tcMar>
            <w:vAlign w:val="center"/>
          </w:tcPr>
          <w:p w14:paraId="2283ADD8" w14:textId="77777777" w:rsidR="004B7E99" w:rsidRPr="004E7EEE" w:rsidRDefault="004B7E99" w:rsidP="00035934">
            <w:pPr>
              <w:jc w:val="both"/>
              <w:rPr>
                <w:rFonts w:ascii="Book Antiqua" w:hAnsi="Book Antiqua"/>
                <w:sz w:val="20"/>
                <w:szCs w:val="20"/>
              </w:rPr>
            </w:pPr>
            <w:r w:rsidRPr="004E7EEE">
              <w:rPr>
                <w:rFonts w:ascii="Book Antiqua" w:hAnsi="Book Antiqua"/>
                <w:sz w:val="20"/>
                <w:szCs w:val="20"/>
              </w:rPr>
              <w:t>La comunicación debe hacerse previo a la entrada en vigencia del CPF. Dejando sin efecto la circular 98-2021</w:t>
            </w:r>
          </w:p>
        </w:tc>
      </w:tr>
      <w:tr w:rsidR="004B7E99" w:rsidRPr="004E7EEE" w14:paraId="3C5CC8FC" w14:textId="77777777" w:rsidTr="00035934">
        <w:trPr>
          <w:trHeight w:val="4170"/>
          <w:jc w:val="center"/>
        </w:trPr>
        <w:tc>
          <w:tcPr>
            <w:tcW w:w="1506" w:type="dxa"/>
            <w:vMerge w:val="restart"/>
            <w:shd w:val="clear" w:color="auto" w:fill="auto"/>
            <w:tcMar>
              <w:top w:w="15" w:type="dxa"/>
              <w:left w:w="25" w:type="dxa"/>
              <w:bottom w:w="0" w:type="dxa"/>
              <w:right w:w="25" w:type="dxa"/>
            </w:tcMar>
            <w:vAlign w:val="center"/>
          </w:tcPr>
          <w:p w14:paraId="119BF046" w14:textId="77777777" w:rsidR="004B7E99" w:rsidRPr="004E7EEE" w:rsidRDefault="004B7E99" w:rsidP="00035934">
            <w:pPr>
              <w:jc w:val="both"/>
              <w:rPr>
                <w:rFonts w:ascii="Book Antiqua" w:hAnsi="Book Antiqua"/>
                <w:b/>
                <w:bCs/>
                <w:color w:val="000000"/>
                <w:sz w:val="20"/>
                <w:szCs w:val="20"/>
              </w:rPr>
            </w:pPr>
            <w:r w:rsidRPr="004E7EEE">
              <w:rPr>
                <w:rFonts w:ascii="Book Antiqua" w:hAnsi="Book Antiqua"/>
                <w:b/>
                <w:bCs/>
                <w:color w:val="000000"/>
                <w:sz w:val="20"/>
                <w:szCs w:val="20"/>
              </w:rPr>
              <w:lastRenderedPageBreak/>
              <w:t>Emitir circular.</w:t>
            </w:r>
          </w:p>
        </w:tc>
        <w:tc>
          <w:tcPr>
            <w:tcW w:w="2472" w:type="dxa"/>
            <w:vMerge w:val="restart"/>
            <w:shd w:val="clear" w:color="auto" w:fill="auto"/>
            <w:tcMar>
              <w:top w:w="15" w:type="dxa"/>
              <w:left w:w="25" w:type="dxa"/>
              <w:bottom w:w="0" w:type="dxa"/>
              <w:right w:w="25" w:type="dxa"/>
            </w:tcMar>
            <w:vAlign w:val="center"/>
          </w:tcPr>
          <w:p w14:paraId="265D6DA5" w14:textId="77777777" w:rsidR="004B7E99" w:rsidRPr="004E7EEE" w:rsidRDefault="004B7E99" w:rsidP="00035934">
            <w:pPr>
              <w:jc w:val="both"/>
              <w:rPr>
                <w:rFonts w:ascii="Book Antiqua" w:hAnsi="Book Antiqua"/>
                <w:color w:val="000000"/>
                <w:sz w:val="20"/>
                <w:szCs w:val="20"/>
              </w:rPr>
            </w:pPr>
            <w:r w:rsidRPr="004E7EEE">
              <w:rPr>
                <w:rFonts w:ascii="Book Antiqua" w:hAnsi="Book Antiqua"/>
                <w:color w:val="000000"/>
                <w:sz w:val="20"/>
                <w:szCs w:val="20"/>
              </w:rPr>
              <w:t>Elaborar una circular con las directrices en la materia de Familia, de forma inmediata para el actual código y luego para el Código Procesal de Familia, similar al realizado por el equipo Civil en la Circular 113-18“Cambios administrativos y operativos que se deberán implementar al entrar en vigencia el nuevo Código Procesal Civil”.  Readecuación de los procesos, voto automático, entre otros. Podría incluir aspectos contemplados en el cronograma del proyecto (reglas prácticas, procedimiento grabación audiencias orales).</w:t>
            </w:r>
          </w:p>
        </w:tc>
        <w:tc>
          <w:tcPr>
            <w:tcW w:w="1379" w:type="dxa"/>
            <w:shd w:val="clear" w:color="auto" w:fill="92D050"/>
            <w:tcMar>
              <w:top w:w="15" w:type="dxa"/>
              <w:left w:w="25" w:type="dxa"/>
              <w:bottom w:w="0" w:type="dxa"/>
              <w:right w:w="25" w:type="dxa"/>
            </w:tcMar>
            <w:vAlign w:val="center"/>
          </w:tcPr>
          <w:p w14:paraId="69441FF7"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La elaboración del formato de circular: listo</w:t>
            </w:r>
          </w:p>
        </w:tc>
        <w:tc>
          <w:tcPr>
            <w:tcW w:w="1180" w:type="dxa"/>
            <w:shd w:val="clear" w:color="auto" w:fill="auto"/>
            <w:tcMar>
              <w:top w:w="15" w:type="dxa"/>
              <w:left w:w="25" w:type="dxa"/>
              <w:bottom w:w="0" w:type="dxa"/>
              <w:right w:w="25" w:type="dxa"/>
            </w:tcMar>
            <w:vAlign w:val="center"/>
          </w:tcPr>
          <w:p w14:paraId="758B3C71" w14:textId="77777777" w:rsidR="004B7E99" w:rsidRPr="004E7EEE" w:rsidRDefault="004B7E99" w:rsidP="00035934">
            <w:pPr>
              <w:rPr>
                <w:rFonts w:ascii="Book Antiqua" w:hAnsi="Book Antiqua"/>
                <w:color w:val="000000"/>
                <w:sz w:val="20"/>
                <w:szCs w:val="20"/>
              </w:rPr>
            </w:pPr>
            <w:r w:rsidRPr="004E7EEE">
              <w:rPr>
                <w:rFonts w:ascii="Book Antiqua" w:hAnsi="Book Antiqua"/>
                <w:color w:val="000000"/>
                <w:sz w:val="20"/>
                <w:szCs w:val="20"/>
              </w:rPr>
              <w:t>Noviembre 2020</w:t>
            </w:r>
          </w:p>
        </w:tc>
        <w:tc>
          <w:tcPr>
            <w:tcW w:w="5074" w:type="dxa"/>
            <w:shd w:val="clear" w:color="auto" w:fill="auto"/>
            <w:tcMar>
              <w:top w:w="15" w:type="dxa"/>
              <w:left w:w="25" w:type="dxa"/>
              <w:bottom w:w="0" w:type="dxa"/>
              <w:right w:w="25" w:type="dxa"/>
            </w:tcMar>
            <w:vAlign w:val="center"/>
          </w:tcPr>
          <w:p w14:paraId="799AA299" w14:textId="77777777" w:rsidR="004B7E99" w:rsidRPr="004E7EEE" w:rsidRDefault="004B7E99" w:rsidP="00035934">
            <w:pPr>
              <w:jc w:val="both"/>
              <w:rPr>
                <w:rFonts w:ascii="Book Antiqua" w:hAnsi="Book Antiqua"/>
                <w:color w:val="000000"/>
                <w:sz w:val="20"/>
                <w:szCs w:val="20"/>
              </w:rPr>
            </w:pPr>
            <w:r w:rsidRPr="004E7EEE">
              <w:rPr>
                <w:rFonts w:ascii="Book Antiqua" w:hAnsi="Book Antiqua"/>
                <w:color w:val="000000"/>
                <w:sz w:val="20"/>
                <w:szCs w:val="20"/>
              </w:rPr>
              <w:t>Comisión de Familia. Plaza asignada a esta labor inicia PCGS el 16-10-2020, acuerdo CS sesión 91-10, artículo XXIV.</w:t>
            </w:r>
          </w:p>
        </w:tc>
      </w:tr>
      <w:tr w:rsidR="004B7E99" w:rsidRPr="004E7EEE" w14:paraId="64552040" w14:textId="77777777" w:rsidTr="00035934">
        <w:trPr>
          <w:trHeight w:val="2427"/>
          <w:jc w:val="center"/>
        </w:trPr>
        <w:tc>
          <w:tcPr>
            <w:tcW w:w="1506" w:type="dxa"/>
            <w:vMerge/>
            <w:shd w:val="clear" w:color="auto" w:fill="auto"/>
            <w:tcMar>
              <w:top w:w="15" w:type="dxa"/>
              <w:left w:w="25" w:type="dxa"/>
              <w:bottom w:w="0" w:type="dxa"/>
              <w:right w:w="25" w:type="dxa"/>
            </w:tcMar>
            <w:vAlign w:val="center"/>
          </w:tcPr>
          <w:p w14:paraId="4E9739B2" w14:textId="77777777" w:rsidR="004B7E99" w:rsidRPr="004E7EEE" w:rsidRDefault="004B7E99"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1A8D4CD0" w14:textId="77777777" w:rsidR="004B7E99" w:rsidRPr="004E7EEE" w:rsidRDefault="004B7E99" w:rsidP="00035934">
            <w:pPr>
              <w:rPr>
                <w:rFonts w:ascii="Book Antiqua" w:hAnsi="Book Antiqua"/>
                <w:color w:val="000000"/>
                <w:sz w:val="20"/>
                <w:szCs w:val="20"/>
              </w:rPr>
            </w:pPr>
          </w:p>
        </w:tc>
        <w:tc>
          <w:tcPr>
            <w:tcW w:w="1379" w:type="dxa"/>
            <w:shd w:val="clear" w:color="auto" w:fill="C00000"/>
            <w:tcMar>
              <w:top w:w="15" w:type="dxa"/>
              <w:left w:w="25" w:type="dxa"/>
              <w:bottom w:w="0" w:type="dxa"/>
              <w:right w:w="25" w:type="dxa"/>
            </w:tcMar>
            <w:vAlign w:val="center"/>
          </w:tcPr>
          <w:p w14:paraId="39C897A9" w14:textId="77777777" w:rsidR="004B7E99" w:rsidRPr="004E7EEE" w:rsidRDefault="004B7E99" w:rsidP="00035934">
            <w:pPr>
              <w:jc w:val="center"/>
              <w:rPr>
                <w:rFonts w:ascii="Book Antiqua" w:hAnsi="Book Antiqua"/>
                <w:color w:val="000000"/>
                <w:sz w:val="20"/>
                <w:szCs w:val="20"/>
              </w:rPr>
            </w:pPr>
            <w:r w:rsidRPr="004E7EEE">
              <w:rPr>
                <w:rFonts w:ascii="Book Antiqua" w:hAnsi="Book Antiqua"/>
                <w:color w:val="000000"/>
                <w:sz w:val="20"/>
                <w:szCs w:val="20"/>
              </w:rPr>
              <w:t>Aprobación por parte de la Comisión y remisión a Corte Plena para aprobación y comunicación: Pendiente</w:t>
            </w:r>
          </w:p>
        </w:tc>
        <w:tc>
          <w:tcPr>
            <w:tcW w:w="1180" w:type="dxa"/>
            <w:shd w:val="clear" w:color="auto" w:fill="auto"/>
            <w:tcMar>
              <w:top w:w="15" w:type="dxa"/>
              <w:left w:w="25" w:type="dxa"/>
              <w:bottom w:w="0" w:type="dxa"/>
              <w:right w:w="25" w:type="dxa"/>
            </w:tcMar>
            <w:vAlign w:val="center"/>
          </w:tcPr>
          <w:p w14:paraId="5F6F0EE7" w14:textId="77777777" w:rsidR="004B7E99" w:rsidRPr="004E7EEE" w:rsidRDefault="004B7E99" w:rsidP="00035934">
            <w:pPr>
              <w:rPr>
                <w:rFonts w:ascii="Book Antiqua" w:hAnsi="Book Antiqua"/>
                <w:color w:val="000000"/>
                <w:sz w:val="20"/>
                <w:szCs w:val="20"/>
              </w:rPr>
            </w:pPr>
            <w:r w:rsidRPr="004E7EEE">
              <w:rPr>
                <w:rFonts w:ascii="Book Antiqua" w:hAnsi="Book Antiqua"/>
                <w:color w:val="000000"/>
                <w:sz w:val="20"/>
                <w:szCs w:val="20"/>
              </w:rPr>
              <w:t>Julio 2021</w:t>
            </w:r>
          </w:p>
        </w:tc>
        <w:tc>
          <w:tcPr>
            <w:tcW w:w="5074" w:type="dxa"/>
            <w:shd w:val="clear" w:color="auto" w:fill="auto"/>
            <w:tcMar>
              <w:top w:w="15" w:type="dxa"/>
              <w:left w:w="25" w:type="dxa"/>
              <w:bottom w:w="0" w:type="dxa"/>
              <w:right w:w="25" w:type="dxa"/>
            </w:tcMar>
            <w:vAlign w:val="center"/>
          </w:tcPr>
          <w:p w14:paraId="429B8BF5" w14:textId="77777777" w:rsidR="004B7E99" w:rsidRPr="004E7EEE" w:rsidRDefault="004B7E99" w:rsidP="00035934">
            <w:pPr>
              <w:jc w:val="both"/>
              <w:rPr>
                <w:rFonts w:ascii="Book Antiqua" w:hAnsi="Book Antiqua"/>
                <w:color w:val="000000"/>
                <w:sz w:val="20"/>
                <w:szCs w:val="20"/>
              </w:rPr>
            </w:pPr>
            <w:r w:rsidRPr="004E7EEE">
              <w:rPr>
                <w:rFonts w:ascii="Book Antiqua" w:hAnsi="Book Antiqua"/>
                <w:color w:val="000000"/>
                <w:sz w:val="20"/>
                <w:szCs w:val="20"/>
              </w:rPr>
              <w:t xml:space="preserve">Se </w:t>
            </w:r>
            <w:r w:rsidRPr="00742967">
              <w:rPr>
                <w:rFonts w:ascii="Book Antiqua" w:hAnsi="Book Antiqua"/>
                <w:color w:val="000000"/>
                <w:sz w:val="20"/>
                <w:szCs w:val="20"/>
              </w:rPr>
              <w:t>consultó a la Licda. Lucía Víquez del CACMFJ el 24-11-2021.  sobre el avance e indica que el tema esta pendiente de verse en Comisión. Informa que la circular requiere unos ajustes que está realizando el Juez Gestor y que finiquitaría hoy mismo</w:t>
            </w:r>
            <w:r w:rsidRPr="004E7EEE">
              <w:rPr>
                <w:rFonts w:ascii="Book Antiqua" w:hAnsi="Book Antiqua"/>
                <w:color w:val="000000"/>
                <w:sz w:val="20"/>
                <w:szCs w:val="20"/>
              </w:rPr>
              <w:t xml:space="preserve">. </w:t>
            </w:r>
          </w:p>
        </w:tc>
      </w:tr>
      <w:tr w:rsidR="004B7E99" w:rsidRPr="004E7EEE" w14:paraId="49B50B86" w14:textId="77777777" w:rsidTr="00035934">
        <w:trPr>
          <w:trHeight w:val="602"/>
          <w:jc w:val="center"/>
        </w:trPr>
        <w:tc>
          <w:tcPr>
            <w:tcW w:w="11611" w:type="dxa"/>
            <w:gridSpan w:val="5"/>
            <w:shd w:val="clear" w:color="auto" w:fill="DBDBDB"/>
            <w:tcMar>
              <w:top w:w="15" w:type="dxa"/>
              <w:left w:w="25" w:type="dxa"/>
              <w:bottom w:w="0" w:type="dxa"/>
              <w:right w:w="25" w:type="dxa"/>
            </w:tcMar>
            <w:vAlign w:val="center"/>
          </w:tcPr>
          <w:p w14:paraId="30C326D2" w14:textId="77777777" w:rsidR="004B7E99" w:rsidRPr="004E7EEE" w:rsidRDefault="004B7E99" w:rsidP="00035934">
            <w:pPr>
              <w:jc w:val="center"/>
              <w:rPr>
                <w:rFonts w:ascii="Book Antiqua" w:hAnsi="Book Antiqua"/>
                <w:sz w:val="20"/>
                <w:szCs w:val="20"/>
              </w:rPr>
            </w:pPr>
            <w:r w:rsidRPr="004E7EEE">
              <w:rPr>
                <w:rFonts w:ascii="Book Antiqua" w:hAnsi="Book Antiqua"/>
                <w:b/>
                <w:bCs/>
                <w:sz w:val="20"/>
                <w:szCs w:val="20"/>
              </w:rPr>
              <w:t>Tarea</w:t>
            </w:r>
            <w:r w:rsidRPr="004E7EEE">
              <w:rPr>
                <w:rFonts w:ascii="Book Antiqua" w:hAnsi="Book Antiqua"/>
                <w:b/>
                <w:bCs/>
                <w:color w:val="000000"/>
                <w:sz w:val="20"/>
                <w:szCs w:val="20"/>
              </w:rPr>
              <w:t xml:space="preserve"> solicitada en el oficio 1678-PLA-EV-2020</w:t>
            </w:r>
          </w:p>
        </w:tc>
      </w:tr>
      <w:tr w:rsidR="004B7E99" w:rsidRPr="004E7EEE" w14:paraId="4DF17831" w14:textId="77777777" w:rsidTr="00035934">
        <w:trPr>
          <w:trHeight w:val="888"/>
          <w:jc w:val="center"/>
        </w:trPr>
        <w:tc>
          <w:tcPr>
            <w:tcW w:w="1506" w:type="dxa"/>
            <w:shd w:val="clear" w:color="auto" w:fill="auto"/>
            <w:tcMar>
              <w:top w:w="15" w:type="dxa"/>
              <w:left w:w="25" w:type="dxa"/>
              <w:bottom w:w="0" w:type="dxa"/>
              <w:right w:w="25" w:type="dxa"/>
            </w:tcMar>
            <w:vAlign w:val="center"/>
          </w:tcPr>
          <w:p w14:paraId="4187E73A" w14:textId="77777777" w:rsidR="004B7E99" w:rsidRPr="004E7EEE" w:rsidRDefault="004B7E99" w:rsidP="00035934">
            <w:pPr>
              <w:jc w:val="both"/>
              <w:rPr>
                <w:rFonts w:ascii="Book Antiqua" w:hAnsi="Book Antiqua"/>
                <w:sz w:val="20"/>
                <w:szCs w:val="20"/>
              </w:rPr>
            </w:pPr>
            <w:r w:rsidRPr="004E7EEE">
              <w:rPr>
                <w:rFonts w:ascii="Book Antiqua" w:hAnsi="Book Antiqua"/>
                <w:b/>
                <w:bCs/>
                <w:color w:val="000000"/>
                <w:sz w:val="20"/>
                <w:szCs w:val="20"/>
              </w:rPr>
              <w:t>Definición fecha inicio actualización de los asuntos nuevos EV y SOAP (mamá como representante y menores como beneficiarios).</w:t>
            </w:r>
          </w:p>
          <w:p w14:paraId="15BE63DB" w14:textId="77777777" w:rsidR="004B7E99" w:rsidRPr="004E7EEE" w:rsidRDefault="004B7E99" w:rsidP="00035934">
            <w:pPr>
              <w:jc w:val="both"/>
              <w:rPr>
                <w:rFonts w:ascii="Book Antiqua" w:hAnsi="Book Antiqua"/>
                <w:b/>
                <w:bCs/>
                <w:color w:val="000000"/>
                <w:sz w:val="20"/>
                <w:szCs w:val="20"/>
              </w:rPr>
            </w:pPr>
            <w:r w:rsidRPr="004E7EEE">
              <w:rPr>
                <w:rFonts w:ascii="Book Antiqua" w:hAnsi="Book Antiqua"/>
                <w:b/>
                <w:bCs/>
                <w:color w:val="000000"/>
                <w:sz w:val="20"/>
                <w:szCs w:val="20"/>
              </w:rPr>
              <w:t xml:space="preserve">Definición fecha inicio actualización de los asuntos en circulante EV y SOAP (mamá como </w:t>
            </w:r>
            <w:r w:rsidRPr="004E7EEE">
              <w:rPr>
                <w:rFonts w:ascii="Book Antiqua" w:hAnsi="Book Antiqua"/>
                <w:b/>
                <w:bCs/>
                <w:color w:val="000000"/>
                <w:sz w:val="20"/>
                <w:szCs w:val="20"/>
              </w:rPr>
              <w:lastRenderedPageBreak/>
              <w:t>represéntate y menores como beneficiarios).</w:t>
            </w:r>
          </w:p>
        </w:tc>
        <w:tc>
          <w:tcPr>
            <w:tcW w:w="2472" w:type="dxa"/>
            <w:shd w:val="clear" w:color="auto" w:fill="auto"/>
            <w:tcMar>
              <w:top w:w="15" w:type="dxa"/>
              <w:left w:w="25" w:type="dxa"/>
              <w:bottom w:w="0" w:type="dxa"/>
              <w:right w:w="25" w:type="dxa"/>
            </w:tcMar>
            <w:vAlign w:val="center"/>
          </w:tcPr>
          <w:p w14:paraId="44097C7C"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lastRenderedPageBreak/>
              <w:t>Los jueces de PA solicitaron esta definición por escrito por parte de la Comisión.</w:t>
            </w:r>
          </w:p>
          <w:p w14:paraId="3AF9762B"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t> </w:t>
            </w:r>
          </w:p>
          <w:p w14:paraId="0F37104A"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t>Acuerdo 6 de la reunión de seguimiento del 5 de octubre de 2020:</w:t>
            </w:r>
          </w:p>
          <w:p w14:paraId="4E7890FE"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t> </w:t>
            </w:r>
          </w:p>
          <w:p w14:paraId="025F3D43" w14:textId="77777777" w:rsidR="004B7E99" w:rsidRPr="004E7EEE" w:rsidRDefault="004B7E99" w:rsidP="00035934">
            <w:pPr>
              <w:jc w:val="both"/>
              <w:rPr>
                <w:rFonts w:ascii="Book Antiqua" w:hAnsi="Book Antiqua"/>
                <w:sz w:val="20"/>
                <w:szCs w:val="20"/>
              </w:rPr>
            </w:pPr>
            <w:r w:rsidRPr="004E7EEE">
              <w:rPr>
                <w:rFonts w:ascii="Book Antiqua" w:hAnsi="Book Antiqua"/>
                <w:color w:val="000000"/>
                <w:sz w:val="20"/>
                <w:szCs w:val="20"/>
              </w:rPr>
              <w:t xml:space="preserve">“6.No se incluye en el inventario por acuerdo de la Comisión de Familia del 1 de octubre de 2020 la actualización de los intervinientes (parte actora, </w:t>
            </w:r>
            <w:r w:rsidRPr="004E7EEE">
              <w:rPr>
                <w:rFonts w:ascii="Book Antiqua" w:hAnsi="Book Antiqua"/>
                <w:color w:val="000000"/>
                <w:sz w:val="20"/>
                <w:szCs w:val="20"/>
              </w:rPr>
              <w:lastRenderedPageBreak/>
              <w:t xml:space="preserve">beneficiarios y representante legal) por disposición de la Comisión debido al trabajo que implica esta actualización en el sistema de gestión y en el SOAP y el plazo de menos de 2 meses para finalizar el inventario conforme al cronograma de atención de las recomendaciones de la Contraloría General de la República, pero si deben verificar que todas las partes estén incorporadas.  Está pendiente él envió del acuerdo de la Comisión, pero se debe acordar la fecha de inicio para que se comience a corregir la información en los sistemas de los asuntos en circulante (don Cristian recomienda que no se reserve a un próximo inventario, sino que se estructure un plan de trabajo para que inicien antes las oficinas, y no de forma simultánea a un inventario). Y también que se defina y se comunique el acuerdo de la Comisión sobre la fecha a partir de la cual debe empezar a ingresar los intervinientes de los casos nuevos en la forma correcta (beneficiarios, representante legal, parte actora).  Se solicita a don Cristian definir a la </w:t>
            </w:r>
            <w:r w:rsidRPr="004E7EEE">
              <w:rPr>
                <w:rFonts w:ascii="Book Antiqua" w:hAnsi="Book Antiqua"/>
                <w:color w:val="000000"/>
                <w:sz w:val="20"/>
                <w:szCs w:val="20"/>
              </w:rPr>
              <w:lastRenderedPageBreak/>
              <w:t>brevedad estos puntos con la Comisión”.</w:t>
            </w:r>
          </w:p>
        </w:tc>
        <w:tc>
          <w:tcPr>
            <w:tcW w:w="1379" w:type="dxa"/>
            <w:shd w:val="clear" w:color="auto" w:fill="FFC000"/>
            <w:tcMar>
              <w:top w:w="15" w:type="dxa"/>
              <w:left w:w="25" w:type="dxa"/>
              <w:bottom w:w="0" w:type="dxa"/>
              <w:right w:w="25" w:type="dxa"/>
            </w:tcMar>
            <w:vAlign w:val="center"/>
          </w:tcPr>
          <w:p w14:paraId="1ABDF6C7" w14:textId="77777777" w:rsidR="004B7E99" w:rsidRPr="004E7EEE" w:rsidRDefault="004B7E99" w:rsidP="00035934">
            <w:pPr>
              <w:jc w:val="center"/>
              <w:rPr>
                <w:rFonts w:ascii="Book Antiqua" w:hAnsi="Book Antiqua"/>
                <w:sz w:val="20"/>
                <w:szCs w:val="20"/>
              </w:rPr>
            </w:pPr>
            <w:r w:rsidRPr="004E7EEE">
              <w:rPr>
                <w:rFonts w:ascii="Book Antiqua" w:hAnsi="Book Antiqua"/>
                <w:sz w:val="20"/>
                <w:szCs w:val="20"/>
              </w:rPr>
              <w:lastRenderedPageBreak/>
              <w:t>Suspendido</w:t>
            </w:r>
          </w:p>
        </w:tc>
        <w:tc>
          <w:tcPr>
            <w:tcW w:w="1180" w:type="dxa"/>
            <w:shd w:val="clear" w:color="auto" w:fill="auto"/>
            <w:tcMar>
              <w:top w:w="15" w:type="dxa"/>
              <w:left w:w="25" w:type="dxa"/>
              <w:bottom w:w="0" w:type="dxa"/>
              <w:right w:w="25" w:type="dxa"/>
            </w:tcMar>
            <w:vAlign w:val="center"/>
          </w:tcPr>
          <w:p w14:paraId="04B0F60F" w14:textId="77777777" w:rsidR="004B7E99" w:rsidRPr="004E7EEE" w:rsidRDefault="004B7E99" w:rsidP="00035934">
            <w:pPr>
              <w:rPr>
                <w:rFonts w:ascii="Book Antiqua" w:hAnsi="Book Antiqua"/>
                <w:color w:val="000000"/>
                <w:sz w:val="20"/>
                <w:szCs w:val="20"/>
              </w:rPr>
            </w:pPr>
            <w:r w:rsidRPr="004E7EEE">
              <w:rPr>
                <w:rFonts w:ascii="Book Antiqua" w:hAnsi="Book Antiqua"/>
                <w:sz w:val="20"/>
                <w:szCs w:val="20"/>
              </w:rPr>
              <w:t xml:space="preserve">  </w:t>
            </w:r>
            <w:r w:rsidRPr="004E7EEE">
              <w:rPr>
                <w:rFonts w:ascii="Book Antiqua" w:hAnsi="Book Antiqua"/>
                <w:strike/>
                <w:sz w:val="20"/>
                <w:szCs w:val="20"/>
              </w:rPr>
              <w:t>Enero 2022</w:t>
            </w:r>
          </w:p>
        </w:tc>
        <w:tc>
          <w:tcPr>
            <w:tcW w:w="5074" w:type="dxa"/>
            <w:shd w:val="clear" w:color="auto" w:fill="auto"/>
            <w:tcMar>
              <w:top w:w="15" w:type="dxa"/>
              <w:left w:w="25" w:type="dxa"/>
              <w:bottom w:w="0" w:type="dxa"/>
              <w:right w:w="25" w:type="dxa"/>
            </w:tcMar>
            <w:vAlign w:val="center"/>
          </w:tcPr>
          <w:p w14:paraId="13DC45B0" w14:textId="77777777" w:rsidR="004B7E99" w:rsidRPr="004E7EEE" w:rsidRDefault="004B7E99" w:rsidP="00035934">
            <w:pPr>
              <w:jc w:val="both"/>
              <w:rPr>
                <w:rFonts w:ascii="Book Antiqua" w:hAnsi="Book Antiqua"/>
                <w:sz w:val="20"/>
                <w:szCs w:val="20"/>
              </w:rPr>
            </w:pPr>
            <w:r w:rsidRPr="004E7EEE">
              <w:rPr>
                <w:rFonts w:ascii="Book Antiqua" w:hAnsi="Book Antiqua"/>
                <w:sz w:val="20"/>
                <w:szCs w:val="20"/>
              </w:rPr>
              <w:t xml:space="preserve">Según indica doña Fabiola Arancibia de DTI el 26 de octubre 2021: </w:t>
            </w:r>
            <w:r w:rsidRPr="004E7EEE">
              <w:rPr>
                <w:rFonts w:ascii="Book Antiqua" w:hAnsi="Book Antiqua" w:cs="Segoe UI"/>
                <w:sz w:val="20"/>
                <w:szCs w:val="20"/>
              </w:rPr>
              <w:t>la mejora se está desarrollando para SIAGPJ (nuevo sistema), Gestión en línea y aplicación móvil que es donde se recibe la mayor cantidad de solicitudes de apremio. Indica que el SIAGPJ la mejora ya se encuentra en proceso de pruebas.</w:t>
            </w:r>
          </w:p>
          <w:p w14:paraId="046A392C" w14:textId="77777777" w:rsidR="004B7E99" w:rsidRPr="004E7EEE" w:rsidRDefault="004B7E99" w:rsidP="00035934">
            <w:pPr>
              <w:jc w:val="both"/>
              <w:rPr>
                <w:rFonts w:ascii="Book Antiqua" w:hAnsi="Book Antiqua"/>
                <w:sz w:val="20"/>
                <w:szCs w:val="20"/>
              </w:rPr>
            </w:pPr>
          </w:p>
          <w:p w14:paraId="7A20045A" w14:textId="77777777" w:rsidR="004B7E99" w:rsidRPr="004E7EEE" w:rsidRDefault="004B7E99" w:rsidP="00035934">
            <w:pPr>
              <w:jc w:val="both"/>
              <w:rPr>
                <w:rFonts w:ascii="Book Antiqua" w:hAnsi="Book Antiqua"/>
                <w:sz w:val="20"/>
                <w:szCs w:val="20"/>
              </w:rPr>
            </w:pPr>
            <w:r w:rsidRPr="004E7EEE">
              <w:rPr>
                <w:rFonts w:ascii="Book Antiqua" w:hAnsi="Book Antiqua"/>
                <w:sz w:val="20"/>
                <w:szCs w:val="20"/>
              </w:rPr>
              <w:t>Doña Vivian Rímola de DTI indica el 24 de noviembre d 2021 que las mejoras en SIAGPJ, estarían para finales de diciembre 2021 y la de Gestión en Línea para finales de enero 2022.</w:t>
            </w:r>
          </w:p>
          <w:p w14:paraId="3953F9D1" w14:textId="77777777" w:rsidR="004B7E99" w:rsidRPr="004E7EEE" w:rsidRDefault="004B7E99" w:rsidP="00035934">
            <w:pPr>
              <w:jc w:val="both"/>
              <w:rPr>
                <w:rFonts w:ascii="Book Antiqua" w:hAnsi="Book Antiqua"/>
                <w:sz w:val="20"/>
                <w:szCs w:val="20"/>
              </w:rPr>
            </w:pPr>
          </w:p>
          <w:p w14:paraId="65A389FC" w14:textId="77777777" w:rsidR="004B7E99" w:rsidRPr="004E7EEE" w:rsidRDefault="004B7E99" w:rsidP="00035934">
            <w:pPr>
              <w:rPr>
                <w:rFonts w:ascii="Book Antiqua" w:hAnsi="Book Antiqua"/>
                <w:sz w:val="20"/>
                <w:szCs w:val="20"/>
              </w:rPr>
            </w:pPr>
            <w:r w:rsidRPr="004E7EEE">
              <w:rPr>
                <w:rFonts w:ascii="Book Antiqua" w:hAnsi="Book Antiqua"/>
                <w:sz w:val="20"/>
                <w:szCs w:val="20"/>
              </w:rPr>
              <w:t xml:space="preserve">Doña Fabiola Arancibia de DTI indica el 24 de noviembre de 2021 que </w:t>
            </w:r>
            <w:r w:rsidRPr="004E7EEE">
              <w:rPr>
                <w:rFonts w:ascii="Book Antiqua" w:hAnsi="Book Antiqua"/>
                <w:i/>
                <w:iCs/>
                <w:sz w:val="20"/>
                <w:szCs w:val="20"/>
              </w:rPr>
              <w:t xml:space="preserve">“El SIAGPJ estaría implantado a </w:t>
            </w:r>
            <w:r w:rsidRPr="004E7EEE">
              <w:rPr>
                <w:rFonts w:ascii="Book Antiqua" w:hAnsi="Book Antiqua"/>
                <w:i/>
                <w:iCs/>
                <w:sz w:val="20"/>
                <w:szCs w:val="20"/>
              </w:rPr>
              <w:lastRenderedPageBreak/>
              <w:t>nivel nacional en las materias de pensiones, Familia y VD en octubre del 2024”.</w:t>
            </w:r>
          </w:p>
        </w:tc>
      </w:tr>
    </w:tbl>
    <w:p w14:paraId="4120D274" w14:textId="6D6391C9" w:rsidR="00391C8F" w:rsidRPr="001555A7" w:rsidRDefault="00391C8F" w:rsidP="001D0C10">
      <w:pPr>
        <w:pStyle w:val="Ttulo"/>
        <w:spacing w:line="276" w:lineRule="auto"/>
        <w:jc w:val="both"/>
        <w:rPr>
          <w:rFonts w:eastAsia="Calibri" w:cs="Arial"/>
          <w:b w:val="0"/>
          <w:color w:val="auto"/>
          <w:spacing w:val="0"/>
          <w:szCs w:val="24"/>
          <w:u w:val="single"/>
          <w:lang w:val="es-CR" w:eastAsia="en-US"/>
        </w:rPr>
      </w:pPr>
      <w:r w:rsidRPr="001555A7">
        <w:rPr>
          <w:rFonts w:eastAsia="Calibri" w:cs="Arial"/>
          <w:b w:val="0"/>
          <w:color w:val="auto"/>
          <w:spacing w:val="0"/>
          <w:szCs w:val="24"/>
          <w:u w:val="single"/>
          <w:lang w:val="es-CR" w:eastAsia="en-US"/>
        </w:rPr>
        <w:lastRenderedPageBreak/>
        <w:t>Además tiene pendiente, emitir pronunciamiento y coordinar con los entes que corresponda la reglamentación del artículo 286 del CPF, según se detalló el apartado “</w:t>
      </w:r>
      <w:r w:rsidRPr="001555A7">
        <w:rPr>
          <w:rFonts w:eastAsia="Calibri" w:cs="Arial"/>
          <w:b w:val="0"/>
          <w:i/>
          <w:iCs/>
          <w:color w:val="auto"/>
          <w:spacing w:val="0"/>
          <w:szCs w:val="24"/>
          <w:u w:val="single"/>
          <w:lang w:val="es-CR" w:eastAsia="en-US"/>
        </w:rPr>
        <w:t>4, sobre las principales implicaciones del CPF- Fondo para el pago transitorio de la obligación alimentaria”.</w:t>
      </w:r>
      <w:r w:rsidRPr="001555A7">
        <w:rPr>
          <w:rFonts w:eastAsia="Calibri" w:cs="Arial"/>
          <w:b w:val="0"/>
          <w:color w:val="auto"/>
          <w:spacing w:val="0"/>
          <w:szCs w:val="24"/>
          <w:u w:val="single"/>
          <w:lang w:val="es-CR" w:eastAsia="en-US"/>
        </w:rPr>
        <w:t xml:space="preserve"> </w:t>
      </w:r>
    </w:p>
    <w:p w14:paraId="37F28A10" w14:textId="77777777" w:rsidR="00A01E07" w:rsidRDefault="00A01E07" w:rsidP="009E73B0">
      <w:pPr>
        <w:pStyle w:val="Ttulo"/>
        <w:spacing w:line="276" w:lineRule="auto"/>
        <w:jc w:val="left"/>
        <w:rPr>
          <w:szCs w:val="24"/>
          <w:lang w:val="es-CR"/>
        </w:rPr>
      </w:pPr>
    </w:p>
    <w:p w14:paraId="73B3AC26" w14:textId="63C29908" w:rsidR="0033628C" w:rsidRPr="00770255" w:rsidRDefault="0033628C" w:rsidP="0090609F">
      <w:pPr>
        <w:pStyle w:val="Ttulo1"/>
        <w:numPr>
          <w:ilvl w:val="0"/>
          <w:numId w:val="44"/>
        </w:numPr>
        <w:spacing w:line="276" w:lineRule="auto"/>
        <w:rPr>
          <w:lang w:eastAsia="es-CR"/>
        </w:rPr>
      </w:pPr>
      <w:r>
        <w:rPr>
          <w:lang w:eastAsia="es-CR"/>
        </w:rPr>
        <w:t>Estimación de los costos presupuestarios asociados con el Código Procesal de Familia</w:t>
      </w:r>
    </w:p>
    <w:p w14:paraId="5F0915B5" w14:textId="77777777" w:rsidR="00D11384" w:rsidRDefault="00D11384" w:rsidP="006B4632">
      <w:pPr>
        <w:pStyle w:val="Ttulo"/>
        <w:spacing w:line="276" w:lineRule="auto"/>
        <w:jc w:val="left"/>
        <w:rPr>
          <w:rFonts w:eastAsia="Times New Roman" w:cs="Times New Roman"/>
          <w:bCs/>
          <w:color w:val="auto"/>
          <w:spacing w:val="0"/>
          <w:szCs w:val="28"/>
          <w:lang w:val="es-ES_tradnl" w:eastAsia="en-US"/>
        </w:rPr>
      </w:pPr>
    </w:p>
    <w:p w14:paraId="2DB8AF5D" w14:textId="77777777" w:rsidR="00AA01E7" w:rsidRPr="00AA01E7" w:rsidRDefault="00AA01E7" w:rsidP="00AA01E7">
      <w:pPr>
        <w:pStyle w:val="Prrafodelista"/>
        <w:keepNext/>
        <w:keepLines/>
        <w:numPr>
          <w:ilvl w:val="0"/>
          <w:numId w:val="1"/>
        </w:numPr>
        <w:pBdr>
          <w:top w:val="single" w:sz="2" w:space="1" w:color="1F3864" w:themeColor="accent1" w:themeShade="80"/>
          <w:left w:val="single" w:sz="2" w:space="4" w:color="1F3864" w:themeColor="accent1" w:themeShade="80"/>
          <w:bottom w:val="single" w:sz="2" w:space="1" w:color="1F3864" w:themeColor="accent1" w:themeShade="80"/>
          <w:right w:val="single" w:sz="2" w:space="4" w:color="1F3864" w:themeColor="accent1" w:themeShade="80"/>
        </w:pBdr>
        <w:shd w:val="clear" w:color="auto" w:fill="2F86BB"/>
        <w:spacing w:before="240" w:after="240" w:line="240" w:lineRule="auto"/>
        <w:contextualSpacing w:val="0"/>
        <w:jc w:val="both"/>
        <w:outlineLvl w:val="0"/>
        <w:rPr>
          <w:rFonts w:ascii="Book Antiqua" w:eastAsiaTheme="majorEastAsia" w:hAnsi="Book Antiqua" w:cstheme="majorBidi"/>
          <w:b/>
          <w:vanish/>
          <w:color w:val="FFFFFF" w:themeColor="background1"/>
          <w:sz w:val="24"/>
          <w:szCs w:val="32"/>
          <w:lang w:val="es-ES"/>
        </w:rPr>
      </w:pPr>
    </w:p>
    <w:p w14:paraId="63F11943" w14:textId="7E4EBD14" w:rsidR="00030CBA" w:rsidRPr="00AA01E7" w:rsidRDefault="00030CBA" w:rsidP="00AA01E7">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AA01E7">
        <w:rPr>
          <w:rFonts w:ascii="Book Antiqua" w:eastAsiaTheme="majorEastAsia" w:hAnsi="Book Antiqua" w:cstheme="majorBidi"/>
          <w:b/>
          <w:color w:val="1F3864" w:themeColor="accent1" w:themeShade="80"/>
          <w:sz w:val="24"/>
          <w:lang w:val="es-ES"/>
        </w:rPr>
        <w:t>Costos del Programa 926</w:t>
      </w:r>
    </w:p>
    <w:p w14:paraId="5AD4FA99" w14:textId="77777777" w:rsidR="0033628C" w:rsidRDefault="0033628C" w:rsidP="0033628C">
      <w:pPr>
        <w:spacing w:after="0" w:line="240" w:lineRule="auto"/>
        <w:jc w:val="both"/>
        <w:rPr>
          <w:rFonts w:ascii="Book Antiqua" w:eastAsia="Calibri" w:hAnsi="Book Antiqua" w:cs="Arial"/>
          <w:b/>
          <w:bCs/>
          <w:i/>
          <w:iCs/>
          <w:lang w:val="es-ES_tradnl"/>
        </w:rPr>
      </w:pPr>
    </w:p>
    <w:p w14:paraId="21A3E183" w14:textId="58FC1C42" w:rsidR="0033628C" w:rsidRPr="00C153A4" w:rsidRDefault="0033628C" w:rsidP="00C153A4">
      <w:pPr>
        <w:spacing w:after="0" w:line="276" w:lineRule="auto"/>
        <w:jc w:val="both"/>
        <w:rPr>
          <w:rFonts w:ascii="Book Antiqua" w:eastAsia="Calibri" w:hAnsi="Book Antiqua" w:cs="Arial"/>
          <w:b/>
          <w:bCs/>
          <w:sz w:val="24"/>
          <w:szCs w:val="24"/>
        </w:rPr>
      </w:pPr>
      <w:r w:rsidRPr="00C153A4">
        <w:rPr>
          <w:rFonts w:ascii="Book Antiqua" w:eastAsia="Calibri" w:hAnsi="Book Antiqua" w:cs="Arial"/>
          <w:b/>
          <w:bCs/>
          <w:sz w:val="24"/>
          <w:szCs w:val="24"/>
        </w:rPr>
        <w:t>Recurso Humano</w:t>
      </w:r>
    </w:p>
    <w:p w14:paraId="4054D067" w14:textId="77777777" w:rsidR="0033628C" w:rsidRDefault="0033628C" w:rsidP="0033628C">
      <w:pPr>
        <w:spacing w:after="0" w:line="276" w:lineRule="auto"/>
        <w:jc w:val="both"/>
        <w:rPr>
          <w:rFonts w:ascii="Book Antiqua" w:eastAsia="Calibri" w:hAnsi="Book Antiqua" w:cs="Arial"/>
          <w:sz w:val="24"/>
          <w:szCs w:val="24"/>
        </w:rPr>
      </w:pPr>
    </w:p>
    <w:p w14:paraId="270F16A3" w14:textId="4B8F22A0" w:rsidR="0033628C" w:rsidRPr="0033628C" w:rsidRDefault="0033628C" w:rsidP="0033628C">
      <w:pPr>
        <w:spacing w:after="0" w:line="276" w:lineRule="auto"/>
        <w:jc w:val="both"/>
        <w:rPr>
          <w:rFonts w:ascii="Book Antiqua" w:eastAsia="Calibri" w:hAnsi="Book Antiqua" w:cs="Arial"/>
          <w:sz w:val="24"/>
          <w:szCs w:val="24"/>
        </w:rPr>
      </w:pPr>
      <w:r w:rsidRPr="0033628C">
        <w:rPr>
          <w:rFonts w:ascii="Book Antiqua" w:eastAsia="Calibri" w:hAnsi="Book Antiqua" w:cs="Arial"/>
          <w:sz w:val="24"/>
          <w:szCs w:val="24"/>
        </w:rPr>
        <w:t xml:space="preserve">La implementación </w:t>
      </w:r>
      <w:r>
        <w:rPr>
          <w:rFonts w:ascii="Book Antiqua" w:eastAsia="Calibri" w:hAnsi="Book Antiqua" w:cs="Arial"/>
          <w:sz w:val="24"/>
          <w:szCs w:val="24"/>
        </w:rPr>
        <w:t>de</w:t>
      </w:r>
      <w:r w:rsidRPr="0033628C">
        <w:rPr>
          <w:rFonts w:ascii="Book Antiqua" w:eastAsia="Calibri" w:hAnsi="Book Antiqua" w:cs="Arial"/>
          <w:sz w:val="24"/>
          <w:szCs w:val="24"/>
        </w:rPr>
        <w:t xml:space="preserve"> esta reforma no implica la creación de plazas en el programa 926. </w:t>
      </w:r>
    </w:p>
    <w:p w14:paraId="08E43FF6" w14:textId="77777777" w:rsidR="0033628C" w:rsidRPr="0033628C" w:rsidRDefault="0033628C" w:rsidP="0033628C">
      <w:pPr>
        <w:spacing w:after="0" w:line="276" w:lineRule="auto"/>
        <w:jc w:val="both"/>
        <w:rPr>
          <w:rFonts w:ascii="Book Antiqua" w:eastAsia="Calibri" w:hAnsi="Book Antiqua" w:cs="Arial"/>
          <w:b/>
          <w:bCs/>
          <w:i/>
          <w:iCs/>
          <w:sz w:val="24"/>
          <w:szCs w:val="24"/>
        </w:rPr>
      </w:pPr>
    </w:p>
    <w:p w14:paraId="3776848E" w14:textId="77DDC764" w:rsidR="0033628C" w:rsidRPr="00C153A4" w:rsidRDefault="0033628C"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t>Gastos variables programa 926</w:t>
      </w:r>
      <w:r w:rsidR="005B3BE1" w:rsidRPr="00C153A4">
        <w:rPr>
          <w:rFonts w:ascii="Book Antiqua" w:eastAsiaTheme="majorEastAsia" w:hAnsi="Book Antiqua" w:cstheme="majorBidi"/>
          <w:b/>
          <w:color w:val="1F3864" w:themeColor="accent1" w:themeShade="80"/>
          <w:sz w:val="24"/>
          <w:lang w:val="es-ES"/>
        </w:rPr>
        <w:t>:</w:t>
      </w:r>
    </w:p>
    <w:p w14:paraId="6385F0C0" w14:textId="77777777" w:rsidR="001555A7" w:rsidRPr="005B3BE1" w:rsidRDefault="001555A7" w:rsidP="005B3BE1">
      <w:pPr>
        <w:spacing w:after="0" w:line="276" w:lineRule="auto"/>
        <w:jc w:val="both"/>
        <w:rPr>
          <w:rFonts w:ascii="Book Antiqua" w:eastAsia="Calibri" w:hAnsi="Book Antiqua" w:cs="Arial"/>
          <w:b/>
          <w:bCs/>
          <w:i/>
          <w:iCs/>
          <w:sz w:val="24"/>
          <w:szCs w:val="24"/>
        </w:rPr>
      </w:pPr>
    </w:p>
    <w:p w14:paraId="58C7FA4D" w14:textId="5091AE5E" w:rsidR="0033628C" w:rsidRPr="00096417" w:rsidRDefault="0033628C" w:rsidP="001D0C10">
      <w:pPr>
        <w:spacing w:after="0" w:line="276" w:lineRule="auto"/>
        <w:jc w:val="both"/>
        <w:rPr>
          <w:rFonts w:ascii="Book Antiqua" w:eastAsia="Calibri" w:hAnsi="Book Antiqua" w:cs="Arial"/>
          <w:sz w:val="24"/>
          <w:szCs w:val="24"/>
        </w:rPr>
      </w:pPr>
      <w:r w:rsidRPr="001555A7">
        <w:rPr>
          <w:rFonts w:ascii="Book Antiqua" w:eastAsia="Calibri" w:hAnsi="Book Antiqua" w:cs="Arial"/>
          <w:sz w:val="24"/>
          <w:szCs w:val="24"/>
        </w:rPr>
        <w:t>La Dirección Ejecutiva estim</w:t>
      </w:r>
      <w:r w:rsidR="00096417" w:rsidRPr="001555A7">
        <w:rPr>
          <w:rFonts w:ascii="Book Antiqua" w:eastAsia="Calibri" w:hAnsi="Book Antiqua" w:cs="Arial"/>
          <w:sz w:val="24"/>
          <w:szCs w:val="24"/>
        </w:rPr>
        <w:t>ó desde el 202</w:t>
      </w:r>
      <w:r w:rsidR="00E926F1" w:rsidRPr="001555A7">
        <w:rPr>
          <w:rFonts w:ascii="Book Antiqua" w:eastAsia="Calibri" w:hAnsi="Book Antiqua" w:cs="Arial"/>
          <w:sz w:val="24"/>
          <w:szCs w:val="24"/>
        </w:rPr>
        <w:t>2</w:t>
      </w:r>
      <w:r w:rsidRPr="001555A7">
        <w:rPr>
          <w:rFonts w:ascii="Book Antiqua" w:eastAsia="Calibri" w:hAnsi="Book Antiqua" w:cs="Arial"/>
          <w:sz w:val="24"/>
          <w:szCs w:val="24"/>
        </w:rPr>
        <w:t xml:space="preserve"> los gastos variables (suministros) del programa 926 en </w:t>
      </w:r>
      <w:r w:rsidRPr="001555A7">
        <w:rPr>
          <w:rFonts w:ascii="Calibri" w:eastAsia="Times New Roman" w:hAnsi="Calibri" w:cs="Times New Roman"/>
          <w:color w:val="000000"/>
          <w:sz w:val="24"/>
          <w:szCs w:val="24"/>
          <w:lang w:eastAsia="es-CR"/>
        </w:rPr>
        <w:t>₡</w:t>
      </w:r>
      <w:r w:rsidRPr="001555A7">
        <w:rPr>
          <w:rFonts w:ascii="Book Antiqua" w:eastAsia="Calibri" w:hAnsi="Book Antiqua" w:cs="Arial"/>
          <w:sz w:val="24"/>
          <w:szCs w:val="24"/>
        </w:rPr>
        <w:t xml:space="preserve"> 642,250.00.</w:t>
      </w:r>
    </w:p>
    <w:p w14:paraId="18117E47" w14:textId="77777777" w:rsidR="0033628C" w:rsidRPr="00096417" w:rsidRDefault="0033628C" w:rsidP="001D0C10">
      <w:pPr>
        <w:spacing w:after="0" w:line="276" w:lineRule="auto"/>
        <w:jc w:val="both"/>
        <w:rPr>
          <w:rFonts w:ascii="Book Antiqua" w:eastAsia="Calibri" w:hAnsi="Book Antiqua" w:cs="Arial"/>
          <w:sz w:val="24"/>
          <w:szCs w:val="24"/>
        </w:rPr>
      </w:pPr>
    </w:p>
    <w:p w14:paraId="6EC7C3B3" w14:textId="1C81D49D" w:rsidR="0033628C" w:rsidRDefault="0033628C" w:rsidP="001D0C10">
      <w:p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Se incorporan </w:t>
      </w:r>
      <w:r w:rsidRPr="001D0C10">
        <w:rPr>
          <w:rFonts w:ascii="Calibri" w:eastAsia="Times New Roman" w:hAnsi="Calibri" w:cs="Times New Roman"/>
          <w:color w:val="000000"/>
          <w:sz w:val="24"/>
          <w:szCs w:val="24"/>
          <w:lang w:eastAsia="es-CR"/>
        </w:rPr>
        <w:t>₡</w:t>
      </w:r>
      <w:r w:rsidR="000B036D" w:rsidRPr="001D0C10">
        <w:rPr>
          <w:rFonts w:ascii="Book Antiqua" w:eastAsia="Calibri" w:hAnsi="Book Antiqua" w:cs="Arial"/>
          <w:sz w:val="24"/>
          <w:szCs w:val="24"/>
        </w:rPr>
        <w:t>6</w:t>
      </w:r>
      <w:r w:rsidRPr="001D0C10">
        <w:rPr>
          <w:rFonts w:ascii="Book Antiqua" w:eastAsia="Calibri" w:hAnsi="Book Antiqua" w:cs="Arial"/>
          <w:sz w:val="24"/>
          <w:szCs w:val="24"/>
        </w:rPr>
        <w:t xml:space="preserve">0,000,000.00 para el pago de peritajes </w:t>
      </w:r>
      <w:r w:rsidR="007F7D79">
        <w:rPr>
          <w:rFonts w:ascii="Book Antiqua" w:eastAsia="Calibri" w:hAnsi="Book Antiqua" w:cs="Arial"/>
          <w:sz w:val="24"/>
          <w:szCs w:val="24"/>
        </w:rPr>
        <w:t>para el</w:t>
      </w:r>
      <w:r w:rsidRPr="001D0C10">
        <w:rPr>
          <w:rFonts w:ascii="Book Antiqua" w:eastAsia="Calibri" w:hAnsi="Book Antiqua" w:cs="Arial"/>
          <w:sz w:val="24"/>
          <w:szCs w:val="24"/>
        </w:rPr>
        <w:t xml:space="preserve"> Departamento de Trabajo Social y Psicología para reducir su circulante y dar trámite a las solicitudes de valoración de Juzgados de Familia </w:t>
      </w:r>
      <w:r w:rsidR="000B036D" w:rsidRPr="001D0C10">
        <w:rPr>
          <w:rFonts w:ascii="Book Antiqua" w:eastAsia="Calibri" w:hAnsi="Book Antiqua" w:cs="Arial"/>
          <w:sz w:val="24"/>
          <w:szCs w:val="24"/>
        </w:rPr>
        <w:t xml:space="preserve">y Juzgados de Violencia </w:t>
      </w:r>
      <w:r w:rsidRPr="001D0C10">
        <w:rPr>
          <w:rFonts w:ascii="Book Antiqua" w:eastAsia="Calibri" w:hAnsi="Book Antiqua" w:cs="Arial"/>
          <w:sz w:val="24"/>
          <w:szCs w:val="24"/>
        </w:rPr>
        <w:t>a nivel nacional que se encuentren pendientes</w:t>
      </w:r>
      <w:r w:rsidR="002A6659">
        <w:rPr>
          <w:rFonts w:ascii="Book Antiqua" w:eastAsia="Calibri" w:hAnsi="Book Antiqua" w:cs="Arial"/>
          <w:sz w:val="24"/>
          <w:szCs w:val="24"/>
        </w:rPr>
        <w:t xml:space="preserve"> (30 millones para cada materia)</w:t>
      </w:r>
      <w:r w:rsidRPr="001D0C10">
        <w:rPr>
          <w:rFonts w:ascii="Book Antiqua" w:eastAsia="Calibri" w:hAnsi="Book Antiqua" w:cs="Arial"/>
          <w:sz w:val="24"/>
          <w:szCs w:val="24"/>
        </w:rPr>
        <w:t>.</w:t>
      </w:r>
      <w:r w:rsidRPr="0033628C">
        <w:rPr>
          <w:rFonts w:ascii="Book Antiqua" w:eastAsia="Calibri" w:hAnsi="Book Antiqua" w:cs="Arial"/>
          <w:sz w:val="24"/>
          <w:szCs w:val="24"/>
        </w:rPr>
        <w:t xml:space="preserve">  </w:t>
      </w:r>
    </w:p>
    <w:p w14:paraId="02F8FF65" w14:textId="77777777" w:rsidR="007F7D79" w:rsidRPr="0033628C" w:rsidRDefault="007F7D79" w:rsidP="001D0C10">
      <w:pPr>
        <w:spacing w:after="0" w:line="276" w:lineRule="auto"/>
        <w:jc w:val="both"/>
        <w:rPr>
          <w:rFonts w:ascii="Book Antiqua" w:eastAsia="Calibri" w:hAnsi="Book Antiqua" w:cs="Arial"/>
          <w:sz w:val="24"/>
          <w:szCs w:val="24"/>
        </w:rPr>
      </w:pPr>
    </w:p>
    <w:p w14:paraId="26F91C94" w14:textId="400F6848" w:rsidR="0033628C" w:rsidRPr="00C153A4" w:rsidRDefault="0033628C"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bookmarkStart w:id="69" w:name="_Hlk34403189"/>
      <w:r w:rsidRPr="00C153A4">
        <w:rPr>
          <w:rFonts w:ascii="Book Antiqua" w:eastAsiaTheme="majorEastAsia" w:hAnsi="Book Antiqua" w:cstheme="majorBidi"/>
          <w:b/>
          <w:color w:val="1F3864" w:themeColor="accent1" w:themeShade="80"/>
          <w:sz w:val="24"/>
          <w:lang w:val="es-ES"/>
        </w:rPr>
        <w:t>Costos del Programa 927</w:t>
      </w:r>
    </w:p>
    <w:p w14:paraId="1318A8E7" w14:textId="77777777" w:rsidR="00C153A4" w:rsidRDefault="00C153A4" w:rsidP="00C153A4">
      <w:pPr>
        <w:spacing w:after="0" w:line="276" w:lineRule="auto"/>
        <w:jc w:val="both"/>
        <w:rPr>
          <w:rFonts w:ascii="Book Antiqua" w:eastAsia="Calibri" w:hAnsi="Book Antiqua" w:cs="Arial"/>
          <w:b/>
          <w:bCs/>
          <w:sz w:val="24"/>
          <w:szCs w:val="24"/>
        </w:rPr>
      </w:pPr>
    </w:p>
    <w:p w14:paraId="3DCA18C8" w14:textId="7BE1737E" w:rsidR="0033628C" w:rsidRPr="00C153A4" w:rsidRDefault="0033628C" w:rsidP="00C153A4">
      <w:pPr>
        <w:spacing w:after="0" w:line="276" w:lineRule="auto"/>
        <w:jc w:val="both"/>
        <w:rPr>
          <w:rFonts w:ascii="Book Antiqua" w:eastAsia="Calibri" w:hAnsi="Book Antiqua" w:cs="Arial"/>
          <w:b/>
          <w:bCs/>
          <w:sz w:val="24"/>
          <w:szCs w:val="24"/>
        </w:rPr>
      </w:pPr>
      <w:r w:rsidRPr="00C153A4">
        <w:rPr>
          <w:rFonts w:ascii="Book Antiqua" w:eastAsia="Calibri" w:hAnsi="Book Antiqua" w:cs="Arial"/>
          <w:b/>
          <w:bCs/>
          <w:sz w:val="24"/>
          <w:szCs w:val="24"/>
        </w:rPr>
        <w:t>Recurso humano estimado para Juzgados de materia Familia, Violencia Doméstica y Pensiones Alimentarias</w:t>
      </w:r>
    </w:p>
    <w:bookmarkEnd w:id="69"/>
    <w:p w14:paraId="72DD6BB6" w14:textId="256A781F" w:rsidR="0033628C" w:rsidRDefault="0033628C" w:rsidP="0033628C">
      <w:pPr>
        <w:spacing w:after="0" w:line="276" w:lineRule="auto"/>
        <w:jc w:val="both"/>
        <w:rPr>
          <w:rFonts w:ascii="Book Antiqua" w:eastAsia="Calibri" w:hAnsi="Book Antiqua" w:cs="Arial"/>
          <w:sz w:val="24"/>
          <w:szCs w:val="24"/>
        </w:rPr>
      </w:pPr>
      <w:r w:rsidRPr="0033628C">
        <w:rPr>
          <w:rFonts w:ascii="Book Antiqua" w:eastAsia="Calibri" w:hAnsi="Book Antiqua" w:cs="Arial"/>
          <w:sz w:val="24"/>
          <w:szCs w:val="24"/>
        </w:rPr>
        <w:lastRenderedPageBreak/>
        <w:t>En el cuadro siguiente se detalla la cantidad de recursos humanos requeridos en los despachos que atienden materias de Familia</w:t>
      </w:r>
      <w:r w:rsidR="00A80FB5">
        <w:rPr>
          <w:rFonts w:ascii="Book Antiqua" w:eastAsia="Calibri" w:hAnsi="Book Antiqua" w:cs="Arial"/>
          <w:sz w:val="24"/>
          <w:szCs w:val="24"/>
        </w:rPr>
        <w:t xml:space="preserve"> </w:t>
      </w:r>
      <w:r w:rsidRPr="0033628C">
        <w:rPr>
          <w:rFonts w:ascii="Book Antiqua" w:eastAsia="Calibri" w:hAnsi="Book Antiqua" w:cs="Arial"/>
          <w:sz w:val="24"/>
          <w:szCs w:val="24"/>
        </w:rPr>
        <w:t>y Pensiones Alimentarias.</w:t>
      </w:r>
      <w:r w:rsidR="00A80FB5">
        <w:rPr>
          <w:rFonts w:ascii="Book Antiqua" w:eastAsia="Calibri" w:hAnsi="Book Antiqua" w:cs="Arial"/>
          <w:sz w:val="24"/>
          <w:szCs w:val="24"/>
        </w:rPr>
        <w:t xml:space="preserve"> Para materia de Violencia Doméstica, específicamente despachos especializados, se analizará a partir del resultado de la construcción conjunta entre esta Dirección, personas Juzgados, Comisiones Jurisdiccionales de oficina modelo. </w:t>
      </w:r>
    </w:p>
    <w:p w14:paraId="008EFA1C" w14:textId="77777777" w:rsidR="007F7D79" w:rsidRPr="0033628C" w:rsidRDefault="007F7D79" w:rsidP="0033628C">
      <w:pPr>
        <w:spacing w:after="0" w:line="276" w:lineRule="auto"/>
        <w:jc w:val="both"/>
        <w:rPr>
          <w:rFonts w:ascii="Book Antiqua" w:eastAsia="Calibri" w:hAnsi="Book Antiqua" w:cs="Arial"/>
          <w:sz w:val="24"/>
          <w:szCs w:val="24"/>
        </w:rPr>
      </w:pPr>
    </w:p>
    <w:p w14:paraId="70A0D341" w14:textId="1F503A71" w:rsidR="000D3457" w:rsidRPr="000D3457" w:rsidRDefault="000D3457" w:rsidP="000D345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D3457">
        <w:rPr>
          <w:rFonts w:ascii="Book Antiqua" w:eastAsia="Calibri" w:hAnsi="Book Antiqua" w:cs="Arial"/>
          <w:b/>
          <w:bCs/>
          <w:color w:val="1F497D"/>
          <w:szCs w:val="24"/>
          <w:lang w:val="es-ES" w:eastAsia="es-ES"/>
        </w:rPr>
        <w:t xml:space="preserve">Cuadro </w:t>
      </w:r>
      <w:r w:rsidRPr="000D3457">
        <w:rPr>
          <w:rFonts w:ascii="Book Antiqua" w:eastAsia="Calibri" w:hAnsi="Book Antiqua" w:cs="Arial"/>
          <w:b/>
          <w:bCs/>
          <w:color w:val="1F497D"/>
          <w:szCs w:val="24"/>
          <w:lang w:val="es-ES" w:eastAsia="es-ES"/>
        </w:rPr>
        <w:fldChar w:fldCharType="begin"/>
      </w:r>
      <w:r w:rsidRPr="000D3457">
        <w:rPr>
          <w:rFonts w:ascii="Book Antiqua" w:eastAsia="Calibri" w:hAnsi="Book Antiqua" w:cs="Arial"/>
          <w:b/>
          <w:bCs/>
          <w:color w:val="1F497D"/>
          <w:szCs w:val="24"/>
          <w:lang w:val="es-ES" w:eastAsia="es-ES"/>
        </w:rPr>
        <w:instrText xml:space="preserve"> SEQ Cuadro \* ARABIC </w:instrText>
      </w:r>
      <w:r w:rsidRPr="000D3457">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79</w:t>
      </w:r>
      <w:r w:rsidRPr="000D3457">
        <w:rPr>
          <w:rFonts w:ascii="Book Antiqua" w:eastAsia="Calibri" w:hAnsi="Book Antiqua" w:cs="Arial"/>
          <w:b/>
          <w:bCs/>
          <w:color w:val="1F497D"/>
          <w:szCs w:val="24"/>
          <w:lang w:val="es-ES" w:eastAsia="es-ES"/>
        </w:rPr>
        <w:fldChar w:fldCharType="end"/>
      </w:r>
      <w:r w:rsidRPr="000D3457">
        <w:rPr>
          <w:rFonts w:ascii="Book Antiqua" w:eastAsia="Calibri" w:hAnsi="Book Antiqua" w:cs="Arial"/>
          <w:b/>
          <w:bCs/>
          <w:color w:val="1F497D"/>
          <w:szCs w:val="24"/>
          <w:lang w:val="es-ES" w:eastAsia="es-ES"/>
        </w:rPr>
        <w:t xml:space="preserve"> </w:t>
      </w:r>
    </w:p>
    <w:p w14:paraId="64D54ABD" w14:textId="547E41F7" w:rsidR="000D3457" w:rsidRDefault="000D3457" w:rsidP="000D3457">
      <w:pPr>
        <w:keepNext/>
        <w:numPr>
          <w:ilvl w:val="12"/>
          <w:numId w:val="0"/>
        </w:numPr>
        <w:spacing w:after="0" w:line="276" w:lineRule="auto"/>
        <w:jc w:val="center"/>
        <w:rPr>
          <w:rFonts w:ascii="Book Antiqua" w:eastAsia="Calibri" w:hAnsi="Book Antiqua" w:cs="Arial"/>
          <w:b/>
          <w:bCs/>
          <w:color w:val="1F497D"/>
          <w:szCs w:val="24"/>
          <w:lang w:val="es-ES" w:eastAsia="es-ES"/>
        </w:rPr>
      </w:pPr>
      <w:r w:rsidRPr="000D3457">
        <w:rPr>
          <w:rFonts w:ascii="Book Antiqua" w:eastAsia="Calibri" w:hAnsi="Book Antiqua" w:cs="Arial"/>
          <w:b/>
          <w:bCs/>
          <w:color w:val="1F497D"/>
          <w:szCs w:val="24"/>
          <w:lang w:val="es-ES" w:eastAsia="es-ES"/>
        </w:rPr>
        <w:t>Cantidad de recurso humano necesario y costo estimado de recursos en los juzgados de materias Familia, Violencia Doméstica y Pensiones Alimentarias con el CPF</w:t>
      </w:r>
    </w:p>
    <w:tbl>
      <w:tblPr>
        <w:tblW w:w="5000" w:type="pct"/>
        <w:tblLayout w:type="fixed"/>
        <w:tblCellMar>
          <w:left w:w="70" w:type="dxa"/>
          <w:right w:w="70" w:type="dxa"/>
        </w:tblCellMar>
        <w:tblLook w:val="04A0" w:firstRow="1" w:lastRow="0" w:firstColumn="1" w:lastColumn="0" w:noHBand="0" w:noVBand="1"/>
      </w:tblPr>
      <w:tblGrid>
        <w:gridCol w:w="1562"/>
        <w:gridCol w:w="735"/>
        <w:gridCol w:w="1039"/>
        <w:gridCol w:w="635"/>
        <w:gridCol w:w="1450"/>
        <w:gridCol w:w="781"/>
        <w:gridCol w:w="1443"/>
        <w:gridCol w:w="1173"/>
      </w:tblGrid>
      <w:tr w:rsidR="00B869F4" w:rsidRPr="00B869F4" w14:paraId="4675DFE2" w14:textId="77777777" w:rsidTr="001D0C10">
        <w:trPr>
          <w:trHeight w:val="490"/>
        </w:trPr>
        <w:tc>
          <w:tcPr>
            <w:tcW w:w="886" w:type="pct"/>
            <w:tcBorders>
              <w:top w:val="single" w:sz="8" w:space="0" w:color="auto"/>
              <w:left w:val="single" w:sz="8" w:space="0" w:color="auto"/>
              <w:bottom w:val="single" w:sz="8" w:space="0" w:color="auto"/>
              <w:right w:val="single" w:sz="8" w:space="0" w:color="auto"/>
            </w:tcBorders>
            <w:shd w:val="clear" w:color="000000" w:fill="002060"/>
            <w:vAlign w:val="center"/>
            <w:hideMark/>
          </w:tcPr>
          <w:p w14:paraId="0B81D53E"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Despacho</w:t>
            </w:r>
          </w:p>
        </w:tc>
        <w:tc>
          <w:tcPr>
            <w:tcW w:w="417" w:type="pct"/>
            <w:tcBorders>
              <w:top w:val="single" w:sz="8" w:space="0" w:color="auto"/>
              <w:left w:val="nil"/>
              <w:bottom w:val="single" w:sz="8" w:space="0" w:color="auto"/>
              <w:right w:val="single" w:sz="8" w:space="0" w:color="auto"/>
            </w:tcBorders>
            <w:shd w:val="clear" w:color="000000" w:fill="002060"/>
            <w:vAlign w:val="center"/>
            <w:hideMark/>
          </w:tcPr>
          <w:p w14:paraId="0EDE56FC"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Cant.</w:t>
            </w:r>
          </w:p>
        </w:tc>
        <w:tc>
          <w:tcPr>
            <w:tcW w:w="589" w:type="pct"/>
            <w:tcBorders>
              <w:top w:val="single" w:sz="8" w:space="0" w:color="auto"/>
              <w:left w:val="nil"/>
              <w:bottom w:val="single" w:sz="8" w:space="0" w:color="auto"/>
              <w:right w:val="single" w:sz="8" w:space="0" w:color="auto"/>
            </w:tcBorders>
            <w:shd w:val="clear" w:color="000000" w:fill="002060"/>
            <w:vAlign w:val="center"/>
            <w:hideMark/>
          </w:tcPr>
          <w:p w14:paraId="02BBC284"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Tipo de plaza</w:t>
            </w:r>
          </w:p>
        </w:tc>
        <w:tc>
          <w:tcPr>
            <w:tcW w:w="360" w:type="pct"/>
            <w:tcBorders>
              <w:top w:val="single" w:sz="8" w:space="0" w:color="auto"/>
              <w:left w:val="nil"/>
              <w:bottom w:val="single" w:sz="8" w:space="0" w:color="auto"/>
              <w:right w:val="single" w:sz="8" w:space="0" w:color="auto"/>
            </w:tcBorders>
            <w:shd w:val="clear" w:color="000000" w:fill="002060"/>
            <w:vAlign w:val="center"/>
            <w:hideMark/>
          </w:tcPr>
          <w:p w14:paraId="7821E192"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Cond. actual</w:t>
            </w:r>
          </w:p>
        </w:tc>
        <w:tc>
          <w:tcPr>
            <w:tcW w:w="822" w:type="pct"/>
            <w:tcBorders>
              <w:top w:val="single" w:sz="8" w:space="0" w:color="auto"/>
              <w:left w:val="nil"/>
              <w:bottom w:val="single" w:sz="8" w:space="0" w:color="auto"/>
              <w:right w:val="single" w:sz="8" w:space="0" w:color="auto"/>
            </w:tcBorders>
            <w:shd w:val="clear" w:color="000000" w:fill="002060"/>
            <w:vAlign w:val="center"/>
            <w:hideMark/>
          </w:tcPr>
          <w:p w14:paraId="46D790E8"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Recomendación</w:t>
            </w:r>
          </w:p>
        </w:tc>
        <w:tc>
          <w:tcPr>
            <w:tcW w:w="443" w:type="pct"/>
            <w:tcBorders>
              <w:top w:val="single" w:sz="8" w:space="0" w:color="auto"/>
              <w:left w:val="nil"/>
              <w:bottom w:val="single" w:sz="8" w:space="0" w:color="auto"/>
              <w:right w:val="single" w:sz="8" w:space="0" w:color="auto"/>
            </w:tcBorders>
            <w:shd w:val="clear" w:color="000000" w:fill="002060"/>
            <w:vAlign w:val="center"/>
            <w:hideMark/>
          </w:tcPr>
          <w:p w14:paraId="56DEF038"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Periodo</w:t>
            </w:r>
          </w:p>
        </w:tc>
        <w:tc>
          <w:tcPr>
            <w:tcW w:w="818" w:type="pct"/>
            <w:tcBorders>
              <w:top w:val="single" w:sz="8" w:space="0" w:color="auto"/>
              <w:left w:val="nil"/>
              <w:bottom w:val="single" w:sz="8" w:space="0" w:color="auto"/>
              <w:right w:val="single" w:sz="8" w:space="0" w:color="auto"/>
            </w:tcBorders>
            <w:shd w:val="clear" w:color="000000" w:fill="002060"/>
            <w:vAlign w:val="center"/>
            <w:hideMark/>
          </w:tcPr>
          <w:p w14:paraId="41B26950"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Costo estimado</w:t>
            </w:r>
          </w:p>
        </w:tc>
        <w:tc>
          <w:tcPr>
            <w:tcW w:w="665" w:type="pct"/>
            <w:tcBorders>
              <w:top w:val="single" w:sz="8" w:space="0" w:color="auto"/>
              <w:left w:val="nil"/>
              <w:bottom w:val="single" w:sz="8" w:space="0" w:color="auto"/>
              <w:right w:val="single" w:sz="8" w:space="0" w:color="auto"/>
            </w:tcBorders>
            <w:shd w:val="clear" w:color="000000" w:fill="002060"/>
            <w:vAlign w:val="center"/>
            <w:hideMark/>
          </w:tcPr>
          <w:p w14:paraId="747EFB26"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Observaciones</w:t>
            </w:r>
          </w:p>
        </w:tc>
      </w:tr>
      <w:tr w:rsidR="00E926F1" w:rsidRPr="00B869F4" w14:paraId="04C9F592" w14:textId="77777777" w:rsidTr="000B0740">
        <w:trPr>
          <w:trHeight w:val="490"/>
        </w:trPr>
        <w:tc>
          <w:tcPr>
            <w:tcW w:w="886" w:type="pct"/>
            <w:tcBorders>
              <w:top w:val="single" w:sz="8" w:space="0" w:color="auto"/>
              <w:left w:val="single" w:sz="8" w:space="0" w:color="auto"/>
              <w:bottom w:val="single" w:sz="8" w:space="0" w:color="auto"/>
              <w:right w:val="single" w:sz="8" w:space="0" w:color="auto"/>
            </w:tcBorders>
            <w:shd w:val="clear" w:color="auto" w:fill="auto"/>
            <w:vAlign w:val="center"/>
          </w:tcPr>
          <w:p w14:paraId="715AA08D" w14:textId="5D77916E" w:rsidR="00E926F1" w:rsidRPr="000B0740" w:rsidRDefault="00E926F1" w:rsidP="001D0C10">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Juzgado Familia II Circuito Judicial de Alajuela</w:t>
            </w:r>
          </w:p>
        </w:tc>
        <w:tc>
          <w:tcPr>
            <w:tcW w:w="417" w:type="pct"/>
            <w:tcBorders>
              <w:top w:val="single" w:sz="8" w:space="0" w:color="auto"/>
              <w:left w:val="nil"/>
              <w:bottom w:val="single" w:sz="8" w:space="0" w:color="auto"/>
              <w:right w:val="single" w:sz="8" w:space="0" w:color="auto"/>
            </w:tcBorders>
            <w:shd w:val="clear" w:color="auto" w:fill="auto"/>
            <w:vAlign w:val="center"/>
          </w:tcPr>
          <w:p w14:paraId="3CCE2A46" w14:textId="13E076EB" w:rsidR="00E926F1" w:rsidRPr="000B0740" w:rsidRDefault="00E926F1" w:rsidP="00B869F4">
            <w:pPr>
              <w:spacing w:after="0" w:line="240" w:lineRule="auto"/>
              <w:jc w:val="center"/>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8"/>
                <w:szCs w:val="18"/>
                <w:lang w:eastAsia="es-CR"/>
              </w:rPr>
              <w:t>1</w:t>
            </w:r>
          </w:p>
        </w:tc>
        <w:tc>
          <w:tcPr>
            <w:tcW w:w="589" w:type="pct"/>
            <w:tcBorders>
              <w:top w:val="single" w:sz="8" w:space="0" w:color="auto"/>
              <w:left w:val="nil"/>
              <w:bottom w:val="single" w:sz="8" w:space="0" w:color="auto"/>
              <w:right w:val="single" w:sz="8" w:space="0" w:color="auto"/>
            </w:tcBorders>
            <w:shd w:val="clear" w:color="auto" w:fill="auto"/>
            <w:vAlign w:val="center"/>
          </w:tcPr>
          <w:p w14:paraId="4C388C61" w14:textId="275CBA3D" w:rsidR="00E926F1" w:rsidRPr="000B0740" w:rsidRDefault="00E926F1"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Técnica o Técnico Judicial 2</w:t>
            </w:r>
          </w:p>
        </w:tc>
        <w:tc>
          <w:tcPr>
            <w:tcW w:w="360" w:type="pct"/>
            <w:tcBorders>
              <w:top w:val="single" w:sz="8" w:space="0" w:color="auto"/>
              <w:left w:val="nil"/>
              <w:bottom w:val="single" w:sz="8" w:space="0" w:color="auto"/>
              <w:right w:val="single" w:sz="8" w:space="0" w:color="auto"/>
            </w:tcBorders>
            <w:shd w:val="clear" w:color="auto" w:fill="auto"/>
            <w:vAlign w:val="center"/>
          </w:tcPr>
          <w:p w14:paraId="306E53FC" w14:textId="40B25DC8" w:rsidR="00E926F1" w:rsidRPr="000B0740" w:rsidRDefault="00E926F1"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w:t>
            </w:r>
          </w:p>
        </w:tc>
        <w:tc>
          <w:tcPr>
            <w:tcW w:w="822" w:type="pct"/>
            <w:tcBorders>
              <w:top w:val="single" w:sz="8" w:space="0" w:color="auto"/>
              <w:left w:val="nil"/>
              <w:bottom w:val="single" w:sz="8" w:space="0" w:color="auto"/>
              <w:right w:val="single" w:sz="8" w:space="0" w:color="auto"/>
            </w:tcBorders>
            <w:shd w:val="clear" w:color="auto" w:fill="auto"/>
            <w:vAlign w:val="center"/>
          </w:tcPr>
          <w:p w14:paraId="1398AFDC" w14:textId="100693DC" w:rsidR="00E926F1" w:rsidRPr="000B0740" w:rsidRDefault="00030CB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Extraordinario</w:t>
            </w:r>
          </w:p>
        </w:tc>
        <w:tc>
          <w:tcPr>
            <w:tcW w:w="443" w:type="pct"/>
            <w:tcBorders>
              <w:top w:val="single" w:sz="8" w:space="0" w:color="auto"/>
              <w:left w:val="nil"/>
              <w:bottom w:val="single" w:sz="8" w:space="0" w:color="auto"/>
              <w:right w:val="single" w:sz="8" w:space="0" w:color="auto"/>
            </w:tcBorders>
            <w:shd w:val="clear" w:color="auto" w:fill="auto"/>
            <w:vAlign w:val="center"/>
          </w:tcPr>
          <w:p w14:paraId="639F3F12" w14:textId="6E0DF1C0" w:rsidR="00E926F1" w:rsidRPr="000B0740" w:rsidRDefault="00E926F1" w:rsidP="00B869F4">
            <w:pPr>
              <w:spacing w:after="0" w:line="240" w:lineRule="auto"/>
              <w:jc w:val="center"/>
              <w:rPr>
                <w:rFonts w:ascii="Book Antiqua" w:eastAsia="Times New Roman" w:hAnsi="Book Antiqua" w:cs="Calibri"/>
                <w:color w:val="000000"/>
                <w:sz w:val="18"/>
                <w:szCs w:val="18"/>
                <w:lang w:eastAsia="es-CR"/>
              </w:rPr>
            </w:pPr>
            <w:r w:rsidRPr="000B0740">
              <w:rPr>
                <w:rFonts w:ascii="Book Antiqua" w:eastAsia="Times New Roman" w:hAnsi="Book Antiqua" w:cs="Calibri"/>
                <w:color w:val="000000"/>
                <w:sz w:val="18"/>
                <w:szCs w:val="18"/>
                <w:lang w:eastAsia="es-CR"/>
              </w:rPr>
              <w:t>2023</w:t>
            </w:r>
          </w:p>
        </w:tc>
        <w:tc>
          <w:tcPr>
            <w:tcW w:w="818" w:type="pct"/>
            <w:tcBorders>
              <w:top w:val="single" w:sz="8" w:space="0" w:color="auto"/>
              <w:left w:val="nil"/>
              <w:bottom w:val="single" w:sz="8" w:space="0" w:color="auto"/>
              <w:right w:val="single" w:sz="8" w:space="0" w:color="auto"/>
            </w:tcBorders>
            <w:shd w:val="clear" w:color="auto" w:fill="auto"/>
            <w:vAlign w:val="center"/>
          </w:tcPr>
          <w:p w14:paraId="6F437F8F" w14:textId="3F254EB4" w:rsidR="00E926F1" w:rsidRPr="000B0740" w:rsidRDefault="00E926F1" w:rsidP="00B869F4">
            <w:pPr>
              <w:spacing w:after="0" w:line="240" w:lineRule="auto"/>
              <w:jc w:val="center"/>
              <w:rPr>
                <w:rFonts w:ascii="Book Antiqua" w:eastAsia="Times New Roman" w:hAnsi="Book Antiqua" w:cs="Calibri"/>
                <w:color w:val="000000"/>
                <w:sz w:val="18"/>
                <w:szCs w:val="18"/>
                <w:lang w:eastAsia="es-CR"/>
              </w:rPr>
            </w:pPr>
            <w:r w:rsidRPr="000B0740">
              <w:rPr>
                <w:rFonts w:ascii="Times New Roman" w:eastAsia="Times New Roman" w:hAnsi="Times New Roman" w:cs="Times New Roman"/>
                <w:color w:val="000000"/>
                <w:sz w:val="18"/>
                <w:szCs w:val="18"/>
                <w:lang w:eastAsia="es-CR"/>
              </w:rPr>
              <w:t>₡</w:t>
            </w:r>
            <w:r w:rsidRPr="000B0740">
              <w:rPr>
                <w:rFonts w:ascii="Book Antiqua" w:eastAsia="Times New Roman" w:hAnsi="Book Antiqua" w:cs="Calibri"/>
                <w:color w:val="000000"/>
                <w:sz w:val="18"/>
                <w:szCs w:val="18"/>
                <w:lang w:eastAsia="es-CR"/>
              </w:rPr>
              <w:t>14 388 000,00</w:t>
            </w:r>
          </w:p>
        </w:tc>
        <w:tc>
          <w:tcPr>
            <w:tcW w:w="665" w:type="pct"/>
            <w:tcBorders>
              <w:top w:val="single" w:sz="8" w:space="0" w:color="auto"/>
              <w:left w:val="nil"/>
              <w:bottom w:val="single" w:sz="8" w:space="0" w:color="auto"/>
              <w:right w:val="single" w:sz="8" w:space="0" w:color="auto"/>
            </w:tcBorders>
            <w:shd w:val="clear" w:color="auto" w:fill="auto"/>
            <w:vAlign w:val="center"/>
          </w:tcPr>
          <w:p w14:paraId="0B8191FB" w14:textId="77777777" w:rsidR="00E926F1" w:rsidRPr="00B869F4" w:rsidRDefault="00E926F1" w:rsidP="00B869F4">
            <w:pPr>
              <w:spacing w:after="0" w:line="240" w:lineRule="auto"/>
              <w:jc w:val="center"/>
              <w:rPr>
                <w:rFonts w:ascii="Book Antiqua" w:eastAsia="Times New Roman" w:hAnsi="Book Antiqua" w:cs="Calibri"/>
                <w:b/>
                <w:bCs/>
                <w:color w:val="FFFFFF"/>
                <w:sz w:val="18"/>
                <w:szCs w:val="18"/>
                <w:lang w:eastAsia="es-CR"/>
              </w:rPr>
            </w:pPr>
          </w:p>
        </w:tc>
      </w:tr>
      <w:tr w:rsidR="00B869F4" w:rsidRPr="00B869F4" w14:paraId="166C6408" w14:textId="77777777" w:rsidTr="001D0C10">
        <w:trPr>
          <w:trHeight w:val="730"/>
        </w:trPr>
        <w:tc>
          <w:tcPr>
            <w:tcW w:w="886" w:type="pct"/>
            <w:tcBorders>
              <w:top w:val="nil"/>
              <w:left w:val="single" w:sz="8" w:space="0" w:color="auto"/>
              <w:bottom w:val="single" w:sz="8" w:space="0" w:color="auto"/>
              <w:right w:val="single" w:sz="8" w:space="0" w:color="auto"/>
            </w:tcBorders>
            <w:shd w:val="clear" w:color="000000" w:fill="FFFFFF"/>
            <w:vAlign w:val="center"/>
            <w:hideMark/>
          </w:tcPr>
          <w:p w14:paraId="331ABD57" w14:textId="77777777" w:rsidR="00B869F4" w:rsidRPr="00B869F4" w:rsidRDefault="00B869F4" w:rsidP="001D0C10">
            <w:pPr>
              <w:spacing w:after="0" w:line="240" w:lineRule="auto"/>
              <w:jc w:val="both"/>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Juzgado Civil, Trabajo y Familia de Buenos Aires</w:t>
            </w:r>
          </w:p>
        </w:tc>
        <w:tc>
          <w:tcPr>
            <w:tcW w:w="417" w:type="pct"/>
            <w:tcBorders>
              <w:top w:val="nil"/>
              <w:left w:val="nil"/>
              <w:bottom w:val="single" w:sz="8" w:space="0" w:color="auto"/>
              <w:right w:val="single" w:sz="8" w:space="0" w:color="auto"/>
            </w:tcBorders>
            <w:shd w:val="clear" w:color="000000" w:fill="FFFFFF"/>
            <w:vAlign w:val="center"/>
            <w:hideMark/>
          </w:tcPr>
          <w:p w14:paraId="23DE7D16" w14:textId="77777777"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1</w:t>
            </w:r>
          </w:p>
        </w:tc>
        <w:tc>
          <w:tcPr>
            <w:tcW w:w="589" w:type="pct"/>
            <w:tcBorders>
              <w:top w:val="nil"/>
              <w:left w:val="nil"/>
              <w:bottom w:val="single" w:sz="8" w:space="0" w:color="auto"/>
              <w:right w:val="single" w:sz="8" w:space="0" w:color="auto"/>
            </w:tcBorders>
            <w:shd w:val="clear" w:color="000000" w:fill="FFFFFF"/>
            <w:vAlign w:val="center"/>
            <w:hideMark/>
          </w:tcPr>
          <w:p w14:paraId="29717D99" w14:textId="77777777"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Técnica o Técnico Judicial 2</w:t>
            </w:r>
          </w:p>
        </w:tc>
        <w:tc>
          <w:tcPr>
            <w:tcW w:w="360" w:type="pct"/>
            <w:tcBorders>
              <w:top w:val="nil"/>
              <w:left w:val="nil"/>
              <w:bottom w:val="single" w:sz="8" w:space="0" w:color="auto"/>
              <w:right w:val="single" w:sz="8" w:space="0" w:color="auto"/>
            </w:tcBorders>
            <w:shd w:val="clear" w:color="auto" w:fill="auto"/>
            <w:vAlign w:val="center"/>
            <w:hideMark/>
          </w:tcPr>
          <w:p w14:paraId="01EC30CD" w14:textId="77777777"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 -</w:t>
            </w:r>
          </w:p>
        </w:tc>
        <w:tc>
          <w:tcPr>
            <w:tcW w:w="822" w:type="pct"/>
            <w:tcBorders>
              <w:top w:val="nil"/>
              <w:left w:val="nil"/>
              <w:bottom w:val="single" w:sz="8" w:space="0" w:color="auto"/>
              <w:right w:val="single" w:sz="8" w:space="0" w:color="auto"/>
            </w:tcBorders>
            <w:shd w:val="clear" w:color="auto" w:fill="auto"/>
            <w:vAlign w:val="center"/>
            <w:hideMark/>
          </w:tcPr>
          <w:p w14:paraId="5D18D042" w14:textId="6B521500" w:rsidR="00B869F4" w:rsidRPr="00B869F4" w:rsidRDefault="00C165C5"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Ordinario</w:t>
            </w:r>
            <w:r w:rsidR="00B869F4" w:rsidRPr="00B869F4">
              <w:rPr>
                <w:rFonts w:ascii="Book Antiqua" w:eastAsia="Times New Roman" w:hAnsi="Book Antiqua" w:cs="Calibri"/>
                <w:color w:val="000000"/>
                <w:sz w:val="18"/>
                <w:szCs w:val="18"/>
                <w:lang w:eastAsia="es-CR"/>
              </w:rPr>
              <w:t xml:space="preserve"> </w:t>
            </w:r>
          </w:p>
        </w:tc>
        <w:tc>
          <w:tcPr>
            <w:tcW w:w="443" w:type="pct"/>
            <w:tcBorders>
              <w:top w:val="nil"/>
              <w:left w:val="nil"/>
              <w:bottom w:val="single" w:sz="8" w:space="0" w:color="auto"/>
              <w:right w:val="nil"/>
            </w:tcBorders>
            <w:shd w:val="clear" w:color="auto" w:fill="auto"/>
            <w:vAlign w:val="center"/>
            <w:hideMark/>
          </w:tcPr>
          <w:p w14:paraId="1BFA5F21" w14:textId="46FC8AB9" w:rsidR="00B869F4" w:rsidRPr="00B869F4" w:rsidRDefault="00431DD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2023</w:t>
            </w:r>
          </w:p>
        </w:tc>
        <w:tc>
          <w:tcPr>
            <w:tcW w:w="818"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6F2035B9" w14:textId="77777777" w:rsidR="00B869F4" w:rsidRPr="00B869F4" w:rsidRDefault="00B869F4" w:rsidP="00B869F4">
            <w:pPr>
              <w:spacing w:after="0" w:line="240" w:lineRule="auto"/>
              <w:jc w:val="center"/>
              <w:rPr>
                <w:rFonts w:ascii="Times New Roman" w:eastAsia="Times New Roman" w:hAnsi="Times New Roman" w:cs="Times New Roman"/>
                <w:color w:val="000000"/>
                <w:sz w:val="18"/>
                <w:szCs w:val="18"/>
                <w:lang w:eastAsia="es-CR"/>
              </w:rPr>
            </w:pPr>
            <w:r w:rsidRPr="00B869F4">
              <w:rPr>
                <w:rFonts w:ascii="Times New Roman" w:eastAsia="Times New Roman" w:hAnsi="Times New Roman" w:cs="Times New Roman"/>
                <w:color w:val="000000"/>
                <w:sz w:val="18"/>
                <w:szCs w:val="18"/>
                <w:lang w:eastAsia="es-CR"/>
              </w:rPr>
              <w:t>₡14 388 000,00</w:t>
            </w:r>
          </w:p>
        </w:tc>
        <w:tc>
          <w:tcPr>
            <w:tcW w:w="665" w:type="pct"/>
            <w:tcBorders>
              <w:top w:val="nil"/>
              <w:left w:val="nil"/>
              <w:bottom w:val="single" w:sz="8" w:space="0" w:color="auto"/>
              <w:right w:val="single" w:sz="8" w:space="0" w:color="auto"/>
            </w:tcBorders>
            <w:shd w:val="clear" w:color="auto" w:fill="auto"/>
            <w:vAlign w:val="center"/>
            <w:hideMark/>
          </w:tcPr>
          <w:p w14:paraId="41B9F803" w14:textId="6162C06F" w:rsidR="00B869F4" w:rsidRPr="001D0C10" w:rsidRDefault="00FE44AC" w:rsidP="001D0C10">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4"/>
                <w:szCs w:val="14"/>
                <w:lang w:eastAsia="es-CR"/>
              </w:rPr>
              <w:t>La segunda plaza requerida en este juzgado se incluyó en la formulación de presupuesto Agrario 2023</w:t>
            </w:r>
            <w:r w:rsidR="00C165C5">
              <w:rPr>
                <w:rFonts w:ascii="Book Antiqua" w:eastAsia="Times New Roman" w:hAnsi="Book Antiqua" w:cs="Calibri"/>
                <w:color w:val="000000"/>
                <w:sz w:val="14"/>
                <w:szCs w:val="14"/>
                <w:lang w:eastAsia="es-CR"/>
              </w:rPr>
              <w:t>. Oficina con población usuario indígena.</w:t>
            </w:r>
          </w:p>
        </w:tc>
      </w:tr>
      <w:tr w:rsidR="00B869F4" w:rsidRPr="00B869F4" w14:paraId="391661A7" w14:textId="77777777" w:rsidTr="001D0C10">
        <w:trPr>
          <w:trHeight w:val="1160"/>
        </w:trPr>
        <w:tc>
          <w:tcPr>
            <w:tcW w:w="886" w:type="pct"/>
            <w:tcBorders>
              <w:top w:val="nil"/>
              <w:left w:val="single" w:sz="8" w:space="0" w:color="auto"/>
              <w:bottom w:val="single" w:sz="8" w:space="0" w:color="auto"/>
              <w:right w:val="single" w:sz="8" w:space="0" w:color="auto"/>
            </w:tcBorders>
            <w:shd w:val="clear" w:color="000000" w:fill="FFFFFF"/>
            <w:vAlign w:val="center"/>
            <w:hideMark/>
          </w:tcPr>
          <w:p w14:paraId="6F8AD2C3" w14:textId="77777777" w:rsidR="00B869F4" w:rsidRPr="00B869F4" w:rsidRDefault="00B869F4" w:rsidP="001D0C10">
            <w:pPr>
              <w:spacing w:after="0" w:line="240" w:lineRule="auto"/>
              <w:jc w:val="both"/>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Juzgado de Contravencional y Pensiones Alimentarias del Primer Circuito Judicial de Guanacaste</w:t>
            </w:r>
          </w:p>
        </w:tc>
        <w:tc>
          <w:tcPr>
            <w:tcW w:w="417" w:type="pct"/>
            <w:tcBorders>
              <w:top w:val="nil"/>
              <w:left w:val="nil"/>
              <w:bottom w:val="single" w:sz="8" w:space="0" w:color="auto"/>
              <w:right w:val="single" w:sz="8" w:space="0" w:color="auto"/>
            </w:tcBorders>
            <w:shd w:val="clear" w:color="000000" w:fill="FFFFFF"/>
            <w:vAlign w:val="center"/>
            <w:hideMark/>
          </w:tcPr>
          <w:p w14:paraId="3BC4643F" w14:textId="77777777"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1</w:t>
            </w:r>
          </w:p>
        </w:tc>
        <w:tc>
          <w:tcPr>
            <w:tcW w:w="589" w:type="pct"/>
            <w:tcBorders>
              <w:top w:val="nil"/>
              <w:left w:val="nil"/>
              <w:bottom w:val="single" w:sz="8" w:space="0" w:color="auto"/>
              <w:right w:val="single" w:sz="8" w:space="0" w:color="auto"/>
            </w:tcBorders>
            <w:shd w:val="clear" w:color="000000" w:fill="FFFFFF"/>
            <w:vAlign w:val="center"/>
            <w:hideMark/>
          </w:tcPr>
          <w:p w14:paraId="7846A3D1" w14:textId="1F94235D"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Técnica o Técnico Judicial </w:t>
            </w:r>
            <w:r w:rsidR="00A01E07">
              <w:rPr>
                <w:rFonts w:ascii="Book Antiqua" w:eastAsia="Times New Roman" w:hAnsi="Book Antiqua" w:cs="Calibri"/>
                <w:color w:val="000000"/>
                <w:sz w:val="18"/>
                <w:szCs w:val="18"/>
                <w:lang w:eastAsia="es-CR"/>
              </w:rPr>
              <w:t>1</w:t>
            </w:r>
          </w:p>
        </w:tc>
        <w:tc>
          <w:tcPr>
            <w:tcW w:w="360" w:type="pct"/>
            <w:tcBorders>
              <w:top w:val="nil"/>
              <w:left w:val="nil"/>
              <w:bottom w:val="single" w:sz="8" w:space="0" w:color="auto"/>
              <w:right w:val="single" w:sz="8" w:space="0" w:color="auto"/>
            </w:tcBorders>
            <w:shd w:val="clear" w:color="auto" w:fill="auto"/>
            <w:vAlign w:val="center"/>
            <w:hideMark/>
          </w:tcPr>
          <w:p w14:paraId="49078E73" w14:textId="77777777" w:rsidR="00B869F4" w:rsidRPr="00B869F4" w:rsidRDefault="00B869F4"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 -</w:t>
            </w:r>
          </w:p>
        </w:tc>
        <w:tc>
          <w:tcPr>
            <w:tcW w:w="822" w:type="pct"/>
            <w:tcBorders>
              <w:top w:val="nil"/>
              <w:left w:val="nil"/>
              <w:bottom w:val="single" w:sz="8" w:space="0" w:color="auto"/>
              <w:right w:val="single" w:sz="8" w:space="0" w:color="auto"/>
            </w:tcBorders>
            <w:shd w:val="clear" w:color="auto" w:fill="auto"/>
            <w:vAlign w:val="center"/>
            <w:hideMark/>
          </w:tcPr>
          <w:p w14:paraId="41F09FA1" w14:textId="205512DF" w:rsidR="00B869F4" w:rsidRPr="00B869F4" w:rsidRDefault="00C165C5"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Ordinario</w:t>
            </w:r>
            <w:r w:rsidR="00B869F4" w:rsidRPr="00B869F4">
              <w:rPr>
                <w:rFonts w:ascii="Book Antiqua" w:eastAsia="Times New Roman" w:hAnsi="Book Antiqua" w:cs="Calibri"/>
                <w:color w:val="000000"/>
                <w:sz w:val="18"/>
                <w:szCs w:val="18"/>
                <w:lang w:eastAsia="es-CR"/>
              </w:rPr>
              <w:t xml:space="preserve"> </w:t>
            </w:r>
          </w:p>
        </w:tc>
        <w:tc>
          <w:tcPr>
            <w:tcW w:w="443" w:type="pct"/>
            <w:tcBorders>
              <w:top w:val="nil"/>
              <w:left w:val="nil"/>
              <w:bottom w:val="single" w:sz="8" w:space="0" w:color="auto"/>
              <w:right w:val="nil"/>
            </w:tcBorders>
            <w:shd w:val="clear" w:color="auto" w:fill="auto"/>
            <w:vAlign w:val="center"/>
            <w:hideMark/>
          </w:tcPr>
          <w:p w14:paraId="4728B2C3" w14:textId="7AC1BBAA" w:rsidR="00B869F4" w:rsidRPr="00B869F4" w:rsidRDefault="00431DD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2023</w:t>
            </w:r>
          </w:p>
        </w:tc>
        <w:tc>
          <w:tcPr>
            <w:tcW w:w="818" w:type="pct"/>
            <w:tcBorders>
              <w:top w:val="nil"/>
              <w:left w:val="single" w:sz="8" w:space="0" w:color="auto"/>
              <w:bottom w:val="single" w:sz="8" w:space="0" w:color="auto"/>
              <w:right w:val="single" w:sz="8" w:space="0" w:color="auto"/>
            </w:tcBorders>
            <w:shd w:val="clear" w:color="000000" w:fill="FFFFFF"/>
            <w:vAlign w:val="center"/>
            <w:hideMark/>
          </w:tcPr>
          <w:p w14:paraId="7F5EC36B" w14:textId="318C2670" w:rsidR="00B869F4" w:rsidRPr="00B869F4" w:rsidRDefault="00B869F4" w:rsidP="00B869F4">
            <w:pPr>
              <w:spacing w:after="0" w:line="240" w:lineRule="auto"/>
              <w:jc w:val="center"/>
              <w:rPr>
                <w:rFonts w:ascii="Times New Roman" w:eastAsia="Times New Roman" w:hAnsi="Times New Roman" w:cs="Times New Roman"/>
                <w:color w:val="000000"/>
                <w:sz w:val="18"/>
                <w:szCs w:val="18"/>
                <w:lang w:eastAsia="es-CR"/>
              </w:rPr>
            </w:pPr>
            <w:r w:rsidRPr="005D2069">
              <w:rPr>
                <w:rFonts w:ascii="Times New Roman" w:eastAsia="Times New Roman" w:hAnsi="Times New Roman" w:cs="Times New Roman"/>
                <w:color w:val="000000"/>
                <w:sz w:val="18"/>
                <w:szCs w:val="18"/>
                <w:lang w:eastAsia="es-CR"/>
              </w:rPr>
              <w:t>₡1</w:t>
            </w:r>
            <w:r w:rsidR="005D2069" w:rsidRPr="009B71C9">
              <w:rPr>
                <w:rFonts w:ascii="Times New Roman" w:eastAsia="Times New Roman" w:hAnsi="Times New Roman" w:cs="Times New Roman"/>
                <w:color w:val="000000"/>
                <w:sz w:val="18"/>
                <w:szCs w:val="18"/>
                <w:lang w:eastAsia="es-CR"/>
              </w:rPr>
              <w:t>3</w:t>
            </w:r>
            <w:r w:rsidRPr="005D2069">
              <w:rPr>
                <w:rFonts w:ascii="Times New Roman" w:eastAsia="Times New Roman" w:hAnsi="Times New Roman" w:cs="Times New Roman"/>
                <w:color w:val="000000"/>
                <w:sz w:val="18"/>
                <w:szCs w:val="18"/>
                <w:lang w:eastAsia="es-CR"/>
              </w:rPr>
              <w:t xml:space="preserve"> </w:t>
            </w:r>
            <w:r w:rsidR="005D2069" w:rsidRPr="009B71C9">
              <w:rPr>
                <w:rFonts w:ascii="Times New Roman" w:eastAsia="Times New Roman" w:hAnsi="Times New Roman" w:cs="Times New Roman"/>
                <w:color w:val="000000"/>
                <w:sz w:val="18"/>
                <w:szCs w:val="18"/>
                <w:lang w:eastAsia="es-CR"/>
              </w:rPr>
              <w:t>878</w:t>
            </w:r>
            <w:r w:rsidRPr="005D2069">
              <w:rPr>
                <w:rFonts w:ascii="Times New Roman" w:eastAsia="Times New Roman" w:hAnsi="Times New Roman" w:cs="Times New Roman"/>
                <w:color w:val="000000"/>
                <w:sz w:val="18"/>
                <w:szCs w:val="18"/>
                <w:lang w:eastAsia="es-CR"/>
              </w:rPr>
              <w:t xml:space="preserve"> 000,00</w:t>
            </w:r>
          </w:p>
        </w:tc>
        <w:tc>
          <w:tcPr>
            <w:tcW w:w="665" w:type="pct"/>
            <w:tcBorders>
              <w:top w:val="nil"/>
              <w:left w:val="nil"/>
              <w:bottom w:val="single" w:sz="8" w:space="0" w:color="auto"/>
              <w:right w:val="single" w:sz="8" w:space="0" w:color="auto"/>
            </w:tcBorders>
            <w:shd w:val="clear" w:color="auto" w:fill="auto"/>
            <w:vAlign w:val="center"/>
            <w:hideMark/>
          </w:tcPr>
          <w:p w14:paraId="717BE53E" w14:textId="754973F9" w:rsidR="00B869F4" w:rsidRPr="00B869F4" w:rsidRDefault="00B869F4" w:rsidP="001D0C10">
            <w:pPr>
              <w:spacing w:after="0" w:line="240" w:lineRule="auto"/>
              <w:jc w:val="both"/>
              <w:rPr>
                <w:rFonts w:ascii="Book Antiqua" w:eastAsia="Times New Roman" w:hAnsi="Book Antiqua" w:cs="Calibri"/>
                <w:color w:val="000000"/>
                <w:sz w:val="18"/>
                <w:szCs w:val="18"/>
                <w:lang w:eastAsia="es-CR"/>
              </w:rPr>
            </w:pPr>
            <w:r w:rsidRPr="001D0C10">
              <w:rPr>
                <w:rFonts w:ascii="Book Antiqua" w:eastAsia="Times New Roman" w:hAnsi="Book Antiqua" w:cs="Calibri"/>
                <w:color w:val="000000"/>
                <w:sz w:val="16"/>
                <w:szCs w:val="16"/>
                <w:lang w:eastAsia="es-CR"/>
              </w:rPr>
              <w:t>Esta plaza se asignaría al Juzgado de Tránsito conforme al informe 1069-PLA-EV-2020</w:t>
            </w:r>
            <w:r w:rsidR="00C165C5">
              <w:rPr>
                <w:rFonts w:ascii="Book Antiqua" w:eastAsia="Times New Roman" w:hAnsi="Book Antiqua" w:cs="Calibri"/>
                <w:color w:val="000000"/>
                <w:sz w:val="16"/>
                <w:szCs w:val="16"/>
                <w:lang w:eastAsia="es-CR"/>
              </w:rPr>
              <w:t>, para poder lograr la Especialización del Juzgado de PA de Liberia.</w:t>
            </w:r>
          </w:p>
        </w:tc>
      </w:tr>
      <w:tr w:rsidR="00021A7E" w:rsidRPr="00B869F4" w14:paraId="5A32C498" w14:textId="77777777" w:rsidTr="001D0C10">
        <w:trPr>
          <w:trHeight w:val="1160"/>
        </w:trPr>
        <w:tc>
          <w:tcPr>
            <w:tcW w:w="886" w:type="pct"/>
            <w:tcBorders>
              <w:top w:val="nil"/>
              <w:left w:val="single" w:sz="8" w:space="0" w:color="auto"/>
              <w:bottom w:val="single" w:sz="8" w:space="0" w:color="auto"/>
              <w:right w:val="single" w:sz="8" w:space="0" w:color="auto"/>
            </w:tcBorders>
            <w:shd w:val="clear" w:color="000000" w:fill="FFFFFF"/>
            <w:vAlign w:val="center"/>
          </w:tcPr>
          <w:p w14:paraId="1F83D898" w14:textId="08A394A1" w:rsidR="00021A7E" w:rsidRPr="0010040D" w:rsidRDefault="00021A7E" w:rsidP="001D0C10">
            <w:pPr>
              <w:spacing w:after="0" w:line="240" w:lineRule="auto"/>
              <w:jc w:val="both"/>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Juzgado Contravencional de Paraíso</w:t>
            </w:r>
          </w:p>
        </w:tc>
        <w:tc>
          <w:tcPr>
            <w:tcW w:w="417" w:type="pct"/>
            <w:tcBorders>
              <w:top w:val="nil"/>
              <w:left w:val="nil"/>
              <w:bottom w:val="single" w:sz="8" w:space="0" w:color="auto"/>
              <w:right w:val="single" w:sz="8" w:space="0" w:color="auto"/>
            </w:tcBorders>
            <w:shd w:val="clear" w:color="000000" w:fill="FFFFFF"/>
            <w:vAlign w:val="center"/>
          </w:tcPr>
          <w:p w14:paraId="20190175" w14:textId="06898DC7" w:rsidR="00021A7E" w:rsidRPr="0010040D" w:rsidRDefault="00021A7E" w:rsidP="00B869F4">
            <w:pPr>
              <w:spacing w:after="0" w:line="240" w:lineRule="auto"/>
              <w:jc w:val="center"/>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1</w:t>
            </w:r>
          </w:p>
        </w:tc>
        <w:tc>
          <w:tcPr>
            <w:tcW w:w="589" w:type="pct"/>
            <w:tcBorders>
              <w:top w:val="nil"/>
              <w:left w:val="nil"/>
              <w:bottom w:val="single" w:sz="8" w:space="0" w:color="auto"/>
              <w:right w:val="single" w:sz="8" w:space="0" w:color="auto"/>
            </w:tcBorders>
            <w:shd w:val="clear" w:color="000000" w:fill="FFFFFF"/>
            <w:vAlign w:val="center"/>
          </w:tcPr>
          <w:p w14:paraId="7A59AEDB" w14:textId="33E4D163" w:rsidR="00021A7E" w:rsidRPr="0010040D" w:rsidRDefault="00021A7E" w:rsidP="00B869F4">
            <w:pPr>
              <w:spacing w:after="0" w:line="240" w:lineRule="auto"/>
              <w:jc w:val="center"/>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 xml:space="preserve">Juez </w:t>
            </w:r>
            <w:r w:rsidR="002407FC" w:rsidRPr="0010040D">
              <w:rPr>
                <w:rFonts w:ascii="Book Antiqua" w:eastAsia="Times New Roman" w:hAnsi="Book Antiqua" w:cs="Calibri"/>
                <w:color w:val="000000"/>
                <w:sz w:val="18"/>
                <w:szCs w:val="18"/>
                <w:lang w:eastAsia="es-CR"/>
              </w:rPr>
              <w:t>1</w:t>
            </w:r>
          </w:p>
        </w:tc>
        <w:tc>
          <w:tcPr>
            <w:tcW w:w="360" w:type="pct"/>
            <w:tcBorders>
              <w:top w:val="nil"/>
              <w:left w:val="nil"/>
              <w:bottom w:val="single" w:sz="8" w:space="0" w:color="auto"/>
              <w:right w:val="single" w:sz="8" w:space="0" w:color="auto"/>
            </w:tcBorders>
            <w:shd w:val="clear" w:color="auto" w:fill="auto"/>
            <w:vAlign w:val="center"/>
          </w:tcPr>
          <w:p w14:paraId="5D960117" w14:textId="02504438" w:rsidR="00021A7E" w:rsidRPr="0010040D" w:rsidRDefault="00021A7E" w:rsidP="00B869F4">
            <w:pPr>
              <w:spacing w:after="0" w:line="240" w:lineRule="auto"/>
              <w:jc w:val="center"/>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w:t>
            </w:r>
          </w:p>
        </w:tc>
        <w:tc>
          <w:tcPr>
            <w:tcW w:w="822" w:type="pct"/>
            <w:tcBorders>
              <w:top w:val="nil"/>
              <w:left w:val="nil"/>
              <w:bottom w:val="single" w:sz="8" w:space="0" w:color="auto"/>
              <w:right w:val="single" w:sz="8" w:space="0" w:color="auto"/>
            </w:tcBorders>
            <w:shd w:val="clear" w:color="auto" w:fill="auto"/>
            <w:vAlign w:val="center"/>
          </w:tcPr>
          <w:p w14:paraId="5EB4C12C" w14:textId="3169D3CF" w:rsidR="00021A7E" w:rsidRPr="0010040D" w:rsidRDefault="00686ACF" w:rsidP="00B869F4">
            <w:pPr>
              <w:spacing w:after="0" w:line="240" w:lineRule="auto"/>
              <w:jc w:val="center"/>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Ordinario</w:t>
            </w:r>
          </w:p>
        </w:tc>
        <w:tc>
          <w:tcPr>
            <w:tcW w:w="443" w:type="pct"/>
            <w:tcBorders>
              <w:top w:val="nil"/>
              <w:left w:val="nil"/>
              <w:bottom w:val="single" w:sz="8" w:space="0" w:color="auto"/>
              <w:right w:val="nil"/>
            </w:tcBorders>
            <w:shd w:val="clear" w:color="auto" w:fill="auto"/>
            <w:vAlign w:val="center"/>
          </w:tcPr>
          <w:p w14:paraId="57638B73" w14:textId="09774F09" w:rsidR="00021A7E" w:rsidRPr="0010040D" w:rsidRDefault="00686ACF" w:rsidP="00B869F4">
            <w:pPr>
              <w:spacing w:after="0" w:line="240" w:lineRule="auto"/>
              <w:jc w:val="center"/>
              <w:rPr>
                <w:rFonts w:ascii="Book Antiqua" w:eastAsia="Times New Roman" w:hAnsi="Book Antiqua" w:cs="Calibri"/>
                <w:color w:val="000000"/>
                <w:sz w:val="18"/>
                <w:szCs w:val="18"/>
                <w:lang w:eastAsia="es-CR"/>
              </w:rPr>
            </w:pPr>
            <w:r w:rsidRPr="0010040D">
              <w:rPr>
                <w:rFonts w:ascii="Book Antiqua" w:eastAsia="Times New Roman" w:hAnsi="Book Antiqua" w:cs="Calibri"/>
                <w:color w:val="000000"/>
                <w:sz w:val="18"/>
                <w:szCs w:val="18"/>
                <w:lang w:eastAsia="es-CR"/>
              </w:rPr>
              <w:t>2023</w:t>
            </w:r>
          </w:p>
        </w:tc>
        <w:tc>
          <w:tcPr>
            <w:tcW w:w="818" w:type="pct"/>
            <w:tcBorders>
              <w:top w:val="nil"/>
              <w:left w:val="single" w:sz="8" w:space="0" w:color="auto"/>
              <w:bottom w:val="single" w:sz="8" w:space="0" w:color="auto"/>
              <w:right w:val="single" w:sz="8" w:space="0" w:color="auto"/>
            </w:tcBorders>
            <w:shd w:val="clear" w:color="000000" w:fill="FFFFFF"/>
            <w:vAlign w:val="center"/>
          </w:tcPr>
          <w:p w14:paraId="20E9AC25" w14:textId="6FDDEE97" w:rsidR="00021A7E" w:rsidRPr="0010040D" w:rsidRDefault="00686ACF" w:rsidP="00B869F4">
            <w:pPr>
              <w:spacing w:after="0" w:line="240" w:lineRule="auto"/>
              <w:jc w:val="center"/>
              <w:rPr>
                <w:rFonts w:ascii="Times New Roman" w:eastAsia="Times New Roman" w:hAnsi="Times New Roman" w:cs="Times New Roman"/>
                <w:color w:val="000000"/>
                <w:sz w:val="18"/>
                <w:szCs w:val="18"/>
                <w:lang w:eastAsia="es-CR"/>
              </w:rPr>
            </w:pPr>
            <w:r w:rsidRPr="0010040D">
              <w:rPr>
                <w:rFonts w:ascii="Times New Roman" w:eastAsia="Times New Roman" w:hAnsi="Times New Roman" w:cs="Times New Roman"/>
                <w:color w:val="000000"/>
                <w:sz w:val="18"/>
                <w:szCs w:val="18"/>
                <w:lang w:eastAsia="es-CR"/>
              </w:rPr>
              <w:t>₡</w:t>
            </w:r>
            <w:r w:rsidR="00391493" w:rsidRPr="0010040D">
              <w:rPr>
                <w:rFonts w:ascii="Times New Roman" w:eastAsia="Times New Roman" w:hAnsi="Times New Roman" w:cs="Times New Roman"/>
                <w:color w:val="000000"/>
                <w:sz w:val="18"/>
                <w:szCs w:val="18"/>
                <w:lang w:eastAsia="es-CR"/>
              </w:rPr>
              <w:t>51</w:t>
            </w:r>
            <w:r w:rsidRPr="0010040D">
              <w:rPr>
                <w:rFonts w:ascii="Times New Roman" w:eastAsia="Times New Roman" w:hAnsi="Times New Roman" w:cs="Times New Roman"/>
                <w:color w:val="000000"/>
                <w:sz w:val="18"/>
                <w:szCs w:val="18"/>
                <w:lang w:eastAsia="es-CR"/>
              </w:rPr>
              <w:t xml:space="preserve"> </w:t>
            </w:r>
            <w:r w:rsidR="00391493" w:rsidRPr="0010040D">
              <w:rPr>
                <w:rFonts w:ascii="Times New Roman" w:eastAsia="Times New Roman" w:hAnsi="Times New Roman" w:cs="Times New Roman"/>
                <w:color w:val="000000"/>
                <w:sz w:val="18"/>
                <w:szCs w:val="18"/>
                <w:lang w:eastAsia="es-CR"/>
              </w:rPr>
              <w:t>061</w:t>
            </w:r>
            <w:r w:rsidRPr="0010040D">
              <w:rPr>
                <w:rFonts w:ascii="Times New Roman" w:eastAsia="Times New Roman" w:hAnsi="Times New Roman" w:cs="Times New Roman"/>
                <w:color w:val="000000"/>
                <w:sz w:val="18"/>
                <w:szCs w:val="18"/>
                <w:lang w:eastAsia="es-CR"/>
              </w:rPr>
              <w:t xml:space="preserve"> 000,00</w:t>
            </w:r>
          </w:p>
        </w:tc>
        <w:tc>
          <w:tcPr>
            <w:tcW w:w="665" w:type="pct"/>
            <w:tcBorders>
              <w:top w:val="nil"/>
              <w:left w:val="nil"/>
              <w:bottom w:val="single" w:sz="8" w:space="0" w:color="auto"/>
              <w:right w:val="single" w:sz="8" w:space="0" w:color="auto"/>
            </w:tcBorders>
            <w:shd w:val="clear" w:color="auto" w:fill="auto"/>
            <w:vAlign w:val="center"/>
          </w:tcPr>
          <w:p w14:paraId="3F7DDA76" w14:textId="694C1896" w:rsidR="00021A7E" w:rsidRPr="0010040D" w:rsidRDefault="006F704F" w:rsidP="001D0C10">
            <w:pPr>
              <w:spacing w:after="0" w:line="240" w:lineRule="auto"/>
              <w:jc w:val="both"/>
              <w:rPr>
                <w:rFonts w:ascii="Book Antiqua" w:eastAsia="Times New Roman" w:hAnsi="Book Antiqua" w:cs="Calibri"/>
                <w:color w:val="000000"/>
                <w:sz w:val="16"/>
                <w:szCs w:val="16"/>
                <w:lang w:eastAsia="es-CR"/>
              </w:rPr>
            </w:pPr>
            <w:r w:rsidRPr="0010040D">
              <w:rPr>
                <w:rFonts w:ascii="Book Antiqua" w:eastAsia="Times New Roman" w:hAnsi="Book Antiqua" w:cs="Calibri"/>
                <w:color w:val="000000"/>
                <w:sz w:val="16"/>
                <w:szCs w:val="16"/>
                <w:lang w:eastAsia="es-CR"/>
              </w:rPr>
              <w:t xml:space="preserve">Para la atención de </w:t>
            </w:r>
            <w:r w:rsidR="0091556E" w:rsidRPr="0010040D">
              <w:rPr>
                <w:rFonts w:ascii="Book Antiqua" w:eastAsia="Times New Roman" w:hAnsi="Book Antiqua" w:cs="Calibri"/>
                <w:color w:val="000000"/>
                <w:sz w:val="16"/>
                <w:szCs w:val="16"/>
                <w:lang w:eastAsia="es-CR"/>
              </w:rPr>
              <w:t xml:space="preserve">las materias </w:t>
            </w:r>
            <w:r w:rsidR="005B468B" w:rsidRPr="0010040D">
              <w:rPr>
                <w:rFonts w:ascii="Book Antiqua" w:eastAsia="Times New Roman" w:hAnsi="Book Antiqua" w:cs="Calibri"/>
                <w:color w:val="000000"/>
                <w:sz w:val="16"/>
                <w:szCs w:val="16"/>
                <w:lang w:eastAsia="es-CR"/>
              </w:rPr>
              <w:t xml:space="preserve">Faltas y Contravenciones, </w:t>
            </w:r>
            <w:r w:rsidR="00C84CA6" w:rsidRPr="0010040D">
              <w:rPr>
                <w:rFonts w:ascii="Book Antiqua" w:eastAsia="Times New Roman" w:hAnsi="Book Antiqua" w:cs="Calibri"/>
                <w:color w:val="000000"/>
                <w:sz w:val="16"/>
                <w:szCs w:val="16"/>
                <w:lang w:eastAsia="es-CR"/>
              </w:rPr>
              <w:t>VD y PA.</w:t>
            </w:r>
          </w:p>
        </w:tc>
      </w:tr>
      <w:tr w:rsidR="00C165C5" w:rsidRPr="00B869F4" w14:paraId="47A2FEB9" w14:textId="77777777" w:rsidTr="00035934">
        <w:trPr>
          <w:trHeight w:val="680"/>
        </w:trPr>
        <w:tc>
          <w:tcPr>
            <w:tcW w:w="886" w:type="pct"/>
            <w:tcBorders>
              <w:top w:val="nil"/>
              <w:left w:val="single" w:sz="8" w:space="0" w:color="auto"/>
              <w:bottom w:val="single" w:sz="8" w:space="0" w:color="auto"/>
              <w:right w:val="single" w:sz="8" w:space="0" w:color="auto"/>
            </w:tcBorders>
            <w:shd w:val="clear" w:color="000000" w:fill="FFFFFF"/>
            <w:vAlign w:val="center"/>
            <w:hideMark/>
          </w:tcPr>
          <w:p w14:paraId="2AAD0D53"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Sala Segunda</w:t>
            </w:r>
          </w:p>
        </w:tc>
        <w:tc>
          <w:tcPr>
            <w:tcW w:w="417" w:type="pct"/>
            <w:tcBorders>
              <w:top w:val="nil"/>
              <w:left w:val="nil"/>
              <w:bottom w:val="single" w:sz="8" w:space="0" w:color="auto"/>
              <w:right w:val="single" w:sz="8" w:space="0" w:color="auto"/>
            </w:tcBorders>
            <w:shd w:val="clear" w:color="auto" w:fill="auto"/>
            <w:vAlign w:val="center"/>
            <w:hideMark/>
          </w:tcPr>
          <w:p w14:paraId="4BE4F1D5"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3</w:t>
            </w:r>
          </w:p>
        </w:tc>
        <w:tc>
          <w:tcPr>
            <w:tcW w:w="589" w:type="pct"/>
            <w:tcBorders>
              <w:top w:val="nil"/>
              <w:left w:val="nil"/>
              <w:bottom w:val="single" w:sz="8" w:space="0" w:color="auto"/>
              <w:right w:val="single" w:sz="8" w:space="0" w:color="auto"/>
            </w:tcBorders>
            <w:shd w:val="clear" w:color="auto" w:fill="auto"/>
            <w:vAlign w:val="center"/>
            <w:hideMark/>
          </w:tcPr>
          <w:p w14:paraId="291E5990"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Profesional en Derecho 3B</w:t>
            </w:r>
          </w:p>
        </w:tc>
        <w:tc>
          <w:tcPr>
            <w:tcW w:w="360" w:type="pct"/>
            <w:tcBorders>
              <w:top w:val="nil"/>
              <w:left w:val="nil"/>
              <w:bottom w:val="single" w:sz="8" w:space="0" w:color="auto"/>
              <w:right w:val="single" w:sz="8" w:space="0" w:color="auto"/>
            </w:tcBorders>
            <w:shd w:val="clear" w:color="auto" w:fill="auto"/>
            <w:vAlign w:val="center"/>
            <w:hideMark/>
          </w:tcPr>
          <w:p w14:paraId="0C5EB358"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 -</w:t>
            </w:r>
          </w:p>
        </w:tc>
        <w:tc>
          <w:tcPr>
            <w:tcW w:w="822" w:type="pct"/>
            <w:tcBorders>
              <w:top w:val="nil"/>
              <w:left w:val="nil"/>
              <w:bottom w:val="single" w:sz="8" w:space="0" w:color="auto"/>
              <w:right w:val="single" w:sz="8" w:space="0" w:color="auto"/>
            </w:tcBorders>
            <w:shd w:val="clear" w:color="auto" w:fill="auto"/>
            <w:vAlign w:val="center"/>
            <w:hideMark/>
          </w:tcPr>
          <w:p w14:paraId="2812FC21" w14:textId="1DF3042E"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Ordinario</w:t>
            </w:r>
            <w:r w:rsidRPr="00B869F4">
              <w:rPr>
                <w:rFonts w:ascii="Book Antiqua" w:eastAsia="Times New Roman" w:hAnsi="Book Antiqua" w:cs="Calibri"/>
                <w:color w:val="000000"/>
                <w:sz w:val="18"/>
                <w:szCs w:val="18"/>
                <w:lang w:eastAsia="es-CR"/>
              </w:rPr>
              <w:t xml:space="preserve"> </w:t>
            </w:r>
          </w:p>
        </w:tc>
        <w:tc>
          <w:tcPr>
            <w:tcW w:w="443" w:type="pct"/>
            <w:tcBorders>
              <w:top w:val="nil"/>
              <w:left w:val="nil"/>
              <w:bottom w:val="single" w:sz="8" w:space="0" w:color="auto"/>
              <w:right w:val="nil"/>
            </w:tcBorders>
            <w:shd w:val="clear" w:color="auto" w:fill="auto"/>
            <w:vAlign w:val="center"/>
            <w:hideMark/>
          </w:tcPr>
          <w:p w14:paraId="7B5F4A90" w14:textId="0EF421C5" w:rsidR="00C165C5" w:rsidRPr="00B869F4" w:rsidRDefault="00431DD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2023</w:t>
            </w:r>
          </w:p>
        </w:tc>
        <w:tc>
          <w:tcPr>
            <w:tcW w:w="818" w:type="pct"/>
            <w:tcBorders>
              <w:top w:val="nil"/>
              <w:left w:val="single" w:sz="8" w:space="0" w:color="auto"/>
              <w:bottom w:val="single" w:sz="8" w:space="0" w:color="auto"/>
              <w:right w:val="single" w:sz="8" w:space="0" w:color="auto"/>
            </w:tcBorders>
            <w:shd w:val="clear" w:color="000000" w:fill="FFFFFF"/>
            <w:vAlign w:val="center"/>
            <w:hideMark/>
          </w:tcPr>
          <w:p w14:paraId="11BC6895" w14:textId="77777777" w:rsidR="00C165C5" w:rsidRPr="00B869F4" w:rsidRDefault="00C165C5" w:rsidP="00B869F4">
            <w:pPr>
              <w:spacing w:after="0" w:line="240" w:lineRule="auto"/>
              <w:jc w:val="center"/>
              <w:rPr>
                <w:rFonts w:ascii="Times New Roman" w:eastAsia="Times New Roman" w:hAnsi="Times New Roman" w:cs="Times New Roman"/>
                <w:color w:val="000000"/>
                <w:sz w:val="18"/>
                <w:szCs w:val="18"/>
                <w:lang w:eastAsia="es-CR"/>
              </w:rPr>
            </w:pPr>
            <w:r w:rsidRPr="00B869F4">
              <w:rPr>
                <w:rFonts w:ascii="Times New Roman" w:eastAsia="Times New Roman" w:hAnsi="Times New Roman" w:cs="Times New Roman"/>
                <w:color w:val="000000"/>
                <w:sz w:val="18"/>
                <w:szCs w:val="18"/>
                <w:lang w:eastAsia="es-CR"/>
              </w:rPr>
              <w:t>₡162 219 000,00</w:t>
            </w:r>
          </w:p>
        </w:tc>
        <w:tc>
          <w:tcPr>
            <w:tcW w:w="665" w:type="pct"/>
            <w:vMerge w:val="restart"/>
            <w:tcBorders>
              <w:top w:val="nil"/>
              <w:left w:val="nil"/>
              <w:right w:val="single" w:sz="8" w:space="0" w:color="auto"/>
            </w:tcBorders>
            <w:shd w:val="clear" w:color="auto" w:fill="auto"/>
            <w:vAlign w:val="center"/>
            <w:hideMark/>
          </w:tcPr>
          <w:p w14:paraId="0404CFC2" w14:textId="1D5A8733" w:rsidR="00C165C5" w:rsidRPr="00B869F4" w:rsidRDefault="00C165C5" w:rsidP="001D0C10">
            <w:pPr>
              <w:spacing w:after="0" w:line="240" w:lineRule="auto"/>
              <w:jc w:val="both"/>
              <w:rPr>
                <w:rFonts w:ascii="Calibri" w:eastAsia="Times New Roman" w:hAnsi="Calibri" w:cs="Calibri"/>
                <w:color w:val="000000"/>
                <w:sz w:val="18"/>
                <w:szCs w:val="18"/>
                <w:lang w:eastAsia="es-CR"/>
              </w:rPr>
            </w:pPr>
            <w:r w:rsidRPr="001D0C10">
              <w:rPr>
                <w:rFonts w:ascii="Book Antiqua" w:eastAsia="Times New Roman" w:hAnsi="Book Antiqua" w:cs="Calibri"/>
                <w:color w:val="000000"/>
                <w:sz w:val="16"/>
                <w:szCs w:val="16"/>
                <w:lang w:eastAsia="es-CR"/>
              </w:rPr>
              <w:t xml:space="preserve">Asumir nueva carga de trabajo con la entrada en vigencia del CPF, completar </w:t>
            </w:r>
            <w:r w:rsidRPr="001D0C10">
              <w:rPr>
                <w:rFonts w:ascii="Book Antiqua" w:eastAsia="Times New Roman" w:hAnsi="Book Antiqua" w:cs="Calibri"/>
                <w:color w:val="000000"/>
                <w:sz w:val="16"/>
                <w:szCs w:val="16"/>
                <w:lang w:eastAsia="es-CR"/>
              </w:rPr>
              <w:lastRenderedPageBreak/>
              <w:t>estructura y mantener proporción de personal de apoyo por cantidad de letrados</w:t>
            </w:r>
          </w:p>
        </w:tc>
      </w:tr>
      <w:tr w:rsidR="00C165C5" w:rsidRPr="00B869F4" w14:paraId="731B446C" w14:textId="77777777" w:rsidTr="00035934">
        <w:trPr>
          <w:trHeight w:val="630"/>
        </w:trPr>
        <w:tc>
          <w:tcPr>
            <w:tcW w:w="886" w:type="pct"/>
            <w:tcBorders>
              <w:top w:val="nil"/>
              <w:left w:val="single" w:sz="8" w:space="0" w:color="auto"/>
              <w:bottom w:val="single" w:sz="8" w:space="0" w:color="auto"/>
              <w:right w:val="single" w:sz="8" w:space="0" w:color="auto"/>
            </w:tcBorders>
            <w:shd w:val="clear" w:color="000000" w:fill="FFFFFF"/>
            <w:vAlign w:val="center"/>
            <w:hideMark/>
          </w:tcPr>
          <w:p w14:paraId="5312D05B"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Sala Segunda</w:t>
            </w:r>
          </w:p>
        </w:tc>
        <w:tc>
          <w:tcPr>
            <w:tcW w:w="417" w:type="pct"/>
            <w:tcBorders>
              <w:top w:val="nil"/>
              <w:left w:val="nil"/>
              <w:bottom w:val="single" w:sz="8" w:space="0" w:color="auto"/>
              <w:right w:val="single" w:sz="8" w:space="0" w:color="auto"/>
            </w:tcBorders>
            <w:shd w:val="clear" w:color="auto" w:fill="auto"/>
            <w:vAlign w:val="center"/>
            <w:hideMark/>
          </w:tcPr>
          <w:p w14:paraId="13D00209"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2</w:t>
            </w:r>
          </w:p>
        </w:tc>
        <w:tc>
          <w:tcPr>
            <w:tcW w:w="589" w:type="pct"/>
            <w:tcBorders>
              <w:top w:val="nil"/>
              <w:left w:val="nil"/>
              <w:bottom w:val="single" w:sz="8" w:space="0" w:color="auto"/>
              <w:right w:val="single" w:sz="8" w:space="0" w:color="auto"/>
            </w:tcBorders>
            <w:shd w:val="clear" w:color="auto" w:fill="auto"/>
            <w:vAlign w:val="center"/>
            <w:hideMark/>
          </w:tcPr>
          <w:p w14:paraId="2DEAD7FB"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Técnico Sala de la Corte</w:t>
            </w:r>
          </w:p>
        </w:tc>
        <w:tc>
          <w:tcPr>
            <w:tcW w:w="360" w:type="pct"/>
            <w:tcBorders>
              <w:top w:val="nil"/>
              <w:left w:val="nil"/>
              <w:bottom w:val="single" w:sz="8" w:space="0" w:color="auto"/>
              <w:right w:val="single" w:sz="8" w:space="0" w:color="auto"/>
            </w:tcBorders>
            <w:shd w:val="clear" w:color="auto" w:fill="auto"/>
            <w:vAlign w:val="center"/>
            <w:hideMark/>
          </w:tcPr>
          <w:p w14:paraId="256C8151"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 -</w:t>
            </w:r>
          </w:p>
        </w:tc>
        <w:tc>
          <w:tcPr>
            <w:tcW w:w="822" w:type="pct"/>
            <w:tcBorders>
              <w:top w:val="nil"/>
              <w:left w:val="nil"/>
              <w:bottom w:val="single" w:sz="8" w:space="0" w:color="auto"/>
              <w:right w:val="single" w:sz="8" w:space="0" w:color="auto"/>
            </w:tcBorders>
            <w:shd w:val="clear" w:color="auto" w:fill="auto"/>
            <w:vAlign w:val="center"/>
            <w:hideMark/>
          </w:tcPr>
          <w:p w14:paraId="4EA9BEB1" w14:textId="35017463"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Ordinario</w:t>
            </w:r>
            <w:r w:rsidRPr="00B869F4">
              <w:rPr>
                <w:rFonts w:ascii="Book Antiqua" w:eastAsia="Times New Roman" w:hAnsi="Book Antiqua" w:cs="Calibri"/>
                <w:color w:val="000000"/>
                <w:sz w:val="18"/>
                <w:szCs w:val="18"/>
                <w:lang w:eastAsia="es-CR"/>
              </w:rPr>
              <w:t xml:space="preserve"> </w:t>
            </w:r>
          </w:p>
        </w:tc>
        <w:tc>
          <w:tcPr>
            <w:tcW w:w="443" w:type="pct"/>
            <w:tcBorders>
              <w:top w:val="nil"/>
              <w:left w:val="nil"/>
              <w:bottom w:val="single" w:sz="8" w:space="0" w:color="auto"/>
              <w:right w:val="nil"/>
            </w:tcBorders>
            <w:shd w:val="clear" w:color="auto" w:fill="auto"/>
            <w:vAlign w:val="center"/>
            <w:hideMark/>
          </w:tcPr>
          <w:p w14:paraId="610563F7" w14:textId="13DAD109" w:rsidR="00C165C5" w:rsidRPr="00B869F4" w:rsidRDefault="00431DD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2023</w:t>
            </w:r>
          </w:p>
        </w:tc>
        <w:tc>
          <w:tcPr>
            <w:tcW w:w="818" w:type="pct"/>
            <w:tcBorders>
              <w:top w:val="nil"/>
              <w:left w:val="single" w:sz="8" w:space="0" w:color="auto"/>
              <w:bottom w:val="single" w:sz="8" w:space="0" w:color="auto"/>
              <w:right w:val="single" w:sz="8" w:space="0" w:color="auto"/>
            </w:tcBorders>
            <w:shd w:val="clear" w:color="000000" w:fill="FFFFFF"/>
            <w:vAlign w:val="center"/>
            <w:hideMark/>
          </w:tcPr>
          <w:p w14:paraId="26D8E881" w14:textId="77777777" w:rsidR="00C165C5" w:rsidRPr="00B869F4" w:rsidRDefault="00C165C5" w:rsidP="00B869F4">
            <w:pPr>
              <w:spacing w:after="0" w:line="240" w:lineRule="auto"/>
              <w:jc w:val="center"/>
              <w:rPr>
                <w:rFonts w:ascii="Times New Roman" w:eastAsia="Times New Roman" w:hAnsi="Times New Roman" w:cs="Times New Roman"/>
                <w:color w:val="000000"/>
                <w:sz w:val="18"/>
                <w:szCs w:val="18"/>
                <w:lang w:eastAsia="es-CR"/>
              </w:rPr>
            </w:pPr>
            <w:r w:rsidRPr="00B869F4">
              <w:rPr>
                <w:rFonts w:ascii="Times New Roman" w:eastAsia="Times New Roman" w:hAnsi="Times New Roman" w:cs="Times New Roman"/>
                <w:color w:val="000000"/>
                <w:sz w:val="18"/>
                <w:szCs w:val="18"/>
                <w:lang w:eastAsia="es-CR"/>
              </w:rPr>
              <w:t>₡36 060 000,00</w:t>
            </w:r>
          </w:p>
        </w:tc>
        <w:tc>
          <w:tcPr>
            <w:tcW w:w="665" w:type="pct"/>
            <w:vMerge/>
            <w:tcBorders>
              <w:left w:val="nil"/>
              <w:right w:val="single" w:sz="8" w:space="0" w:color="auto"/>
            </w:tcBorders>
            <w:shd w:val="clear" w:color="auto" w:fill="auto"/>
            <w:vAlign w:val="center"/>
            <w:hideMark/>
          </w:tcPr>
          <w:p w14:paraId="6A5C544F" w14:textId="6C40BD9B" w:rsidR="00C165C5" w:rsidRPr="00B869F4" w:rsidRDefault="00C165C5" w:rsidP="00B869F4">
            <w:pPr>
              <w:spacing w:after="0" w:line="240" w:lineRule="auto"/>
              <w:rPr>
                <w:rFonts w:ascii="Calibri" w:eastAsia="Times New Roman" w:hAnsi="Calibri" w:cs="Calibri"/>
                <w:color w:val="000000"/>
                <w:sz w:val="18"/>
                <w:szCs w:val="18"/>
                <w:lang w:eastAsia="es-CR"/>
              </w:rPr>
            </w:pPr>
          </w:p>
        </w:tc>
      </w:tr>
      <w:tr w:rsidR="00C165C5" w:rsidRPr="00B869F4" w14:paraId="2322A121" w14:textId="77777777" w:rsidTr="00035934">
        <w:trPr>
          <w:trHeight w:val="690"/>
        </w:trPr>
        <w:tc>
          <w:tcPr>
            <w:tcW w:w="886" w:type="pct"/>
            <w:tcBorders>
              <w:top w:val="nil"/>
              <w:left w:val="single" w:sz="8" w:space="0" w:color="auto"/>
              <w:bottom w:val="single" w:sz="8" w:space="0" w:color="auto"/>
              <w:right w:val="single" w:sz="8" w:space="0" w:color="auto"/>
            </w:tcBorders>
            <w:shd w:val="clear" w:color="000000" w:fill="FFFFFF"/>
            <w:vAlign w:val="center"/>
            <w:hideMark/>
          </w:tcPr>
          <w:p w14:paraId="781CC862"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lastRenderedPageBreak/>
              <w:t>Sala Segunda</w:t>
            </w:r>
          </w:p>
        </w:tc>
        <w:tc>
          <w:tcPr>
            <w:tcW w:w="417" w:type="pct"/>
            <w:tcBorders>
              <w:top w:val="nil"/>
              <w:left w:val="nil"/>
              <w:bottom w:val="single" w:sz="8" w:space="0" w:color="auto"/>
              <w:right w:val="single" w:sz="8" w:space="0" w:color="auto"/>
            </w:tcBorders>
            <w:shd w:val="clear" w:color="auto" w:fill="auto"/>
            <w:vAlign w:val="center"/>
            <w:hideMark/>
          </w:tcPr>
          <w:p w14:paraId="03406033"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2</w:t>
            </w:r>
          </w:p>
        </w:tc>
        <w:tc>
          <w:tcPr>
            <w:tcW w:w="589" w:type="pct"/>
            <w:tcBorders>
              <w:top w:val="nil"/>
              <w:left w:val="nil"/>
              <w:bottom w:val="single" w:sz="8" w:space="0" w:color="auto"/>
              <w:right w:val="single" w:sz="8" w:space="0" w:color="auto"/>
            </w:tcBorders>
            <w:shd w:val="clear" w:color="auto" w:fill="auto"/>
            <w:vAlign w:val="center"/>
            <w:hideMark/>
          </w:tcPr>
          <w:p w14:paraId="57B73D19"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Técnica o Técnico Judicial 3</w:t>
            </w:r>
          </w:p>
        </w:tc>
        <w:tc>
          <w:tcPr>
            <w:tcW w:w="360" w:type="pct"/>
            <w:tcBorders>
              <w:top w:val="nil"/>
              <w:left w:val="nil"/>
              <w:bottom w:val="single" w:sz="8" w:space="0" w:color="auto"/>
              <w:right w:val="single" w:sz="8" w:space="0" w:color="auto"/>
            </w:tcBorders>
            <w:shd w:val="clear" w:color="auto" w:fill="auto"/>
            <w:vAlign w:val="center"/>
            <w:hideMark/>
          </w:tcPr>
          <w:p w14:paraId="2BAFC73F" w14:textId="77777777"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sidRPr="00B869F4">
              <w:rPr>
                <w:rFonts w:ascii="Book Antiqua" w:eastAsia="Times New Roman" w:hAnsi="Book Antiqua" w:cs="Calibri"/>
                <w:color w:val="000000"/>
                <w:sz w:val="18"/>
                <w:szCs w:val="18"/>
                <w:lang w:eastAsia="es-CR"/>
              </w:rPr>
              <w:t xml:space="preserve"> -</w:t>
            </w:r>
          </w:p>
        </w:tc>
        <w:tc>
          <w:tcPr>
            <w:tcW w:w="822" w:type="pct"/>
            <w:tcBorders>
              <w:top w:val="nil"/>
              <w:left w:val="nil"/>
              <w:bottom w:val="single" w:sz="8" w:space="0" w:color="auto"/>
              <w:right w:val="single" w:sz="8" w:space="0" w:color="auto"/>
            </w:tcBorders>
            <w:shd w:val="clear" w:color="auto" w:fill="auto"/>
            <w:vAlign w:val="center"/>
            <w:hideMark/>
          </w:tcPr>
          <w:p w14:paraId="117B7A3B" w14:textId="4C91FC4B" w:rsidR="00C165C5" w:rsidRPr="00B869F4" w:rsidRDefault="00C165C5"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Ordinario</w:t>
            </w:r>
            <w:r w:rsidRPr="00B869F4">
              <w:rPr>
                <w:rFonts w:ascii="Book Antiqua" w:eastAsia="Times New Roman" w:hAnsi="Book Antiqua" w:cs="Calibri"/>
                <w:color w:val="000000"/>
                <w:sz w:val="18"/>
                <w:szCs w:val="18"/>
                <w:lang w:eastAsia="es-CR"/>
              </w:rPr>
              <w:t xml:space="preserve"> </w:t>
            </w:r>
          </w:p>
        </w:tc>
        <w:tc>
          <w:tcPr>
            <w:tcW w:w="443" w:type="pct"/>
            <w:tcBorders>
              <w:top w:val="nil"/>
              <w:left w:val="nil"/>
              <w:bottom w:val="single" w:sz="8" w:space="0" w:color="auto"/>
              <w:right w:val="nil"/>
            </w:tcBorders>
            <w:shd w:val="clear" w:color="auto" w:fill="auto"/>
            <w:vAlign w:val="center"/>
            <w:hideMark/>
          </w:tcPr>
          <w:p w14:paraId="490CE1B4" w14:textId="1788A1AA" w:rsidR="00C165C5" w:rsidRPr="00B869F4" w:rsidRDefault="00431DDA" w:rsidP="00B869F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2023</w:t>
            </w:r>
          </w:p>
        </w:tc>
        <w:tc>
          <w:tcPr>
            <w:tcW w:w="818" w:type="pct"/>
            <w:tcBorders>
              <w:top w:val="nil"/>
              <w:left w:val="single" w:sz="8" w:space="0" w:color="auto"/>
              <w:bottom w:val="single" w:sz="8" w:space="0" w:color="auto"/>
              <w:right w:val="single" w:sz="8" w:space="0" w:color="auto"/>
            </w:tcBorders>
            <w:shd w:val="clear" w:color="000000" w:fill="FFFFFF"/>
            <w:vAlign w:val="center"/>
            <w:hideMark/>
          </w:tcPr>
          <w:p w14:paraId="0E3BA00B" w14:textId="77777777" w:rsidR="00C165C5" w:rsidRPr="00B869F4" w:rsidRDefault="00C165C5" w:rsidP="00B869F4">
            <w:pPr>
              <w:spacing w:after="0" w:line="240" w:lineRule="auto"/>
              <w:jc w:val="center"/>
              <w:rPr>
                <w:rFonts w:ascii="Times New Roman" w:eastAsia="Times New Roman" w:hAnsi="Times New Roman" w:cs="Times New Roman"/>
                <w:color w:val="000000"/>
                <w:sz w:val="18"/>
                <w:szCs w:val="18"/>
                <w:lang w:eastAsia="es-CR"/>
              </w:rPr>
            </w:pPr>
            <w:r w:rsidRPr="00B869F4">
              <w:rPr>
                <w:rFonts w:ascii="Times New Roman" w:eastAsia="Times New Roman" w:hAnsi="Times New Roman" w:cs="Times New Roman"/>
                <w:color w:val="000000"/>
                <w:sz w:val="18"/>
                <w:szCs w:val="18"/>
                <w:lang w:eastAsia="es-CR"/>
              </w:rPr>
              <w:t>₡30 090 000,00</w:t>
            </w:r>
          </w:p>
        </w:tc>
        <w:tc>
          <w:tcPr>
            <w:tcW w:w="665" w:type="pct"/>
            <w:vMerge/>
            <w:tcBorders>
              <w:left w:val="nil"/>
              <w:bottom w:val="single" w:sz="8" w:space="0" w:color="auto"/>
              <w:right w:val="single" w:sz="8" w:space="0" w:color="auto"/>
            </w:tcBorders>
            <w:shd w:val="clear" w:color="auto" w:fill="auto"/>
            <w:vAlign w:val="center"/>
            <w:hideMark/>
          </w:tcPr>
          <w:p w14:paraId="20777DD2" w14:textId="53369441" w:rsidR="00C165C5" w:rsidRPr="00B869F4" w:rsidRDefault="00C165C5" w:rsidP="00B869F4">
            <w:pPr>
              <w:spacing w:after="0" w:line="240" w:lineRule="auto"/>
              <w:rPr>
                <w:rFonts w:ascii="Calibri" w:eastAsia="Times New Roman" w:hAnsi="Calibri" w:cs="Calibri"/>
                <w:color w:val="000000"/>
                <w:sz w:val="18"/>
                <w:szCs w:val="18"/>
                <w:lang w:eastAsia="es-CR"/>
              </w:rPr>
            </w:pPr>
          </w:p>
        </w:tc>
      </w:tr>
      <w:tr w:rsidR="00B869F4" w:rsidRPr="00B869F4" w14:paraId="58333664" w14:textId="77777777" w:rsidTr="001D0C10">
        <w:trPr>
          <w:trHeight w:val="580"/>
        </w:trPr>
        <w:tc>
          <w:tcPr>
            <w:tcW w:w="886" w:type="pct"/>
            <w:tcBorders>
              <w:top w:val="nil"/>
              <w:left w:val="single" w:sz="8" w:space="0" w:color="auto"/>
              <w:bottom w:val="single" w:sz="8" w:space="0" w:color="auto"/>
              <w:right w:val="single" w:sz="8" w:space="0" w:color="auto"/>
            </w:tcBorders>
            <w:shd w:val="clear" w:color="000000" w:fill="808080"/>
            <w:vAlign w:val="center"/>
            <w:hideMark/>
          </w:tcPr>
          <w:p w14:paraId="028C3F8A" w14:textId="77777777" w:rsidR="00B869F4" w:rsidRPr="00B869F4" w:rsidRDefault="00B869F4" w:rsidP="00B869F4">
            <w:pPr>
              <w:spacing w:after="0" w:line="240" w:lineRule="auto"/>
              <w:jc w:val="center"/>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 xml:space="preserve">Total </w:t>
            </w:r>
          </w:p>
        </w:tc>
        <w:tc>
          <w:tcPr>
            <w:tcW w:w="417" w:type="pct"/>
            <w:tcBorders>
              <w:top w:val="nil"/>
              <w:left w:val="nil"/>
              <w:bottom w:val="single" w:sz="8" w:space="0" w:color="auto"/>
              <w:right w:val="single" w:sz="8" w:space="0" w:color="auto"/>
            </w:tcBorders>
            <w:shd w:val="clear" w:color="000000" w:fill="808080"/>
            <w:vAlign w:val="center"/>
            <w:hideMark/>
          </w:tcPr>
          <w:p w14:paraId="596E4EB9" w14:textId="410C33C0" w:rsidR="00B869F4" w:rsidRPr="00B869F4" w:rsidRDefault="00A22904" w:rsidP="00B869F4">
            <w:pPr>
              <w:spacing w:after="0" w:line="240" w:lineRule="auto"/>
              <w:jc w:val="center"/>
              <w:rPr>
                <w:rFonts w:ascii="Book Antiqua" w:eastAsia="Times New Roman" w:hAnsi="Book Antiqua" w:cs="Calibri"/>
                <w:b/>
                <w:bCs/>
                <w:color w:val="FFFFFF"/>
                <w:sz w:val="18"/>
                <w:szCs w:val="18"/>
                <w:lang w:eastAsia="es-CR"/>
              </w:rPr>
            </w:pPr>
            <w:r w:rsidRPr="00E94B81">
              <w:rPr>
                <w:rFonts w:ascii="Book Antiqua" w:eastAsia="Times New Roman" w:hAnsi="Book Antiqua" w:cs="Calibri"/>
                <w:b/>
                <w:bCs/>
                <w:color w:val="FFFFFF"/>
                <w:sz w:val="18"/>
                <w:szCs w:val="18"/>
                <w:lang w:eastAsia="es-CR"/>
              </w:rPr>
              <w:t>11</w:t>
            </w:r>
          </w:p>
        </w:tc>
        <w:tc>
          <w:tcPr>
            <w:tcW w:w="2214" w:type="pct"/>
            <w:gridSpan w:val="4"/>
            <w:tcBorders>
              <w:top w:val="single" w:sz="8" w:space="0" w:color="auto"/>
              <w:left w:val="nil"/>
              <w:bottom w:val="single" w:sz="8" w:space="0" w:color="auto"/>
              <w:right w:val="nil"/>
            </w:tcBorders>
            <w:shd w:val="clear" w:color="000000" w:fill="808080"/>
            <w:vAlign w:val="center"/>
            <w:hideMark/>
          </w:tcPr>
          <w:p w14:paraId="77CEF4E2" w14:textId="1CB3FB3A" w:rsidR="00B869F4" w:rsidRPr="00B869F4" w:rsidRDefault="00B869F4" w:rsidP="00B869F4">
            <w:pPr>
              <w:spacing w:after="0" w:line="240" w:lineRule="auto"/>
              <w:rPr>
                <w:rFonts w:ascii="Book Antiqua" w:eastAsia="Times New Roman" w:hAnsi="Book Antiqua" w:cs="Calibri"/>
                <w:b/>
                <w:bCs/>
                <w:color w:val="FFFFFF"/>
                <w:sz w:val="18"/>
                <w:szCs w:val="18"/>
                <w:lang w:eastAsia="es-CR"/>
              </w:rPr>
            </w:pPr>
            <w:r w:rsidRPr="00B869F4">
              <w:rPr>
                <w:rFonts w:ascii="Book Antiqua" w:eastAsia="Times New Roman" w:hAnsi="Book Antiqua" w:cs="Calibri"/>
                <w:b/>
                <w:bCs/>
                <w:color w:val="FFFFFF"/>
                <w:sz w:val="18"/>
                <w:szCs w:val="18"/>
                <w:lang w:eastAsia="es-CR"/>
              </w:rPr>
              <w:t xml:space="preserve">Plazas para cubrir necesidades según cargas de trabajo </w:t>
            </w:r>
            <w:r w:rsidR="00C165C5">
              <w:rPr>
                <w:rFonts w:ascii="Book Antiqua" w:eastAsia="Times New Roman" w:hAnsi="Book Antiqua" w:cs="Calibri"/>
                <w:b/>
                <w:bCs/>
                <w:color w:val="FFFFFF"/>
                <w:sz w:val="18"/>
                <w:szCs w:val="18"/>
                <w:lang w:eastAsia="es-CR"/>
              </w:rPr>
              <w:t>actuales</w:t>
            </w:r>
            <w:r w:rsidRPr="00B869F4">
              <w:rPr>
                <w:rFonts w:ascii="Book Antiqua" w:eastAsia="Times New Roman" w:hAnsi="Book Antiqua" w:cs="Calibri"/>
                <w:b/>
                <w:bCs/>
                <w:color w:val="FFFFFF"/>
                <w:sz w:val="18"/>
                <w:szCs w:val="18"/>
                <w:lang w:eastAsia="es-CR"/>
              </w:rPr>
              <w:t>.</w:t>
            </w:r>
          </w:p>
        </w:tc>
        <w:tc>
          <w:tcPr>
            <w:tcW w:w="1483" w:type="pct"/>
            <w:gridSpan w:val="2"/>
            <w:tcBorders>
              <w:top w:val="single" w:sz="8" w:space="0" w:color="auto"/>
              <w:left w:val="single" w:sz="4" w:space="0" w:color="auto"/>
              <w:bottom w:val="nil"/>
              <w:right w:val="single" w:sz="8" w:space="0" w:color="000000"/>
            </w:tcBorders>
            <w:shd w:val="clear" w:color="000000" w:fill="808080"/>
            <w:vAlign w:val="center"/>
            <w:hideMark/>
          </w:tcPr>
          <w:p w14:paraId="59958599" w14:textId="71D0CC32" w:rsidR="00B869F4" w:rsidRPr="00B869F4" w:rsidRDefault="00B869F4" w:rsidP="00B869F4">
            <w:pPr>
              <w:spacing w:after="0" w:line="240" w:lineRule="auto"/>
              <w:jc w:val="center"/>
              <w:rPr>
                <w:rFonts w:ascii="Times New Roman" w:eastAsia="Times New Roman" w:hAnsi="Times New Roman" w:cs="Times New Roman"/>
                <w:b/>
                <w:bCs/>
                <w:color w:val="FFFFFF"/>
                <w:sz w:val="18"/>
                <w:szCs w:val="18"/>
                <w:lang w:eastAsia="es-CR"/>
              </w:rPr>
            </w:pPr>
            <w:r w:rsidRPr="00E94B81">
              <w:rPr>
                <w:rFonts w:ascii="Times New Roman" w:eastAsia="Times New Roman" w:hAnsi="Times New Roman" w:cs="Times New Roman"/>
                <w:b/>
                <w:bCs/>
                <w:color w:val="FFFFFF"/>
                <w:sz w:val="18"/>
                <w:szCs w:val="18"/>
                <w:lang w:eastAsia="es-CR"/>
              </w:rPr>
              <w:t>₡</w:t>
            </w:r>
            <w:r w:rsidR="00E50FEB" w:rsidRPr="00E94B81">
              <w:rPr>
                <w:rFonts w:ascii="Times New Roman" w:eastAsia="Times New Roman" w:hAnsi="Times New Roman" w:cs="Times New Roman"/>
                <w:b/>
                <w:bCs/>
                <w:color w:val="FFFFFF"/>
                <w:sz w:val="18"/>
                <w:szCs w:val="18"/>
                <w:lang w:eastAsia="es-CR"/>
              </w:rPr>
              <w:t>322</w:t>
            </w:r>
            <w:r w:rsidR="005D2069" w:rsidRPr="00E94B81">
              <w:rPr>
                <w:rFonts w:ascii="Times New Roman" w:eastAsia="Times New Roman" w:hAnsi="Times New Roman" w:cs="Times New Roman"/>
                <w:b/>
                <w:bCs/>
                <w:color w:val="FFFFFF"/>
                <w:sz w:val="18"/>
                <w:szCs w:val="18"/>
                <w:lang w:eastAsia="es-CR"/>
              </w:rPr>
              <w:t xml:space="preserve"> 0</w:t>
            </w:r>
            <w:r w:rsidR="00E50FEB" w:rsidRPr="00E94B81">
              <w:rPr>
                <w:rFonts w:ascii="Times New Roman" w:eastAsia="Times New Roman" w:hAnsi="Times New Roman" w:cs="Times New Roman"/>
                <w:b/>
                <w:bCs/>
                <w:color w:val="FFFFFF"/>
                <w:sz w:val="18"/>
                <w:szCs w:val="18"/>
                <w:lang w:eastAsia="es-CR"/>
              </w:rPr>
              <w:t>84</w:t>
            </w:r>
            <w:r w:rsidRPr="00E94B81">
              <w:rPr>
                <w:rFonts w:ascii="Times New Roman" w:eastAsia="Times New Roman" w:hAnsi="Times New Roman" w:cs="Times New Roman"/>
                <w:b/>
                <w:bCs/>
                <w:color w:val="FFFFFF"/>
                <w:sz w:val="18"/>
                <w:szCs w:val="18"/>
                <w:lang w:eastAsia="es-CR"/>
              </w:rPr>
              <w:t xml:space="preserve"> 000,00</w:t>
            </w:r>
          </w:p>
        </w:tc>
      </w:tr>
    </w:tbl>
    <w:p w14:paraId="158A2374" w14:textId="77777777" w:rsidR="00A65C1F" w:rsidRPr="00A65C1F" w:rsidRDefault="00A65C1F" w:rsidP="001D0C10">
      <w:pPr>
        <w:tabs>
          <w:tab w:val="left" w:pos="8364"/>
        </w:tabs>
        <w:spacing w:after="0" w:line="276" w:lineRule="auto"/>
        <w:ind w:right="1700"/>
        <w:jc w:val="both"/>
        <w:rPr>
          <w:rFonts w:ascii="Book Antiqua" w:eastAsia="Calibri" w:hAnsi="Book Antiqua" w:cs="Arial"/>
          <w:bCs/>
          <w:i/>
          <w:sz w:val="20"/>
          <w:szCs w:val="20"/>
        </w:rPr>
      </w:pPr>
      <w:r w:rsidRPr="00A65C1F">
        <w:rPr>
          <w:rFonts w:ascii="Book Antiqua" w:eastAsia="Calibri" w:hAnsi="Book Antiqua" w:cs="Arial"/>
          <w:bCs/>
          <w:i/>
          <w:sz w:val="20"/>
          <w:szCs w:val="20"/>
        </w:rPr>
        <w:t>Fuente: Subproceso de Modernización Institucional.</w:t>
      </w:r>
    </w:p>
    <w:p w14:paraId="5F2C9837" w14:textId="3D5BFB57" w:rsidR="000D3457" w:rsidRPr="000D3457" w:rsidRDefault="000D3457" w:rsidP="000D3457">
      <w:pPr>
        <w:spacing w:after="0" w:line="276" w:lineRule="auto"/>
        <w:jc w:val="both"/>
        <w:rPr>
          <w:rFonts w:ascii="Book Antiqua" w:eastAsia="Calibri" w:hAnsi="Book Antiqua" w:cs="Arial"/>
          <w:sz w:val="24"/>
          <w:szCs w:val="24"/>
        </w:rPr>
      </w:pPr>
      <w:r w:rsidRPr="00B26C45">
        <w:rPr>
          <w:rFonts w:ascii="Book Antiqua" w:eastAsia="Calibri" w:hAnsi="Book Antiqua" w:cs="Arial"/>
          <w:sz w:val="24"/>
          <w:szCs w:val="24"/>
        </w:rPr>
        <w:t xml:space="preserve">La presente propuesta registra la incorporación de </w:t>
      </w:r>
      <w:r w:rsidR="00821ADB" w:rsidRPr="00E94B81">
        <w:rPr>
          <w:rFonts w:ascii="Book Antiqua" w:eastAsia="Calibri" w:hAnsi="Book Antiqua" w:cs="Arial"/>
          <w:sz w:val="24"/>
          <w:szCs w:val="24"/>
        </w:rPr>
        <w:t>1</w:t>
      </w:r>
      <w:r w:rsidR="00740C03" w:rsidRPr="00E94B81">
        <w:rPr>
          <w:rFonts w:ascii="Book Antiqua" w:eastAsia="Calibri" w:hAnsi="Book Antiqua" w:cs="Arial"/>
          <w:sz w:val="24"/>
          <w:szCs w:val="24"/>
        </w:rPr>
        <w:t>1</w:t>
      </w:r>
      <w:r w:rsidR="004957EA" w:rsidRPr="00E94B81">
        <w:rPr>
          <w:rFonts w:ascii="Book Antiqua" w:eastAsia="Calibri" w:hAnsi="Book Antiqua" w:cs="Arial"/>
          <w:sz w:val="24"/>
          <w:szCs w:val="24"/>
        </w:rPr>
        <w:t xml:space="preserve"> </w:t>
      </w:r>
      <w:r w:rsidRPr="00E94B81">
        <w:rPr>
          <w:rFonts w:ascii="Book Antiqua" w:eastAsia="Calibri" w:hAnsi="Book Antiqua" w:cs="Arial"/>
          <w:sz w:val="24"/>
          <w:szCs w:val="24"/>
        </w:rPr>
        <w:t>recursos nuevos en total (</w:t>
      </w:r>
      <w:r w:rsidR="005D2069" w:rsidRPr="00E94B81">
        <w:rPr>
          <w:rFonts w:ascii="Book Antiqua" w:eastAsia="Calibri" w:hAnsi="Book Antiqua" w:cs="Arial"/>
          <w:sz w:val="24"/>
          <w:szCs w:val="24"/>
        </w:rPr>
        <w:t>2</w:t>
      </w:r>
      <w:r w:rsidR="00474474" w:rsidRPr="00E94B81">
        <w:rPr>
          <w:rFonts w:ascii="Book Antiqua" w:eastAsia="Calibri" w:hAnsi="Book Antiqua" w:cs="Arial"/>
          <w:sz w:val="24"/>
          <w:szCs w:val="24"/>
        </w:rPr>
        <w:t xml:space="preserve"> plazas de Técnicos Judiciales 2,</w:t>
      </w:r>
      <w:r w:rsidR="005D2069" w:rsidRPr="00E94B81">
        <w:rPr>
          <w:rFonts w:ascii="Book Antiqua" w:eastAsia="Calibri" w:hAnsi="Book Antiqua" w:cs="Arial"/>
          <w:sz w:val="24"/>
          <w:szCs w:val="24"/>
        </w:rPr>
        <w:t xml:space="preserve"> 1 Técnico Judicial 1,</w:t>
      </w:r>
      <w:r w:rsidR="00474474" w:rsidRPr="00E94B81">
        <w:rPr>
          <w:rFonts w:ascii="Book Antiqua" w:eastAsia="Calibri" w:hAnsi="Book Antiqua" w:cs="Arial"/>
          <w:sz w:val="24"/>
          <w:szCs w:val="24"/>
        </w:rPr>
        <w:t xml:space="preserve"> </w:t>
      </w:r>
      <w:r w:rsidR="00792DD6" w:rsidRPr="00E94B81">
        <w:rPr>
          <w:rFonts w:ascii="Book Antiqua" w:eastAsia="Calibri" w:hAnsi="Book Antiqua" w:cs="Arial"/>
          <w:sz w:val="24"/>
          <w:szCs w:val="24"/>
        </w:rPr>
        <w:t>1 Juez 1,</w:t>
      </w:r>
      <w:r w:rsidR="00792DD6" w:rsidRPr="00B26C45">
        <w:rPr>
          <w:rFonts w:ascii="Book Antiqua" w:eastAsia="Calibri" w:hAnsi="Book Antiqua" w:cs="Arial"/>
          <w:sz w:val="24"/>
          <w:szCs w:val="24"/>
        </w:rPr>
        <w:t xml:space="preserve"> </w:t>
      </w:r>
      <w:r w:rsidR="00474474" w:rsidRPr="00B26C45">
        <w:rPr>
          <w:rFonts w:ascii="Book Antiqua" w:eastAsia="Calibri" w:hAnsi="Book Antiqua" w:cs="Arial"/>
          <w:sz w:val="24"/>
          <w:szCs w:val="24"/>
        </w:rPr>
        <w:t xml:space="preserve">2 Técnicos Judiciales 3, 2 Técnicos de Sala de la Corte, 3 Profesionales en Derecho 3B en condición de </w:t>
      </w:r>
      <w:r w:rsidRPr="00B26C45">
        <w:rPr>
          <w:rFonts w:ascii="Book Antiqua" w:eastAsia="Calibri" w:hAnsi="Book Antiqua" w:cs="Arial"/>
          <w:sz w:val="24"/>
          <w:szCs w:val="24"/>
        </w:rPr>
        <w:t xml:space="preserve">plazas </w:t>
      </w:r>
      <w:r w:rsidR="00D658E7" w:rsidRPr="00B26C45">
        <w:rPr>
          <w:rFonts w:ascii="Book Antiqua" w:eastAsia="Calibri" w:hAnsi="Book Antiqua" w:cs="Arial"/>
          <w:sz w:val="24"/>
          <w:szCs w:val="24"/>
        </w:rPr>
        <w:t xml:space="preserve">ordinarias porque son para completar estructura, salvo la del Juzgado de Familia de San Carlos a la espera de visualizar el impacto real de la reforma y la disminución en carga de trabajo en caso de centralizarse la atención de las apelaciones en materia de Pensiones, </w:t>
      </w:r>
      <w:r w:rsidRPr="00B26C45">
        <w:rPr>
          <w:rFonts w:ascii="Book Antiqua" w:eastAsia="Calibri" w:hAnsi="Book Antiqua" w:cs="Arial"/>
          <w:sz w:val="24"/>
          <w:szCs w:val="24"/>
        </w:rPr>
        <w:t xml:space="preserve">para un costo estimado total de </w:t>
      </w:r>
      <w:r w:rsidRPr="00E94B81">
        <w:rPr>
          <w:rFonts w:ascii="Times New Roman" w:eastAsia="Calibri" w:hAnsi="Times New Roman" w:cs="Times New Roman"/>
          <w:sz w:val="24"/>
          <w:szCs w:val="24"/>
        </w:rPr>
        <w:t>₡</w:t>
      </w:r>
      <w:r w:rsidR="00476F32" w:rsidRPr="00E94B81">
        <w:rPr>
          <w:rFonts w:ascii="Times New Roman" w:eastAsia="Calibri" w:hAnsi="Times New Roman" w:cs="Times New Roman"/>
          <w:sz w:val="24"/>
          <w:szCs w:val="24"/>
        </w:rPr>
        <w:t>322</w:t>
      </w:r>
      <w:r w:rsidRPr="00E94B81">
        <w:rPr>
          <w:rFonts w:ascii="Book Antiqua" w:eastAsia="Calibri" w:hAnsi="Book Antiqua" w:cs="Times New Roman"/>
          <w:sz w:val="24"/>
          <w:szCs w:val="24"/>
        </w:rPr>
        <w:t>,</w:t>
      </w:r>
      <w:r w:rsidR="005D2069" w:rsidRPr="00E94B81">
        <w:rPr>
          <w:rFonts w:ascii="Book Antiqua" w:eastAsia="Calibri" w:hAnsi="Book Antiqua" w:cs="Times New Roman"/>
          <w:sz w:val="24"/>
          <w:szCs w:val="24"/>
        </w:rPr>
        <w:t>0</w:t>
      </w:r>
      <w:r w:rsidR="00476F32" w:rsidRPr="00E94B81">
        <w:rPr>
          <w:rFonts w:ascii="Book Antiqua" w:eastAsia="Calibri" w:hAnsi="Book Antiqua" w:cs="Times New Roman"/>
          <w:sz w:val="24"/>
          <w:szCs w:val="24"/>
        </w:rPr>
        <w:t>84</w:t>
      </w:r>
      <w:r w:rsidRPr="00E94B81">
        <w:rPr>
          <w:rFonts w:ascii="Book Antiqua" w:eastAsia="Calibri" w:hAnsi="Book Antiqua" w:cs="Times New Roman"/>
          <w:sz w:val="24"/>
          <w:szCs w:val="24"/>
        </w:rPr>
        <w:t>,</w:t>
      </w:r>
      <w:r w:rsidR="003F5D86" w:rsidRPr="00E94B81">
        <w:rPr>
          <w:rFonts w:ascii="Book Antiqua" w:eastAsia="Calibri" w:hAnsi="Book Antiqua" w:cs="Times New Roman"/>
          <w:sz w:val="24"/>
          <w:szCs w:val="24"/>
        </w:rPr>
        <w:t>000</w:t>
      </w:r>
      <w:r w:rsidRPr="00E94B81">
        <w:rPr>
          <w:rFonts w:ascii="Book Antiqua" w:eastAsia="Calibri" w:hAnsi="Book Antiqua" w:cs="Times New Roman"/>
          <w:sz w:val="24"/>
          <w:szCs w:val="24"/>
        </w:rPr>
        <w:t xml:space="preserve">.00 </w:t>
      </w:r>
      <w:r w:rsidRPr="00E94B81">
        <w:rPr>
          <w:rFonts w:ascii="Book Antiqua" w:eastAsia="Calibri" w:hAnsi="Book Antiqua" w:cs="Arial"/>
          <w:sz w:val="24"/>
          <w:szCs w:val="24"/>
        </w:rPr>
        <w:t>por</w:t>
      </w:r>
      <w:r w:rsidRPr="00B26C45">
        <w:rPr>
          <w:rFonts w:ascii="Book Antiqua" w:eastAsia="Calibri" w:hAnsi="Book Antiqua" w:cs="Arial"/>
          <w:sz w:val="24"/>
          <w:szCs w:val="24"/>
        </w:rPr>
        <w:t xml:space="preserve"> concepto de necesidad de recurso humano producto de la entrada en vigencia del Código Procesal Familia</w:t>
      </w:r>
      <w:r w:rsidR="003F5D86" w:rsidRPr="00B26C45">
        <w:rPr>
          <w:rFonts w:ascii="Book Antiqua" w:eastAsia="Calibri" w:hAnsi="Book Antiqua" w:cs="Arial"/>
          <w:sz w:val="24"/>
          <w:szCs w:val="24"/>
        </w:rPr>
        <w:t>.</w:t>
      </w:r>
      <w:r w:rsidRPr="00E057C9">
        <w:rPr>
          <w:rFonts w:ascii="Book Antiqua" w:eastAsia="Calibri" w:hAnsi="Book Antiqua" w:cs="Arial"/>
          <w:sz w:val="24"/>
          <w:szCs w:val="24"/>
        </w:rPr>
        <w:t xml:space="preserve"> </w:t>
      </w:r>
    </w:p>
    <w:p w14:paraId="4CD859A2" w14:textId="77777777" w:rsidR="000D3457" w:rsidRPr="000D3457" w:rsidRDefault="000D3457" w:rsidP="000D3457">
      <w:pPr>
        <w:spacing w:after="0" w:line="276" w:lineRule="auto"/>
        <w:jc w:val="both"/>
        <w:rPr>
          <w:rFonts w:ascii="Book Antiqua" w:eastAsia="Calibri" w:hAnsi="Book Antiqua" w:cs="Arial"/>
          <w:sz w:val="24"/>
          <w:szCs w:val="24"/>
        </w:rPr>
      </w:pPr>
    </w:p>
    <w:p w14:paraId="689CFC19" w14:textId="49F4C2F9" w:rsidR="00C165C5" w:rsidRDefault="00C165C5" w:rsidP="000D3457">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La Ley entra en vigencia en octubre 2022 y por el </w:t>
      </w:r>
      <w:r w:rsidR="00431DDA">
        <w:rPr>
          <w:rFonts w:ascii="Book Antiqua" w:eastAsia="Calibri" w:hAnsi="Book Antiqua" w:cs="Arial"/>
          <w:sz w:val="24"/>
          <w:szCs w:val="24"/>
        </w:rPr>
        <w:t>último</w:t>
      </w:r>
      <w:r>
        <w:rPr>
          <w:rFonts w:ascii="Book Antiqua" w:eastAsia="Calibri" w:hAnsi="Book Antiqua" w:cs="Arial"/>
          <w:sz w:val="24"/>
          <w:szCs w:val="24"/>
        </w:rPr>
        <w:t xml:space="preserve"> trimestre del año no se </w:t>
      </w:r>
      <w:r w:rsidR="00431DDA">
        <w:rPr>
          <w:rFonts w:ascii="Book Antiqua" w:eastAsia="Calibri" w:hAnsi="Book Antiqua" w:cs="Arial"/>
          <w:sz w:val="24"/>
          <w:szCs w:val="24"/>
        </w:rPr>
        <w:t>contará</w:t>
      </w:r>
      <w:r>
        <w:rPr>
          <w:rFonts w:ascii="Book Antiqua" w:eastAsia="Calibri" w:hAnsi="Book Antiqua" w:cs="Arial"/>
          <w:sz w:val="24"/>
          <w:szCs w:val="24"/>
        </w:rPr>
        <w:t xml:space="preserve"> con los recursos, dado que para este año el Ministerio de Hacienda no </w:t>
      </w:r>
      <w:r w:rsidR="00431DDA">
        <w:rPr>
          <w:rFonts w:ascii="Book Antiqua" w:eastAsia="Calibri" w:hAnsi="Book Antiqua" w:cs="Arial"/>
          <w:sz w:val="24"/>
          <w:szCs w:val="24"/>
        </w:rPr>
        <w:t>incorporó</w:t>
      </w:r>
      <w:r>
        <w:rPr>
          <w:rFonts w:ascii="Book Antiqua" w:eastAsia="Calibri" w:hAnsi="Book Antiqua" w:cs="Arial"/>
          <w:sz w:val="24"/>
          <w:szCs w:val="24"/>
        </w:rPr>
        <w:t xml:space="preserve"> presupuesto para esta Ley. </w:t>
      </w:r>
    </w:p>
    <w:p w14:paraId="4DE89576" w14:textId="77777777" w:rsidR="00E94B81" w:rsidRDefault="00E94B81" w:rsidP="000D3457">
      <w:pPr>
        <w:spacing w:after="0" w:line="276" w:lineRule="auto"/>
        <w:jc w:val="both"/>
        <w:rPr>
          <w:rFonts w:ascii="Book Antiqua" w:eastAsia="Calibri" w:hAnsi="Book Antiqua" w:cs="Arial"/>
          <w:sz w:val="24"/>
          <w:szCs w:val="24"/>
        </w:rPr>
      </w:pPr>
    </w:p>
    <w:p w14:paraId="22F38C05" w14:textId="10958017" w:rsidR="000D3457" w:rsidRPr="000D3457" w:rsidRDefault="00C165C5" w:rsidP="000D3457">
      <w:pPr>
        <w:spacing w:after="0" w:line="276" w:lineRule="auto"/>
        <w:jc w:val="both"/>
        <w:rPr>
          <w:rFonts w:ascii="Book Antiqua" w:eastAsia="Times New Roman" w:hAnsi="Book Antiqua" w:cs="Times New Roman"/>
          <w:color w:val="000000"/>
          <w:sz w:val="24"/>
          <w:szCs w:val="24"/>
          <w:lang w:eastAsia="es-CR"/>
        </w:rPr>
      </w:pPr>
      <w:r w:rsidRPr="00B26C45">
        <w:rPr>
          <w:rFonts w:ascii="Book Antiqua" w:eastAsia="Calibri" w:hAnsi="Book Antiqua" w:cs="Arial"/>
          <w:sz w:val="24"/>
          <w:szCs w:val="24"/>
        </w:rPr>
        <w:t>Para 2023, l</w:t>
      </w:r>
      <w:r w:rsidR="000D3457" w:rsidRPr="00B26C45">
        <w:rPr>
          <w:rFonts w:ascii="Book Antiqua" w:eastAsia="Calibri" w:hAnsi="Book Antiqua" w:cs="Arial"/>
          <w:sz w:val="24"/>
          <w:szCs w:val="24"/>
        </w:rPr>
        <w:t xml:space="preserve">os costos asociados por concepto de mobiliario y equipo para las </w:t>
      </w:r>
      <w:r w:rsidR="00527F3A" w:rsidRPr="00B26C45">
        <w:rPr>
          <w:rFonts w:ascii="Book Antiqua" w:eastAsia="Calibri" w:hAnsi="Book Antiqua" w:cs="Arial"/>
          <w:sz w:val="24"/>
          <w:szCs w:val="24"/>
        </w:rPr>
        <w:t>1</w:t>
      </w:r>
      <w:r w:rsidR="00A4611F" w:rsidRPr="00B26C45">
        <w:rPr>
          <w:rFonts w:ascii="Book Antiqua" w:eastAsia="Calibri" w:hAnsi="Book Antiqua" w:cs="Arial"/>
          <w:sz w:val="24"/>
          <w:szCs w:val="24"/>
        </w:rPr>
        <w:t xml:space="preserve">0 </w:t>
      </w:r>
      <w:r w:rsidR="000D3457" w:rsidRPr="00B26C45">
        <w:rPr>
          <w:rFonts w:ascii="Book Antiqua" w:eastAsia="Calibri" w:hAnsi="Book Antiqua" w:cs="Arial"/>
          <w:sz w:val="24"/>
          <w:szCs w:val="24"/>
        </w:rPr>
        <w:t>plazas nuevas (</w:t>
      </w:r>
      <w:r w:rsidR="00431DDA" w:rsidRPr="00B26C45">
        <w:rPr>
          <w:rFonts w:ascii="Book Antiqua" w:eastAsia="Calibri" w:hAnsi="Book Antiqua" w:cs="Arial"/>
          <w:sz w:val="24"/>
          <w:szCs w:val="24"/>
        </w:rPr>
        <w:t>3</w:t>
      </w:r>
      <w:r w:rsidR="000D3457" w:rsidRPr="00B26C45">
        <w:rPr>
          <w:rFonts w:ascii="Book Antiqua" w:eastAsia="Calibri" w:hAnsi="Book Antiqua" w:cs="Arial"/>
          <w:sz w:val="24"/>
          <w:szCs w:val="24"/>
        </w:rPr>
        <w:t xml:space="preserve"> profesional</w:t>
      </w:r>
      <w:r w:rsidR="00E80DD9" w:rsidRPr="00B26C45">
        <w:rPr>
          <w:rFonts w:ascii="Book Antiqua" w:eastAsia="Calibri" w:hAnsi="Book Antiqua" w:cs="Arial"/>
          <w:sz w:val="24"/>
          <w:szCs w:val="24"/>
        </w:rPr>
        <w:t>es</w:t>
      </w:r>
      <w:r w:rsidR="000D3457" w:rsidRPr="00B26C45">
        <w:rPr>
          <w:rFonts w:ascii="Book Antiqua" w:eastAsia="Calibri" w:hAnsi="Book Antiqua" w:cs="Arial"/>
          <w:sz w:val="24"/>
          <w:szCs w:val="24"/>
        </w:rPr>
        <w:t xml:space="preserve"> y </w:t>
      </w:r>
      <w:r w:rsidR="00A4611F" w:rsidRPr="00B26C45">
        <w:rPr>
          <w:rFonts w:ascii="Book Antiqua" w:eastAsia="Calibri" w:hAnsi="Book Antiqua" w:cs="Arial"/>
          <w:sz w:val="24"/>
          <w:szCs w:val="24"/>
        </w:rPr>
        <w:t>7</w:t>
      </w:r>
      <w:r w:rsidR="00431DDA" w:rsidRPr="00B26C45">
        <w:rPr>
          <w:rFonts w:ascii="Book Antiqua" w:eastAsia="Calibri" w:hAnsi="Book Antiqua" w:cs="Arial"/>
          <w:sz w:val="24"/>
          <w:szCs w:val="24"/>
        </w:rPr>
        <w:t xml:space="preserve"> </w:t>
      </w:r>
      <w:r w:rsidR="000D3457" w:rsidRPr="00B26C45">
        <w:rPr>
          <w:rFonts w:ascii="Book Antiqua" w:eastAsia="Calibri" w:hAnsi="Book Antiqua" w:cs="Arial"/>
          <w:sz w:val="24"/>
          <w:szCs w:val="24"/>
        </w:rPr>
        <w:t>no profesionales) fue estimado como parte del requerimiento de la Dirección Ejecutiva y Dirección de Tecnología de la Información</w:t>
      </w:r>
      <w:r w:rsidR="00A4611F" w:rsidRPr="00B26C45">
        <w:rPr>
          <w:rFonts w:ascii="Book Antiqua" w:eastAsia="Calibri" w:hAnsi="Book Antiqua" w:cs="Arial"/>
          <w:sz w:val="24"/>
          <w:szCs w:val="24"/>
        </w:rPr>
        <w:t>.</w:t>
      </w:r>
    </w:p>
    <w:p w14:paraId="744F726E" w14:textId="77777777" w:rsidR="000D3457" w:rsidRPr="000D3457" w:rsidRDefault="000D3457" w:rsidP="000D3457">
      <w:pPr>
        <w:spacing w:after="0" w:line="276" w:lineRule="auto"/>
        <w:jc w:val="both"/>
        <w:rPr>
          <w:rFonts w:ascii="Book Antiqua" w:eastAsia="Times New Roman" w:hAnsi="Book Antiqua" w:cs="Times New Roman"/>
          <w:color w:val="000000"/>
          <w:sz w:val="24"/>
          <w:szCs w:val="24"/>
          <w:lang w:eastAsia="es-CR"/>
        </w:rPr>
      </w:pPr>
    </w:p>
    <w:p w14:paraId="26E5E544" w14:textId="0A0941C6" w:rsidR="000D3457" w:rsidRDefault="000D3457" w:rsidP="000D3457">
      <w:pPr>
        <w:spacing w:after="0" w:line="276" w:lineRule="auto"/>
        <w:jc w:val="both"/>
        <w:rPr>
          <w:rFonts w:ascii="Book Antiqua" w:eastAsia="Calibri" w:hAnsi="Book Antiqua" w:cs="Arial"/>
          <w:sz w:val="24"/>
          <w:szCs w:val="24"/>
        </w:rPr>
      </w:pPr>
      <w:r w:rsidRPr="000D3457">
        <w:rPr>
          <w:rFonts w:ascii="Book Antiqua" w:eastAsia="Calibri" w:hAnsi="Book Antiqua" w:cs="Arial"/>
          <w:sz w:val="24"/>
          <w:szCs w:val="24"/>
        </w:rPr>
        <w:t xml:space="preserve">Cabe mencionar además la inclusión en el presupuesto de la </w:t>
      </w:r>
      <w:r w:rsidRPr="001D0C10">
        <w:rPr>
          <w:rFonts w:ascii="Book Antiqua" w:eastAsia="Calibri" w:hAnsi="Book Antiqua" w:cs="Arial"/>
          <w:sz w:val="24"/>
          <w:szCs w:val="24"/>
        </w:rPr>
        <w:t>Dirección de Tecnología</w:t>
      </w:r>
      <w:r w:rsidRPr="000D3457">
        <w:rPr>
          <w:rFonts w:ascii="Book Antiqua" w:eastAsia="Calibri" w:hAnsi="Book Antiqua" w:cs="Arial"/>
          <w:sz w:val="24"/>
          <w:szCs w:val="24"/>
        </w:rPr>
        <w:t xml:space="preserve"> de la Información </w:t>
      </w:r>
      <w:r w:rsidR="007726C6">
        <w:rPr>
          <w:rFonts w:ascii="Book Antiqua" w:eastAsia="Calibri" w:hAnsi="Book Antiqua" w:cs="Arial"/>
          <w:sz w:val="24"/>
          <w:szCs w:val="24"/>
        </w:rPr>
        <w:t xml:space="preserve">y Comunicaciones </w:t>
      </w:r>
      <w:r w:rsidRPr="000D3457">
        <w:rPr>
          <w:rFonts w:ascii="Book Antiqua" w:eastAsia="Calibri" w:hAnsi="Book Antiqua" w:cs="Arial"/>
          <w:sz w:val="24"/>
          <w:szCs w:val="24"/>
        </w:rPr>
        <w:t xml:space="preserve">de 15 millones de colones para la elaboración </w:t>
      </w:r>
      <w:r w:rsidR="007726C6">
        <w:rPr>
          <w:rFonts w:ascii="Book Antiqua" w:eastAsia="Calibri" w:hAnsi="Book Antiqua" w:cs="Arial"/>
          <w:sz w:val="24"/>
          <w:szCs w:val="24"/>
        </w:rPr>
        <w:t xml:space="preserve">del </w:t>
      </w:r>
      <w:r w:rsidRPr="000D3457">
        <w:rPr>
          <w:rFonts w:ascii="Book Antiqua" w:eastAsia="Calibri" w:hAnsi="Book Antiqua" w:cs="Arial"/>
          <w:sz w:val="24"/>
          <w:szCs w:val="24"/>
        </w:rPr>
        <w:t xml:space="preserve">sitio web de la Comisión de Familia, plataforma </w:t>
      </w:r>
      <w:r w:rsidR="00E80DD9">
        <w:rPr>
          <w:rFonts w:ascii="Book Antiqua" w:eastAsia="Calibri" w:hAnsi="Book Antiqua" w:cs="Arial"/>
          <w:sz w:val="24"/>
          <w:szCs w:val="24"/>
        </w:rPr>
        <w:t xml:space="preserve">solicitada por esa Comisión </w:t>
      </w:r>
      <w:r w:rsidRPr="000D3457">
        <w:rPr>
          <w:rFonts w:ascii="Book Antiqua" w:eastAsia="Calibri" w:hAnsi="Book Antiqua" w:cs="Arial"/>
          <w:sz w:val="24"/>
          <w:szCs w:val="24"/>
        </w:rPr>
        <w:t xml:space="preserve">para ser utilizada como informativa entre otros aspectos para la reforma. </w:t>
      </w:r>
    </w:p>
    <w:p w14:paraId="202CF13E" w14:textId="772FA6B8" w:rsidR="00F37FEE" w:rsidRDefault="00F37FEE" w:rsidP="000D3457">
      <w:pPr>
        <w:spacing w:after="0" w:line="276" w:lineRule="auto"/>
        <w:jc w:val="both"/>
        <w:rPr>
          <w:rFonts w:ascii="Book Antiqua" w:eastAsia="Calibri" w:hAnsi="Book Antiqua" w:cs="Arial"/>
          <w:sz w:val="24"/>
          <w:szCs w:val="24"/>
        </w:rPr>
      </w:pPr>
    </w:p>
    <w:p w14:paraId="7A1BE0D1" w14:textId="1A8CBB6C" w:rsidR="00F37FEE" w:rsidRDefault="00F37FEE" w:rsidP="000D3457">
      <w:pPr>
        <w:spacing w:after="0" w:line="276" w:lineRule="auto"/>
        <w:jc w:val="both"/>
        <w:rPr>
          <w:rFonts w:ascii="Book Antiqua" w:eastAsia="Calibri" w:hAnsi="Book Antiqua" w:cs="Arial"/>
          <w:sz w:val="24"/>
          <w:szCs w:val="24"/>
        </w:rPr>
      </w:pPr>
    </w:p>
    <w:p w14:paraId="23FEDDB3" w14:textId="77777777" w:rsidR="00F37FEE" w:rsidRPr="000D3457" w:rsidRDefault="00F37FEE" w:rsidP="000D3457">
      <w:pPr>
        <w:spacing w:after="0" w:line="276" w:lineRule="auto"/>
        <w:jc w:val="both"/>
        <w:rPr>
          <w:rFonts w:ascii="Book Antiqua" w:eastAsia="Calibri" w:hAnsi="Book Antiqua" w:cs="Arial"/>
          <w:sz w:val="24"/>
          <w:szCs w:val="24"/>
        </w:rPr>
      </w:pPr>
    </w:p>
    <w:p w14:paraId="12FD57D7" w14:textId="7D44B07C" w:rsidR="000D3457" w:rsidRDefault="000D3457" w:rsidP="009E73B0">
      <w:pPr>
        <w:pStyle w:val="Ttulo"/>
        <w:spacing w:line="276" w:lineRule="auto"/>
        <w:jc w:val="left"/>
        <w:rPr>
          <w:szCs w:val="24"/>
          <w:lang w:val="es-CR"/>
        </w:rPr>
      </w:pPr>
    </w:p>
    <w:p w14:paraId="2335F9AD" w14:textId="0805E8FF" w:rsidR="002C155B" w:rsidRPr="00C153A4" w:rsidRDefault="002C155B"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lastRenderedPageBreak/>
        <w:t>Costo recurso humano estimado para el Centro de Apoyo, Coordinación y Mejoramiento de la Función Jurisdiccional-Programa 927</w:t>
      </w:r>
      <w:r w:rsidR="008464F6" w:rsidRPr="00C153A4">
        <w:rPr>
          <w:rFonts w:ascii="Book Antiqua" w:eastAsiaTheme="majorEastAsia" w:hAnsi="Book Antiqua" w:cstheme="majorBidi"/>
          <w:b/>
          <w:color w:val="1F3864" w:themeColor="accent1" w:themeShade="80"/>
          <w:sz w:val="24"/>
          <w:lang w:val="es-ES"/>
        </w:rPr>
        <w:t xml:space="preserve"> y Modelo de Tramitación de Violencia Doméstica</w:t>
      </w:r>
    </w:p>
    <w:p w14:paraId="5A9945DD" w14:textId="77777777" w:rsidR="00C153A4" w:rsidRDefault="00C153A4" w:rsidP="002C155B">
      <w:pPr>
        <w:spacing w:after="0" w:line="276" w:lineRule="auto"/>
        <w:jc w:val="both"/>
        <w:rPr>
          <w:rFonts w:ascii="Book Antiqua" w:eastAsia="Calibri" w:hAnsi="Book Antiqua" w:cs="Arial"/>
          <w:sz w:val="24"/>
          <w:szCs w:val="24"/>
        </w:rPr>
      </w:pPr>
    </w:p>
    <w:p w14:paraId="2EF3DF40" w14:textId="41CC6DB3" w:rsidR="002C155B" w:rsidRDefault="002C155B" w:rsidP="002C155B">
      <w:pPr>
        <w:spacing w:after="0" w:line="276" w:lineRule="auto"/>
        <w:jc w:val="both"/>
        <w:rPr>
          <w:rFonts w:ascii="Book Antiqua" w:eastAsia="Calibri" w:hAnsi="Book Antiqua" w:cs="Arial"/>
          <w:sz w:val="24"/>
          <w:szCs w:val="24"/>
        </w:rPr>
      </w:pPr>
      <w:r w:rsidRPr="002C155B">
        <w:rPr>
          <w:rFonts w:ascii="Book Antiqua" w:eastAsia="Calibri" w:hAnsi="Book Antiqua" w:cs="Arial"/>
          <w:sz w:val="24"/>
          <w:szCs w:val="24"/>
        </w:rPr>
        <w:t>El detalle del costo de recurso humano requerido del presupuesto para 202</w:t>
      </w:r>
      <w:r>
        <w:rPr>
          <w:rFonts w:ascii="Book Antiqua" w:eastAsia="Calibri" w:hAnsi="Book Antiqua" w:cs="Arial"/>
          <w:sz w:val="24"/>
          <w:szCs w:val="24"/>
        </w:rPr>
        <w:t>3</w:t>
      </w:r>
      <w:r w:rsidR="008464F6">
        <w:rPr>
          <w:rFonts w:ascii="Book Antiqua" w:eastAsia="Calibri" w:hAnsi="Book Antiqua" w:cs="Arial"/>
          <w:sz w:val="24"/>
          <w:szCs w:val="24"/>
        </w:rPr>
        <w:t>,</w:t>
      </w:r>
      <w:r w:rsidRPr="002C155B">
        <w:rPr>
          <w:rFonts w:ascii="Book Antiqua" w:eastAsia="Calibri" w:hAnsi="Book Antiqua" w:cs="Arial"/>
          <w:sz w:val="24"/>
          <w:szCs w:val="24"/>
        </w:rPr>
        <w:t xml:space="preserve"> es el siguiente:</w:t>
      </w:r>
    </w:p>
    <w:p w14:paraId="4E2FFEAA" w14:textId="2EA4B12C" w:rsidR="003434A1" w:rsidRDefault="003434A1" w:rsidP="002C155B">
      <w:pPr>
        <w:spacing w:after="0" w:line="276" w:lineRule="auto"/>
        <w:jc w:val="both"/>
        <w:rPr>
          <w:rFonts w:ascii="Book Antiqua" w:eastAsia="Calibri" w:hAnsi="Book Antiqua" w:cs="Arial"/>
          <w:sz w:val="24"/>
          <w:szCs w:val="24"/>
        </w:rPr>
      </w:pPr>
    </w:p>
    <w:p w14:paraId="0BA713D3" w14:textId="6991518F" w:rsidR="002C155B" w:rsidRPr="002C155B" w:rsidRDefault="002C155B" w:rsidP="002C155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155B">
        <w:rPr>
          <w:rFonts w:ascii="Book Antiqua" w:eastAsia="Calibri" w:hAnsi="Book Antiqua" w:cs="Arial"/>
          <w:b/>
          <w:bCs/>
          <w:color w:val="1F497D"/>
          <w:szCs w:val="24"/>
          <w:lang w:val="es-ES" w:eastAsia="es-ES"/>
        </w:rPr>
        <w:t xml:space="preserve">Cuadro </w:t>
      </w:r>
      <w:r w:rsidRPr="002C155B">
        <w:rPr>
          <w:rFonts w:ascii="Book Antiqua" w:eastAsia="Calibri" w:hAnsi="Book Antiqua" w:cs="Arial"/>
          <w:b/>
          <w:bCs/>
          <w:color w:val="1F497D"/>
          <w:szCs w:val="24"/>
          <w:lang w:val="es-ES" w:eastAsia="es-ES"/>
        </w:rPr>
        <w:fldChar w:fldCharType="begin"/>
      </w:r>
      <w:r w:rsidRPr="002C155B">
        <w:rPr>
          <w:rFonts w:ascii="Book Antiqua" w:eastAsia="Calibri" w:hAnsi="Book Antiqua" w:cs="Arial"/>
          <w:b/>
          <w:bCs/>
          <w:color w:val="1F497D"/>
          <w:szCs w:val="24"/>
          <w:lang w:val="es-ES" w:eastAsia="es-ES"/>
        </w:rPr>
        <w:instrText xml:space="preserve"> SEQ Cuadro \* ARABIC </w:instrText>
      </w:r>
      <w:r w:rsidRPr="002C155B">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80</w:t>
      </w:r>
      <w:r w:rsidRPr="002C155B">
        <w:rPr>
          <w:rFonts w:ascii="Book Antiqua" w:eastAsia="Calibri" w:hAnsi="Book Antiqua" w:cs="Arial"/>
          <w:b/>
          <w:bCs/>
          <w:color w:val="1F497D"/>
          <w:szCs w:val="24"/>
          <w:lang w:val="es-ES" w:eastAsia="es-ES"/>
        </w:rPr>
        <w:fldChar w:fldCharType="end"/>
      </w:r>
      <w:r w:rsidRPr="002C155B">
        <w:rPr>
          <w:rFonts w:ascii="Book Antiqua" w:eastAsia="Calibri" w:hAnsi="Book Antiqua" w:cs="Arial"/>
          <w:b/>
          <w:bCs/>
          <w:color w:val="1F497D"/>
          <w:szCs w:val="24"/>
          <w:lang w:val="es-ES" w:eastAsia="es-ES"/>
        </w:rPr>
        <w:t xml:space="preserve"> </w:t>
      </w:r>
    </w:p>
    <w:p w14:paraId="23B04EEF" w14:textId="392ED97E" w:rsidR="002C155B" w:rsidRPr="002C155B" w:rsidRDefault="002C155B" w:rsidP="002C155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2C155B">
        <w:rPr>
          <w:rFonts w:ascii="Book Antiqua" w:eastAsia="Calibri" w:hAnsi="Book Antiqua" w:cs="Arial"/>
          <w:b/>
          <w:bCs/>
          <w:color w:val="1F497D"/>
          <w:szCs w:val="24"/>
          <w:lang w:val="es-ES" w:eastAsia="es-ES"/>
        </w:rPr>
        <w:t>Costos económicos recurso humano CACMFJ, 202</w:t>
      </w:r>
      <w:r>
        <w:rPr>
          <w:rFonts w:ascii="Book Antiqua" w:eastAsia="Calibri" w:hAnsi="Book Antiqua" w:cs="Arial"/>
          <w:b/>
          <w:bCs/>
          <w:color w:val="1F497D"/>
          <w:szCs w:val="24"/>
          <w:lang w:val="es-ES" w:eastAsia="es-ES"/>
        </w:rPr>
        <w:t>3</w:t>
      </w:r>
    </w:p>
    <w:tbl>
      <w:tblPr>
        <w:tblW w:w="64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15"/>
        <w:gridCol w:w="985"/>
        <w:gridCol w:w="2002"/>
        <w:gridCol w:w="1096"/>
        <w:gridCol w:w="1596"/>
        <w:gridCol w:w="852"/>
        <w:gridCol w:w="1710"/>
        <w:gridCol w:w="1918"/>
      </w:tblGrid>
      <w:tr w:rsidR="00DC31D1" w:rsidRPr="00431DDA" w14:paraId="7F7AB055" w14:textId="4436A30E" w:rsidTr="007B7A8E">
        <w:trPr>
          <w:trHeight w:val="910"/>
          <w:jc w:val="center"/>
        </w:trPr>
        <w:tc>
          <w:tcPr>
            <w:tcW w:w="433" w:type="pct"/>
            <w:shd w:val="clear" w:color="000000" w:fill="002060"/>
          </w:tcPr>
          <w:p w14:paraId="55121167" w14:textId="3D120C72"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Pr>
                <w:rFonts w:ascii="Book Antiqua" w:eastAsia="Times New Roman" w:hAnsi="Book Antiqua" w:cs="Calibri"/>
                <w:b/>
                <w:bCs/>
                <w:color w:val="FFFFFF"/>
                <w:sz w:val="20"/>
                <w:szCs w:val="20"/>
                <w:lang w:eastAsia="es-CR"/>
              </w:rPr>
              <w:t>Oficina</w:t>
            </w:r>
          </w:p>
        </w:tc>
        <w:tc>
          <w:tcPr>
            <w:tcW w:w="433" w:type="pct"/>
            <w:shd w:val="clear" w:color="000000" w:fill="002060"/>
            <w:vAlign w:val="center"/>
            <w:hideMark/>
          </w:tcPr>
          <w:p w14:paraId="5B53D555" w14:textId="3A89D736"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Cantidad</w:t>
            </w:r>
          </w:p>
        </w:tc>
        <w:tc>
          <w:tcPr>
            <w:tcW w:w="880" w:type="pct"/>
            <w:shd w:val="clear" w:color="000000" w:fill="002060"/>
            <w:vAlign w:val="center"/>
            <w:hideMark/>
          </w:tcPr>
          <w:p w14:paraId="3A2BF2EC" w14:textId="77777777"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Tipo de plaza</w:t>
            </w:r>
          </w:p>
        </w:tc>
        <w:tc>
          <w:tcPr>
            <w:tcW w:w="482" w:type="pct"/>
            <w:shd w:val="clear" w:color="000000" w:fill="002060"/>
            <w:vAlign w:val="center"/>
            <w:hideMark/>
          </w:tcPr>
          <w:p w14:paraId="431327CB" w14:textId="77777777"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Condición actual</w:t>
            </w:r>
          </w:p>
        </w:tc>
        <w:tc>
          <w:tcPr>
            <w:tcW w:w="702" w:type="pct"/>
            <w:shd w:val="clear" w:color="000000" w:fill="002060"/>
            <w:vAlign w:val="center"/>
            <w:hideMark/>
          </w:tcPr>
          <w:p w14:paraId="50EA6B57" w14:textId="77777777"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Recomendación</w:t>
            </w:r>
          </w:p>
        </w:tc>
        <w:tc>
          <w:tcPr>
            <w:tcW w:w="375" w:type="pct"/>
            <w:shd w:val="clear" w:color="000000" w:fill="002060"/>
            <w:vAlign w:val="center"/>
            <w:hideMark/>
          </w:tcPr>
          <w:p w14:paraId="4C24C537" w14:textId="77777777"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Periodo</w:t>
            </w:r>
          </w:p>
        </w:tc>
        <w:tc>
          <w:tcPr>
            <w:tcW w:w="853" w:type="pct"/>
            <w:shd w:val="clear" w:color="000000" w:fill="002060"/>
            <w:vAlign w:val="center"/>
          </w:tcPr>
          <w:p w14:paraId="69919020" w14:textId="5A7ADA30"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sidRPr="001C58B7">
              <w:rPr>
                <w:rFonts w:ascii="Book Antiqua" w:eastAsia="Times New Roman" w:hAnsi="Book Antiqua" w:cs="Calibri"/>
                <w:b/>
                <w:bCs/>
                <w:color w:val="FFFFFF"/>
                <w:sz w:val="20"/>
                <w:szCs w:val="20"/>
                <w:lang w:eastAsia="es-CR"/>
              </w:rPr>
              <w:t>Costo total para 2023</w:t>
            </w:r>
          </w:p>
        </w:tc>
        <w:tc>
          <w:tcPr>
            <w:tcW w:w="843" w:type="pct"/>
            <w:shd w:val="clear" w:color="000000" w:fill="002060"/>
            <w:vAlign w:val="center"/>
            <w:hideMark/>
          </w:tcPr>
          <w:p w14:paraId="39AEBC4D" w14:textId="6EC8AA13" w:rsidR="00DC31D1" w:rsidRPr="001C58B7" w:rsidRDefault="00DC31D1" w:rsidP="006C4B6F">
            <w:pPr>
              <w:spacing w:after="0" w:line="240" w:lineRule="auto"/>
              <w:jc w:val="center"/>
              <w:rPr>
                <w:rFonts w:ascii="Book Antiqua" w:eastAsia="Times New Roman" w:hAnsi="Book Antiqua" w:cs="Calibri"/>
                <w:b/>
                <w:bCs/>
                <w:color w:val="FFFFFF"/>
                <w:sz w:val="20"/>
                <w:szCs w:val="20"/>
                <w:lang w:eastAsia="es-CR"/>
              </w:rPr>
            </w:pPr>
            <w:r>
              <w:rPr>
                <w:rFonts w:ascii="Book Antiqua" w:eastAsia="Times New Roman" w:hAnsi="Book Antiqua" w:cs="Calibri"/>
                <w:b/>
                <w:bCs/>
                <w:color w:val="FFFFFF"/>
                <w:sz w:val="20"/>
                <w:szCs w:val="20"/>
                <w:lang w:eastAsia="es-CR"/>
              </w:rPr>
              <w:t>Observaciones</w:t>
            </w:r>
          </w:p>
        </w:tc>
      </w:tr>
      <w:tr w:rsidR="00DC31D1" w:rsidRPr="001C58B7" w14:paraId="3D02B760" w14:textId="77777777" w:rsidTr="009D2C4E">
        <w:trPr>
          <w:trHeight w:val="300"/>
          <w:jc w:val="center"/>
        </w:trPr>
        <w:tc>
          <w:tcPr>
            <w:tcW w:w="433" w:type="pct"/>
            <w:vMerge w:val="restart"/>
          </w:tcPr>
          <w:p w14:paraId="7DC93F66" w14:textId="160A7C35"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CACMFJ</w:t>
            </w:r>
          </w:p>
        </w:tc>
        <w:tc>
          <w:tcPr>
            <w:tcW w:w="433" w:type="pct"/>
            <w:shd w:val="clear" w:color="auto" w:fill="auto"/>
            <w:noWrap/>
            <w:vAlign w:val="center"/>
            <w:hideMark/>
          </w:tcPr>
          <w:p w14:paraId="23E53244" w14:textId="3E668356"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1</w:t>
            </w:r>
          </w:p>
        </w:tc>
        <w:tc>
          <w:tcPr>
            <w:tcW w:w="880" w:type="pct"/>
            <w:shd w:val="clear" w:color="auto" w:fill="auto"/>
            <w:noWrap/>
            <w:vAlign w:val="center"/>
            <w:hideMark/>
          </w:tcPr>
          <w:p w14:paraId="2AC623D6" w14:textId="77777777" w:rsidR="00DC31D1" w:rsidRPr="001C58B7" w:rsidRDefault="00DC31D1" w:rsidP="006C4B6F">
            <w:pPr>
              <w:spacing w:after="0" w:line="240" w:lineRule="auto"/>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Jueza o Juez 4 Gestor</w:t>
            </w:r>
          </w:p>
        </w:tc>
        <w:tc>
          <w:tcPr>
            <w:tcW w:w="482" w:type="pct"/>
            <w:shd w:val="clear" w:color="auto" w:fill="auto"/>
            <w:vAlign w:val="center"/>
            <w:hideMark/>
          </w:tcPr>
          <w:p w14:paraId="0E598703"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p>
        </w:tc>
        <w:tc>
          <w:tcPr>
            <w:tcW w:w="702" w:type="pct"/>
            <w:shd w:val="clear" w:color="auto" w:fill="auto"/>
            <w:vAlign w:val="center"/>
            <w:hideMark/>
          </w:tcPr>
          <w:p w14:paraId="1B9D2F65" w14:textId="2331884D"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Ordinario</w:t>
            </w:r>
          </w:p>
        </w:tc>
        <w:tc>
          <w:tcPr>
            <w:tcW w:w="375" w:type="pct"/>
            <w:shd w:val="clear" w:color="auto" w:fill="auto"/>
            <w:vAlign w:val="center"/>
            <w:hideMark/>
          </w:tcPr>
          <w:p w14:paraId="782FFD18"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2023</w:t>
            </w:r>
          </w:p>
        </w:tc>
        <w:tc>
          <w:tcPr>
            <w:tcW w:w="853" w:type="pct"/>
            <w:vAlign w:val="center"/>
          </w:tcPr>
          <w:p w14:paraId="6D6D5684" w14:textId="39E2AB22"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sidRPr="001C58B7">
              <w:rPr>
                <w:rFonts w:ascii="Times New Roman" w:eastAsia="Times New Roman" w:hAnsi="Times New Roman" w:cs="Times New Roman"/>
                <w:color w:val="000000"/>
                <w:sz w:val="20"/>
                <w:szCs w:val="20"/>
                <w:lang w:eastAsia="es-CR"/>
              </w:rPr>
              <w:t xml:space="preserve">₡ </w:t>
            </w:r>
            <w:r>
              <w:rPr>
                <w:rFonts w:ascii="Book Antiqua" w:eastAsia="Times New Roman" w:hAnsi="Book Antiqua" w:cs="Calibri"/>
                <w:color w:val="000000"/>
                <w:sz w:val="20"/>
                <w:szCs w:val="20"/>
                <w:lang w:eastAsia="es-CR"/>
              </w:rPr>
              <w:t>58 609 000</w:t>
            </w:r>
            <w:r w:rsidRPr="001C58B7">
              <w:rPr>
                <w:rFonts w:ascii="Book Antiqua" w:eastAsia="Times New Roman" w:hAnsi="Book Antiqua" w:cs="Calibri"/>
                <w:color w:val="000000"/>
                <w:sz w:val="20"/>
                <w:szCs w:val="20"/>
                <w:lang w:eastAsia="es-CR"/>
              </w:rPr>
              <w:t>.00</w:t>
            </w:r>
          </w:p>
        </w:tc>
        <w:tc>
          <w:tcPr>
            <w:tcW w:w="843" w:type="pct"/>
            <w:shd w:val="clear" w:color="auto" w:fill="auto"/>
            <w:vAlign w:val="center"/>
            <w:hideMark/>
          </w:tcPr>
          <w:p w14:paraId="640D85E4" w14:textId="38657184" w:rsidR="00DC31D1" w:rsidRPr="001C58B7" w:rsidRDefault="00DC31D1" w:rsidP="009B71C9">
            <w:pPr>
              <w:spacing w:after="0" w:line="240" w:lineRule="auto"/>
              <w:jc w:val="both"/>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Pr>
                <w:rFonts w:ascii="Times New Roman" w:eastAsia="Times New Roman" w:hAnsi="Times New Roman" w:cs="Times New Roman"/>
                <w:color w:val="000000"/>
                <w:sz w:val="20"/>
                <w:szCs w:val="20"/>
                <w:lang w:eastAsia="es-CR"/>
              </w:rPr>
              <w:t>Gestor en materia de FA, PA y VD</w:t>
            </w:r>
          </w:p>
        </w:tc>
      </w:tr>
      <w:tr w:rsidR="00DC31D1" w:rsidRPr="001C58B7" w14:paraId="38F8AA6D" w14:textId="77777777" w:rsidTr="00277FE3">
        <w:trPr>
          <w:trHeight w:val="300"/>
          <w:jc w:val="center"/>
        </w:trPr>
        <w:tc>
          <w:tcPr>
            <w:tcW w:w="433" w:type="pct"/>
            <w:vMerge/>
          </w:tcPr>
          <w:p w14:paraId="0ECB08EF"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hideMark/>
          </w:tcPr>
          <w:p w14:paraId="7173AAAA" w14:textId="4FDA8FCA"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1</w:t>
            </w:r>
          </w:p>
        </w:tc>
        <w:tc>
          <w:tcPr>
            <w:tcW w:w="880" w:type="pct"/>
            <w:shd w:val="clear" w:color="auto" w:fill="auto"/>
            <w:vAlign w:val="center"/>
            <w:hideMark/>
          </w:tcPr>
          <w:p w14:paraId="7D673A4F"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Profesional 2</w:t>
            </w:r>
          </w:p>
        </w:tc>
        <w:tc>
          <w:tcPr>
            <w:tcW w:w="482" w:type="pct"/>
            <w:shd w:val="clear" w:color="auto" w:fill="auto"/>
            <w:vAlign w:val="center"/>
            <w:hideMark/>
          </w:tcPr>
          <w:p w14:paraId="7C34E0F5"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p>
        </w:tc>
        <w:tc>
          <w:tcPr>
            <w:tcW w:w="702" w:type="pct"/>
            <w:shd w:val="clear" w:color="auto" w:fill="auto"/>
            <w:vAlign w:val="center"/>
            <w:hideMark/>
          </w:tcPr>
          <w:p w14:paraId="13A70560" w14:textId="26C0B83C"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Ordinario</w:t>
            </w:r>
          </w:p>
        </w:tc>
        <w:tc>
          <w:tcPr>
            <w:tcW w:w="375" w:type="pct"/>
            <w:shd w:val="clear" w:color="auto" w:fill="auto"/>
            <w:vAlign w:val="center"/>
            <w:hideMark/>
          </w:tcPr>
          <w:p w14:paraId="0985FCC9"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2023</w:t>
            </w:r>
          </w:p>
        </w:tc>
        <w:tc>
          <w:tcPr>
            <w:tcW w:w="853" w:type="pct"/>
            <w:vAlign w:val="center"/>
          </w:tcPr>
          <w:p w14:paraId="20DF7FD5" w14:textId="47CC098C"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sidRPr="001C58B7">
              <w:rPr>
                <w:rFonts w:ascii="Times New Roman" w:eastAsia="Times New Roman" w:hAnsi="Times New Roman" w:cs="Times New Roman"/>
                <w:color w:val="000000"/>
                <w:sz w:val="20"/>
                <w:szCs w:val="20"/>
                <w:lang w:eastAsia="es-CR"/>
              </w:rPr>
              <w:t xml:space="preserve">₡ </w:t>
            </w:r>
            <w:r>
              <w:rPr>
                <w:rFonts w:ascii="Book Antiqua" w:eastAsia="Times New Roman" w:hAnsi="Book Antiqua" w:cs="Calibri"/>
                <w:color w:val="000000"/>
                <w:sz w:val="20"/>
                <w:szCs w:val="20"/>
                <w:lang w:eastAsia="es-CR"/>
              </w:rPr>
              <w:t>34 981 000</w:t>
            </w:r>
            <w:r w:rsidRPr="001C58B7">
              <w:rPr>
                <w:rFonts w:ascii="Book Antiqua" w:eastAsia="Times New Roman" w:hAnsi="Book Antiqua" w:cs="Calibri"/>
                <w:color w:val="000000"/>
                <w:sz w:val="20"/>
                <w:szCs w:val="20"/>
                <w:lang w:eastAsia="es-CR"/>
              </w:rPr>
              <w:t>.00</w:t>
            </w:r>
          </w:p>
        </w:tc>
        <w:tc>
          <w:tcPr>
            <w:tcW w:w="843" w:type="pct"/>
            <w:shd w:val="clear" w:color="auto" w:fill="auto"/>
            <w:vAlign w:val="center"/>
            <w:hideMark/>
          </w:tcPr>
          <w:p w14:paraId="743F5461" w14:textId="2B46C77C" w:rsidR="00DC31D1" w:rsidRPr="001C58B7" w:rsidRDefault="00DC31D1" w:rsidP="009B71C9">
            <w:pPr>
              <w:spacing w:after="0" w:line="240" w:lineRule="auto"/>
              <w:jc w:val="both"/>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Pr>
                <w:rFonts w:ascii="Times New Roman" w:eastAsia="Times New Roman" w:hAnsi="Times New Roman" w:cs="Times New Roman"/>
                <w:color w:val="000000"/>
                <w:sz w:val="20"/>
                <w:szCs w:val="20"/>
                <w:lang w:eastAsia="es-CR"/>
              </w:rPr>
              <w:t>Seguimiento en FA, PA y VD</w:t>
            </w:r>
          </w:p>
        </w:tc>
      </w:tr>
      <w:tr w:rsidR="00DC31D1" w:rsidRPr="001C58B7" w14:paraId="0AA9C3C2" w14:textId="77777777" w:rsidTr="00277FE3">
        <w:trPr>
          <w:trHeight w:val="530"/>
          <w:jc w:val="center"/>
        </w:trPr>
        <w:tc>
          <w:tcPr>
            <w:tcW w:w="433" w:type="pct"/>
            <w:vMerge/>
          </w:tcPr>
          <w:p w14:paraId="6E2ACC7A"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hideMark/>
          </w:tcPr>
          <w:p w14:paraId="6DEA6475" w14:textId="5E654592"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w:t>
            </w:r>
          </w:p>
        </w:tc>
        <w:tc>
          <w:tcPr>
            <w:tcW w:w="880" w:type="pct"/>
            <w:shd w:val="clear" w:color="auto" w:fill="auto"/>
            <w:vAlign w:val="center"/>
            <w:hideMark/>
          </w:tcPr>
          <w:p w14:paraId="541CBC69"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Técnica o Técnico Judicial 2</w:t>
            </w:r>
          </w:p>
        </w:tc>
        <w:tc>
          <w:tcPr>
            <w:tcW w:w="482" w:type="pct"/>
            <w:shd w:val="clear" w:color="auto" w:fill="auto"/>
            <w:vAlign w:val="center"/>
            <w:hideMark/>
          </w:tcPr>
          <w:p w14:paraId="6D74F52A"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p>
        </w:tc>
        <w:tc>
          <w:tcPr>
            <w:tcW w:w="702" w:type="pct"/>
            <w:shd w:val="clear" w:color="auto" w:fill="auto"/>
            <w:vAlign w:val="center"/>
            <w:hideMark/>
          </w:tcPr>
          <w:p w14:paraId="3AEE311D"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Extraordinarias</w:t>
            </w:r>
          </w:p>
        </w:tc>
        <w:tc>
          <w:tcPr>
            <w:tcW w:w="375" w:type="pct"/>
            <w:shd w:val="clear" w:color="auto" w:fill="auto"/>
            <w:vAlign w:val="center"/>
            <w:hideMark/>
          </w:tcPr>
          <w:p w14:paraId="5EDEEBE4"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2023</w:t>
            </w:r>
          </w:p>
        </w:tc>
        <w:tc>
          <w:tcPr>
            <w:tcW w:w="853" w:type="pct"/>
            <w:vAlign w:val="center"/>
          </w:tcPr>
          <w:p w14:paraId="2DB841D7" w14:textId="36400880"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sidRPr="00531CE7">
              <w:rPr>
                <w:rFonts w:ascii="Times New Roman" w:eastAsia="Times New Roman" w:hAnsi="Times New Roman" w:cs="Times New Roman"/>
                <w:color w:val="000000"/>
                <w:sz w:val="20"/>
                <w:szCs w:val="20"/>
                <w:lang w:eastAsia="es-CR"/>
              </w:rPr>
              <w:t>₡</w:t>
            </w:r>
            <w:r w:rsidRPr="009B71C9">
              <w:rPr>
                <w:rFonts w:ascii="Book Antiqua" w:eastAsia="Times New Roman" w:hAnsi="Book Antiqua" w:cs="Calibri"/>
                <w:color w:val="000000"/>
                <w:sz w:val="20"/>
                <w:szCs w:val="20"/>
                <w:lang w:eastAsia="es-CR"/>
              </w:rPr>
              <w:t xml:space="preserve"> 28</w:t>
            </w:r>
            <w:r>
              <w:rPr>
                <w:rFonts w:ascii="Book Antiqua" w:eastAsia="Times New Roman" w:hAnsi="Book Antiqua" w:cs="Calibri"/>
                <w:color w:val="000000"/>
                <w:sz w:val="20"/>
                <w:szCs w:val="20"/>
                <w:lang w:eastAsia="es-CR"/>
              </w:rPr>
              <w:t> 776 000</w:t>
            </w:r>
            <w:r w:rsidRPr="001C58B7">
              <w:rPr>
                <w:rFonts w:ascii="Book Antiqua" w:eastAsia="Times New Roman" w:hAnsi="Book Antiqua" w:cs="Calibri"/>
                <w:color w:val="000000"/>
                <w:sz w:val="20"/>
                <w:szCs w:val="20"/>
                <w:lang w:eastAsia="es-CR"/>
              </w:rPr>
              <w:t>.00</w:t>
            </w:r>
          </w:p>
        </w:tc>
        <w:tc>
          <w:tcPr>
            <w:tcW w:w="843" w:type="pct"/>
            <w:shd w:val="clear" w:color="auto" w:fill="auto"/>
            <w:vAlign w:val="center"/>
            <w:hideMark/>
          </w:tcPr>
          <w:p w14:paraId="290C792C" w14:textId="5400AFEC" w:rsidR="00DC31D1" w:rsidRPr="001C58B7" w:rsidRDefault="00DC31D1" w:rsidP="009B71C9">
            <w:pPr>
              <w:spacing w:after="0" w:line="240" w:lineRule="auto"/>
              <w:jc w:val="both"/>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Pr>
                <w:rFonts w:ascii="Times New Roman" w:eastAsia="Times New Roman" w:hAnsi="Times New Roman" w:cs="Times New Roman"/>
                <w:color w:val="000000"/>
                <w:sz w:val="20"/>
                <w:szCs w:val="20"/>
                <w:lang w:eastAsia="es-CR"/>
              </w:rPr>
              <w:t>Seguimiento, colaboración gestoría, coordinaciones planes de trabajo</w:t>
            </w:r>
          </w:p>
        </w:tc>
      </w:tr>
      <w:tr w:rsidR="00DC31D1" w:rsidRPr="001C58B7" w14:paraId="1EBC2620" w14:textId="77777777" w:rsidTr="00277FE3">
        <w:trPr>
          <w:trHeight w:val="300"/>
          <w:jc w:val="center"/>
        </w:trPr>
        <w:tc>
          <w:tcPr>
            <w:tcW w:w="433" w:type="pct"/>
            <w:vMerge/>
          </w:tcPr>
          <w:p w14:paraId="5F82B6FE"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hideMark/>
          </w:tcPr>
          <w:p w14:paraId="60BCED34" w14:textId="1D26406F"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4</w:t>
            </w:r>
          </w:p>
        </w:tc>
        <w:tc>
          <w:tcPr>
            <w:tcW w:w="880" w:type="pct"/>
            <w:shd w:val="clear" w:color="auto" w:fill="auto"/>
            <w:vAlign w:val="center"/>
            <w:hideMark/>
          </w:tcPr>
          <w:p w14:paraId="4AE4D076"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Jueza o Juez 1</w:t>
            </w:r>
          </w:p>
        </w:tc>
        <w:tc>
          <w:tcPr>
            <w:tcW w:w="482" w:type="pct"/>
            <w:shd w:val="clear" w:color="auto" w:fill="auto"/>
            <w:vAlign w:val="center"/>
            <w:hideMark/>
          </w:tcPr>
          <w:p w14:paraId="471E2046"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p>
        </w:tc>
        <w:tc>
          <w:tcPr>
            <w:tcW w:w="702" w:type="pct"/>
            <w:shd w:val="clear" w:color="auto" w:fill="auto"/>
            <w:vAlign w:val="center"/>
            <w:hideMark/>
          </w:tcPr>
          <w:p w14:paraId="69C8FC5D"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Extraordinarias</w:t>
            </w:r>
          </w:p>
        </w:tc>
        <w:tc>
          <w:tcPr>
            <w:tcW w:w="375" w:type="pct"/>
            <w:shd w:val="clear" w:color="auto" w:fill="auto"/>
            <w:vAlign w:val="center"/>
            <w:hideMark/>
          </w:tcPr>
          <w:p w14:paraId="5E865AF1"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2023</w:t>
            </w:r>
          </w:p>
        </w:tc>
        <w:tc>
          <w:tcPr>
            <w:tcW w:w="853" w:type="pct"/>
            <w:vAlign w:val="center"/>
          </w:tcPr>
          <w:p w14:paraId="1645BC88" w14:textId="0B661EF0"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sidRPr="00531CE7">
              <w:rPr>
                <w:rFonts w:ascii="Times New Roman" w:eastAsia="Times New Roman" w:hAnsi="Times New Roman" w:cs="Times New Roman"/>
                <w:color w:val="000000"/>
                <w:sz w:val="20"/>
                <w:szCs w:val="20"/>
                <w:lang w:eastAsia="es-CR"/>
              </w:rPr>
              <w:t>₡</w:t>
            </w:r>
            <w:r w:rsidRPr="009B71C9">
              <w:rPr>
                <w:rFonts w:ascii="Book Antiqua" w:eastAsia="Times New Roman" w:hAnsi="Book Antiqua" w:cs="Calibri"/>
                <w:color w:val="000000"/>
                <w:sz w:val="20"/>
                <w:szCs w:val="20"/>
                <w:lang w:eastAsia="es-CR"/>
              </w:rPr>
              <w:t xml:space="preserve"> </w:t>
            </w:r>
            <w:r>
              <w:rPr>
                <w:rFonts w:ascii="Book Antiqua" w:eastAsia="Times New Roman" w:hAnsi="Book Antiqua" w:cs="Calibri"/>
                <w:color w:val="000000"/>
                <w:sz w:val="20"/>
                <w:szCs w:val="20"/>
                <w:lang w:eastAsia="es-CR"/>
              </w:rPr>
              <w:t>204 244 000</w:t>
            </w:r>
            <w:r w:rsidRPr="001C58B7">
              <w:rPr>
                <w:rFonts w:ascii="Book Antiqua" w:eastAsia="Times New Roman" w:hAnsi="Book Antiqua" w:cs="Calibri"/>
                <w:color w:val="000000"/>
                <w:sz w:val="20"/>
                <w:szCs w:val="20"/>
                <w:lang w:eastAsia="es-CR"/>
              </w:rPr>
              <w:t>.00</w:t>
            </w:r>
          </w:p>
        </w:tc>
        <w:tc>
          <w:tcPr>
            <w:tcW w:w="843" w:type="pct"/>
            <w:shd w:val="clear" w:color="auto" w:fill="auto"/>
            <w:vAlign w:val="center"/>
            <w:hideMark/>
          </w:tcPr>
          <w:p w14:paraId="635BC39D" w14:textId="2A569D88" w:rsidR="00DC31D1" w:rsidRPr="001C58B7" w:rsidRDefault="00DC31D1" w:rsidP="009B71C9">
            <w:pPr>
              <w:spacing w:after="0" w:line="240" w:lineRule="auto"/>
              <w:jc w:val="both"/>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Pr>
                <w:rFonts w:ascii="Times New Roman" w:eastAsia="Times New Roman" w:hAnsi="Times New Roman" w:cs="Times New Roman"/>
                <w:color w:val="000000"/>
                <w:sz w:val="20"/>
                <w:szCs w:val="20"/>
                <w:lang w:eastAsia="es-CR"/>
              </w:rPr>
              <w:t>Planes de descongestionamiento en PA</w:t>
            </w:r>
          </w:p>
        </w:tc>
      </w:tr>
      <w:tr w:rsidR="00DC31D1" w:rsidRPr="001C58B7" w14:paraId="052B27DA" w14:textId="77777777" w:rsidTr="00277FE3">
        <w:trPr>
          <w:trHeight w:val="300"/>
          <w:jc w:val="center"/>
        </w:trPr>
        <w:tc>
          <w:tcPr>
            <w:tcW w:w="433" w:type="pct"/>
            <w:vMerge/>
          </w:tcPr>
          <w:p w14:paraId="74AAC686"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hideMark/>
          </w:tcPr>
          <w:p w14:paraId="6DB7487C" w14:textId="01C81A6F"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4</w:t>
            </w:r>
          </w:p>
        </w:tc>
        <w:tc>
          <w:tcPr>
            <w:tcW w:w="880" w:type="pct"/>
            <w:shd w:val="clear" w:color="auto" w:fill="auto"/>
            <w:vAlign w:val="center"/>
            <w:hideMark/>
          </w:tcPr>
          <w:p w14:paraId="2B64AFD7"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Jueza o Juez 3</w:t>
            </w:r>
          </w:p>
        </w:tc>
        <w:tc>
          <w:tcPr>
            <w:tcW w:w="482" w:type="pct"/>
            <w:shd w:val="clear" w:color="auto" w:fill="auto"/>
            <w:vAlign w:val="center"/>
            <w:hideMark/>
          </w:tcPr>
          <w:p w14:paraId="50BA8912"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p>
        </w:tc>
        <w:tc>
          <w:tcPr>
            <w:tcW w:w="702" w:type="pct"/>
            <w:shd w:val="clear" w:color="auto" w:fill="auto"/>
            <w:vAlign w:val="center"/>
            <w:hideMark/>
          </w:tcPr>
          <w:p w14:paraId="1F2959B3"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Extraordinarias</w:t>
            </w:r>
          </w:p>
        </w:tc>
        <w:tc>
          <w:tcPr>
            <w:tcW w:w="375" w:type="pct"/>
            <w:shd w:val="clear" w:color="auto" w:fill="auto"/>
            <w:vAlign w:val="center"/>
            <w:hideMark/>
          </w:tcPr>
          <w:p w14:paraId="1062D98F" w14:textId="77777777"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2023</w:t>
            </w:r>
          </w:p>
        </w:tc>
        <w:tc>
          <w:tcPr>
            <w:tcW w:w="853" w:type="pct"/>
            <w:vAlign w:val="center"/>
          </w:tcPr>
          <w:p w14:paraId="1C10ABC4" w14:textId="46DDA6A3" w:rsidR="00DC31D1" w:rsidRPr="001C58B7" w:rsidRDefault="00DC31D1" w:rsidP="006C4B6F">
            <w:pPr>
              <w:spacing w:after="0" w:line="240" w:lineRule="auto"/>
              <w:jc w:val="center"/>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sidRPr="00531CE7">
              <w:rPr>
                <w:rFonts w:ascii="Times New Roman" w:eastAsia="Times New Roman" w:hAnsi="Times New Roman" w:cs="Times New Roman"/>
                <w:color w:val="000000"/>
                <w:sz w:val="20"/>
                <w:szCs w:val="20"/>
                <w:lang w:eastAsia="es-CR"/>
              </w:rPr>
              <w:t>₡</w:t>
            </w:r>
            <w:r w:rsidRPr="009B71C9">
              <w:rPr>
                <w:rFonts w:ascii="Book Antiqua" w:eastAsia="Times New Roman" w:hAnsi="Book Antiqua" w:cs="Calibri"/>
                <w:color w:val="000000"/>
                <w:sz w:val="20"/>
                <w:szCs w:val="20"/>
                <w:lang w:eastAsia="es-CR"/>
              </w:rPr>
              <w:t>217 172 000</w:t>
            </w:r>
            <w:r w:rsidRPr="001C58B7">
              <w:rPr>
                <w:rFonts w:ascii="Book Antiqua" w:eastAsia="Times New Roman" w:hAnsi="Book Antiqua" w:cs="Calibri"/>
                <w:color w:val="000000"/>
                <w:sz w:val="20"/>
                <w:szCs w:val="20"/>
                <w:lang w:eastAsia="es-CR"/>
              </w:rPr>
              <w:t>.00</w:t>
            </w:r>
          </w:p>
        </w:tc>
        <w:tc>
          <w:tcPr>
            <w:tcW w:w="843" w:type="pct"/>
            <w:shd w:val="clear" w:color="auto" w:fill="auto"/>
            <w:vAlign w:val="center"/>
            <w:hideMark/>
          </w:tcPr>
          <w:p w14:paraId="3B40F8E6" w14:textId="3800149F" w:rsidR="00DC31D1" w:rsidRPr="001C58B7" w:rsidRDefault="00DC31D1" w:rsidP="009B71C9">
            <w:pPr>
              <w:spacing w:after="0" w:line="240" w:lineRule="auto"/>
              <w:jc w:val="both"/>
              <w:rPr>
                <w:rFonts w:ascii="Book Antiqua" w:eastAsia="Times New Roman" w:hAnsi="Book Antiqua" w:cs="Calibri"/>
                <w:color w:val="000000"/>
                <w:sz w:val="20"/>
                <w:szCs w:val="20"/>
                <w:lang w:eastAsia="es-CR"/>
              </w:rPr>
            </w:pPr>
            <w:r w:rsidRPr="001C58B7">
              <w:rPr>
                <w:rFonts w:ascii="Book Antiqua" w:eastAsia="Times New Roman" w:hAnsi="Book Antiqua" w:cs="Calibri"/>
                <w:color w:val="000000"/>
                <w:sz w:val="20"/>
                <w:szCs w:val="20"/>
                <w:lang w:eastAsia="es-CR"/>
              </w:rPr>
              <w:t xml:space="preserve"> </w:t>
            </w:r>
            <w:r>
              <w:rPr>
                <w:rFonts w:ascii="Times New Roman" w:eastAsia="Times New Roman" w:hAnsi="Times New Roman" w:cs="Times New Roman"/>
                <w:color w:val="000000"/>
                <w:sz w:val="20"/>
                <w:szCs w:val="20"/>
                <w:lang w:eastAsia="es-CR"/>
              </w:rPr>
              <w:t>Planes de descongestionamiento en FA</w:t>
            </w:r>
          </w:p>
        </w:tc>
      </w:tr>
      <w:tr w:rsidR="00DC31D1" w:rsidRPr="00A132C7" w14:paraId="3E4BC0CC" w14:textId="77777777" w:rsidTr="0074593C">
        <w:trPr>
          <w:trHeight w:val="646"/>
          <w:jc w:val="center"/>
        </w:trPr>
        <w:tc>
          <w:tcPr>
            <w:tcW w:w="433" w:type="pct"/>
            <w:vMerge w:val="restart"/>
          </w:tcPr>
          <w:p w14:paraId="4A5A7258" w14:textId="6DB4CE7D"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Estructuras Modelo de Tramitación</w:t>
            </w:r>
            <w:r w:rsidR="008D7BE5" w:rsidRPr="00A132C7">
              <w:rPr>
                <w:rFonts w:ascii="Book Antiqua" w:eastAsia="Times New Roman" w:hAnsi="Book Antiqua" w:cs="Calibri"/>
                <w:color w:val="000000"/>
                <w:sz w:val="20"/>
                <w:szCs w:val="20"/>
                <w:lang w:eastAsia="es-CR"/>
              </w:rPr>
              <w:t xml:space="preserve"> Violencia Doméstica</w:t>
            </w:r>
          </w:p>
        </w:tc>
        <w:tc>
          <w:tcPr>
            <w:tcW w:w="433" w:type="pct"/>
            <w:shd w:val="clear" w:color="auto" w:fill="auto"/>
            <w:vAlign w:val="center"/>
          </w:tcPr>
          <w:p w14:paraId="363E3D12" w14:textId="03A0C962"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2</w:t>
            </w:r>
          </w:p>
        </w:tc>
        <w:tc>
          <w:tcPr>
            <w:tcW w:w="880" w:type="pct"/>
            <w:shd w:val="clear" w:color="auto" w:fill="auto"/>
            <w:vAlign w:val="center"/>
          </w:tcPr>
          <w:p w14:paraId="0CB9B95A" w14:textId="1863D14A"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Jueza o Juez 3</w:t>
            </w:r>
          </w:p>
        </w:tc>
        <w:tc>
          <w:tcPr>
            <w:tcW w:w="482" w:type="pct"/>
            <w:shd w:val="clear" w:color="auto" w:fill="auto"/>
            <w:vAlign w:val="center"/>
          </w:tcPr>
          <w:p w14:paraId="4C08750E" w14:textId="7777777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702" w:type="pct"/>
            <w:shd w:val="clear" w:color="auto" w:fill="auto"/>
            <w:vAlign w:val="center"/>
          </w:tcPr>
          <w:p w14:paraId="7B7F7F3C" w14:textId="752722D1"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Extraordinarias</w:t>
            </w:r>
          </w:p>
        </w:tc>
        <w:tc>
          <w:tcPr>
            <w:tcW w:w="375" w:type="pct"/>
            <w:shd w:val="clear" w:color="auto" w:fill="auto"/>
            <w:vAlign w:val="center"/>
          </w:tcPr>
          <w:p w14:paraId="6541293D" w14:textId="796FAA54"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2023</w:t>
            </w:r>
          </w:p>
        </w:tc>
        <w:tc>
          <w:tcPr>
            <w:tcW w:w="853" w:type="pct"/>
            <w:vAlign w:val="center"/>
          </w:tcPr>
          <w:p w14:paraId="2839664D" w14:textId="2356F923"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Times New Roman" w:eastAsia="Times New Roman" w:hAnsi="Times New Roman" w:cs="Times New Roman"/>
                <w:color w:val="000000"/>
                <w:sz w:val="20"/>
                <w:szCs w:val="20"/>
                <w:lang w:eastAsia="es-CR"/>
              </w:rPr>
              <w:t>₡</w:t>
            </w:r>
            <w:r w:rsidRPr="00A132C7">
              <w:rPr>
                <w:rFonts w:ascii="Book Antiqua" w:eastAsia="Times New Roman" w:hAnsi="Book Antiqua" w:cs="Calibri"/>
                <w:color w:val="000000"/>
                <w:sz w:val="20"/>
                <w:szCs w:val="20"/>
                <w:lang w:eastAsia="es-CR"/>
              </w:rPr>
              <w:t xml:space="preserve"> 108 586 000.00</w:t>
            </w:r>
          </w:p>
        </w:tc>
        <w:tc>
          <w:tcPr>
            <w:tcW w:w="843" w:type="pct"/>
            <w:vMerge w:val="restart"/>
            <w:shd w:val="clear" w:color="auto" w:fill="auto"/>
            <w:vAlign w:val="center"/>
          </w:tcPr>
          <w:p w14:paraId="0FD80086" w14:textId="111382F7" w:rsidR="00DC31D1" w:rsidRPr="00A132C7" w:rsidRDefault="00DC31D1" w:rsidP="009B71C9">
            <w:pPr>
              <w:spacing w:after="0" w:line="240" w:lineRule="auto"/>
              <w:jc w:val="both"/>
              <w:rPr>
                <w:rFonts w:ascii="Book Antiqua" w:eastAsia="Times New Roman" w:hAnsi="Book Antiqua" w:cs="Calibri"/>
                <w:color w:val="000000"/>
                <w:sz w:val="20"/>
                <w:szCs w:val="20"/>
                <w:lang w:eastAsia="es-CR"/>
              </w:rPr>
            </w:pPr>
            <w:r w:rsidRPr="00A132C7">
              <w:rPr>
                <w:rFonts w:ascii="Times New Roman" w:eastAsia="Times New Roman" w:hAnsi="Times New Roman" w:cs="Times New Roman"/>
                <w:color w:val="000000"/>
                <w:sz w:val="20"/>
                <w:szCs w:val="20"/>
                <w:lang w:eastAsia="es-CR"/>
              </w:rPr>
              <w:t>Completar estructuras según modelo</w:t>
            </w:r>
          </w:p>
        </w:tc>
      </w:tr>
      <w:tr w:rsidR="00DC31D1" w:rsidRPr="00A132C7" w14:paraId="5ACE517C" w14:textId="77777777" w:rsidTr="0074593C">
        <w:trPr>
          <w:trHeight w:val="300"/>
          <w:jc w:val="center"/>
        </w:trPr>
        <w:tc>
          <w:tcPr>
            <w:tcW w:w="433" w:type="pct"/>
            <w:vMerge/>
          </w:tcPr>
          <w:p w14:paraId="2C969494" w14:textId="7777777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tcPr>
          <w:p w14:paraId="142D21BA" w14:textId="34940669"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17</w:t>
            </w:r>
          </w:p>
        </w:tc>
        <w:tc>
          <w:tcPr>
            <w:tcW w:w="880" w:type="pct"/>
            <w:shd w:val="clear" w:color="auto" w:fill="auto"/>
            <w:vAlign w:val="center"/>
          </w:tcPr>
          <w:p w14:paraId="2273AB3F" w14:textId="6B042819"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Técnica o Técnico Judicial 2</w:t>
            </w:r>
            <w:r w:rsidR="00FF523A">
              <w:rPr>
                <w:rFonts w:ascii="Book Antiqua" w:eastAsia="Times New Roman" w:hAnsi="Book Antiqua" w:cs="Calibri"/>
                <w:color w:val="000000"/>
                <w:sz w:val="20"/>
                <w:szCs w:val="20"/>
                <w:lang w:eastAsia="es-CR"/>
              </w:rPr>
              <w:t>*</w:t>
            </w:r>
          </w:p>
        </w:tc>
        <w:tc>
          <w:tcPr>
            <w:tcW w:w="482" w:type="pct"/>
            <w:shd w:val="clear" w:color="auto" w:fill="auto"/>
            <w:vAlign w:val="center"/>
          </w:tcPr>
          <w:p w14:paraId="4A7D5F16" w14:textId="7777777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702" w:type="pct"/>
            <w:shd w:val="clear" w:color="auto" w:fill="auto"/>
            <w:vAlign w:val="center"/>
          </w:tcPr>
          <w:p w14:paraId="46B5A89B" w14:textId="4BE642D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Extraordinarias</w:t>
            </w:r>
          </w:p>
        </w:tc>
        <w:tc>
          <w:tcPr>
            <w:tcW w:w="375" w:type="pct"/>
            <w:shd w:val="clear" w:color="auto" w:fill="auto"/>
            <w:vAlign w:val="center"/>
          </w:tcPr>
          <w:p w14:paraId="42122570" w14:textId="5B9F025A"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2023</w:t>
            </w:r>
          </w:p>
        </w:tc>
        <w:tc>
          <w:tcPr>
            <w:tcW w:w="853" w:type="pct"/>
            <w:vAlign w:val="center"/>
          </w:tcPr>
          <w:p w14:paraId="1FDFB855" w14:textId="2DC6CB54"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Times New Roman" w:eastAsia="Times New Roman" w:hAnsi="Times New Roman" w:cs="Times New Roman"/>
                <w:color w:val="000000"/>
                <w:sz w:val="20"/>
                <w:szCs w:val="20"/>
                <w:lang w:eastAsia="es-CR"/>
              </w:rPr>
              <w:t>₡</w:t>
            </w:r>
            <w:r w:rsidRPr="00A132C7">
              <w:rPr>
                <w:rFonts w:ascii="Book Antiqua" w:eastAsia="Times New Roman" w:hAnsi="Book Antiqua" w:cs="Calibri"/>
                <w:color w:val="000000"/>
                <w:sz w:val="20"/>
                <w:szCs w:val="20"/>
                <w:lang w:eastAsia="es-CR"/>
              </w:rPr>
              <w:t xml:space="preserve"> 244 596 000.00</w:t>
            </w:r>
          </w:p>
        </w:tc>
        <w:tc>
          <w:tcPr>
            <w:tcW w:w="843" w:type="pct"/>
            <w:vMerge/>
            <w:shd w:val="clear" w:color="auto" w:fill="auto"/>
            <w:vAlign w:val="center"/>
          </w:tcPr>
          <w:p w14:paraId="4D331F71" w14:textId="3D1669A5"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r>
      <w:tr w:rsidR="00DC31D1" w:rsidRPr="00A132C7" w14:paraId="5C5B8D2C" w14:textId="77777777" w:rsidTr="0074593C">
        <w:trPr>
          <w:trHeight w:val="300"/>
          <w:jc w:val="center"/>
        </w:trPr>
        <w:tc>
          <w:tcPr>
            <w:tcW w:w="433" w:type="pct"/>
            <w:vMerge/>
          </w:tcPr>
          <w:p w14:paraId="1D62134F" w14:textId="7777777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c>
          <w:tcPr>
            <w:tcW w:w="433" w:type="pct"/>
            <w:shd w:val="clear" w:color="auto" w:fill="auto"/>
            <w:vAlign w:val="center"/>
          </w:tcPr>
          <w:p w14:paraId="4D18CE59" w14:textId="42DC6D83"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4</w:t>
            </w:r>
          </w:p>
        </w:tc>
        <w:tc>
          <w:tcPr>
            <w:tcW w:w="880" w:type="pct"/>
            <w:shd w:val="clear" w:color="auto" w:fill="auto"/>
            <w:vAlign w:val="center"/>
          </w:tcPr>
          <w:p w14:paraId="4BB11ADA" w14:textId="6A5F73BA"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Recalificaciones de Aux. Serv. Generales a Técnico/a Judicial</w:t>
            </w:r>
          </w:p>
        </w:tc>
        <w:tc>
          <w:tcPr>
            <w:tcW w:w="482" w:type="pct"/>
            <w:shd w:val="clear" w:color="auto" w:fill="auto"/>
            <w:vAlign w:val="center"/>
          </w:tcPr>
          <w:p w14:paraId="645FF3F6" w14:textId="7A92EAE3"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Ordinarias</w:t>
            </w:r>
          </w:p>
        </w:tc>
        <w:tc>
          <w:tcPr>
            <w:tcW w:w="702" w:type="pct"/>
            <w:shd w:val="clear" w:color="auto" w:fill="auto"/>
            <w:vAlign w:val="center"/>
          </w:tcPr>
          <w:p w14:paraId="501F0B3E" w14:textId="6D96D31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w:t>
            </w:r>
          </w:p>
        </w:tc>
        <w:tc>
          <w:tcPr>
            <w:tcW w:w="375" w:type="pct"/>
            <w:shd w:val="clear" w:color="auto" w:fill="auto"/>
            <w:vAlign w:val="center"/>
          </w:tcPr>
          <w:p w14:paraId="51FF326C" w14:textId="6E71DB01"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r w:rsidRPr="00A132C7">
              <w:rPr>
                <w:rFonts w:ascii="Book Antiqua" w:eastAsia="Times New Roman" w:hAnsi="Book Antiqua" w:cs="Calibri"/>
                <w:color w:val="000000"/>
                <w:sz w:val="20"/>
                <w:szCs w:val="20"/>
                <w:lang w:eastAsia="es-CR"/>
              </w:rPr>
              <w:t>2023</w:t>
            </w:r>
          </w:p>
        </w:tc>
        <w:tc>
          <w:tcPr>
            <w:tcW w:w="853" w:type="pct"/>
            <w:vAlign w:val="center"/>
          </w:tcPr>
          <w:p w14:paraId="463E3E76" w14:textId="21B02441" w:rsidR="00DC31D1" w:rsidRPr="00A132C7" w:rsidRDefault="00DC31D1" w:rsidP="006C4B6F">
            <w:pPr>
              <w:spacing w:after="0" w:line="240" w:lineRule="auto"/>
              <w:jc w:val="center"/>
              <w:rPr>
                <w:rFonts w:ascii="Times New Roman" w:eastAsia="Times New Roman" w:hAnsi="Times New Roman" w:cs="Times New Roman"/>
                <w:color w:val="000000"/>
                <w:sz w:val="20"/>
                <w:szCs w:val="20"/>
                <w:lang w:eastAsia="es-CR"/>
              </w:rPr>
            </w:pPr>
            <w:r w:rsidRPr="00A132C7">
              <w:rPr>
                <w:rFonts w:ascii="Times New Roman" w:eastAsia="Times New Roman" w:hAnsi="Times New Roman" w:cs="Times New Roman"/>
                <w:color w:val="000000"/>
                <w:sz w:val="20"/>
                <w:szCs w:val="20"/>
                <w:lang w:eastAsia="es-CR"/>
              </w:rPr>
              <w:t>₡ 8 848 000</w:t>
            </w:r>
          </w:p>
        </w:tc>
        <w:tc>
          <w:tcPr>
            <w:tcW w:w="843" w:type="pct"/>
            <w:vMerge/>
            <w:shd w:val="clear" w:color="auto" w:fill="auto"/>
            <w:vAlign w:val="center"/>
          </w:tcPr>
          <w:p w14:paraId="5CEF1DEA" w14:textId="77777777" w:rsidR="00DC31D1" w:rsidRPr="00A132C7" w:rsidRDefault="00DC31D1" w:rsidP="006C4B6F">
            <w:pPr>
              <w:spacing w:after="0" w:line="240" w:lineRule="auto"/>
              <w:jc w:val="center"/>
              <w:rPr>
                <w:rFonts w:ascii="Book Antiqua" w:eastAsia="Times New Roman" w:hAnsi="Book Antiqua" w:cs="Calibri"/>
                <w:color w:val="000000"/>
                <w:sz w:val="20"/>
                <w:szCs w:val="20"/>
                <w:lang w:eastAsia="es-CR"/>
              </w:rPr>
            </w:pPr>
          </w:p>
        </w:tc>
      </w:tr>
      <w:tr w:rsidR="00DC31D1" w:rsidRPr="00A132C7" w14:paraId="04B61620" w14:textId="77777777" w:rsidTr="00A132C7">
        <w:trPr>
          <w:trHeight w:val="300"/>
          <w:jc w:val="center"/>
        </w:trPr>
        <w:tc>
          <w:tcPr>
            <w:tcW w:w="433" w:type="pct"/>
          </w:tcPr>
          <w:p w14:paraId="44F29FF8" w14:textId="77777777" w:rsidR="00DC31D1" w:rsidRPr="00A132C7" w:rsidRDefault="00DC31D1" w:rsidP="006C4B6F">
            <w:pPr>
              <w:spacing w:after="0" w:line="240" w:lineRule="auto"/>
              <w:jc w:val="center"/>
              <w:rPr>
                <w:rFonts w:ascii="Book Antiqua" w:eastAsia="Times New Roman" w:hAnsi="Book Antiqua" w:cs="Calibri"/>
                <w:b/>
                <w:bCs/>
                <w:color w:val="000000"/>
                <w:sz w:val="20"/>
                <w:szCs w:val="20"/>
                <w:lang w:eastAsia="es-CR"/>
              </w:rPr>
            </w:pPr>
          </w:p>
        </w:tc>
        <w:tc>
          <w:tcPr>
            <w:tcW w:w="433" w:type="pct"/>
            <w:shd w:val="clear" w:color="auto" w:fill="auto"/>
            <w:noWrap/>
            <w:vAlign w:val="center"/>
            <w:hideMark/>
          </w:tcPr>
          <w:p w14:paraId="3A5F1BDD" w14:textId="63B9E9EC" w:rsidR="00DC31D1" w:rsidRPr="00A132C7" w:rsidRDefault="00460680" w:rsidP="006C4B6F">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3</w:t>
            </w:r>
            <w:r w:rsidR="00DC31D1" w:rsidRPr="00A132C7">
              <w:rPr>
                <w:rFonts w:ascii="Book Antiqua" w:eastAsia="Times New Roman" w:hAnsi="Book Antiqua" w:cs="Calibri"/>
                <w:b/>
                <w:bCs/>
                <w:color w:val="000000"/>
                <w:sz w:val="20"/>
                <w:szCs w:val="20"/>
                <w:lang w:eastAsia="es-CR"/>
              </w:rPr>
              <w:t>1</w:t>
            </w:r>
          </w:p>
        </w:tc>
        <w:tc>
          <w:tcPr>
            <w:tcW w:w="2438" w:type="pct"/>
            <w:gridSpan w:val="4"/>
            <w:shd w:val="clear" w:color="auto" w:fill="auto"/>
            <w:noWrap/>
            <w:vAlign w:val="center"/>
            <w:hideMark/>
          </w:tcPr>
          <w:p w14:paraId="6DBCC3D3" w14:textId="77777777" w:rsidR="00DC31D1" w:rsidRPr="00A132C7" w:rsidRDefault="00DC31D1" w:rsidP="006C4B6F">
            <w:pPr>
              <w:spacing w:after="0" w:line="240" w:lineRule="auto"/>
              <w:jc w:val="center"/>
              <w:rPr>
                <w:rFonts w:ascii="Book Antiqua" w:eastAsia="Times New Roman" w:hAnsi="Book Antiqua" w:cs="Calibri"/>
                <w:b/>
                <w:bCs/>
                <w:color w:val="000000"/>
                <w:sz w:val="20"/>
                <w:szCs w:val="20"/>
                <w:lang w:eastAsia="es-CR"/>
              </w:rPr>
            </w:pPr>
            <w:r w:rsidRPr="00A132C7">
              <w:rPr>
                <w:rFonts w:ascii="Book Antiqua" w:eastAsia="Times New Roman" w:hAnsi="Book Antiqua" w:cs="Calibri"/>
                <w:b/>
                <w:bCs/>
                <w:color w:val="000000"/>
                <w:sz w:val="20"/>
                <w:szCs w:val="20"/>
                <w:lang w:eastAsia="es-CR"/>
              </w:rPr>
              <w:t> </w:t>
            </w:r>
          </w:p>
        </w:tc>
        <w:tc>
          <w:tcPr>
            <w:tcW w:w="853" w:type="pct"/>
            <w:vAlign w:val="center"/>
          </w:tcPr>
          <w:p w14:paraId="0C3A12DB" w14:textId="618E0304" w:rsidR="00DC31D1" w:rsidRPr="00A132C7" w:rsidRDefault="00DC31D1" w:rsidP="006C4B6F">
            <w:pPr>
              <w:spacing w:after="0" w:line="240" w:lineRule="auto"/>
              <w:jc w:val="center"/>
              <w:rPr>
                <w:rFonts w:ascii="Book Antiqua" w:eastAsia="Times New Roman" w:hAnsi="Book Antiqua" w:cs="Calibri"/>
                <w:b/>
                <w:bCs/>
                <w:color w:val="000000"/>
                <w:sz w:val="20"/>
                <w:szCs w:val="20"/>
                <w:lang w:eastAsia="es-CR"/>
              </w:rPr>
            </w:pPr>
            <w:r w:rsidRPr="00A132C7">
              <w:rPr>
                <w:rFonts w:ascii="Times New Roman" w:eastAsia="Times New Roman" w:hAnsi="Times New Roman" w:cs="Times New Roman"/>
                <w:b/>
                <w:bCs/>
                <w:color w:val="000000"/>
                <w:sz w:val="20"/>
                <w:szCs w:val="20"/>
                <w:lang w:eastAsia="es-CR"/>
              </w:rPr>
              <w:t>₡</w:t>
            </w:r>
            <w:r w:rsidR="00890130" w:rsidRPr="00A132C7">
              <w:rPr>
                <w:rFonts w:ascii="Times New Roman" w:eastAsia="Times New Roman" w:hAnsi="Times New Roman" w:cs="Times New Roman"/>
                <w:b/>
                <w:bCs/>
                <w:color w:val="000000"/>
                <w:sz w:val="20"/>
                <w:szCs w:val="20"/>
                <w:lang w:eastAsia="es-CR"/>
              </w:rPr>
              <w:t>905 812</w:t>
            </w:r>
            <w:r w:rsidRPr="00A132C7">
              <w:rPr>
                <w:rFonts w:ascii="Times New Roman" w:eastAsia="Times New Roman" w:hAnsi="Times New Roman" w:cs="Times New Roman"/>
                <w:b/>
                <w:bCs/>
                <w:color w:val="000000"/>
                <w:sz w:val="20"/>
                <w:szCs w:val="20"/>
                <w:lang w:eastAsia="es-CR"/>
              </w:rPr>
              <w:t xml:space="preserve"> 000,00</w:t>
            </w:r>
          </w:p>
        </w:tc>
        <w:tc>
          <w:tcPr>
            <w:tcW w:w="843" w:type="pct"/>
            <w:shd w:val="clear" w:color="auto" w:fill="auto"/>
            <w:noWrap/>
            <w:vAlign w:val="center"/>
            <w:hideMark/>
          </w:tcPr>
          <w:p w14:paraId="7DB16DFC" w14:textId="70CE7733" w:rsidR="00DC31D1" w:rsidRPr="00A132C7" w:rsidRDefault="00DC31D1" w:rsidP="006C4B6F">
            <w:pPr>
              <w:spacing w:after="0" w:line="240" w:lineRule="auto"/>
              <w:jc w:val="center"/>
              <w:rPr>
                <w:rFonts w:ascii="Book Antiqua" w:eastAsia="Times New Roman" w:hAnsi="Book Antiqua" w:cs="Calibri"/>
                <w:b/>
                <w:bCs/>
                <w:color w:val="000000"/>
                <w:sz w:val="20"/>
                <w:szCs w:val="20"/>
                <w:lang w:eastAsia="es-CR"/>
              </w:rPr>
            </w:pPr>
          </w:p>
        </w:tc>
      </w:tr>
    </w:tbl>
    <w:p w14:paraId="749A72F0" w14:textId="331B9D23" w:rsidR="004C7DDB" w:rsidRDefault="004C7DDB" w:rsidP="00316234">
      <w:pPr>
        <w:spacing w:after="0" w:line="276" w:lineRule="auto"/>
        <w:jc w:val="both"/>
        <w:rPr>
          <w:rFonts w:ascii="Book Antiqua" w:eastAsia="Calibri" w:hAnsi="Book Antiqua" w:cs="Arial"/>
          <w:sz w:val="24"/>
          <w:szCs w:val="24"/>
        </w:rPr>
      </w:pPr>
    </w:p>
    <w:p w14:paraId="45680B13" w14:textId="606F02C6" w:rsidR="00FF523A" w:rsidRDefault="00FF523A" w:rsidP="00316234">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*Se hace la observación </w:t>
      </w:r>
      <w:r w:rsidRPr="00FF523A">
        <w:rPr>
          <w:rFonts w:ascii="Book Antiqua" w:eastAsia="Calibri" w:hAnsi="Book Antiqua" w:cs="Arial"/>
          <w:sz w:val="24"/>
          <w:szCs w:val="24"/>
        </w:rPr>
        <w:t xml:space="preserve">que se encuentra en proceso un estudio del Juzgado de Familia, Niñez y Adolescencia para determinar el destino de la plaza de Auxiliar de Servicios Generales que es compartida con el Juzgado de Violencia Doméstica del Primer Circuito Judicial de San José, en el caso de que la plaza sea adscrita al Juzgado de Familia, Niñez y Adolescencia sería necesario crear una plaza adicional de </w:t>
      </w:r>
      <w:r w:rsidRPr="00FF523A">
        <w:rPr>
          <w:rFonts w:ascii="Book Antiqua" w:eastAsia="Calibri" w:hAnsi="Book Antiqua" w:cs="Arial"/>
          <w:sz w:val="24"/>
          <w:szCs w:val="24"/>
        </w:rPr>
        <w:lastRenderedPageBreak/>
        <w:t xml:space="preserve">Técnico Judicial para el Juzgado contra la Violencia Doméstica del Primer Circuito Judicial de San José y restar una recalificación al Cuadro </w:t>
      </w:r>
      <w:r w:rsidR="00F901A8">
        <w:rPr>
          <w:rFonts w:ascii="Book Antiqua" w:eastAsia="Calibri" w:hAnsi="Book Antiqua" w:cs="Arial"/>
          <w:sz w:val="24"/>
          <w:szCs w:val="24"/>
        </w:rPr>
        <w:t>80</w:t>
      </w:r>
      <w:r w:rsidR="00AE0505">
        <w:rPr>
          <w:rFonts w:ascii="Book Antiqua" w:eastAsia="Calibri" w:hAnsi="Book Antiqua" w:cs="Arial"/>
          <w:sz w:val="24"/>
          <w:szCs w:val="24"/>
        </w:rPr>
        <w:t>.</w:t>
      </w:r>
    </w:p>
    <w:p w14:paraId="5FD79B9E" w14:textId="57BB08EF" w:rsidR="00C77752" w:rsidRDefault="00C77752" w:rsidP="00316234">
      <w:p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 xml:space="preserve">Los costos totales estimados por concepto de recurso humano para el CACMFJ </w:t>
      </w:r>
      <w:r w:rsidR="00316234" w:rsidRPr="00A132C7">
        <w:rPr>
          <w:rFonts w:ascii="Book Antiqua" w:eastAsia="Calibri" w:hAnsi="Book Antiqua" w:cs="Arial"/>
          <w:sz w:val="24"/>
          <w:szCs w:val="24"/>
        </w:rPr>
        <w:t>más</w:t>
      </w:r>
      <w:r w:rsidR="006E172D" w:rsidRPr="00A132C7">
        <w:rPr>
          <w:rFonts w:ascii="Book Antiqua" w:eastAsia="Calibri" w:hAnsi="Book Antiqua" w:cs="Arial"/>
          <w:sz w:val="24"/>
          <w:szCs w:val="24"/>
        </w:rPr>
        <w:t xml:space="preserve"> planes de trabajo</w:t>
      </w:r>
      <w:r w:rsidR="00316234" w:rsidRPr="00A132C7">
        <w:rPr>
          <w:rFonts w:ascii="Book Antiqua" w:eastAsia="Calibri" w:hAnsi="Book Antiqua" w:cs="Arial"/>
          <w:sz w:val="24"/>
          <w:szCs w:val="24"/>
        </w:rPr>
        <w:t xml:space="preserve"> </w:t>
      </w:r>
      <w:r w:rsidRPr="00A132C7">
        <w:rPr>
          <w:rFonts w:ascii="Book Antiqua" w:eastAsia="Calibri" w:hAnsi="Book Antiqua" w:cs="Arial"/>
          <w:sz w:val="24"/>
          <w:szCs w:val="24"/>
        </w:rPr>
        <w:t>para el 2023 es de</w:t>
      </w:r>
      <w:r w:rsidR="006E172D" w:rsidRPr="00A132C7">
        <w:rPr>
          <w:rFonts w:ascii="Book Antiqua" w:eastAsia="Calibri" w:hAnsi="Book Antiqua" w:cs="Arial"/>
          <w:sz w:val="24"/>
          <w:szCs w:val="24"/>
        </w:rPr>
        <w:t xml:space="preserve"> </w:t>
      </w:r>
      <w:r w:rsidR="006E172D" w:rsidRPr="00A132C7">
        <w:rPr>
          <w:rFonts w:ascii="Times New Roman" w:eastAsia="Calibri" w:hAnsi="Times New Roman" w:cs="Times New Roman"/>
          <w:sz w:val="24"/>
          <w:szCs w:val="24"/>
        </w:rPr>
        <w:t>₡</w:t>
      </w:r>
      <w:r w:rsidR="00D47C25" w:rsidRPr="00A132C7">
        <w:rPr>
          <w:rFonts w:ascii="Times New Roman" w:eastAsia="Calibri" w:hAnsi="Times New Roman" w:cs="Times New Roman"/>
          <w:sz w:val="24"/>
          <w:szCs w:val="24"/>
        </w:rPr>
        <w:t xml:space="preserve"> </w:t>
      </w:r>
      <w:r w:rsidR="00831D1C" w:rsidRPr="00A132C7">
        <w:rPr>
          <w:rFonts w:ascii="Book Antiqua" w:eastAsia="Calibri" w:hAnsi="Book Antiqua" w:cs="Arial"/>
          <w:sz w:val="24"/>
          <w:szCs w:val="24"/>
        </w:rPr>
        <w:t>905</w:t>
      </w:r>
      <w:r w:rsidR="006E172D" w:rsidRPr="00A132C7">
        <w:rPr>
          <w:rFonts w:ascii="Book Antiqua" w:eastAsia="Calibri" w:hAnsi="Book Antiqua" w:cs="Arial"/>
          <w:sz w:val="24"/>
          <w:szCs w:val="24"/>
        </w:rPr>
        <w:t xml:space="preserve"> </w:t>
      </w:r>
      <w:r w:rsidR="00890130" w:rsidRPr="00A132C7">
        <w:rPr>
          <w:rFonts w:ascii="Book Antiqua" w:eastAsia="Calibri" w:hAnsi="Book Antiqua" w:cs="Arial"/>
          <w:sz w:val="24"/>
          <w:szCs w:val="24"/>
        </w:rPr>
        <w:t>812</w:t>
      </w:r>
      <w:r w:rsidR="006E172D" w:rsidRPr="00A132C7">
        <w:rPr>
          <w:rFonts w:ascii="Book Antiqua" w:eastAsia="Calibri" w:hAnsi="Book Antiqua" w:cs="Arial"/>
          <w:sz w:val="24"/>
          <w:szCs w:val="24"/>
        </w:rPr>
        <w:t xml:space="preserve"> 000,00. </w:t>
      </w:r>
    </w:p>
    <w:p w14:paraId="3D52AAF1" w14:textId="77777777" w:rsidR="00C153A4" w:rsidRPr="00A132C7" w:rsidRDefault="00C153A4" w:rsidP="00316234">
      <w:pPr>
        <w:spacing w:after="0" w:line="276" w:lineRule="auto"/>
        <w:jc w:val="both"/>
        <w:rPr>
          <w:rFonts w:ascii="Book Antiqua" w:eastAsia="Calibri" w:hAnsi="Book Antiqua" w:cs="Arial"/>
          <w:sz w:val="24"/>
          <w:szCs w:val="24"/>
        </w:rPr>
      </w:pPr>
    </w:p>
    <w:p w14:paraId="5FF068D8" w14:textId="6251DBC2" w:rsidR="009B1441" w:rsidRPr="00C153A4" w:rsidRDefault="009B1441"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t>Estimación de activar rubro de disponibilidad en la Jurisdicción</w:t>
      </w:r>
      <w:r w:rsidR="00C17D77" w:rsidRPr="00C153A4">
        <w:rPr>
          <w:rFonts w:ascii="Book Antiqua" w:eastAsiaTheme="majorEastAsia" w:hAnsi="Book Antiqua" w:cstheme="majorBidi"/>
          <w:b/>
          <w:color w:val="1F3864" w:themeColor="accent1" w:themeShade="80"/>
          <w:sz w:val="24"/>
          <w:lang w:val="es-ES"/>
        </w:rPr>
        <w:t xml:space="preserve"> Especializada de Familia</w:t>
      </w:r>
    </w:p>
    <w:p w14:paraId="24F31165" w14:textId="77777777" w:rsidR="009B1441" w:rsidRPr="0033628C" w:rsidRDefault="009B1441" w:rsidP="009B1441">
      <w:pPr>
        <w:spacing w:after="0" w:line="276" w:lineRule="auto"/>
        <w:jc w:val="both"/>
        <w:rPr>
          <w:rFonts w:ascii="Book Antiqua" w:eastAsia="Calibri" w:hAnsi="Book Antiqua" w:cs="Arial"/>
          <w:sz w:val="24"/>
          <w:szCs w:val="24"/>
        </w:rPr>
      </w:pPr>
    </w:p>
    <w:p w14:paraId="1BEF0AE3" w14:textId="59E71A64" w:rsidR="009B1441" w:rsidRDefault="00A57B75" w:rsidP="009B1441">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Como parte de lo previsto en el Código Procesal de Familia, específicamente el numeral 106 bis</w:t>
      </w:r>
      <w:r w:rsidR="004A5EDB">
        <w:rPr>
          <w:rFonts w:ascii="Book Antiqua" w:eastAsia="Calibri" w:hAnsi="Book Antiqua" w:cs="Arial"/>
          <w:sz w:val="24"/>
          <w:szCs w:val="24"/>
        </w:rPr>
        <w:t xml:space="preserve"> de </w:t>
      </w:r>
      <w:r w:rsidR="004A5EDB" w:rsidRPr="00D00CB4">
        <w:rPr>
          <w:rFonts w:ascii="Book Antiqua" w:eastAsia="Calibri" w:hAnsi="Book Antiqua" w:cs="Arial"/>
          <w:bCs/>
          <w:sz w:val="24"/>
          <w:szCs w:val="24"/>
        </w:rPr>
        <w:t>la Ley Orgánica del Poder Judicial,</w:t>
      </w:r>
      <w:r w:rsidR="004A5EDB">
        <w:rPr>
          <w:rFonts w:ascii="Book Antiqua" w:eastAsia="Calibri" w:hAnsi="Book Antiqua" w:cs="Arial"/>
          <w:bCs/>
          <w:sz w:val="24"/>
          <w:szCs w:val="24"/>
        </w:rPr>
        <w:t xml:space="preserve"> se procede a estimar el costo que representaría la activación del rubro de disponibilidad en la Jurisdicción Especializa</w:t>
      </w:r>
      <w:r w:rsidR="00B8245F">
        <w:rPr>
          <w:rFonts w:ascii="Book Antiqua" w:eastAsia="Calibri" w:hAnsi="Book Antiqua" w:cs="Arial"/>
          <w:bCs/>
          <w:sz w:val="24"/>
          <w:szCs w:val="24"/>
        </w:rPr>
        <w:t>da de Familia</w:t>
      </w:r>
      <w:r w:rsidR="00DA353E">
        <w:rPr>
          <w:rFonts w:ascii="Book Antiqua" w:eastAsia="Calibri" w:hAnsi="Book Antiqua" w:cs="Arial"/>
          <w:bCs/>
          <w:sz w:val="24"/>
          <w:szCs w:val="24"/>
        </w:rPr>
        <w:t>.</w:t>
      </w:r>
    </w:p>
    <w:p w14:paraId="3C816CF9" w14:textId="77777777" w:rsidR="009B1441" w:rsidRPr="0033628C" w:rsidRDefault="009B1441" w:rsidP="009B1441">
      <w:pPr>
        <w:spacing w:after="0" w:line="276" w:lineRule="auto"/>
        <w:jc w:val="both"/>
        <w:rPr>
          <w:rFonts w:ascii="Book Antiqua" w:eastAsia="Calibri" w:hAnsi="Book Antiqua" w:cs="Arial"/>
          <w:sz w:val="24"/>
          <w:szCs w:val="24"/>
        </w:rPr>
      </w:pPr>
    </w:p>
    <w:p w14:paraId="4C3E6360" w14:textId="7B6F5074" w:rsidR="009B1441" w:rsidRPr="00E811C6" w:rsidRDefault="009B1441" w:rsidP="00CE6DF8">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811C6">
        <w:rPr>
          <w:rFonts w:ascii="Book Antiqua" w:eastAsia="Calibri" w:hAnsi="Book Antiqua" w:cs="Arial"/>
          <w:b/>
          <w:bCs/>
          <w:color w:val="1F497D"/>
          <w:szCs w:val="24"/>
          <w:lang w:val="es-ES" w:eastAsia="es-ES"/>
        </w:rPr>
        <w:t xml:space="preserve">Cuadro </w:t>
      </w:r>
      <w:r w:rsidRPr="00E811C6">
        <w:rPr>
          <w:rFonts w:ascii="Book Antiqua" w:eastAsia="Calibri" w:hAnsi="Book Antiqua" w:cs="Arial"/>
          <w:b/>
          <w:bCs/>
          <w:color w:val="1F497D"/>
          <w:szCs w:val="24"/>
          <w:lang w:val="es-ES" w:eastAsia="es-ES"/>
        </w:rPr>
        <w:fldChar w:fldCharType="begin"/>
      </w:r>
      <w:r w:rsidRPr="00E811C6">
        <w:rPr>
          <w:rFonts w:ascii="Book Antiqua" w:eastAsia="Calibri" w:hAnsi="Book Antiqua" w:cs="Arial"/>
          <w:b/>
          <w:bCs/>
          <w:color w:val="1F497D"/>
          <w:szCs w:val="24"/>
          <w:lang w:val="es-ES" w:eastAsia="es-ES"/>
        </w:rPr>
        <w:instrText xml:space="preserve"> SEQ Cuadro \* ARABIC </w:instrText>
      </w:r>
      <w:r w:rsidRPr="00E811C6">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81</w:t>
      </w:r>
      <w:r w:rsidRPr="00E811C6">
        <w:rPr>
          <w:rFonts w:ascii="Book Antiqua" w:eastAsia="Calibri" w:hAnsi="Book Antiqua" w:cs="Arial"/>
          <w:b/>
          <w:bCs/>
          <w:color w:val="1F497D"/>
          <w:szCs w:val="24"/>
          <w:lang w:val="es-ES" w:eastAsia="es-ES"/>
        </w:rPr>
        <w:fldChar w:fldCharType="end"/>
      </w:r>
    </w:p>
    <w:p w14:paraId="2D52E38D" w14:textId="48DAA185" w:rsidR="009B1441" w:rsidRPr="00391382" w:rsidRDefault="005B3BC9">
      <w:pPr>
        <w:pStyle w:val="Fuentes"/>
        <w:rPr>
          <w:lang w:val="es-ES" w:eastAsia="es-ES"/>
        </w:rPr>
      </w:pPr>
      <w:r w:rsidRPr="00391382">
        <w:rPr>
          <w:lang w:val="es-ES" w:eastAsia="es-ES"/>
        </w:rPr>
        <w:t>Estimación del costo para activar el rubro de disponibilidad en la Jurisdicción Especializada de Familia</w:t>
      </w:r>
    </w:p>
    <w:tbl>
      <w:tblPr>
        <w:tblW w:w="9700" w:type="dxa"/>
        <w:tblCellMar>
          <w:left w:w="70" w:type="dxa"/>
          <w:right w:w="70" w:type="dxa"/>
        </w:tblCellMar>
        <w:tblLook w:val="04A0" w:firstRow="1" w:lastRow="0" w:firstColumn="1" w:lastColumn="0" w:noHBand="0" w:noVBand="1"/>
      </w:tblPr>
      <w:tblGrid>
        <w:gridCol w:w="600"/>
        <w:gridCol w:w="4780"/>
        <w:gridCol w:w="1200"/>
        <w:gridCol w:w="1700"/>
        <w:gridCol w:w="1420"/>
      </w:tblGrid>
      <w:tr w:rsidR="00C50766" w:rsidRPr="00C50766" w14:paraId="21533A29" w14:textId="77777777" w:rsidTr="00391382">
        <w:trPr>
          <w:trHeight w:val="1840"/>
          <w:tblHeader/>
        </w:trPr>
        <w:tc>
          <w:tcPr>
            <w:tcW w:w="600" w:type="dxa"/>
            <w:tcBorders>
              <w:top w:val="single" w:sz="4" w:space="0" w:color="auto"/>
              <w:left w:val="single" w:sz="4" w:space="0" w:color="auto"/>
              <w:bottom w:val="single" w:sz="4" w:space="0" w:color="auto"/>
              <w:right w:val="single" w:sz="4" w:space="0" w:color="auto"/>
            </w:tcBorders>
            <w:shd w:val="clear" w:color="000000" w:fill="1F4E78"/>
            <w:vAlign w:val="center"/>
            <w:hideMark/>
          </w:tcPr>
          <w:p w14:paraId="2907AB73" w14:textId="77777777" w:rsidR="00C50766" w:rsidRPr="00C50766" w:rsidRDefault="00C50766" w:rsidP="00C50766">
            <w:pPr>
              <w:spacing w:after="0" w:line="240" w:lineRule="auto"/>
              <w:jc w:val="center"/>
              <w:rPr>
                <w:rFonts w:ascii="Book Antiqua" w:eastAsia="Times New Roman" w:hAnsi="Book Antiqua" w:cs="Calibri"/>
                <w:b/>
                <w:bCs/>
                <w:color w:val="FFFFFF"/>
                <w:lang w:eastAsia="es-CR"/>
              </w:rPr>
            </w:pPr>
            <w:r w:rsidRPr="00C50766">
              <w:rPr>
                <w:rFonts w:ascii="Book Antiqua" w:eastAsia="Times New Roman" w:hAnsi="Book Antiqua" w:cs="Calibri"/>
                <w:b/>
                <w:bCs/>
                <w:color w:val="FFFFFF"/>
                <w:lang w:eastAsia="es-CR"/>
              </w:rPr>
              <w:t>#</w:t>
            </w:r>
          </w:p>
        </w:tc>
        <w:tc>
          <w:tcPr>
            <w:tcW w:w="4780" w:type="dxa"/>
            <w:tcBorders>
              <w:top w:val="single" w:sz="4" w:space="0" w:color="auto"/>
              <w:left w:val="nil"/>
              <w:bottom w:val="single" w:sz="4" w:space="0" w:color="auto"/>
              <w:right w:val="single" w:sz="4" w:space="0" w:color="auto"/>
            </w:tcBorders>
            <w:shd w:val="clear" w:color="000000" w:fill="1F4E78"/>
            <w:vAlign w:val="center"/>
            <w:hideMark/>
          </w:tcPr>
          <w:p w14:paraId="26491F30" w14:textId="77777777" w:rsidR="00C50766" w:rsidRPr="00C50766" w:rsidRDefault="00C50766" w:rsidP="00C50766">
            <w:pPr>
              <w:spacing w:after="0" w:line="240" w:lineRule="auto"/>
              <w:jc w:val="center"/>
              <w:rPr>
                <w:rFonts w:ascii="Book Antiqua" w:eastAsia="Times New Roman" w:hAnsi="Book Antiqua" w:cs="Calibri"/>
                <w:b/>
                <w:bCs/>
                <w:color w:val="FFFFFF"/>
                <w:lang w:eastAsia="es-CR"/>
              </w:rPr>
            </w:pPr>
            <w:r w:rsidRPr="00C50766">
              <w:rPr>
                <w:rFonts w:ascii="Book Antiqua" w:eastAsia="Times New Roman" w:hAnsi="Book Antiqua" w:cs="Calibri"/>
                <w:b/>
                <w:bCs/>
                <w:color w:val="FFFFFF"/>
                <w:lang w:eastAsia="es-CR"/>
              </w:rPr>
              <w:t>Despacho</w:t>
            </w:r>
          </w:p>
        </w:tc>
        <w:tc>
          <w:tcPr>
            <w:tcW w:w="1200" w:type="dxa"/>
            <w:tcBorders>
              <w:top w:val="single" w:sz="4" w:space="0" w:color="auto"/>
              <w:left w:val="nil"/>
              <w:bottom w:val="single" w:sz="4" w:space="0" w:color="auto"/>
              <w:right w:val="single" w:sz="4" w:space="0" w:color="auto"/>
            </w:tcBorders>
            <w:shd w:val="clear" w:color="000000" w:fill="1F4E78"/>
            <w:vAlign w:val="center"/>
            <w:hideMark/>
          </w:tcPr>
          <w:p w14:paraId="5E3E480E" w14:textId="77777777" w:rsidR="00C50766" w:rsidRPr="00C50766" w:rsidRDefault="00C50766" w:rsidP="00C50766">
            <w:pPr>
              <w:spacing w:after="0" w:line="240" w:lineRule="auto"/>
              <w:jc w:val="center"/>
              <w:rPr>
                <w:rFonts w:ascii="Book Antiqua" w:eastAsia="Times New Roman" w:hAnsi="Book Antiqua" w:cs="Calibri"/>
                <w:b/>
                <w:bCs/>
                <w:color w:val="FFFFFF"/>
                <w:lang w:eastAsia="es-CR"/>
              </w:rPr>
            </w:pPr>
            <w:r w:rsidRPr="00C50766">
              <w:rPr>
                <w:rFonts w:ascii="Book Antiqua" w:eastAsia="Times New Roman" w:hAnsi="Book Antiqua" w:cs="Calibri"/>
                <w:b/>
                <w:bCs/>
                <w:color w:val="FFFFFF"/>
                <w:lang w:eastAsia="es-CR"/>
              </w:rPr>
              <w:t>Cant. Juezas o Jueces</w:t>
            </w:r>
          </w:p>
        </w:tc>
        <w:tc>
          <w:tcPr>
            <w:tcW w:w="1700" w:type="dxa"/>
            <w:tcBorders>
              <w:top w:val="single" w:sz="4" w:space="0" w:color="auto"/>
              <w:left w:val="nil"/>
              <w:bottom w:val="single" w:sz="4" w:space="0" w:color="auto"/>
              <w:right w:val="single" w:sz="4" w:space="0" w:color="auto"/>
            </w:tcBorders>
            <w:shd w:val="clear" w:color="000000" w:fill="1F4E78"/>
            <w:vAlign w:val="center"/>
            <w:hideMark/>
          </w:tcPr>
          <w:p w14:paraId="165F3634" w14:textId="77777777" w:rsidR="00C50766" w:rsidRPr="00C50766" w:rsidRDefault="00C50766" w:rsidP="00C50766">
            <w:pPr>
              <w:spacing w:after="0" w:line="240" w:lineRule="auto"/>
              <w:jc w:val="center"/>
              <w:rPr>
                <w:rFonts w:ascii="Book Antiqua" w:eastAsia="Times New Roman" w:hAnsi="Book Antiqua" w:cs="Calibri"/>
                <w:b/>
                <w:bCs/>
                <w:color w:val="FFFFFF"/>
                <w:lang w:eastAsia="es-CR"/>
              </w:rPr>
            </w:pPr>
            <w:r w:rsidRPr="00C50766">
              <w:rPr>
                <w:rFonts w:ascii="Book Antiqua" w:eastAsia="Times New Roman" w:hAnsi="Book Antiqua" w:cs="Calibri"/>
                <w:b/>
                <w:bCs/>
                <w:color w:val="FFFFFF"/>
                <w:lang w:eastAsia="es-CR"/>
              </w:rPr>
              <w:t>% Mensual de disponibilidad sobre salario base según estructura</w:t>
            </w:r>
          </w:p>
        </w:tc>
        <w:tc>
          <w:tcPr>
            <w:tcW w:w="1420" w:type="dxa"/>
            <w:tcBorders>
              <w:top w:val="single" w:sz="4" w:space="0" w:color="auto"/>
              <w:left w:val="nil"/>
              <w:bottom w:val="single" w:sz="4" w:space="0" w:color="auto"/>
              <w:right w:val="single" w:sz="4" w:space="0" w:color="auto"/>
            </w:tcBorders>
            <w:shd w:val="clear" w:color="000000" w:fill="1F4E78"/>
            <w:vAlign w:val="center"/>
            <w:hideMark/>
          </w:tcPr>
          <w:p w14:paraId="5DAF18B2" w14:textId="77777777" w:rsidR="00C50766" w:rsidRPr="00C50766" w:rsidRDefault="00C50766" w:rsidP="00C50766">
            <w:pPr>
              <w:spacing w:after="0" w:line="240" w:lineRule="auto"/>
              <w:jc w:val="center"/>
              <w:rPr>
                <w:rFonts w:ascii="Book Antiqua" w:eastAsia="Times New Roman" w:hAnsi="Book Antiqua" w:cs="Calibri"/>
                <w:b/>
                <w:bCs/>
                <w:color w:val="FFFFFF"/>
                <w:lang w:eastAsia="es-CR"/>
              </w:rPr>
            </w:pPr>
            <w:r w:rsidRPr="00C50766">
              <w:rPr>
                <w:rFonts w:ascii="Book Antiqua" w:eastAsia="Times New Roman" w:hAnsi="Book Antiqua" w:cs="Calibri"/>
                <w:b/>
                <w:bCs/>
                <w:color w:val="FFFFFF"/>
                <w:lang w:eastAsia="es-CR"/>
              </w:rPr>
              <w:t>Impacto Económico Mensual por despacho</w:t>
            </w:r>
          </w:p>
        </w:tc>
      </w:tr>
      <w:tr w:rsidR="00C50766" w:rsidRPr="00C50766" w14:paraId="56AB105C" w14:textId="77777777" w:rsidTr="00C50766">
        <w:trPr>
          <w:trHeight w:val="290"/>
        </w:trPr>
        <w:tc>
          <w:tcPr>
            <w:tcW w:w="5380" w:type="dxa"/>
            <w:gridSpan w:val="2"/>
            <w:tcBorders>
              <w:top w:val="single" w:sz="4" w:space="0" w:color="auto"/>
              <w:left w:val="single" w:sz="4" w:space="0" w:color="auto"/>
              <w:bottom w:val="single" w:sz="4" w:space="0" w:color="auto"/>
              <w:right w:val="single" w:sz="4" w:space="0" w:color="auto"/>
            </w:tcBorders>
            <w:shd w:val="clear" w:color="000000" w:fill="DDEBF7"/>
            <w:vAlign w:val="center"/>
            <w:hideMark/>
          </w:tcPr>
          <w:p w14:paraId="10EAF40A" w14:textId="77777777" w:rsidR="00C50766" w:rsidRPr="00C50766" w:rsidRDefault="00C50766" w:rsidP="00C50766">
            <w:pPr>
              <w:spacing w:after="0" w:line="240" w:lineRule="auto"/>
              <w:rPr>
                <w:rFonts w:ascii="Book Antiqua" w:eastAsia="Times New Roman" w:hAnsi="Book Antiqua" w:cs="Calibri"/>
                <w:b/>
                <w:bCs/>
                <w:i/>
                <w:iCs/>
                <w:color w:val="000000"/>
                <w:lang w:eastAsia="es-CR"/>
              </w:rPr>
            </w:pPr>
            <w:r w:rsidRPr="00C50766">
              <w:rPr>
                <w:rFonts w:ascii="Book Antiqua" w:eastAsia="Times New Roman" w:hAnsi="Book Antiqua" w:cs="Calibri"/>
                <w:b/>
                <w:bCs/>
                <w:i/>
                <w:iCs/>
                <w:color w:val="000000"/>
                <w:lang w:eastAsia="es-CR"/>
              </w:rPr>
              <w:t>Salario base:</w:t>
            </w:r>
          </w:p>
        </w:tc>
        <w:tc>
          <w:tcPr>
            <w:tcW w:w="4320"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20A0DF81" w14:textId="77777777" w:rsidR="00C50766" w:rsidRPr="00C50766" w:rsidRDefault="00C50766" w:rsidP="00C50766">
            <w:pPr>
              <w:spacing w:after="0" w:line="240" w:lineRule="auto"/>
              <w:jc w:val="center"/>
              <w:rPr>
                <w:rFonts w:ascii="Book Antiqua" w:eastAsia="Times New Roman" w:hAnsi="Book Antiqua" w:cs="Calibri"/>
                <w:b/>
                <w:bCs/>
                <w:i/>
                <w:iCs/>
                <w:color w:val="000000"/>
                <w:lang w:eastAsia="es-CR"/>
              </w:rPr>
            </w:pPr>
            <w:r w:rsidRPr="00C50766">
              <w:rPr>
                <w:rFonts w:ascii="Times New Roman" w:eastAsia="Times New Roman" w:hAnsi="Times New Roman" w:cs="Times New Roman"/>
                <w:b/>
                <w:bCs/>
                <w:i/>
                <w:iCs/>
                <w:color w:val="000000"/>
                <w:lang w:eastAsia="es-CR"/>
              </w:rPr>
              <w:t>₡</w:t>
            </w:r>
            <w:r w:rsidRPr="00C50766">
              <w:rPr>
                <w:rFonts w:ascii="Book Antiqua" w:eastAsia="Times New Roman" w:hAnsi="Book Antiqua" w:cs="Calibri"/>
                <w:b/>
                <w:bCs/>
                <w:i/>
                <w:iCs/>
                <w:color w:val="000000"/>
                <w:lang w:eastAsia="es-CR"/>
              </w:rPr>
              <w:t>1 199 300</w:t>
            </w:r>
          </w:p>
        </w:tc>
      </w:tr>
      <w:tr w:rsidR="00C50766" w:rsidRPr="00C50766" w14:paraId="66AB4827"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B0BF827"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w:t>
            </w:r>
          </w:p>
        </w:tc>
        <w:tc>
          <w:tcPr>
            <w:tcW w:w="4780" w:type="dxa"/>
            <w:tcBorders>
              <w:top w:val="nil"/>
              <w:left w:val="nil"/>
              <w:bottom w:val="single" w:sz="4" w:space="0" w:color="auto"/>
              <w:right w:val="single" w:sz="4" w:space="0" w:color="auto"/>
            </w:tcBorders>
            <w:shd w:val="clear" w:color="auto" w:fill="auto"/>
            <w:noWrap/>
            <w:vAlign w:val="center"/>
            <w:hideMark/>
          </w:tcPr>
          <w:p w14:paraId="653BB33A"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de Niñez y Adolescencia</w:t>
            </w:r>
          </w:p>
        </w:tc>
        <w:tc>
          <w:tcPr>
            <w:tcW w:w="1200" w:type="dxa"/>
            <w:tcBorders>
              <w:top w:val="nil"/>
              <w:left w:val="nil"/>
              <w:bottom w:val="single" w:sz="4" w:space="0" w:color="auto"/>
              <w:right w:val="single" w:sz="4" w:space="0" w:color="auto"/>
            </w:tcBorders>
            <w:shd w:val="clear" w:color="auto" w:fill="auto"/>
            <w:noWrap/>
            <w:vAlign w:val="center"/>
            <w:hideMark/>
          </w:tcPr>
          <w:p w14:paraId="3E57A7B7"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43C9E3AF"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33308000"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751F59C9"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3FBFD4C"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4780" w:type="dxa"/>
            <w:tcBorders>
              <w:top w:val="nil"/>
              <w:left w:val="nil"/>
              <w:bottom w:val="single" w:sz="4" w:space="0" w:color="auto"/>
              <w:right w:val="single" w:sz="4" w:space="0" w:color="auto"/>
            </w:tcBorders>
            <w:shd w:val="clear" w:color="auto" w:fill="auto"/>
            <w:noWrap/>
            <w:vAlign w:val="center"/>
            <w:hideMark/>
          </w:tcPr>
          <w:p w14:paraId="0531337D"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Primero de Familia San José</w:t>
            </w:r>
          </w:p>
        </w:tc>
        <w:tc>
          <w:tcPr>
            <w:tcW w:w="1200" w:type="dxa"/>
            <w:tcBorders>
              <w:top w:val="nil"/>
              <w:left w:val="nil"/>
              <w:bottom w:val="single" w:sz="4" w:space="0" w:color="auto"/>
              <w:right w:val="single" w:sz="4" w:space="0" w:color="auto"/>
            </w:tcBorders>
            <w:shd w:val="clear" w:color="auto" w:fill="auto"/>
            <w:noWrap/>
            <w:vAlign w:val="center"/>
            <w:hideMark/>
          </w:tcPr>
          <w:p w14:paraId="4B9104F2"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700" w:type="dxa"/>
            <w:tcBorders>
              <w:top w:val="nil"/>
              <w:left w:val="nil"/>
              <w:bottom w:val="single" w:sz="4" w:space="0" w:color="auto"/>
              <w:right w:val="single" w:sz="4" w:space="0" w:color="auto"/>
            </w:tcBorders>
            <w:shd w:val="clear" w:color="auto" w:fill="auto"/>
            <w:noWrap/>
            <w:vAlign w:val="center"/>
            <w:hideMark/>
          </w:tcPr>
          <w:p w14:paraId="15779D25"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420" w:type="dxa"/>
            <w:tcBorders>
              <w:top w:val="nil"/>
              <w:left w:val="nil"/>
              <w:bottom w:val="single" w:sz="4" w:space="0" w:color="auto"/>
              <w:right w:val="single" w:sz="4" w:space="0" w:color="auto"/>
            </w:tcBorders>
            <w:shd w:val="clear" w:color="auto" w:fill="auto"/>
            <w:noWrap/>
            <w:vAlign w:val="center"/>
            <w:hideMark/>
          </w:tcPr>
          <w:p w14:paraId="28D45721"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5379B813"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EC47B31"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4780" w:type="dxa"/>
            <w:tcBorders>
              <w:top w:val="nil"/>
              <w:left w:val="nil"/>
              <w:bottom w:val="single" w:sz="4" w:space="0" w:color="auto"/>
              <w:right w:val="single" w:sz="4" w:space="0" w:color="auto"/>
            </w:tcBorders>
            <w:shd w:val="clear" w:color="auto" w:fill="auto"/>
            <w:noWrap/>
            <w:vAlign w:val="center"/>
            <w:hideMark/>
          </w:tcPr>
          <w:p w14:paraId="62B6D45A"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Segundo de Familia San José</w:t>
            </w:r>
          </w:p>
        </w:tc>
        <w:tc>
          <w:tcPr>
            <w:tcW w:w="1200" w:type="dxa"/>
            <w:tcBorders>
              <w:top w:val="nil"/>
              <w:left w:val="nil"/>
              <w:bottom w:val="single" w:sz="4" w:space="0" w:color="auto"/>
              <w:right w:val="single" w:sz="4" w:space="0" w:color="auto"/>
            </w:tcBorders>
            <w:shd w:val="clear" w:color="auto" w:fill="auto"/>
            <w:noWrap/>
            <w:vAlign w:val="center"/>
            <w:hideMark/>
          </w:tcPr>
          <w:p w14:paraId="1AFD5A76"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700" w:type="dxa"/>
            <w:tcBorders>
              <w:top w:val="nil"/>
              <w:left w:val="nil"/>
              <w:bottom w:val="single" w:sz="4" w:space="0" w:color="auto"/>
              <w:right w:val="single" w:sz="4" w:space="0" w:color="auto"/>
            </w:tcBorders>
            <w:shd w:val="clear" w:color="auto" w:fill="auto"/>
            <w:noWrap/>
            <w:vAlign w:val="center"/>
            <w:hideMark/>
          </w:tcPr>
          <w:p w14:paraId="04842B93"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420" w:type="dxa"/>
            <w:tcBorders>
              <w:top w:val="nil"/>
              <w:left w:val="nil"/>
              <w:bottom w:val="single" w:sz="4" w:space="0" w:color="auto"/>
              <w:right w:val="single" w:sz="4" w:space="0" w:color="auto"/>
            </w:tcBorders>
            <w:shd w:val="clear" w:color="auto" w:fill="auto"/>
            <w:noWrap/>
            <w:vAlign w:val="center"/>
            <w:hideMark/>
          </w:tcPr>
          <w:p w14:paraId="5D885D8C"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62EECF30"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F97802C"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4</w:t>
            </w:r>
          </w:p>
        </w:tc>
        <w:tc>
          <w:tcPr>
            <w:tcW w:w="4780" w:type="dxa"/>
            <w:tcBorders>
              <w:top w:val="nil"/>
              <w:left w:val="nil"/>
              <w:bottom w:val="single" w:sz="4" w:space="0" w:color="auto"/>
              <w:right w:val="single" w:sz="4" w:space="0" w:color="auto"/>
            </w:tcBorders>
            <w:shd w:val="clear" w:color="auto" w:fill="auto"/>
            <w:noWrap/>
            <w:vAlign w:val="center"/>
            <w:hideMark/>
          </w:tcPr>
          <w:p w14:paraId="721D1EED"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II Circ. Jud. San José</w:t>
            </w:r>
          </w:p>
        </w:tc>
        <w:tc>
          <w:tcPr>
            <w:tcW w:w="1200" w:type="dxa"/>
            <w:tcBorders>
              <w:top w:val="nil"/>
              <w:left w:val="nil"/>
              <w:bottom w:val="single" w:sz="4" w:space="0" w:color="auto"/>
              <w:right w:val="single" w:sz="4" w:space="0" w:color="auto"/>
            </w:tcBorders>
            <w:shd w:val="clear" w:color="auto" w:fill="auto"/>
            <w:noWrap/>
            <w:vAlign w:val="center"/>
            <w:hideMark/>
          </w:tcPr>
          <w:p w14:paraId="62386F8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4</w:t>
            </w:r>
          </w:p>
        </w:tc>
        <w:tc>
          <w:tcPr>
            <w:tcW w:w="1700" w:type="dxa"/>
            <w:tcBorders>
              <w:top w:val="nil"/>
              <w:left w:val="nil"/>
              <w:bottom w:val="single" w:sz="4" w:space="0" w:color="auto"/>
              <w:right w:val="single" w:sz="4" w:space="0" w:color="auto"/>
            </w:tcBorders>
            <w:shd w:val="clear" w:color="auto" w:fill="auto"/>
            <w:noWrap/>
            <w:vAlign w:val="center"/>
            <w:hideMark/>
          </w:tcPr>
          <w:p w14:paraId="2A1C14A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w:t>
            </w:r>
          </w:p>
        </w:tc>
        <w:tc>
          <w:tcPr>
            <w:tcW w:w="1420" w:type="dxa"/>
            <w:tcBorders>
              <w:top w:val="nil"/>
              <w:left w:val="nil"/>
              <w:bottom w:val="single" w:sz="4" w:space="0" w:color="auto"/>
              <w:right w:val="single" w:sz="4" w:space="0" w:color="auto"/>
            </w:tcBorders>
            <w:shd w:val="clear" w:color="auto" w:fill="auto"/>
            <w:noWrap/>
            <w:vAlign w:val="center"/>
            <w:hideMark/>
          </w:tcPr>
          <w:p w14:paraId="1251B08D"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47 972</w:t>
            </w:r>
          </w:p>
        </w:tc>
      </w:tr>
      <w:tr w:rsidR="00C50766" w:rsidRPr="00C50766" w14:paraId="7C9A138D"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E8F4697"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5</w:t>
            </w:r>
          </w:p>
        </w:tc>
        <w:tc>
          <w:tcPr>
            <w:tcW w:w="4780" w:type="dxa"/>
            <w:tcBorders>
              <w:top w:val="nil"/>
              <w:left w:val="nil"/>
              <w:bottom w:val="single" w:sz="4" w:space="0" w:color="auto"/>
              <w:right w:val="single" w:sz="4" w:space="0" w:color="auto"/>
            </w:tcBorders>
            <w:shd w:val="clear" w:color="000000" w:fill="FFFFFF"/>
            <w:noWrap/>
            <w:vAlign w:val="center"/>
            <w:hideMark/>
          </w:tcPr>
          <w:p w14:paraId="59940D1C"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 xml:space="preserve">Juzgado de Familia III Circ. Jud. San José </w:t>
            </w:r>
          </w:p>
        </w:tc>
        <w:tc>
          <w:tcPr>
            <w:tcW w:w="1200" w:type="dxa"/>
            <w:tcBorders>
              <w:top w:val="nil"/>
              <w:left w:val="nil"/>
              <w:bottom w:val="single" w:sz="4" w:space="0" w:color="auto"/>
              <w:right w:val="single" w:sz="4" w:space="0" w:color="auto"/>
            </w:tcBorders>
            <w:shd w:val="clear" w:color="000000" w:fill="FFFFFF"/>
            <w:noWrap/>
            <w:vAlign w:val="center"/>
            <w:hideMark/>
          </w:tcPr>
          <w:p w14:paraId="1FC7C790"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700" w:type="dxa"/>
            <w:tcBorders>
              <w:top w:val="nil"/>
              <w:left w:val="nil"/>
              <w:bottom w:val="single" w:sz="4" w:space="0" w:color="auto"/>
              <w:right w:val="single" w:sz="4" w:space="0" w:color="auto"/>
            </w:tcBorders>
            <w:shd w:val="clear" w:color="000000" w:fill="FFFFFF"/>
            <w:noWrap/>
            <w:vAlign w:val="center"/>
            <w:hideMark/>
          </w:tcPr>
          <w:p w14:paraId="4E3F915D"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420" w:type="dxa"/>
            <w:tcBorders>
              <w:top w:val="nil"/>
              <w:left w:val="nil"/>
              <w:bottom w:val="single" w:sz="4" w:space="0" w:color="auto"/>
              <w:right w:val="single" w:sz="4" w:space="0" w:color="auto"/>
            </w:tcBorders>
            <w:shd w:val="clear" w:color="000000" w:fill="FFFFFF"/>
            <w:noWrap/>
            <w:vAlign w:val="center"/>
            <w:hideMark/>
          </w:tcPr>
          <w:p w14:paraId="77B88382"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0EA2D47D"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DECF5D8"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6</w:t>
            </w:r>
          </w:p>
        </w:tc>
        <w:tc>
          <w:tcPr>
            <w:tcW w:w="4780" w:type="dxa"/>
            <w:tcBorders>
              <w:top w:val="nil"/>
              <w:left w:val="nil"/>
              <w:bottom w:val="single" w:sz="4" w:space="0" w:color="auto"/>
              <w:right w:val="single" w:sz="4" w:space="0" w:color="auto"/>
            </w:tcBorders>
            <w:shd w:val="clear" w:color="auto" w:fill="auto"/>
            <w:noWrap/>
            <w:vAlign w:val="center"/>
            <w:hideMark/>
          </w:tcPr>
          <w:p w14:paraId="46A02F6B"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I Circ. Jud. Alajuela</w:t>
            </w:r>
          </w:p>
        </w:tc>
        <w:tc>
          <w:tcPr>
            <w:tcW w:w="1200" w:type="dxa"/>
            <w:tcBorders>
              <w:top w:val="nil"/>
              <w:left w:val="nil"/>
              <w:bottom w:val="single" w:sz="4" w:space="0" w:color="auto"/>
              <w:right w:val="single" w:sz="4" w:space="0" w:color="auto"/>
            </w:tcBorders>
            <w:shd w:val="clear" w:color="auto" w:fill="auto"/>
            <w:noWrap/>
            <w:vAlign w:val="center"/>
            <w:hideMark/>
          </w:tcPr>
          <w:p w14:paraId="0A47EE72"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700" w:type="dxa"/>
            <w:tcBorders>
              <w:top w:val="nil"/>
              <w:left w:val="nil"/>
              <w:bottom w:val="single" w:sz="4" w:space="0" w:color="auto"/>
              <w:right w:val="single" w:sz="4" w:space="0" w:color="auto"/>
            </w:tcBorders>
            <w:shd w:val="clear" w:color="auto" w:fill="auto"/>
            <w:noWrap/>
            <w:vAlign w:val="center"/>
            <w:hideMark/>
          </w:tcPr>
          <w:p w14:paraId="04934556"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420" w:type="dxa"/>
            <w:tcBorders>
              <w:top w:val="nil"/>
              <w:left w:val="nil"/>
              <w:bottom w:val="single" w:sz="4" w:space="0" w:color="auto"/>
              <w:right w:val="single" w:sz="4" w:space="0" w:color="auto"/>
            </w:tcBorders>
            <w:shd w:val="clear" w:color="auto" w:fill="auto"/>
            <w:noWrap/>
            <w:vAlign w:val="center"/>
            <w:hideMark/>
          </w:tcPr>
          <w:p w14:paraId="20D7B761"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342EE494"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7BE877E"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7</w:t>
            </w:r>
          </w:p>
        </w:tc>
        <w:tc>
          <w:tcPr>
            <w:tcW w:w="4780" w:type="dxa"/>
            <w:tcBorders>
              <w:top w:val="nil"/>
              <w:left w:val="nil"/>
              <w:bottom w:val="single" w:sz="4" w:space="0" w:color="auto"/>
              <w:right w:val="single" w:sz="4" w:space="0" w:color="auto"/>
            </w:tcBorders>
            <w:shd w:val="clear" w:color="auto" w:fill="auto"/>
            <w:noWrap/>
            <w:vAlign w:val="center"/>
            <w:hideMark/>
          </w:tcPr>
          <w:p w14:paraId="0360BC93"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Cartago</w:t>
            </w:r>
          </w:p>
        </w:tc>
        <w:tc>
          <w:tcPr>
            <w:tcW w:w="1200" w:type="dxa"/>
            <w:tcBorders>
              <w:top w:val="nil"/>
              <w:left w:val="nil"/>
              <w:bottom w:val="single" w:sz="4" w:space="0" w:color="auto"/>
              <w:right w:val="single" w:sz="4" w:space="0" w:color="auto"/>
            </w:tcBorders>
            <w:shd w:val="clear" w:color="auto" w:fill="auto"/>
            <w:noWrap/>
            <w:vAlign w:val="center"/>
            <w:hideMark/>
          </w:tcPr>
          <w:p w14:paraId="312F180A"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700" w:type="dxa"/>
            <w:tcBorders>
              <w:top w:val="nil"/>
              <w:left w:val="nil"/>
              <w:bottom w:val="single" w:sz="4" w:space="0" w:color="auto"/>
              <w:right w:val="single" w:sz="4" w:space="0" w:color="auto"/>
            </w:tcBorders>
            <w:shd w:val="clear" w:color="auto" w:fill="auto"/>
            <w:noWrap/>
            <w:vAlign w:val="center"/>
            <w:hideMark/>
          </w:tcPr>
          <w:p w14:paraId="76B9F9C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420" w:type="dxa"/>
            <w:tcBorders>
              <w:top w:val="nil"/>
              <w:left w:val="nil"/>
              <w:bottom w:val="single" w:sz="4" w:space="0" w:color="auto"/>
              <w:right w:val="single" w:sz="4" w:space="0" w:color="auto"/>
            </w:tcBorders>
            <w:shd w:val="clear" w:color="auto" w:fill="auto"/>
            <w:noWrap/>
            <w:vAlign w:val="center"/>
            <w:hideMark/>
          </w:tcPr>
          <w:p w14:paraId="57B0C97F"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355CB1B8"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603DAA2"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8</w:t>
            </w:r>
          </w:p>
        </w:tc>
        <w:tc>
          <w:tcPr>
            <w:tcW w:w="4780" w:type="dxa"/>
            <w:tcBorders>
              <w:top w:val="nil"/>
              <w:left w:val="nil"/>
              <w:bottom w:val="single" w:sz="4" w:space="0" w:color="auto"/>
              <w:right w:val="single" w:sz="4" w:space="0" w:color="auto"/>
            </w:tcBorders>
            <w:shd w:val="clear" w:color="auto" w:fill="auto"/>
            <w:noWrap/>
            <w:vAlign w:val="center"/>
            <w:hideMark/>
          </w:tcPr>
          <w:p w14:paraId="5CE73CA9"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Heredia</w:t>
            </w:r>
          </w:p>
        </w:tc>
        <w:tc>
          <w:tcPr>
            <w:tcW w:w="1200" w:type="dxa"/>
            <w:tcBorders>
              <w:top w:val="nil"/>
              <w:left w:val="nil"/>
              <w:bottom w:val="single" w:sz="4" w:space="0" w:color="auto"/>
              <w:right w:val="single" w:sz="4" w:space="0" w:color="auto"/>
            </w:tcBorders>
            <w:shd w:val="clear" w:color="auto" w:fill="auto"/>
            <w:noWrap/>
            <w:vAlign w:val="center"/>
            <w:hideMark/>
          </w:tcPr>
          <w:p w14:paraId="2E0F07FF"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4</w:t>
            </w:r>
          </w:p>
        </w:tc>
        <w:tc>
          <w:tcPr>
            <w:tcW w:w="1700" w:type="dxa"/>
            <w:tcBorders>
              <w:top w:val="nil"/>
              <w:left w:val="nil"/>
              <w:bottom w:val="single" w:sz="4" w:space="0" w:color="auto"/>
              <w:right w:val="single" w:sz="4" w:space="0" w:color="auto"/>
            </w:tcBorders>
            <w:shd w:val="clear" w:color="auto" w:fill="auto"/>
            <w:noWrap/>
            <w:vAlign w:val="center"/>
            <w:hideMark/>
          </w:tcPr>
          <w:p w14:paraId="11B28AFF"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w:t>
            </w:r>
          </w:p>
        </w:tc>
        <w:tc>
          <w:tcPr>
            <w:tcW w:w="1420" w:type="dxa"/>
            <w:tcBorders>
              <w:top w:val="nil"/>
              <w:left w:val="nil"/>
              <w:bottom w:val="single" w:sz="4" w:space="0" w:color="auto"/>
              <w:right w:val="single" w:sz="4" w:space="0" w:color="auto"/>
            </w:tcBorders>
            <w:shd w:val="clear" w:color="auto" w:fill="auto"/>
            <w:noWrap/>
            <w:vAlign w:val="center"/>
            <w:hideMark/>
          </w:tcPr>
          <w:p w14:paraId="098B0573"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47 972</w:t>
            </w:r>
          </w:p>
        </w:tc>
      </w:tr>
      <w:tr w:rsidR="00C50766" w:rsidRPr="00C50766" w14:paraId="262200A1"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01AA860"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9</w:t>
            </w:r>
          </w:p>
        </w:tc>
        <w:tc>
          <w:tcPr>
            <w:tcW w:w="4780" w:type="dxa"/>
            <w:tcBorders>
              <w:top w:val="nil"/>
              <w:left w:val="nil"/>
              <w:bottom w:val="single" w:sz="4" w:space="0" w:color="auto"/>
              <w:right w:val="single" w:sz="4" w:space="0" w:color="auto"/>
            </w:tcBorders>
            <w:shd w:val="clear" w:color="auto" w:fill="auto"/>
            <w:noWrap/>
            <w:vAlign w:val="center"/>
            <w:hideMark/>
          </w:tcPr>
          <w:p w14:paraId="59BA3E1E"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II Circ. Jud. Alajuela</w:t>
            </w:r>
          </w:p>
        </w:tc>
        <w:tc>
          <w:tcPr>
            <w:tcW w:w="1200" w:type="dxa"/>
            <w:tcBorders>
              <w:top w:val="nil"/>
              <w:left w:val="nil"/>
              <w:bottom w:val="single" w:sz="4" w:space="0" w:color="auto"/>
              <w:right w:val="single" w:sz="4" w:space="0" w:color="auto"/>
            </w:tcBorders>
            <w:shd w:val="clear" w:color="auto" w:fill="auto"/>
            <w:noWrap/>
            <w:vAlign w:val="center"/>
            <w:hideMark/>
          </w:tcPr>
          <w:p w14:paraId="58EDFD88"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3D24352E"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3118F955"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73A04984"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17EF6A9"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10</w:t>
            </w:r>
          </w:p>
        </w:tc>
        <w:tc>
          <w:tcPr>
            <w:tcW w:w="4780" w:type="dxa"/>
            <w:tcBorders>
              <w:top w:val="nil"/>
              <w:left w:val="nil"/>
              <w:bottom w:val="single" w:sz="4" w:space="0" w:color="auto"/>
              <w:right w:val="single" w:sz="4" w:space="0" w:color="auto"/>
            </w:tcBorders>
            <w:shd w:val="clear" w:color="auto" w:fill="auto"/>
            <w:noWrap/>
            <w:vAlign w:val="center"/>
            <w:hideMark/>
          </w:tcPr>
          <w:p w14:paraId="7EC96085"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Puntarenas</w:t>
            </w:r>
          </w:p>
        </w:tc>
        <w:tc>
          <w:tcPr>
            <w:tcW w:w="1200" w:type="dxa"/>
            <w:tcBorders>
              <w:top w:val="nil"/>
              <w:left w:val="nil"/>
              <w:bottom w:val="single" w:sz="4" w:space="0" w:color="auto"/>
              <w:right w:val="single" w:sz="4" w:space="0" w:color="auto"/>
            </w:tcBorders>
            <w:shd w:val="clear" w:color="auto" w:fill="auto"/>
            <w:noWrap/>
            <w:vAlign w:val="center"/>
            <w:hideMark/>
          </w:tcPr>
          <w:p w14:paraId="0E88D830"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32DA70D8"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0127EC48"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1866F8A4"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731321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11</w:t>
            </w:r>
          </w:p>
        </w:tc>
        <w:tc>
          <w:tcPr>
            <w:tcW w:w="4780" w:type="dxa"/>
            <w:tcBorders>
              <w:top w:val="nil"/>
              <w:left w:val="nil"/>
              <w:bottom w:val="single" w:sz="4" w:space="0" w:color="auto"/>
              <w:right w:val="single" w:sz="4" w:space="0" w:color="auto"/>
            </w:tcBorders>
            <w:shd w:val="clear" w:color="auto" w:fill="auto"/>
            <w:noWrap/>
            <w:vAlign w:val="center"/>
            <w:hideMark/>
          </w:tcPr>
          <w:p w14:paraId="655C236D"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 xml:space="preserve">Juzgado Familia I Circ. Jud. Zona Sur </w:t>
            </w:r>
          </w:p>
        </w:tc>
        <w:tc>
          <w:tcPr>
            <w:tcW w:w="1200" w:type="dxa"/>
            <w:tcBorders>
              <w:top w:val="nil"/>
              <w:left w:val="nil"/>
              <w:bottom w:val="single" w:sz="4" w:space="0" w:color="auto"/>
              <w:right w:val="single" w:sz="4" w:space="0" w:color="auto"/>
            </w:tcBorders>
            <w:shd w:val="clear" w:color="auto" w:fill="auto"/>
            <w:noWrap/>
            <w:vAlign w:val="center"/>
            <w:hideMark/>
          </w:tcPr>
          <w:p w14:paraId="1AC802D6"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06219759"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51B7EF5F"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33C4118C"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15D58FC"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12</w:t>
            </w:r>
          </w:p>
        </w:tc>
        <w:tc>
          <w:tcPr>
            <w:tcW w:w="4780" w:type="dxa"/>
            <w:tcBorders>
              <w:top w:val="nil"/>
              <w:left w:val="nil"/>
              <w:bottom w:val="single" w:sz="4" w:space="0" w:color="auto"/>
              <w:right w:val="single" w:sz="4" w:space="0" w:color="auto"/>
            </w:tcBorders>
            <w:shd w:val="clear" w:color="auto" w:fill="auto"/>
            <w:noWrap/>
            <w:vAlign w:val="center"/>
            <w:hideMark/>
          </w:tcPr>
          <w:p w14:paraId="352B983C"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I Circ. Jud. Zona Atlántica</w:t>
            </w:r>
          </w:p>
        </w:tc>
        <w:tc>
          <w:tcPr>
            <w:tcW w:w="1200" w:type="dxa"/>
            <w:tcBorders>
              <w:top w:val="nil"/>
              <w:left w:val="nil"/>
              <w:bottom w:val="single" w:sz="4" w:space="0" w:color="auto"/>
              <w:right w:val="single" w:sz="4" w:space="0" w:color="auto"/>
            </w:tcBorders>
            <w:shd w:val="clear" w:color="auto" w:fill="auto"/>
            <w:noWrap/>
            <w:vAlign w:val="center"/>
            <w:hideMark/>
          </w:tcPr>
          <w:p w14:paraId="647C03B8"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04A7A674"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2EA9663E"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53B7BFAD" w14:textId="77777777" w:rsidTr="00C50766">
        <w:trPr>
          <w:trHeight w:val="29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3E1E41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13</w:t>
            </w:r>
          </w:p>
        </w:tc>
        <w:tc>
          <w:tcPr>
            <w:tcW w:w="4780" w:type="dxa"/>
            <w:tcBorders>
              <w:top w:val="nil"/>
              <w:left w:val="nil"/>
              <w:bottom w:val="single" w:sz="4" w:space="0" w:color="auto"/>
              <w:right w:val="single" w:sz="4" w:space="0" w:color="auto"/>
            </w:tcBorders>
            <w:shd w:val="clear" w:color="auto" w:fill="auto"/>
            <w:noWrap/>
            <w:vAlign w:val="center"/>
            <w:hideMark/>
          </w:tcPr>
          <w:p w14:paraId="0BF894C9" w14:textId="77777777" w:rsidR="00C50766" w:rsidRPr="00C50766" w:rsidRDefault="00C50766" w:rsidP="00C50766">
            <w:pPr>
              <w:spacing w:after="0" w:line="240" w:lineRule="auto"/>
              <w:jc w:val="both"/>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Juzgado Familia II Circ. Jud. Zona Atlántica</w:t>
            </w:r>
          </w:p>
        </w:tc>
        <w:tc>
          <w:tcPr>
            <w:tcW w:w="1200" w:type="dxa"/>
            <w:tcBorders>
              <w:top w:val="nil"/>
              <w:left w:val="nil"/>
              <w:bottom w:val="single" w:sz="4" w:space="0" w:color="auto"/>
              <w:right w:val="single" w:sz="4" w:space="0" w:color="auto"/>
            </w:tcBorders>
            <w:shd w:val="clear" w:color="auto" w:fill="auto"/>
            <w:noWrap/>
            <w:vAlign w:val="center"/>
            <w:hideMark/>
          </w:tcPr>
          <w:p w14:paraId="5A70A69B"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2</w:t>
            </w:r>
          </w:p>
        </w:tc>
        <w:tc>
          <w:tcPr>
            <w:tcW w:w="1700" w:type="dxa"/>
            <w:tcBorders>
              <w:top w:val="nil"/>
              <w:left w:val="nil"/>
              <w:bottom w:val="single" w:sz="4" w:space="0" w:color="auto"/>
              <w:right w:val="single" w:sz="4" w:space="0" w:color="auto"/>
            </w:tcBorders>
            <w:shd w:val="clear" w:color="auto" w:fill="auto"/>
            <w:noWrap/>
            <w:vAlign w:val="center"/>
            <w:hideMark/>
          </w:tcPr>
          <w:p w14:paraId="2EB45C01"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Book Antiqua" w:eastAsia="Times New Roman" w:hAnsi="Book Antiqua" w:cs="Calibri"/>
                <w:color w:val="000000"/>
                <w:lang w:eastAsia="es-CR"/>
              </w:rPr>
              <w:t>3%</w:t>
            </w:r>
          </w:p>
        </w:tc>
        <w:tc>
          <w:tcPr>
            <w:tcW w:w="1420" w:type="dxa"/>
            <w:tcBorders>
              <w:top w:val="nil"/>
              <w:left w:val="nil"/>
              <w:bottom w:val="single" w:sz="4" w:space="0" w:color="auto"/>
              <w:right w:val="single" w:sz="4" w:space="0" w:color="auto"/>
            </w:tcBorders>
            <w:shd w:val="clear" w:color="auto" w:fill="auto"/>
            <w:noWrap/>
            <w:vAlign w:val="center"/>
            <w:hideMark/>
          </w:tcPr>
          <w:p w14:paraId="583A6815" w14:textId="77777777" w:rsidR="00C50766" w:rsidRPr="00C50766" w:rsidRDefault="00C50766" w:rsidP="00C50766">
            <w:pPr>
              <w:spacing w:after="0" w:line="240" w:lineRule="auto"/>
              <w:jc w:val="center"/>
              <w:rPr>
                <w:rFonts w:ascii="Book Antiqua" w:eastAsia="Times New Roman" w:hAnsi="Book Antiqua" w:cs="Calibri"/>
                <w:color w:val="000000"/>
                <w:lang w:eastAsia="es-CR"/>
              </w:rPr>
            </w:pPr>
            <w:r w:rsidRPr="00C50766">
              <w:rPr>
                <w:rFonts w:ascii="Times New Roman" w:eastAsia="Times New Roman" w:hAnsi="Times New Roman" w:cs="Times New Roman"/>
                <w:color w:val="000000"/>
                <w:lang w:eastAsia="es-CR"/>
              </w:rPr>
              <w:t>₡</w:t>
            </w:r>
            <w:r w:rsidRPr="00C50766">
              <w:rPr>
                <w:rFonts w:ascii="Book Antiqua" w:eastAsia="Times New Roman" w:hAnsi="Book Antiqua" w:cs="Calibri"/>
                <w:color w:val="000000"/>
                <w:lang w:eastAsia="es-CR"/>
              </w:rPr>
              <w:t>71 958</w:t>
            </w:r>
          </w:p>
        </w:tc>
      </w:tr>
      <w:tr w:rsidR="00C50766" w:rsidRPr="00C50766" w14:paraId="3D814BDB" w14:textId="77777777" w:rsidTr="00C50766">
        <w:trPr>
          <w:trHeight w:val="520"/>
        </w:trPr>
        <w:tc>
          <w:tcPr>
            <w:tcW w:w="8280" w:type="dxa"/>
            <w:gridSpan w:val="4"/>
            <w:tcBorders>
              <w:top w:val="single" w:sz="4" w:space="0" w:color="auto"/>
              <w:left w:val="single" w:sz="4" w:space="0" w:color="auto"/>
              <w:bottom w:val="single" w:sz="4" w:space="0" w:color="auto"/>
              <w:right w:val="single" w:sz="4" w:space="0" w:color="auto"/>
            </w:tcBorders>
            <w:shd w:val="clear" w:color="000000" w:fill="DDEBF7"/>
            <w:vAlign w:val="center"/>
            <w:hideMark/>
          </w:tcPr>
          <w:p w14:paraId="4B4125B7" w14:textId="77777777" w:rsidR="00C50766" w:rsidRPr="00C50766" w:rsidRDefault="00C50766" w:rsidP="00C50766">
            <w:pPr>
              <w:spacing w:after="0" w:line="240" w:lineRule="auto"/>
              <w:jc w:val="right"/>
              <w:rPr>
                <w:rFonts w:ascii="Book Antiqua" w:eastAsia="Times New Roman" w:hAnsi="Book Antiqua" w:cs="Calibri"/>
                <w:b/>
                <w:bCs/>
                <w:color w:val="000000"/>
                <w:lang w:eastAsia="es-CR"/>
              </w:rPr>
            </w:pPr>
            <w:r w:rsidRPr="00C50766">
              <w:rPr>
                <w:rFonts w:ascii="Book Antiqua" w:eastAsia="Times New Roman" w:hAnsi="Book Antiqua" w:cs="Calibri"/>
                <w:b/>
                <w:bCs/>
                <w:color w:val="000000"/>
                <w:lang w:eastAsia="es-CR"/>
              </w:rPr>
              <w:t>Costo del impacto económico anual por activar disponibilidad en la Jurisdicción Especializada de Familia:</w:t>
            </w:r>
          </w:p>
        </w:tc>
        <w:tc>
          <w:tcPr>
            <w:tcW w:w="1420" w:type="dxa"/>
            <w:tcBorders>
              <w:top w:val="nil"/>
              <w:left w:val="nil"/>
              <w:bottom w:val="single" w:sz="4" w:space="0" w:color="auto"/>
              <w:right w:val="single" w:sz="4" w:space="0" w:color="auto"/>
            </w:tcBorders>
            <w:shd w:val="clear" w:color="000000" w:fill="DDEBF7"/>
            <w:noWrap/>
            <w:vAlign w:val="center"/>
            <w:hideMark/>
          </w:tcPr>
          <w:p w14:paraId="1D50BD77" w14:textId="77777777" w:rsidR="00C50766" w:rsidRPr="00C50766" w:rsidRDefault="00C50766" w:rsidP="00C50766">
            <w:pPr>
              <w:spacing w:after="0" w:line="240" w:lineRule="auto"/>
              <w:jc w:val="right"/>
              <w:rPr>
                <w:rFonts w:ascii="Book Antiqua" w:eastAsia="Times New Roman" w:hAnsi="Book Antiqua" w:cs="Calibri"/>
                <w:b/>
                <w:bCs/>
                <w:color w:val="000000"/>
                <w:lang w:eastAsia="es-CR"/>
              </w:rPr>
            </w:pPr>
            <w:r w:rsidRPr="00C50766">
              <w:rPr>
                <w:rFonts w:ascii="Times New Roman" w:eastAsia="Times New Roman" w:hAnsi="Times New Roman" w:cs="Times New Roman"/>
                <w:b/>
                <w:bCs/>
                <w:color w:val="000000"/>
                <w:lang w:eastAsia="es-CR"/>
              </w:rPr>
              <w:t>₡</w:t>
            </w:r>
            <w:r w:rsidRPr="00C50766">
              <w:rPr>
                <w:rFonts w:ascii="Book Antiqua" w:eastAsia="Times New Roman" w:hAnsi="Book Antiqua" w:cs="Calibri"/>
                <w:b/>
                <w:bCs/>
                <w:color w:val="000000"/>
                <w:lang w:eastAsia="es-CR"/>
              </w:rPr>
              <w:t>10 649 784</w:t>
            </w:r>
          </w:p>
        </w:tc>
      </w:tr>
    </w:tbl>
    <w:p w14:paraId="1706C164" w14:textId="7FDF98D6" w:rsidR="005B3BC9" w:rsidRPr="00C50766" w:rsidRDefault="00D6038D">
      <w:pPr>
        <w:pStyle w:val="Fuentes"/>
      </w:pPr>
      <w:r w:rsidRPr="00D6038D">
        <w:lastRenderedPageBreak/>
        <w:t xml:space="preserve">Fuente: Dirección de Gestión Humana. Índice Salarial 2021 </w:t>
      </w:r>
      <w:hyperlink r:id="rId76" w:history="1">
        <w:r w:rsidRPr="006F7183">
          <w:rPr>
            <w:rStyle w:val="Hipervnculo"/>
            <w:rFonts w:cstheme="minorBidi"/>
          </w:rPr>
          <w:t>https://gestionhumana.poder-judicial.go.cr/index.php/indice-salarial</w:t>
        </w:r>
      </w:hyperlink>
      <w:r>
        <w:t xml:space="preserve"> </w:t>
      </w:r>
    </w:p>
    <w:p w14:paraId="37D8C45D" w14:textId="77777777" w:rsidR="00D6038D" w:rsidRPr="00C50766" w:rsidRDefault="00D6038D" w:rsidP="00500D68">
      <w:pPr>
        <w:pStyle w:val="Fuentes"/>
      </w:pPr>
    </w:p>
    <w:p w14:paraId="091F6F34" w14:textId="5B5A9F08" w:rsidR="00500D68" w:rsidRDefault="00500D68" w:rsidP="00391382">
      <w:pPr>
        <w:spacing w:after="0" w:line="276" w:lineRule="auto"/>
        <w:jc w:val="both"/>
        <w:rPr>
          <w:rFonts w:ascii="Book Antiqua" w:eastAsia="Times New Roman" w:hAnsi="Book Antiqua" w:cs="Calibri"/>
          <w:color w:val="000000"/>
          <w:lang w:eastAsia="es-CR"/>
        </w:rPr>
      </w:pPr>
      <w:r w:rsidRPr="00391382">
        <w:rPr>
          <w:rFonts w:ascii="Book Antiqua" w:eastAsia="Calibri" w:hAnsi="Book Antiqua" w:cs="Arial"/>
          <w:sz w:val="24"/>
          <w:szCs w:val="24"/>
        </w:rPr>
        <w:t xml:space="preserve">Del cuadro anterior, se desprende una estimación anual de </w:t>
      </w:r>
      <w:r w:rsidRPr="00500D68">
        <w:rPr>
          <w:rFonts w:ascii="Times New Roman" w:eastAsia="Times New Roman" w:hAnsi="Times New Roman" w:cs="Times New Roman"/>
          <w:color w:val="000000"/>
          <w:lang w:eastAsia="es-CR"/>
        </w:rPr>
        <w:t>₡</w:t>
      </w:r>
      <w:r w:rsidRPr="00391382">
        <w:rPr>
          <w:rFonts w:ascii="Book Antiqua" w:eastAsia="Times New Roman" w:hAnsi="Book Antiqua" w:cs="Calibri"/>
          <w:color w:val="000000"/>
          <w:lang w:eastAsia="es-CR"/>
        </w:rPr>
        <w:t>10 649 784 para activar el rubro de disponibilidad en los despachos especializados de Familia. Sin embargo, es importante indicar que esta estimación deberá analizarse con posterioridad</w:t>
      </w:r>
      <w:r w:rsidR="0010080A">
        <w:rPr>
          <w:rFonts w:ascii="Book Antiqua" w:eastAsia="Times New Roman" w:hAnsi="Book Antiqua" w:cs="Calibri"/>
          <w:color w:val="000000"/>
          <w:lang w:eastAsia="es-CR"/>
        </w:rPr>
        <w:t xml:space="preserve">, con el propósito de </w:t>
      </w:r>
      <w:r w:rsidRPr="00391382">
        <w:rPr>
          <w:rFonts w:ascii="Book Antiqua" w:eastAsia="Times New Roman" w:hAnsi="Book Antiqua" w:cs="Calibri"/>
          <w:color w:val="000000"/>
          <w:lang w:eastAsia="es-CR"/>
        </w:rPr>
        <w:t>proyectar el gasto que representaría el consumo de horas extras</w:t>
      </w:r>
      <w:r>
        <w:rPr>
          <w:rFonts w:ascii="Book Antiqua" w:eastAsia="Times New Roman" w:hAnsi="Book Antiqua" w:cs="Calibri"/>
          <w:color w:val="000000"/>
          <w:lang w:eastAsia="es-CR"/>
        </w:rPr>
        <w:t xml:space="preserve">, según la cantidad de diligencias </w:t>
      </w:r>
      <w:r w:rsidR="0010080A">
        <w:rPr>
          <w:rFonts w:ascii="Book Antiqua" w:eastAsia="Times New Roman" w:hAnsi="Book Antiqua" w:cs="Calibri"/>
          <w:color w:val="000000"/>
          <w:lang w:eastAsia="es-CR"/>
        </w:rPr>
        <w:t xml:space="preserve">nuevas que serían </w:t>
      </w:r>
      <w:r>
        <w:rPr>
          <w:rFonts w:ascii="Book Antiqua" w:eastAsia="Times New Roman" w:hAnsi="Book Antiqua" w:cs="Calibri"/>
          <w:color w:val="000000"/>
          <w:lang w:eastAsia="es-CR"/>
        </w:rPr>
        <w:t>atendidas en jornada extraordinaria</w:t>
      </w:r>
      <w:r w:rsidRPr="00391382">
        <w:rPr>
          <w:rFonts w:ascii="Book Antiqua" w:eastAsia="Times New Roman" w:hAnsi="Book Antiqua" w:cs="Calibri"/>
          <w:color w:val="000000"/>
          <w:lang w:eastAsia="es-CR"/>
        </w:rPr>
        <w:t>.</w:t>
      </w:r>
    </w:p>
    <w:p w14:paraId="3E93D78A" w14:textId="77777777" w:rsidR="00E2229F" w:rsidRPr="00391382" w:rsidRDefault="00E2229F" w:rsidP="00391382">
      <w:pPr>
        <w:spacing w:after="0" w:line="276" w:lineRule="auto"/>
        <w:jc w:val="both"/>
        <w:rPr>
          <w:rFonts w:eastAsia="Calibri" w:cs="Arial"/>
          <w:szCs w:val="24"/>
        </w:rPr>
      </w:pPr>
    </w:p>
    <w:p w14:paraId="589F17C6" w14:textId="77777777" w:rsidR="005B3BE1" w:rsidRPr="00C153A4" w:rsidRDefault="005B3BE1"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t>Gastos variables programa 927:</w:t>
      </w:r>
    </w:p>
    <w:p w14:paraId="6791050A" w14:textId="77777777" w:rsidR="00C153A4" w:rsidRDefault="00C153A4" w:rsidP="005B3BE1">
      <w:pPr>
        <w:spacing w:after="0" w:line="276" w:lineRule="auto"/>
        <w:jc w:val="both"/>
        <w:rPr>
          <w:rFonts w:ascii="Book Antiqua" w:eastAsia="Calibri" w:hAnsi="Book Antiqua" w:cs="Arial"/>
          <w:b/>
          <w:bCs/>
          <w:sz w:val="24"/>
          <w:szCs w:val="24"/>
        </w:rPr>
      </w:pPr>
    </w:p>
    <w:p w14:paraId="6A5FF00D" w14:textId="12126A9F" w:rsidR="005B3BE1" w:rsidRPr="009B71C9" w:rsidRDefault="00CF0E4E" w:rsidP="005B3BE1">
      <w:pPr>
        <w:spacing w:after="0" w:line="276" w:lineRule="auto"/>
        <w:jc w:val="both"/>
        <w:rPr>
          <w:rFonts w:ascii="Book Antiqua" w:eastAsia="Calibri" w:hAnsi="Book Antiqua" w:cs="Arial"/>
          <w:b/>
          <w:bCs/>
          <w:sz w:val="24"/>
          <w:szCs w:val="24"/>
        </w:rPr>
      </w:pPr>
      <w:r w:rsidRPr="009B71C9">
        <w:rPr>
          <w:rFonts w:ascii="Book Antiqua" w:eastAsia="Calibri" w:hAnsi="Book Antiqua" w:cs="Arial"/>
          <w:b/>
          <w:bCs/>
          <w:sz w:val="24"/>
          <w:szCs w:val="24"/>
        </w:rPr>
        <w:t>Mobiliario y equipo:</w:t>
      </w:r>
    </w:p>
    <w:p w14:paraId="0544A119" w14:textId="4249B95A" w:rsidR="00CC4934" w:rsidRPr="006F6088" w:rsidRDefault="005B3BE1" w:rsidP="00CC4934">
      <w:pPr>
        <w:spacing w:after="0" w:line="276" w:lineRule="auto"/>
        <w:jc w:val="both"/>
        <w:rPr>
          <w:rFonts w:ascii="Book Antiqua" w:eastAsia="Calibri" w:hAnsi="Book Antiqua" w:cs="Arial"/>
          <w:sz w:val="24"/>
          <w:szCs w:val="24"/>
        </w:rPr>
      </w:pPr>
      <w:r w:rsidRPr="005B3BE1">
        <w:rPr>
          <w:rFonts w:ascii="Book Antiqua" w:eastAsia="Calibri" w:hAnsi="Book Antiqua" w:cs="Arial"/>
          <w:sz w:val="24"/>
          <w:szCs w:val="24"/>
        </w:rPr>
        <w:t xml:space="preserve">La Dirección Ejecutiva estima el gasto variable (equipo y mobiliario de oficina) para las </w:t>
      </w:r>
      <w:r w:rsidR="00CF0E4E">
        <w:rPr>
          <w:rFonts w:ascii="Book Antiqua" w:eastAsia="Calibri" w:hAnsi="Book Antiqua" w:cs="Arial"/>
          <w:sz w:val="24"/>
          <w:szCs w:val="24"/>
        </w:rPr>
        <w:t xml:space="preserve">26 </w:t>
      </w:r>
      <w:r w:rsidRPr="005B3BE1">
        <w:rPr>
          <w:rFonts w:ascii="Book Antiqua" w:eastAsia="Calibri" w:hAnsi="Book Antiqua" w:cs="Arial"/>
          <w:sz w:val="24"/>
          <w:szCs w:val="24"/>
        </w:rPr>
        <w:t xml:space="preserve">plazas nuevas en </w:t>
      </w:r>
      <w:r w:rsidRPr="001D0C10">
        <w:rPr>
          <w:rFonts w:ascii="Times New Roman" w:eastAsia="Times New Roman" w:hAnsi="Times New Roman" w:cs="Times New Roman"/>
          <w:color w:val="000000"/>
          <w:lang w:eastAsia="es-CR"/>
        </w:rPr>
        <w:t>₡</w:t>
      </w:r>
      <w:r w:rsidRPr="001D0C10">
        <w:rPr>
          <w:rFonts w:ascii="Book Antiqua" w:eastAsia="Calibri" w:hAnsi="Book Antiqua" w:cs="Arial"/>
          <w:sz w:val="24"/>
          <w:szCs w:val="24"/>
        </w:rPr>
        <w:t xml:space="preserve"> </w:t>
      </w:r>
      <w:r w:rsidR="0090492B" w:rsidRPr="000843DA">
        <w:rPr>
          <w:rFonts w:ascii="Times New Roman" w:eastAsia="Calibri" w:hAnsi="Times New Roman" w:cs="Times New Roman"/>
          <w:sz w:val="24"/>
          <w:szCs w:val="24"/>
        </w:rPr>
        <w:t>₡</w:t>
      </w:r>
      <w:r w:rsidR="0090492B" w:rsidRPr="000843DA">
        <w:rPr>
          <w:rFonts w:ascii="Book Antiqua" w:eastAsia="Calibri" w:hAnsi="Book Antiqua" w:cs="Arial"/>
          <w:sz w:val="24"/>
          <w:szCs w:val="24"/>
        </w:rPr>
        <w:t>6,369,645.00</w:t>
      </w:r>
      <w:r w:rsidR="0090492B">
        <w:rPr>
          <w:rFonts w:ascii="Book Antiqua" w:eastAsia="Calibri" w:hAnsi="Book Antiqua" w:cs="Arial"/>
          <w:sz w:val="24"/>
          <w:szCs w:val="24"/>
        </w:rPr>
        <w:t xml:space="preserve">. </w:t>
      </w:r>
      <w:r w:rsidR="0090492B" w:rsidRPr="00A132C7">
        <w:rPr>
          <w:rFonts w:ascii="Book Antiqua" w:eastAsia="Calibri" w:hAnsi="Book Antiqua" w:cs="Arial"/>
          <w:sz w:val="24"/>
          <w:szCs w:val="24"/>
        </w:rPr>
        <w:t xml:space="preserve">Adicionalmente, </w:t>
      </w:r>
      <w:r w:rsidR="00CC4934" w:rsidRPr="00A132C7">
        <w:rPr>
          <w:rFonts w:ascii="Book Antiqua" w:eastAsia="Calibri" w:hAnsi="Book Antiqua" w:cs="Arial"/>
          <w:sz w:val="24"/>
          <w:szCs w:val="24"/>
        </w:rPr>
        <w:t xml:space="preserve">se debe considerar el costo de 7 plazas nuevas adicionales al cálculo indicado en el oficio 982-DE-2022 (una para el Contravencional de Paraíso y 6 puestos más de persona Técnico Judicial de Trámite para Violencia Doméstica, de las cuales se estima necesario proyectar un costo adicional de </w:t>
      </w:r>
      <w:r w:rsidR="00CC4934" w:rsidRPr="00A132C7">
        <w:rPr>
          <w:rFonts w:ascii="Times New Roman" w:eastAsia="Calibri" w:hAnsi="Times New Roman" w:cs="Times New Roman"/>
          <w:sz w:val="24"/>
          <w:szCs w:val="24"/>
        </w:rPr>
        <w:t>₡</w:t>
      </w:r>
      <w:r w:rsidR="00CC4934" w:rsidRPr="00A132C7">
        <w:rPr>
          <w:rFonts w:ascii="Book Antiqua" w:eastAsia="Calibri" w:hAnsi="Book Antiqua" w:cs="Arial"/>
          <w:sz w:val="24"/>
          <w:szCs w:val="24"/>
        </w:rPr>
        <w:t xml:space="preserve">1,714,904.00, </w:t>
      </w:r>
      <w:r w:rsidR="000E72A7" w:rsidRPr="00A132C7">
        <w:rPr>
          <w:rFonts w:ascii="Book Antiqua" w:eastAsia="Calibri" w:hAnsi="Book Antiqua" w:cs="Arial"/>
          <w:sz w:val="24"/>
          <w:szCs w:val="24"/>
        </w:rPr>
        <w:t>es decir un estimado to</w:t>
      </w:r>
      <w:r w:rsidR="00CC4934" w:rsidRPr="00A132C7">
        <w:rPr>
          <w:rFonts w:ascii="Book Antiqua" w:eastAsia="Calibri" w:hAnsi="Book Antiqua" w:cs="Arial"/>
          <w:sz w:val="24"/>
          <w:szCs w:val="24"/>
        </w:rPr>
        <w:t xml:space="preserve">tal de </w:t>
      </w:r>
      <w:r w:rsidR="00CC4934" w:rsidRPr="00A132C7">
        <w:rPr>
          <w:rFonts w:ascii="Times New Roman" w:eastAsia="Calibri" w:hAnsi="Times New Roman" w:cs="Times New Roman"/>
          <w:sz w:val="24"/>
          <w:szCs w:val="24"/>
        </w:rPr>
        <w:t>₡</w:t>
      </w:r>
      <w:r w:rsidR="00CC4934" w:rsidRPr="00A132C7">
        <w:rPr>
          <w:rFonts w:ascii="Book Antiqua" w:eastAsia="Calibri" w:hAnsi="Book Antiqua" w:cs="Arial"/>
          <w:sz w:val="24"/>
          <w:szCs w:val="24"/>
        </w:rPr>
        <w:t>8,084,549.00.</w:t>
      </w:r>
    </w:p>
    <w:p w14:paraId="343B89A0" w14:textId="77777777" w:rsidR="0090492B" w:rsidRPr="005B3BE1" w:rsidRDefault="0090492B" w:rsidP="001D0C10">
      <w:pPr>
        <w:spacing w:after="0" w:line="276" w:lineRule="auto"/>
        <w:jc w:val="both"/>
        <w:rPr>
          <w:rFonts w:ascii="Book Antiqua" w:eastAsia="Times New Roman" w:hAnsi="Book Antiqua" w:cs="Times New Roman"/>
          <w:color w:val="000000"/>
          <w:lang w:eastAsia="es-CR"/>
        </w:rPr>
      </w:pPr>
    </w:p>
    <w:p w14:paraId="70D570E2" w14:textId="0360DBEB" w:rsidR="005B3BE1" w:rsidRDefault="005B3BE1" w:rsidP="006C4B6F">
      <w:pPr>
        <w:spacing w:after="0" w:line="276" w:lineRule="auto"/>
        <w:jc w:val="both"/>
        <w:rPr>
          <w:rFonts w:ascii="Book Antiqua" w:eastAsia="Calibri" w:hAnsi="Book Antiqua" w:cs="Arial"/>
          <w:b/>
          <w:bCs/>
          <w:sz w:val="24"/>
          <w:szCs w:val="24"/>
        </w:rPr>
      </w:pPr>
      <w:r w:rsidRPr="001D0C10">
        <w:rPr>
          <w:rFonts w:ascii="Book Antiqua" w:eastAsia="Calibri" w:hAnsi="Book Antiqua" w:cs="Arial"/>
          <w:b/>
          <w:bCs/>
          <w:sz w:val="24"/>
          <w:szCs w:val="24"/>
        </w:rPr>
        <w:t>Capacitación-Programa 927</w:t>
      </w:r>
    </w:p>
    <w:p w14:paraId="17D89C9B" w14:textId="524A3089" w:rsidR="006C4B6F" w:rsidRDefault="005B3BE1" w:rsidP="001D0C10">
      <w:pPr>
        <w:spacing w:after="0" w:line="276" w:lineRule="auto"/>
        <w:jc w:val="both"/>
        <w:rPr>
          <w:rFonts w:ascii="Book Antiqua" w:eastAsia="Calibri" w:hAnsi="Book Antiqua" w:cs="Arial"/>
          <w:sz w:val="24"/>
          <w:szCs w:val="24"/>
        </w:rPr>
      </w:pPr>
      <w:r w:rsidRPr="005B3BE1">
        <w:rPr>
          <w:rFonts w:ascii="Book Antiqua" w:eastAsia="Calibri" w:hAnsi="Book Antiqua" w:cs="Arial"/>
          <w:sz w:val="24"/>
          <w:szCs w:val="24"/>
        </w:rPr>
        <w:t xml:space="preserve">En la partida de suplencias la Escuela Judicial estimó el costo el </w:t>
      </w:r>
      <w:r w:rsidRPr="001D0C10">
        <w:rPr>
          <w:rFonts w:ascii="Times New Roman" w:eastAsia="Calibri" w:hAnsi="Times New Roman" w:cs="Times New Roman"/>
          <w:sz w:val="24"/>
          <w:szCs w:val="24"/>
        </w:rPr>
        <w:t>₡</w:t>
      </w:r>
      <w:r w:rsidR="00C72DFA" w:rsidRPr="00C72DFA">
        <w:rPr>
          <w:rFonts w:ascii="Book Antiqua" w:eastAsia="Calibri" w:hAnsi="Book Antiqua" w:cs="Arial"/>
          <w:sz w:val="24"/>
          <w:szCs w:val="24"/>
        </w:rPr>
        <w:t>192</w:t>
      </w:r>
      <w:r w:rsidRPr="00C72DFA">
        <w:rPr>
          <w:rFonts w:ascii="Book Antiqua" w:eastAsia="Calibri" w:hAnsi="Book Antiqua" w:cs="Arial"/>
          <w:sz w:val="24"/>
          <w:szCs w:val="24"/>
        </w:rPr>
        <w:t>,</w:t>
      </w:r>
      <w:r w:rsidR="00C72DFA" w:rsidRPr="00C72DFA">
        <w:rPr>
          <w:rFonts w:ascii="Book Antiqua" w:eastAsia="Calibri" w:hAnsi="Book Antiqua" w:cs="Arial"/>
          <w:sz w:val="24"/>
          <w:szCs w:val="24"/>
        </w:rPr>
        <w:t>276</w:t>
      </w:r>
      <w:r w:rsidRPr="00C72DFA">
        <w:rPr>
          <w:rFonts w:ascii="Book Antiqua" w:eastAsia="Calibri" w:hAnsi="Book Antiqua" w:cs="Arial"/>
          <w:sz w:val="24"/>
          <w:szCs w:val="24"/>
        </w:rPr>
        <w:t>,0</w:t>
      </w:r>
      <w:r w:rsidR="00C72DFA" w:rsidRPr="00C72DFA">
        <w:rPr>
          <w:rFonts w:ascii="Book Antiqua" w:eastAsia="Calibri" w:hAnsi="Book Antiqua" w:cs="Arial"/>
          <w:sz w:val="24"/>
          <w:szCs w:val="24"/>
        </w:rPr>
        <w:t>48</w:t>
      </w:r>
      <w:r w:rsidRPr="001D0C10">
        <w:rPr>
          <w:rFonts w:ascii="Book Antiqua" w:eastAsia="Calibri" w:hAnsi="Book Antiqua" w:cs="Arial"/>
          <w:sz w:val="24"/>
          <w:szCs w:val="24"/>
        </w:rPr>
        <w:t>.00</w:t>
      </w:r>
      <w:r w:rsidR="00092A37">
        <w:rPr>
          <w:rFonts w:ascii="Book Antiqua" w:eastAsia="Calibri" w:hAnsi="Book Antiqua" w:cs="Arial"/>
          <w:sz w:val="24"/>
          <w:szCs w:val="24"/>
        </w:rPr>
        <w:t xml:space="preserve">, y por concepto de viáticos </w:t>
      </w:r>
      <w:r w:rsidR="00092A37" w:rsidRPr="00822D25">
        <w:rPr>
          <w:rFonts w:ascii="Times New Roman" w:eastAsia="Calibri" w:hAnsi="Times New Roman" w:cs="Times New Roman"/>
          <w:sz w:val="24"/>
          <w:szCs w:val="24"/>
        </w:rPr>
        <w:t>₡</w:t>
      </w:r>
      <w:r w:rsidR="00092A37" w:rsidRPr="00C72DFA">
        <w:rPr>
          <w:rFonts w:ascii="Book Antiqua" w:eastAsia="Calibri" w:hAnsi="Book Antiqua" w:cs="Arial"/>
          <w:sz w:val="24"/>
          <w:szCs w:val="24"/>
        </w:rPr>
        <w:t>19,</w:t>
      </w:r>
      <w:r w:rsidR="00092A37">
        <w:rPr>
          <w:rFonts w:ascii="Book Antiqua" w:eastAsia="Calibri" w:hAnsi="Book Antiqua" w:cs="Arial"/>
          <w:sz w:val="24"/>
          <w:szCs w:val="24"/>
        </w:rPr>
        <w:t>3</w:t>
      </w:r>
      <w:r w:rsidR="00092A37" w:rsidRPr="00C72DFA">
        <w:rPr>
          <w:rFonts w:ascii="Book Antiqua" w:eastAsia="Calibri" w:hAnsi="Book Antiqua" w:cs="Arial"/>
          <w:sz w:val="24"/>
          <w:szCs w:val="24"/>
        </w:rPr>
        <w:t>7</w:t>
      </w:r>
      <w:r w:rsidR="00092A37">
        <w:rPr>
          <w:rFonts w:ascii="Book Antiqua" w:eastAsia="Calibri" w:hAnsi="Book Antiqua" w:cs="Arial"/>
          <w:sz w:val="24"/>
          <w:szCs w:val="24"/>
        </w:rPr>
        <w:t>4</w:t>
      </w:r>
      <w:r w:rsidR="00092A37" w:rsidRPr="00C72DFA">
        <w:rPr>
          <w:rFonts w:ascii="Book Antiqua" w:eastAsia="Calibri" w:hAnsi="Book Antiqua" w:cs="Arial"/>
          <w:sz w:val="24"/>
          <w:szCs w:val="24"/>
        </w:rPr>
        <w:t>,0</w:t>
      </w:r>
      <w:r w:rsidR="00092A37">
        <w:rPr>
          <w:rFonts w:ascii="Book Antiqua" w:eastAsia="Calibri" w:hAnsi="Book Antiqua" w:cs="Arial"/>
          <w:sz w:val="24"/>
          <w:szCs w:val="24"/>
        </w:rPr>
        <w:t>00</w:t>
      </w:r>
      <w:r w:rsidR="00092A37" w:rsidRPr="00822D25">
        <w:rPr>
          <w:rFonts w:ascii="Book Antiqua" w:eastAsia="Calibri" w:hAnsi="Book Antiqua" w:cs="Arial"/>
          <w:sz w:val="24"/>
          <w:szCs w:val="24"/>
        </w:rPr>
        <w:t>.00</w:t>
      </w:r>
    </w:p>
    <w:p w14:paraId="0334E04C" w14:textId="19847D34" w:rsidR="00CF0E4E" w:rsidRDefault="00CF0E4E" w:rsidP="001D0C10">
      <w:pPr>
        <w:spacing w:after="0" w:line="276" w:lineRule="auto"/>
        <w:jc w:val="both"/>
        <w:rPr>
          <w:rFonts w:ascii="Book Antiqua" w:eastAsia="Calibri" w:hAnsi="Book Antiqua" w:cs="Arial"/>
          <w:sz w:val="24"/>
          <w:szCs w:val="24"/>
        </w:rPr>
      </w:pPr>
    </w:p>
    <w:p w14:paraId="0AC4062A" w14:textId="085E6AB1" w:rsidR="00CF0E4E" w:rsidRPr="009B71C9" w:rsidRDefault="00CF0E4E" w:rsidP="001D0C10">
      <w:pPr>
        <w:spacing w:after="0" w:line="276" w:lineRule="auto"/>
        <w:jc w:val="both"/>
        <w:rPr>
          <w:rFonts w:ascii="Book Antiqua" w:eastAsia="Calibri" w:hAnsi="Book Antiqua" w:cs="Arial"/>
          <w:b/>
          <w:bCs/>
          <w:sz w:val="24"/>
          <w:szCs w:val="24"/>
        </w:rPr>
      </w:pPr>
      <w:r w:rsidRPr="009B71C9">
        <w:rPr>
          <w:rFonts w:ascii="Book Antiqua" w:eastAsia="Calibri" w:hAnsi="Book Antiqua" w:cs="Arial"/>
          <w:b/>
          <w:bCs/>
          <w:sz w:val="24"/>
          <w:szCs w:val="24"/>
        </w:rPr>
        <w:t>Equipos y licencias plazas nuevas + sitio web Comisión</w:t>
      </w:r>
    </w:p>
    <w:p w14:paraId="0E59E3A2" w14:textId="0ECB176C" w:rsidR="00A80239" w:rsidRDefault="00CF0E4E" w:rsidP="00A80239">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Realizando el cálculo esta Dirección, utilizando los costos comunicados por DTI el año anterior, el costo de las licencias y equipo de cómputo para las 26 plazas nuevas (15 profesionales y 11 no profesionales) más el costo de construcción sitio web de la Comisión de Familia, el presupuesto que requiere la DTI es de </w:t>
      </w:r>
      <w:r w:rsidR="00A332FE" w:rsidRPr="00A332FE">
        <w:rPr>
          <w:rFonts w:ascii="Times New Roman" w:eastAsia="Calibri" w:hAnsi="Times New Roman" w:cs="Times New Roman"/>
          <w:sz w:val="24"/>
          <w:szCs w:val="24"/>
        </w:rPr>
        <w:t>₡</w:t>
      </w:r>
      <w:r w:rsidR="00A332FE" w:rsidRPr="00A332FE">
        <w:rPr>
          <w:rFonts w:ascii="Book Antiqua" w:eastAsia="Calibri" w:hAnsi="Book Antiqua" w:cs="Arial"/>
          <w:sz w:val="24"/>
          <w:szCs w:val="24"/>
        </w:rPr>
        <w:t>37 808 051,80</w:t>
      </w:r>
      <w:r w:rsidR="00A332FE">
        <w:rPr>
          <w:rFonts w:ascii="Book Antiqua" w:eastAsia="Calibri" w:hAnsi="Book Antiqua" w:cs="Arial"/>
          <w:sz w:val="24"/>
          <w:szCs w:val="24"/>
        </w:rPr>
        <w:t>.</w:t>
      </w:r>
      <w:r w:rsidR="00BB42AF">
        <w:rPr>
          <w:rFonts w:ascii="Book Antiqua" w:eastAsia="Calibri" w:hAnsi="Book Antiqua" w:cs="Arial"/>
          <w:sz w:val="24"/>
          <w:szCs w:val="24"/>
        </w:rPr>
        <w:t xml:space="preserve"> </w:t>
      </w:r>
      <w:r w:rsidR="00A80239">
        <w:rPr>
          <w:rFonts w:ascii="Book Antiqua" w:eastAsia="Calibri" w:hAnsi="Book Antiqua" w:cs="Arial"/>
          <w:sz w:val="24"/>
          <w:szCs w:val="24"/>
        </w:rPr>
        <w:t>Adiciona</w:t>
      </w:r>
      <w:r w:rsidR="003F4E6E">
        <w:rPr>
          <w:rFonts w:ascii="Book Antiqua" w:eastAsia="Calibri" w:hAnsi="Book Antiqua" w:cs="Arial"/>
          <w:sz w:val="24"/>
          <w:szCs w:val="24"/>
        </w:rPr>
        <w:t>l</w:t>
      </w:r>
      <w:r w:rsidR="00A80239">
        <w:rPr>
          <w:rFonts w:ascii="Book Antiqua" w:eastAsia="Calibri" w:hAnsi="Book Antiqua" w:cs="Arial"/>
          <w:sz w:val="24"/>
          <w:szCs w:val="24"/>
        </w:rPr>
        <w:t xml:space="preserve"> a lo anterior, </w:t>
      </w:r>
      <w:r w:rsidR="00A80239" w:rsidRPr="00A132C7">
        <w:rPr>
          <w:rFonts w:ascii="Book Antiqua" w:eastAsia="Calibri" w:hAnsi="Book Antiqua" w:cs="Arial"/>
          <w:sz w:val="24"/>
          <w:szCs w:val="24"/>
        </w:rPr>
        <w:t xml:space="preserve">esta Dirección </w:t>
      </w:r>
      <w:r w:rsidR="00F90E6E" w:rsidRPr="00A132C7">
        <w:rPr>
          <w:rFonts w:ascii="Book Antiqua" w:eastAsia="Calibri" w:hAnsi="Book Antiqua" w:cs="Arial"/>
          <w:sz w:val="24"/>
          <w:szCs w:val="24"/>
        </w:rPr>
        <w:t xml:space="preserve">detecta </w:t>
      </w:r>
      <w:r w:rsidR="00A80239" w:rsidRPr="00A132C7">
        <w:rPr>
          <w:rFonts w:ascii="Book Antiqua" w:eastAsia="Calibri" w:hAnsi="Book Antiqua" w:cs="Arial"/>
          <w:sz w:val="24"/>
          <w:szCs w:val="24"/>
        </w:rPr>
        <w:t xml:space="preserve">la necesidad de siete equipos adicionales para puestos no profesionales (un equipo para el Juzgado Contravencional de Paraíso y seis equipos distribuidos para Juzgados de Violencia de Goicoechea(3), San Carlos (1), Pérez Zeledón (1), Pococí (1)); por lo cual se proyecta un costo adicional de </w:t>
      </w:r>
      <w:r w:rsidR="00A80239" w:rsidRPr="00A132C7">
        <w:rPr>
          <w:rFonts w:ascii="Times New Roman" w:eastAsia="Calibri" w:hAnsi="Times New Roman" w:cs="Times New Roman"/>
          <w:sz w:val="24"/>
          <w:szCs w:val="24"/>
        </w:rPr>
        <w:t>₡</w:t>
      </w:r>
      <w:r w:rsidR="00A80239" w:rsidRPr="00A132C7">
        <w:rPr>
          <w:rFonts w:ascii="Book Antiqua" w:eastAsia="Calibri" w:hAnsi="Book Antiqua" w:cs="Arial"/>
          <w:sz w:val="24"/>
          <w:szCs w:val="24"/>
        </w:rPr>
        <w:t xml:space="preserve">8,724,935.00, para un costo total de </w:t>
      </w:r>
      <w:r w:rsidR="00A80239" w:rsidRPr="00A132C7">
        <w:rPr>
          <w:rFonts w:ascii="Times New Roman" w:eastAsia="Calibri" w:hAnsi="Times New Roman" w:cs="Times New Roman"/>
          <w:sz w:val="24"/>
          <w:szCs w:val="24"/>
        </w:rPr>
        <w:t>₡46</w:t>
      </w:r>
      <w:r w:rsidR="00A80239" w:rsidRPr="00A132C7">
        <w:rPr>
          <w:rFonts w:ascii="Book Antiqua" w:eastAsia="Calibri" w:hAnsi="Book Antiqua" w:cs="Arial"/>
          <w:sz w:val="24"/>
          <w:szCs w:val="24"/>
        </w:rPr>
        <w:t>,532,987.00</w:t>
      </w:r>
      <w:r w:rsidR="00E2229F">
        <w:rPr>
          <w:rFonts w:ascii="Book Antiqua" w:eastAsia="Calibri" w:hAnsi="Book Antiqua" w:cs="Arial"/>
          <w:sz w:val="24"/>
          <w:szCs w:val="24"/>
        </w:rPr>
        <w:t>.</w:t>
      </w:r>
    </w:p>
    <w:p w14:paraId="204E4102" w14:textId="7520BB19" w:rsidR="00E2229F" w:rsidRDefault="00E2229F" w:rsidP="00A80239">
      <w:pPr>
        <w:spacing w:after="0" w:line="276" w:lineRule="auto"/>
        <w:jc w:val="both"/>
        <w:rPr>
          <w:rFonts w:ascii="Book Antiqua" w:eastAsia="Calibri" w:hAnsi="Book Antiqua" w:cs="Arial"/>
          <w:sz w:val="24"/>
          <w:szCs w:val="24"/>
        </w:rPr>
      </w:pPr>
    </w:p>
    <w:p w14:paraId="03B691F7" w14:textId="77777777" w:rsidR="00E2229F" w:rsidRPr="00A132C7" w:rsidRDefault="00E2229F" w:rsidP="00A80239">
      <w:pPr>
        <w:spacing w:after="0" w:line="276" w:lineRule="auto"/>
        <w:jc w:val="both"/>
        <w:rPr>
          <w:rFonts w:ascii="Book Antiqua" w:eastAsia="Calibri" w:hAnsi="Book Antiqua" w:cs="Arial"/>
          <w:sz w:val="24"/>
          <w:szCs w:val="24"/>
        </w:rPr>
      </w:pPr>
    </w:p>
    <w:p w14:paraId="588D8016" w14:textId="297E6B7C" w:rsidR="00092A37" w:rsidRPr="00A132C7" w:rsidRDefault="00092A37" w:rsidP="006C4B6F">
      <w:pPr>
        <w:spacing w:after="0" w:line="276" w:lineRule="auto"/>
        <w:jc w:val="both"/>
        <w:rPr>
          <w:rFonts w:ascii="Book Antiqua" w:eastAsia="Calibri" w:hAnsi="Book Antiqua" w:cs="Arial"/>
          <w:sz w:val="24"/>
          <w:szCs w:val="24"/>
        </w:rPr>
      </w:pPr>
    </w:p>
    <w:p w14:paraId="5A012F79" w14:textId="383C1750" w:rsidR="005B3BE1" w:rsidRPr="00C153A4" w:rsidRDefault="005B3BE1" w:rsidP="00C153A4">
      <w:pPr>
        <w:keepNext/>
        <w:widowControl w:val="0"/>
        <w:numPr>
          <w:ilvl w:val="1"/>
          <w:numId w:val="1"/>
        </w:numPr>
        <w:shd w:val="clear" w:color="auto" w:fill="BDD6EE" w:themeFill="accent5" w:themeFillTint="66"/>
        <w:autoSpaceDN w:val="0"/>
        <w:adjustRightInd w:val="0"/>
        <w:spacing w:after="0" w:line="276" w:lineRule="auto"/>
        <w:ind w:left="720" w:hanging="720"/>
        <w:jc w:val="both"/>
        <w:outlineLvl w:val="1"/>
        <w:rPr>
          <w:rFonts w:ascii="Book Antiqua" w:eastAsiaTheme="majorEastAsia" w:hAnsi="Book Antiqua" w:cstheme="majorBidi"/>
          <w:b/>
          <w:color w:val="1F3864" w:themeColor="accent1" w:themeShade="80"/>
          <w:sz w:val="24"/>
          <w:lang w:val="es-ES"/>
        </w:rPr>
      </w:pPr>
      <w:r w:rsidRPr="00C153A4">
        <w:rPr>
          <w:rFonts w:ascii="Book Antiqua" w:eastAsiaTheme="majorEastAsia" w:hAnsi="Book Antiqua" w:cstheme="majorBidi"/>
          <w:b/>
          <w:color w:val="1F3864" w:themeColor="accent1" w:themeShade="80"/>
          <w:sz w:val="24"/>
          <w:lang w:val="es-ES"/>
        </w:rPr>
        <w:lastRenderedPageBreak/>
        <w:t>Resumen de costos para el 2023 de la implementación del Código Procesal de Familia</w:t>
      </w:r>
    </w:p>
    <w:p w14:paraId="179E8EB5" w14:textId="77777777" w:rsidR="00C153A4" w:rsidRDefault="00C153A4" w:rsidP="005B3BE1">
      <w:pPr>
        <w:keepNext/>
        <w:numPr>
          <w:ilvl w:val="12"/>
          <w:numId w:val="0"/>
        </w:numPr>
        <w:spacing w:after="0" w:line="276" w:lineRule="auto"/>
        <w:jc w:val="center"/>
        <w:rPr>
          <w:rFonts w:ascii="Book Antiqua" w:eastAsia="Calibri" w:hAnsi="Book Antiqua" w:cs="Arial"/>
          <w:b/>
          <w:bCs/>
          <w:color w:val="1F497D"/>
          <w:szCs w:val="24"/>
          <w:lang w:val="es-ES" w:eastAsia="es-ES"/>
        </w:rPr>
      </w:pPr>
    </w:p>
    <w:p w14:paraId="0DCE6E6C" w14:textId="519F3E69" w:rsidR="005B3BE1" w:rsidRPr="00A132C7" w:rsidRDefault="005B3BE1" w:rsidP="005B3BE1">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132C7">
        <w:rPr>
          <w:rFonts w:ascii="Book Antiqua" w:eastAsia="Calibri" w:hAnsi="Book Antiqua" w:cs="Arial"/>
          <w:b/>
          <w:bCs/>
          <w:color w:val="1F497D"/>
          <w:szCs w:val="24"/>
          <w:lang w:val="es-ES" w:eastAsia="es-ES"/>
        </w:rPr>
        <w:t xml:space="preserve">Cuadro </w:t>
      </w:r>
      <w:r w:rsidRPr="00A132C7">
        <w:rPr>
          <w:rFonts w:ascii="Book Antiqua" w:eastAsia="Calibri" w:hAnsi="Book Antiqua" w:cs="Arial"/>
          <w:b/>
          <w:bCs/>
          <w:color w:val="1F497D"/>
          <w:szCs w:val="24"/>
          <w:lang w:val="es-ES" w:eastAsia="es-ES"/>
        </w:rPr>
        <w:fldChar w:fldCharType="begin"/>
      </w:r>
      <w:r w:rsidRPr="00A132C7">
        <w:rPr>
          <w:rFonts w:ascii="Book Antiqua" w:eastAsia="Calibri" w:hAnsi="Book Antiqua" w:cs="Arial"/>
          <w:b/>
          <w:bCs/>
          <w:color w:val="1F497D"/>
          <w:szCs w:val="24"/>
          <w:lang w:val="es-ES" w:eastAsia="es-ES"/>
        </w:rPr>
        <w:instrText xml:space="preserve"> SEQ Cuadro \* ARABIC </w:instrText>
      </w:r>
      <w:r w:rsidRPr="00A132C7">
        <w:rPr>
          <w:rFonts w:ascii="Book Antiqua" w:eastAsia="Calibri" w:hAnsi="Book Antiqua" w:cs="Arial"/>
          <w:b/>
          <w:bCs/>
          <w:color w:val="1F497D"/>
          <w:szCs w:val="24"/>
          <w:lang w:val="es-ES" w:eastAsia="es-ES"/>
        </w:rPr>
        <w:fldChar w:fldCharType="separate"/>
      </w:r>
      <w:r w:rsidR="00E811C6">
        <w:rPr>
          <w:rFonts w:ascii="Book Antiqua" w:eastAsia="Calibri" w:hAnsi="Book Antiqua" w:cs="Arial"/>
          <w:b/>
          <w:bCs/>
          <w:noProof/>
          <w:color w:val="1F497D"/>
          <w:szCs w:val="24"/>
          <w:lang w:val="es-ES" w:eastAsia="es-ES"/>
        </w:rPr>
        <w:t>82</w:t>
      </w:r>
      <w:r w:rsidRPr="00A132C7">
        <w:rPr>
          <w:rFonts w:ascii="Book Antiqua" w:eastAsia="Calibri" w:hAnsi="Book Antiqua" w:cs="Arial"/>
          <w:b/>
          <w:bCs/>
          <w:color w:val="1F497D"/>
          <w:szCs w:val="24"/>
          <w:lang w:val="es-ES" w:eastAsia="es-ES"/>
        </w:rPr>
        <w:fldChar w:fldCharType="end"/>
      </w:r>
      <w:r w:rsidRPr="00A132C7">
        <w:rPr>
          <w:rFonts w:ascii="Book Antiqua" w:eastAsia="Calibri" w:hAnsi="Book Antiqua" w:cs="Arial"/>
          <w:b/>
          <w:bCs/>
          <w:color w:val="1F497D"/>
          <w:szCs w:val="24"/>
          <w:lang w:val="es-ES" w:eastAsia="es-ES"/>
        </w:rPr>
        <w:t xml:space="preserve"> </w:t>
      </w:r>
    </w:p>
    <w:p w14:paraId="436EEBAB" w14:textId="55B94DA3" w:rsidR="005B3BE1" w:rsidRPr="00A132C7" w:rsidRDefault="005B3BE1" w:rsidP="005B3BE1">
      <w:pPr>
        <w:keepNext/>
        <w:numPr>
          <w:ilvl w:val="12"/>
          <w:numId w:val="0"/>
        </w:numPr>
        <w:spacing w:after="0" w:line="276" w:lineRule="auto"/>
        <w:jc w:val="center"/>
        <w:rPr>
          <w:rFonts w:ascii="Book Antiqua" w:eastAsia="Calibri" w:hAnsi="Book Antiqua" w:cs="Arial"/>
          <w:b/>
          <w:bCs/>
          <w:color w:val="1F497D"/>
          <w:szCs w:val="24"/>
          <w:lang w:val="es-ES" w:eastAsia="es-ES"/>
        </w:rPr>
      </w:pPr>
      <w:r w:rsidRPr="00A132C7">
        <w:rPr>
          <w:rFonts w:ascii="Book Antiqua" w:eastAsia="Calibri" w:hAnsi="Book Antiqua" w:cs="Arial"/>
          <w:b/>
          <w:bCs/>
          <w:color w:val="1F497D"/>
          <w:szCs w:val="24"/>
          <w:lang w:val="es-ES" w:eastAsia="es-ES"/>
        </w:rPr>
        <w:t>Costos económicos asociados al CPF, 2023</w:t>
      </w:r>
    </w:p>
    <w:tbl>
      <w:tblPr>
        <w:tblW w:w="5380" w:type="pct"/>
        <w:tblLayout w:type="fixed"/>
        <w:tblCellMar>
          <w:left w:w="70" w:type="dxa"/>
          <w:right w:w="70" w:type="dxa"/>
        </w:tblCellMar>
        <w:tblLook w:val="04A0" w:firstRow="1" w:lastRow="0" w:firstColumn="1" w:lastColumn="0" w:noHBand="0" w:noVBand="1"/>
      </w:tblPr>
      <w:tblGrid>
        <w:gridCol w:w="4007"/>
        <w:gridCol w:w="1655"/>
        <w:gridCol w:w="1843"/>
        <w:gridCol w:w="1983"/>
      </w:tblGrid>
      <w:tr w:rsidR="00261FCB" w:rsidRPr="00A132C7" w14:paraId="34EE05B7" w14:textId="77777777" w:rsidTr="00E50AC2">
        <w:trPr>
          <w:trHeight w:val="590"/>
        </w:trPr>
        <w:tc>
          <w:tcPr>
            <w:tcW w:w="2112" w:type="pct"/>
            <w:tcBorders>
              <w:top w:val="single" w:sz="8" w:space="0" w:color="auto"/>
              <w:left w:val="single" w:sz="8" w:space="0" w:color="auto"/>
              <w:bottom w:val="single" w:sz="8" w:space="0" w:color="auto"/>
              <w:right w:val="single" w:sz="8" w:space="0" w:color="auto"/>
            </w:tcBorders>
            <w:shd w:val="clear" w:color="000000" w:fill="0070C0"/>
            <w:noWrap/>
            <w:vAlign w:val="center"/>
            <w:hideMark/>
          </w:tcPr>
          <w:p w14:paraId="7E082B2B" w14:textId="77777777" w:rsidR="00261FCB" w:rsidRPr="00A132C7" w:rsidRDefault="00261FCB" w:rsidP="00261FCB">
            <w:pPr>
              <w:spacing w:after="0" w:line="240" w:lineRule="auto"/>
              <w:jc w:val="center"/>
              <w:rPr>
                <w:rFonts w:ascii="Book Antiqua" w:eastAsia="Times New Roman" w:hAnsi="Book Antiqua" w:cs="Calibri"/>
                <w:b/>
                <w:bCs/>
                <w:color w:val="FFFFFF"/>
                <w:lang w:eastAsia="es-CR"/>
              </w:rPr>
            </w:pPr>
            <w:bookmarkStart w:id="70" w:name="_Hlk98312305"/>
            <w:r w:rsidRPr="00A132C7">
              <w:rPr>
                <w:rFonts w:ascii="Book Antiqua" w:eastAsia="Times New Roman" w:hAnsi="Book Antiqua" w:cs="Calibri"/>
                <w:b/>
                <w:bCs/>
                <w:color w:val="FFFFFF"/>
                <w:lang w:eastAsia="es-CR"/>
              </w:rPr>
              <w:t>Requerimiento</w:t>
            </w:r>
          </w:p>
        </w:tc>
        <w:tc>
          <w:tcPr>
            <w:tcW w:w="872" w:type="pct"/>
            <w:tcBorders>
              <w:top w:val="single" w:sz="8" w:space="0" w:color="auto"/>
              <w:left w:val="nil"/>
              <w:bottom w:val="single" w:sz="8" w:space="0" w:color="auto"/>
              <w:right w:val="single" w:sz="8" w:space="0" w:color="auto"/>
            </w:tcBorders>
            <w:shd w:val="clear" w:color="000000" w:fill="0070C0"/>
            <w:vAlign w:val="center"/>
            <w:hideMark/>
          </w:tcPr>
          <w:p w14:paraId="1A6D15FF" w14:textId="77777777" w:rsidR="00261FCB" w:rsidRPr="00A132C7" w:rsidRDefault="00261FCB" w:rsidP="00261FCB">
            <w:pPr>
              <w:spacing w:after="0" w:line="240" w:lineRule="auto"/>
              <w:jc w:val="center"/>
              <w:rPr>
                <w:rFonts w:ascii="Book Antiqua" w:eastAsia="Times New Roman" w:hAnsi="Book Antiqua" w:cs="Calibri"/>
                <w:b/>
                <w:bCs/>
                <w:color w:val="FFFFFF"/>
                <w:lang w:eastAsia="es-CR"/>
              </w:rPr>
            </w:pPr>
            <w:r w:rsidRPr="00A132C7">
              <w:rPr>
                <w:rFonts w:ascii="Book Antiqua" w:eastAsia="Times New Roman" w:hAnsi="Book Antiqua" w:cs="Calibri"/>
                <w:b/>
                <w:bCs/>
                <w:color w:val="FFFFFF"/>
                <w:lang w:eastAsia="es-CR"/>
              </w:rPr>
              <w:t>Programa 926</w:t>
            </w:r>
          </w:p>
        </w:tc>
        <w:tc>
          <w:tcPr>
            <w:tcW w:w="971" w:type="pct"/>
            <w:tcBorders>
              <w:top w:val="single" w:sz="8" w:space="0" w:color="auto"/>
              <w:left w:val="nil"/>
              <w:bottom w:val="single" w:sz="8" w:space="0" w:color="auto"/>
              <w:right w:val="single" w:sz="8" w:space="0" w:color="auto"/>
            </w:tcBorders>
            <w:shd w:val="clear" w:color="000000" w:fill="0070C0"/>
            <w:vAlign w:val="center"/>
            <w:hideMark/>
          </w:tcPr>
          <w:p w14:paraId="65F19766" w14:textId="77777777" w:rsidR="00261FCB" w:rsidRPr="00A132C7" w:rsidRDefault="00261FCB" w:rsidP="00261FCB">
            <w:pPr>
              <w:spacing w:after="0" w:line="240" w:lineRule="auto"/>
              <w:jc w:val="center"/>
              <w:rPr>
                <w:rFonts w:ascii="Book Antiqua" w:eastAsia="Times New Roman" w:hAnsi="Book Antiqua" w:cs="Calibri"/>
                <w:b/>
                <w:bCs/>
                <w:color w:val="FFFFFF"/>
                <w:lang w:eastAsia="es-CR"/>
              </w:rPr>
            </w:pPr>
            <w:r w:rsidRPr="00A132C7">
              <w:rPr>
                <w:rFonts w:ascii="Book Antiqua" w:eastAsia="Times New Roman" w:hAnsi="Book Antiqua" w:cs="Calibri"/>
                <w:b/>
                <w:bCs/>
                <w:color w:val="FFFFFF"/>
                <w:lang w:eastAsia="es-CR"/>
              </w:rPr>
              <w:t>Programa 927</w:t>
            </w:r>
          </w:p>
        </w:tc>
        <w:tc>
          <w:tcPr>
            <w:tcW w:w="1045" w:type="pct"/>
            <w:tcBorders>
              <w:top w:val="single" w:sz="8" w:space="0" w:color="auto"/>
              <w:left w:val="nil"/>
              <w:bottom w:val="single" w:sz="8" w:space="0" w:color="auto"/>
              <w:right w:val="single" w:sz="8" w:space="0" w:color="auto"/>
            </w:tcBorders>
            <w:shd w:val="clear" w:color="000000" w:fill="0070C0"/>
            <w:noWrap/>
            <w:vAlign w:val="center"/>
            <w:hideMark/>
          </w:tcPr>
          <w:p w14:paraId="004A1400" w14:textId="77777777" w:rsidR="00261FCB" w:rsidRPr="00A132C7" w:rsidRDefault="00261FCB" w:rsidP="00261FCB">
            <w:pPr>
              <w:spacing w:after="0" w:line="240" w:lineRule="auto"/>
              <w:jc w:val="center"/>
              <w:rPr>
                <w:rFonts w:ascii="Book Antiqua" w:eastAsia="Times New Roman" w:hAnsi="Book Antiqua" w:cs="Calibri"/>
                <w:b/>
                <w:bCs/>
                <w:color w:val="FFFFFF"/>
                <w:lang w:eastAsia="es-CR"/>
              </w:rPr>
            </w:pPr>
            <w:r w:rsidRPr="00A132C7">
              <w:rPr>
                <w:rFonts w:ascii="Book Antiqua" w:eastAsia="Times New Roman" w:hAnsi="Book Antiqua" w:cs="Calibri"/>
                <w:b/>
                <w:bCs/>
                <w:color w:val="FFFFFF"/>
                <w:lang w:eastAsia="es-CR"/>
              </w:rPr>
              <w:t>Subtotal</w:t>
            </w:r>
          </w:p>
        </w:tc>
      </w:tr>
      <w:tr w:rsidR="00644EC2" w:rsidRPr="00A132C7" w14:paraId="037B37ED" w14:textId="77777777" w:rsidTr="00E50AC2">
        <w:trPr>
          <w:trHeight w:val="300"/>
        </w:trPr>
        <w:tc>
          <w:tcPr>
            <w:tcW w:w="2112" w:type="pct"/>
            <w:tcBorders>
              <w:top w:val="nil"/>
              <w:left w:val="single" w:sz="8" w:space="0" w:color="auto"/>
              <w:bottom w:val="single" w:sz="8" w:space="0" w:color="auto"/>
              <w:right w:val="single" w:sz="8" w:space="0" w:color="auto"/>
            </w:tcBorders>
            <w:shd w:val="clear" w:color="auto" w:fill="auto"/>
            <w:noWrap/>
            <w:vAlign w:val="center"/>
            <w:hideMark/>
          </w:tcPr>
          <w:p w14:paraId="2A5DFC6C" w14:textId="0EF84A82"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xml:space="preserve">Recurso humano </w:t>
            </w:r>
            <w:r w:rsidR="00D15ADD">
              <w:rPr>
                <w:rFonts w:ascii="Book Antiqua" w:eastAsia="Times New Roman" w:hAnsi="Book Antiqua" w:cs="Calibri"/>
                <w:color w:val="000000"/>
                <w:lang w:eastAsia="es-CR"/>
              </w:rPr>
              <w:t>(</w:t>
            </w:r>
            <w:r w:rsidRPr="00A132C7">
              <w:rPr>
                <w:rFonts w:ascii="Book Antiqua" w:eastAsia="Times New Roman" w:hAnsi="Book Antiqua" w:cs="Calibri"/>
                <w:color w:val="000000"/>
                <w:lang w:eastAsia="es-CR"/>
              </w:rPr>
              <w:t>plazas</w:t>
            </w:r>
            <w:r w:rsidR="00D15ADD">
              <w:rPr>
                <w:rFonts w:ascii="Book Antiqua" w:eastAsia="Times New Roman" w:hAnsi="Book Antiqua" w:cs="Calibri"/>
                <w:color w:val="000000"/>
                <w:lang w:eastAsia="es-CR"/>
              </w:rPr>
              <w:t xml:space="preserve"> ordinarias,</w:t>
            </w:r>
            <w:r w:rsidRPr="00A132C7">
              <w:rPr>
                <w:rFonts w:ascii="Book Antiqua" w:eastAsia="Times New Roman" w:hAnsi="Book Antiqua" w:cs="Calibri"/>
                <w:color w:val="000000"/>
                <w:lang w:eastAsia="es-CR"/>
              </w:rPr>
              <w:t xml:space="preserve"> extraordinarias</w:t>
            </w:r>
            <w:r w:rsidR="00D15ADD">
              <w:rPr>
                <w:rFonts w:ascii="Book Antiqua" w:eastAsia="Times New Roman" w:hAnsi="Book Antiqua" w:cs="Calibri"/>
                <w:color w:val="000000"/>
                <w:lang w:eastAsia="es-CR"/>
              </w:rPr>
              <w:t xml:space="preserve"> y recalificaciones)</w:t>
            </w:r>
          </w:p>
        </w:tc>
        <w:tc>
          <w:tcPr>
            <w:tcW w:w="872" w:type="pct"/>
            <w:tcBorders>
              <w:top w:val="nil"/>
              <w:left w:val="nil"/>
              <w:bottom w:val="single" w:sz="8" w:space="0" w:color="auto"/>
              <w:right w:val="single" w:sz="8" w:space="0" w:color="auto"/>
            </w:tcBorders>
            <w:shd w:val="clear" w:color="auto" w:fill="auto"/>
            <w:noWrap/>
            <w:vAlign w:val="bottom"/>
            <w:hideMark/>
          </w:tcPr>
          <w:p w14:paraId="72A99346" w14:textId="77777777"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w:t>
            </w:r>
          </w:p>
        </w:tc>
        <w:tc>
          <w:tcPr>
            <w:tcW w:w="971" w:type="pct"/>
            <w:tcBorders>
              <w:top w:val="nil"/>
              <w:left w:val="nil"/>
              <w:bottom w:val="single" w:sz="8" w:space="0" w:color="auto"/>
              <w:right w:val="single" w:sz="8" w:space="0" w:color="auto"/>
            </w:tcBorders>
            <w:shd w:val="clear" w:color="auto" w:fill="auto"/>
            <w:noWrap/>
            <w:vAlign w:val="center"/>
            <w:hideMark/>
          </w:tcPr>
          <w:p w14:paraId="6E83CEAD" w14:textId="4CAD0D8E" w:rsidR="00644EC2" w:rsidRPr="00A132C7" w:rsidRDefault="006E172D"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000E6FFB" w:rsidRPr="00A132C7">
              <w:rPr>
                <w:rFonts w:ascii="Times New Roman" w:eastAsia="Times New Roman" w:hAnsi="Times New Roman" w:cs="Times New Roman"/>
                <w:color w:val="000000"/>
                <w:lang w:eastAsia="es-CR"/>
              </w:rPr>
              <w:t xml:space="preserve">1 </w:t>
            </w:r>
            <w:r w:rsidR="008A3B19">
              <w:rPr>
                <w:rFonts w:ascii="Times New Roman" w:eastAsia="Times New Roman" w:hAnsi="Times New Roman" w:cs="Times New Roman"/>
                <w:color w:val="000000"/>
                <w:lang w:eastAsia="es-CR"/>
              </w:rPr>
              <w:t>227</w:t>
            </w:r>
            <w:r w:rsidRPr="00A132C7">
              <w:rPr>
                <w:rFonts w:ascii="Book Antiqua" w:eastAsia="Times New Roman" w:hAnsi="Book Antiqua" w:cs="Times New Roman"/>
                <w:color w:val="000000"/>
                <w:lang w:eastAsia="es-CR"/>
              </w:rPr>
              <w:t xml:space="preserve"> </w:t>
            </w:r>
            <w:r w:rsidR="00CB0209" w:rsidRPr="00A132C7">
              <w:rPr>
                <w:rFonts w:ascii="Book Antiqua" w:eastAsia="Times New Roman" w:hAnsi="Book Antiqua" w:cs="Times New Roman"/>
                <w:color w:val="000000"/>
                <w:lang w:eastAsia="es-CR"/>
              </w:rPr>
              <w:t>8</w:t>
            </w:r>
            <w:r w:rsidR="008A3B19">
              <w:rPr>
                <w:rFonts w:ascii="Book Antiqua" w:eastAsia="Times New Roman" w:hAnsi="Book Antiqua" w:cs="Times New Roman"/>
                <w:color w:val="000000"/>
                <w:lang w:eastAsia="es-CR"/>
              </w:rPr>
              <w:t>96</w:t>
            </w:r>
            <w:r w:rsidRPr="00A132C7">
              <w:rPr>
                <w:rFonts w:ascii="Book Antiqua" w:eastAsia="Times New Roman" w:hAnsi="Book Antiqua" w:cs="Times New Roman"/>
                <w:color w:val="000000"/>
                <w:lang w:eastAsia="es-CR"/>
              </w:rPr>
              <w:t xml:space="preserve"> 000,00</w:t>
            </w:r>
          </w:p>
        </w:tc>
        <w:tc>
          <w:tcPr>
            <w:tcW w:w="1045" w:type="pct"/>
            <w:tcBorders>
              <w:top w:val="nil"/>
              <w:left w:val="nil"/>
              <w:bottom w:val="single" w:sz="8" w:space="0" w:color="auto"/>
              <w:right w:val="single" w:sz="8" w:space="0" w:color="auto"/>
            </w:tcBorders>
            <w:shd w:val="clear" w:color="auto" w:fill="auto"/>
            <w:noWrap/>
            <w:vAlign w:val="center"/>
            <w:hideMark/>
          </w:tcPr>
          <w:p w14:paraId="519CB291" w14:textId="086E05A4" w:rsidR="00644EC2" w:rsidRPr="00A132C7" w:rsidRDefault="006409E3"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 xml:space="preserve">₡1 </w:t>
            </w:r>
            <w:r w:rsidR="008A3B19">
              <w:rPr>
                <w:rFonts w:ascii="Times New Roman" w:eastAsia="Times New Roman" w:hAnsi="Times New Roman" w:cs="Times New Roman"/>
                <w:color w:val="000000"/>
                <w:lang w:eastAsia="es-CR"/>
              </w:rPr>
              <w:t>227</w:t>
            </w:r>
            <w:r w:rsidRPr="00A132C7">
              <w:rPr>
                <w:rFonts w:ascii="Book Antiqua" w:eastAsia="Times New Roman" w:hAnsi="Book Antiqua" w:cs="Times New Roman"/>
                <w:color w:val="000000"/>
                <w:lang w:eastAsia="es-CR"/>
              </w:rPr>
              <w:t xml:space="preserve"> 8</w:t>
            </w:r>
            <w:r w:rsidR="008A3B19">
              <w:rPr>
                <w:rFonts w:ascii="Book Antiqua" w:eastAsia="Times New Roman" w:hAnsi="Book Antiqua" w:cs="Times New Roman"/>
                <w:color w:val="000000"/>
                <w:lang w:eastAsia="es-CR"/>
              </w:rPr>
              <w:t>96</w:t>
            </w:r>
            <w:r w:rsidRPr="00A132C7">
              <w:rPr>
                <w:rFonts w:ascii="Book Antiqua" w:eastAsia="Times New Roman" w:hAnsi="Book Antiqua" w:cs="Times New Roman"/>
                <w:color w:val="000000"/>
                <w:lang w:eastAsia="es-CR"/>
              </w:rPr>
              <w:t xml:space="preserve"> 000,00</w:t>
            </w:r>
          </w:p>
        </w:tc>
      </w:tr>
      <w:tr w:rsidR="00B42808" w:rsidRPr="00A132C7" w14:paraId="7F804DE9" w14:textId="77777777" w:rsidTr="00E50AC2">
        <w:trPr>
          <w:trHeight w:val="300"/>
        </w:trPr>
        <w:tc>
          <w:tcPr>
            <w:tcW w:w="2112" w:type="pct"/>
            <w:tcBorders>
              <w:top w:val="nil"/>
              <w:left w:val="single" w:sz="8" w:space="0" w:color="auto"/>
              <w:bottom w:val="single" w:sz="8" w:space="0" w:color="auto"/>
              <w:right w:val="single" w:sz="8" w:space="0" w:color="auto"/>
            </w:tcBorders>
            <w:shd w:val="clear" w:color="auto" w:fill="auto"/>
            <w:noWrap/>
            <w:vAlign w:val="center"/>
          </w:tcPr>
          <w:p w14:paraId="59F0CAFA" w14:textId="21BCF96D" w:rsidR="00B42808" w:rsidRPr="00A132C7" w:rsidRDefault="00B752BA"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Activar Rubro de Disponibilidad Despachos Especializados de Familia</w:t>
            </w:r>
          </w:p>
        </w:tc>
        <w:tc>
          <w:tcPr>
            <w:tcW w:w="872" w:type="pct"/>
            <w:tcBorders>
              <w:top w:val="nil"/>
              <w:left w:val="nil"/>
              <w:bottom w:val="single" w:sz="8" w:space="0" w:color="auto"/>
              <w:right w:val="single" w:sz="8" w:space="0" w:color="auto"/>
            </w:tcBorders>
            <w:shd w:val="clear" w:color="auto" w:fill="auto"/>
            <w:noWrap/>
            <w:vAlign w:val="bottom"/>
          </w:tcPr>
          <w:p w14:paraId="05A7C34C" w14:textId="77777777" w:rsidR="00B42808" w:rsidRPr="00A132C7" w:rsidRDefault="00B42808" w:rsidP="00644EC2">
            <w:pPr>
              <w:spacing w:after="0" w:line="240" w:lineRule="auto"/>
              <w:rPr>
                <w:rFonts w:ascii="Book Antiqua" w:eastAsia="Times New Roman" w:hAnsi="Book Antiqua" w:cs="Calibri"/>
                <w:color w:val="000000"/>
                <w:lang w:eastAsia="es-CR"/>
              </w:rPr>
            </w:pPr>
          </w:p>
        </w:tc>
        <w:tc>
          <w:tcPr>
            <w:tcW w:w="971" w:type="pct"/>
            <w:tcBorders>
              <w:top w:val="nil"/>
              <w:left w:val="nil"/>
              <w:bottom w:val="single" w:sz="8" w:space="0" w:color="auto"/>
              <w:right w:val="single" w:sz="8" w:space="0" w:color="auto"/>
            </w:tcBorders>
            <w:shd w:val="clear" w:color="auto" w:fill="auto"/>
            <w:noWrap/>
            <w:vAlign w:val="center"/>
          </w:tcPr>
          <w:p w14:paraId="0FFBF25C" w14:textId="4A74EB33" w:rsidR="00B42808" w:rsidRPr="00A132C7" w:rsidRDefault="007F7463" w:rsidP="00644EC2">
            <w:pPr>
              <w:spacing w:after="0" w:line="240" w:lineRule="auto"/>
              <w:jc w:val="center"/>
              <w:rPr>
                <w:rFonts w:ascii="Times New Roman" w:eastAsia="Times New Roman" w:hAnsi="Times New Roman" w:cs="Times New Roman"/>
                <w:color w:val="000000"/>
                <w:lang w:eastAsia="es-CR"/>
              </w:rPr>
            </w:pPr>
            <w:r w:rsidRPr="00A132C7">
              <w:rPr>
                <w:rFonts w:ascii="Times New Roman" w:eastAsia="Times New Roman" w:hAnsi="Times New Roman" w:cs="Times New Roman"/>
                <w:color w:val="000000"/>
                <w:lang w:eastAsia="es-CR"/>
              </w:rPr>
              <w:t>₡10,649,784</w:t>
            </w:r>
          </w:p>
        </w:tc>
        <w:tc>
          <w:tcPr>
            <w:tcW w:w="1045" w:type="pct"/>
            <w:tcBorders>
              <w:top w:val="nil"/>
              <w:left w:val="nil"/>
              <w:bottom w:val="single" w:sz="8" w:space="0" w:color="auto"/>
              <w:right w:val="single" w:sz="8" w:space="0" w:color="auto"/>
            </w:tcBorders>
            <w:shd w:val="clear" w:color="auto" w:fill="auto"/>
            <w:noWrap/>
            <w:vAlign w:val="center"/>
          </w:tcPr>
          <w:p w14:paraId="4F8D6C4B" w14:textId="4FE4C46A" w:rsidR="00B42808" w:rsidRPr="00A132C7" w:rsidRDefault="008A3B19" w:rsidP="00644EC2">
            <w:pPr>
              <w:spacing w:after="0" w:line="240" w:lineRule="auto"/>
              <w:jc w:val="center"/>
              <w:rPr>
                <w:rFonts w:ascii="Times New Roman" w:eastAsia="Times New Roman" w:hAnsi="Times New Roman" w:cs="Times New Roman"/>
                <w:color w:val="000000"/>
                <w:lang w:eastAsia="es-CR"/>
              </w:rPr>
            </w:pPr>
            <w:r w:rsidRPr="00A132C7">
              <w:rPr>
                <w:rFonts w:ascii="Times New Roman" w:eastAsia="Times New Roman" w:hAnsi="Times New Roman" w:cs="Times New Roman"/>
                <w:color w:val="000000"/>
                <w:lang w:eastAsia="es-CR"/>
              </w:rPr>
              <w:t>₡10,649,784</w:t>
            </w:r>
          </w:p>
        </w:tc>
      </w:tr>
      <w:tr w:rsidR="00644EC2" w:rsidRPr="00261FCB" w14:paraId="36EEC571" w14:textId="77777777" w:rsidTr="00E50AC2">
        <w:trPr>
          <w:trHeight w:val="63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291D2B02" w14:textId="77777777" w:rsidR="00644EC2" w:rsidRPr="00A132C7" w:rsidRDefault="00644EC2" w:rsidP="001D0C10">
            <w:pPr>
              <w:spacing w:after="0" w:line="240" w:lineRule="auto"/>
              <w:jc w:val="both"/>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Suplencias para capacitación-Escuela Judicial</w:t>
            </w:r>
          </w:p>
        </w:tc>
        <w:tc>
          <w:tcPr>
            <w:tcW w:w="872" w:type="pct"/>
            <w:tcBorders>
              <w:top w:val="nil"/>
              <w:left w:val="nil"/>
              <w:bottom w:val="single" w:sz="8" w:space="0" w:color="auto"/>
              <w:right w:val="single" w:sz="8" w:space="0" w:color="auto"/>
            </w:tcBorders>
            <w:shd w:val="clear" w:color="auto" w:fill="auto"/>
            <w:vAlign w:val="center"/>
            <w:hideMark/>
          </w:tcPr>
          <w:p w14:paraId="5F07B022" w14:textId="77777777"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w:t>
            </w:r>
          </w:p>
        </w:tc>
        <w:tc>
          <w:tcPr>
            <w:tcW w:w="971" w:type="pct"/>
            <w:tcBorders>
              <w:top w:val="nil"/>
              <w:left w:val="nil"/>
              <w:bottom w:val="single" w:sz="8" w:space="0" w:color="auto"/>
              <w:right w:val="single" w:sz="8" w:space="0" w:color="auto"/>
            </w:tcBorders>
            <w:shd w:val="clear" w:color="auto" w:fill="auto"/>
            <w:vAlign w:val="center"/>
            <w:hideMark/>
          </w:tcPr>
          <w:p w14:paraId="44FD0256" w14:textId="3B72A6C7" w:rsidR="00644EC2" w:rsidRPr="00A132C7"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192,276,048.00</w:t>
            </w:r>
          </w:p>
        </w:tc>
        <w:tc>
          <w:tcPr>
            <w:tcW w:w="1045" w:type="pct"/>
            <w:tcBorders>
              <w:top w:val="nil"/>
              <w:left w:val="nil"/>
              <w:bottom w:val="single" w:sz="8" w:space="0" w:color="auto"/>
              <w:right w:val="single" w:sz="8" w:space="0" w:color="auto"/>
            </w:tcBorders>
            <w:shd w:val="clear" w:color="auto" w:fill="auto"/>
            <w:noWrap/>
            <w:vAlign w:val="center"/>
            <w:hideMark/>
          </w:tcPr>
          <w:p w14:paraId="394F6BFE" w14:textId="10451382"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192,276,048.00</w:t>
            </w:r>
          </w:p>
        </w:tc>
      </w:tr>
      <w:tr w:rsidR="00644EC2" w:rsidRPr="00261FCB" w14:paraId="75C5246C" w14:textId="77777777" w:rsidTr="00E50AC2">
        <w:trPr>
          <w:trHeight w:val="630"/>
        </w:trPr>
        <w:tc>
          <w:tcPr>
            <w:tcW w:w="2112" w:type="pct"/>
            <w:tcBorders>
              <w:top w:val="nil"/>
              <w:left w:val="single" w:sz="8" w:space="0" w:color="auto"/>
              <w:bottom w:val="single" w:sz="8" w:space="0" w:color="auto"/>
              <w:right w:val="single" w:sz="8" w:space="0" w:color="auto"/>
            </w:tcBorders>
            <w:shd w:val="clear" w:color="auto" w:fill="auto"/>
            <w:vAlign w:val="center"/>
          </w:tcPr>
          <w:p w14:paraId="3D477F64" w14:textId="05DB2672" w:rsidR="00644EC2" w:rsidRPr="00261FCB" w:rsidRDefault="00644EC2" w:rsidP="001D0C10">
            <w:pPr>
              <w:spacing w:after="0" w:line="240" w:lineRule="auto"/>
              <w:jc w:val="both"/>
              <w:rPr>
                <w:rFonts w:ascii="Book Antiqua" w:eastAsia="Times New Roman" w:hAnsi="Book Antiqua" w:cs="Calibri"/>
                <w:color w:val="000000"/>
                <w:lang w:eastAsia="es-CR"/>
              </w:rPr>
            </w:pPr>
            <w:r w:rsidRPr="00A83BE0">
              <w:rPr>
                <w:rFonts w:ascii="Book Antiqua" w:eastAsia="Times New Roman" w:hAnsi="Book Antiqua" w:cs="Calibri"/>
                <w:color w:val="000000"/>
                <w:lang w:eastAsia="es-CR"/>
              </w:rPr>
              <w:t>Viáticos para Capacitación-Escuela Judicial</w:t>
            </w:r>
          </w:p>
        </w:tc>
        <w:tc>
          <w:tcPr>
            <w:tcW w:w="872" w:type="pct"/>
            <w:tcBorders>
              <w:top w:val="nil"/>
              <w:left w:val="nil"/>
              <w:bottom w:val="single" w:sz="8" w:space="0" w:color="auto"/>
              <w:right w:val="single" w:sz="8" w:space="0" w:color="auto"/>
            </w:tcBorders>
            <w:shd w:val="clear" w:color="auto" w:fill="auto"/>
            <w:vAlign w:val="center"/>
          </w:tcPr>
          <w:p w14:paraId="7AEEE888" w14:textId="77777777" w:rsidR="00644EC2" w:rsidRPr="009B71C9" w:rsidRDefault="00644EC2" w:rsidP="00644EC2">
            <w:pPr>
              <w:spacing w:after="0" w:line="240" w:lineRule="auto"/>
              <w:rPr>
                <w:rFonts w:ascii="Book Antiqua" w:eastAsia="Times New Roman" w:hAnsi="Book Antiqua" w:cs="Calibri"/>
                <w:color w:val="000000"/>
                <w:lang w:eastAsia="es-CR"/>
              </w:rPr>
            </w:pPr>
          </w:p>
        </w:tc>
        <w:tc>
          <w:tcPr>
            <w:tcW w:w="971" w:type="pct"/>
            <w:tcBorders>
              <w:top w:val="nil"/>
              <w:left w:val="nil"/>
              <w:bottom w:val="single" w:sz="8" w:space="0" w:color="auto"/>
              <w:right w:val="single" w:sz="8" w:space="0" w:color="auto"/>
            </w:tcBorders>
            <w:shd w:val="clear" w:color="auto" w:fill="auto"/>
            <w:vAlign w:val="center"/>
          </w:tcPr>
          <w:p w14:paraId="3A5B9501" w14:textId="0BD843C0"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9B71C9">
              <w:rPr>
                <w:rFonts w:ascii="Book Antiqua" w:eastAsia="Times New Roman" w:hAnsi="Book Antiqua" w:cs="Times New Roman"/>
                <w:color w:val="000000"/>
                <w:lang w:eastAsia="es-CR"/>
              </w:rPr>
              <w:t xml:space="preserve"> 19,374,000.00</w:t>
            </w:r>
          </w:p>
        </w:tc>
        <w:tc>
          <w:tcPr>
            <w:tcW w:w="1045" w:type="pct"/>
            <w:tcBorders>
              <w:top w:val="nil"/>
              <w:left w:val="nil"/>
              <w:bottom w:val="single" w:sz="8" w:space="0" w:color="auto"/>
              <w:right w:val="single" w:sz="8" w:space="0" w:color="auto"/>
            </w:tcBorders>
            <w:shd w:val="clear" w:color="auto" w:fill="auto"/>
            <w:noWrap/>
            <w:vAlign w:val="center"/>
          </w:tcPr>
          <w:p w14:paraId="66701AE8" w14:textId="246D1741"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9B71C9">
              <w:rPr>
                <w:rFonts w:ascii="Book Antiqua" w:eastAsia="Times New Roman" w:hAnsi="Book Antiqua" w:cs="Times New Roman"/>
                <w:color w:val="000000"/>
                <w:lang w:eastAsia="es-CR"/>
              </w:rPr>
              <w:t xml:space="preserve"> 19,374,000.00</w:t>
            </w:r>
          </w:p>
        </w:tc>
      </w:tr>
      <w:tr w:rsidR="00644EC2" w:rsidRPr="00261FCB" w14:paraId="48F86EB9" w14:textId="77777777" w:rsidTr="00E50AC2">
        <w:trPr>
          <w:trHeight w:val="64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0119558C" w14:textId="77777777"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2.99.03 Productos de papel, cartón e impresos-Dirección Ejecutiva</w:t>
            </w:r>
          </w:p>
        </w:tc>
        <w:tc>
          <w:tcPr>
            <w:tcW w:w="872" w:type="pct"/>
            <w:tcBorders>
              <w:top w:val="nil"/>
              <w:left w:val="nil"/>
              <w:bottom w:val="single" w:sz="8" w:space="0" w:color="auto"/>
              <w:right w:val="single" w:sz="8" w:space="0" w:color="auto"/>
            </w:tcBorders>
            <w:shd w:val="clear" w:color="auto" w:fill="auto"/>
            <w:vAlign w:val="center"/>
            <w:hideMark/>
          </w:tcPr>
          <w:p w14:paraId="43F39900" w14:textId="77777777"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70,000.00</w:t>
            </w:r>
          </w:p>
        </w:tc>
        <w:tc>
          <w:tcPr>
            <w:tcW w:w="971" w:type="pct"/>
            <w:tcBorders>
              <w:top w:val="nil"/>
              <w:left w:val="nil"/>
              <w:bottom w:val="single" w:sz="8" w:space="0" w:color="auto"/>
              <w:right w:val="single" w:sz="8" w:space="0" w:color="auto"/>
            </w:tcBorders>
            <w:shd w:val="clear" w:color="auto" w:fill="auto"/>
            <w:vAlign w:val="center"/>
            <w:hideMark/>
          </w:tcPr>
          <w:p w14:paraId="7341773B" w14:textId="77777777" w:rsidR="00644EC2" w:rsidRPr="009B71C9" w:rsidRDefault="00644EC2" w:rsidP="00644EC2">
            <w:pPr>
              <w:spacing w:after="0" w:line="240" w:lineRule="auto"/>
              <w:rPr>
                <w:rFonts w:ascii="Book Antiqua" w:eastAsia="Times New Roman" w:hAnsi="Book Antiqua" w:cs="Calibri"/>
                <w:color w:val="000000"/>
                <w:lang w:eastAsia="es-CR"/>
              </w:rPr>
            </w:pPr>
            <w:r w:rsidRPr="009B71C9">
              <w:rPr>
                <w:rFonts w:ascii="Book Antiqua" w:eastAsia="Times New Roman" w:hAnsi="Book Antiqua" w:cs="Calibri"/>
                <w:color w:val="000000"/>
                <w:lang w:eastAsia="es-CR"/>
              </w:rPr>
              <w:t> </w:t>
            </w:r>
          </w:p>
        </w:tc>
        <w:tc>
          <w:tcPr>
            <w:tcW w:w="1045" w:type="pct"/>
            <w:tcBorders>
              <w:top w:val="nil"/>
              <w:left w:val="nil"/>
              <w:bottom w:val="single" w:sz="8" w:space="0" w:color="auto"/>
              <w:right w:val="single" w:sz="8" w:space="0" w:color="auto"/>
            </w:tcBorders>
            <w:shd w:val="clear" w:color="auto" w:fill="auto"/>
            <w:noWrap/>
            <w:vAlign w:val="center"/>
            <w:hideMark/>
          </w:tcPr>
          <w:p w14:paraId="3187FCC2" w14:textId="77777777"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70,000.00</w:t>
            </w:r>
          </w:p>
        </w:tc>
      </w:tr>
      <w:tr w:rsidR="00644EC2" w:rsidRPr="00261FCB" w14:paraId="76F1C9DB" w14:textId="77777777" w:rsidTr="00E50AC2">
        <w:trPr>
          <w:trHeight w:val="83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7DBC9DA6" w14:textId="77777777"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2.99.99 Otros útiles, materiales y suministros diversos-Dirección Ejecutiva</w:t>
            </w:r>
          </w:p>
        </w:tc>
        <w:tc>
          <w:tcPr>
            <w:tcW w:w="872" w:type="pct"/>
            <w:tcBorders>
              <w:top w:val="nil"/>
              <w:left w:val="nil"/>
              <w:bottom w:val="single" w:sz="8" w:space="0" w:color="auto"/>
              <w:right w:val="single" w:sz="8" w:space="0" w:color="auto"/>
            </w:tcBorders>
            <w:shd w:val="clear" w:color="auto" w:fill="auto"/>
            <w:vAlign w:val="center"/>
            <w:hideMark/>
          </w:tcPr>
          <w:p w14:paraId="47F8DF77" w14:textId="77777777"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572,250.00</w:t>
            </w:r>
          </w:p>
        </w:tc>
        <w:tc>
          <w:tcPr>
            <w:tcW w:w="971" w:type="pct"/>
            <w:tcBorders>
              <w:top w:val="nil"/>
              <w:left w:val="nil"/>
              <w:bottom w:val="single" w:sz="8" w:space="0" w:color="auto"/>
              <w:right w:val="single" w:sz="8" w:space="0" w:color="auto"/>
            </w:tcBorders>
            <w:shd w:val="clear" w:color="auto" w:fill="auto"/>
            <w:noWrap/>
            <w:vAlign w:val="bottom"/>
            <w:hideMark/>
          </w:tcPr>
          <w:p w14:paraId="31A1C34E" w14:textId="77777777" w:rsidR="00644EC2" w:rsidRPr="009B71C9" w:rsidRDefault="00644EC2" w:rsidP="00644EC2">
            <w:pPr>
              <w:spacing w:after="0" w:line="240" w:lineRule="auto"/>
              <w:rPr>
                <w:rFonts w:ascii="Book Antiqua" w:eastAsia="Times New Roman" w:hAnsi="Book Antiqua" w:cs="Calibri"/>
                <w:color w:val="000000"/>
                <w:lang w:eastAsia="es-CR"/>
              </w:rPr>
            </w:pPr>
            <w:r w:rsidRPr="009B71C9">
              <w:rPr>
                <w:rFonts w:ascii="Book Antiqua" w:eastAsia="Times New Roman" w:hAnsi="Book Antiqua" w:cs="Calibri"/>
                <w:color w:val="000000"/>
                <w:lang w:eastAsia="es-CR"/>
              </w:rPr>
              <w:t> </w:t>
            </w:r>
          </w:p>
        </w:tc>
        <w:tc>
          <w:tcPr>
            <w:tcW w:w="1045" w:type="pct"/>
            <w:tcBorders>
              <w:top w:val="nil"/>
              <w:left w:val="nil"/>
              <w:bottom w:val="single" w:sz="8" w:space="0" w:color="auto"/>
              <w:right w:val="single" w:sz="8" w:space="0" w:color="auto"/>
            </w:tcBorders>
            <w:shd w:val="clear" w:color="auto" w:fill="auto"/>
            <w:noWrap/>
            <w:vAlign w:val="center"/>
            <w:hideMark/>
          </w:tcPr>
          <w:p w14:paraId="25CE5078" w14:textId="77777777"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9B71C9">
              <w:rPr>
                <w:rFonts w:ascii="Book Antiqua" w:eastAsia="Times New Roman" w:hAnsi="Book Antiqua" w:cs="Times New Roman"/>
                <w:color w:val="000000"/>
                <w:lang w:eastAsia="es-CR"/>
              </w:rPr>
              <w:t xml:space="preserve"> </w:t>
            </w:r>
            <w:r w:rsidRPr="000A1761">
              <w:rPr>
                <w:rFonts w:ascii="Book Antiqua" w:eastAsia="Times New Roman" w:hAnsi="Book Antiqua" w:cs="Times New Roman"/>
                <w:color w:val="000000"/>
                <w:lang w:eastAsia="es-CR"/>
              </w:rPr>
              <w:t>572,250.00</w:t>
            </w:r>
          </w:p>
        </w:tc>
      </w:tr>
      <w:tr w:rsidR="00644EC2" w:rsidRPr="00261FCB" w14:paraId="33D5539A" w14:textId="77777777" w:rsidTr="00E50AC2">
        <w:trPr>
          <w:trHeight w:val="69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34D9D497" w14:textId="77777777"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5.01.04 Equipo y mobiliario de oficina -Dirección Ejecutiva</w:t>
            </w:r>
          </w:p>
        </w:tc>
        <w:tc>
          <w:tcPr>
            <w:tcW w:w="872" w:type="pct"/>
            <w:tcBorders>
              <w:top w:val="nil"/>
              <w:left w:val="nil"/>
              <w:bottom w:val="single" w:sz="8" w:space="0" w:color="auto"/>
              <w:right w:val="single" w:sz="8" w:space="0" w:color="auto"/>
            </w:tcBorders>
            <w:shd w:val="clear" w:color="auto" w:fill="auto"/>
            <w:noWrap/>
            <w:vAlign w:val="bottom"/>
            <w:hideMark/>
          </w:tcPr>
          <w:p w14:paraId="23BD6C6A" w14:textId="77777777"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w:t>
            </w:r>
          </w:p>
        </w:tc>
        <w:tc>
          <w:tcPr>
            <w:tcW w:w="971" w:type="pct"/>
            <w:tcBorders>
              <w:top w:val="nil"/>
              <w:left w:val="nil"/>
              <w:bottom w:val="single" w:sz="8" w:space="0" w:color="auto"/>
              <w:right w:val="single" w:sz="8" w:space="0" w:color="auto"/>
            </w:tcBorders>
            <w:shd w:val="clear" w:color="auto" w:fill="auto"/>
            <w:noWrap/>
            <w:vAlign w:val="center"/>
            <w:hideMark/>
          </w:tcPr>
          <w:p w14:paraId="34F4E3E4" w14:textId="5EF18E1E" w:rsidR="00644EC2" w:rsidRPr="00A132C7"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w:t>
            </w:r>
            <w:r w:rsidR="00FD07E2" w:rsidRPr="00A132C7">
              <w:rPr>
                <w:rFonts w:ascii="Book Antiqua" w:eastAsia="Times New Roman" w:hAnsi="Book Antiqua" w:cs="Times New Roman"/>
                <w:color w:val="000000"/>
                <w:lang w:eastAsia="es-CR"/>
              </w:rPr>
              <w:t>8,084,549.00</w:t>
            </w:r>
          </w:p>
        </w:tc>
        <w:tc>
          <w:tcPr>
            <w:tcW w:w="1045" w:type="pct"/>
            <w:tcBorders>
              <w:top w:val="nil"/>
              <w:left w:val="nil"/>
              <w:bottom w:val="single" w:sz="8" w:space="0" w:color="auto"/>
              <w:right w:val="single" w:sz="8" w:space="0" w:color="auto"/>
            </w:tcBorders>
            <w:shd w:val="clear" w:color="auto" w:fill="auto"/>
            <w:noWrap/>
            <w:vAlign w:val="center"/>
            <w:hideMark/>
          </w:tcPr>
          <w:p w14:paraId="31D78350" w14:textId="73E5F448" w:rsidR="00644EC2" w:rsidRPr="00A132C7"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w:t>
            </w:r>
            <w:r w:rsidR="00FD07E2" w:rsidRPr="00A132C7">
              <w:rPr>
                <w:rFonts w:ascii="Book Antiqua" w:eastAsia="Times New Roman" w:hAnsi="Book Antiqua" w:cs="Times New Roman"/>
                <w:color w:val="000000"/>
                <w:lang w:eastAsia="es-CR"/>
              </w:rPr>
              <w:t>8,084,549.00</w:t>
            </w:r>
          </w:p>
        </w:tc>
      </w:tr>
      <w:tr w:rsidR="00644EC2" w:rsidRPr="00261FCB" w14:paraId="2C749BB3" w14:textId="77777777" w:rsidTr="00E50AC2">
        <w:trPr>
          <w:trHeight w:val="82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19F515FC" w14:textId="77777777"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 xml:space="preserve">Equipo de cómputo y licencias -Dirección de Tecnología de la Información </w:t>
            </w:r>
          </w:p>
        </w:tc>
        <w:tc>
          <w:tcPr>
            <w:tcW w:w="872" w:type="pct"/>
            <w:tcBorders>
              <w:top w:val="nil"/>
              <w:left w:val="nil"/>
              <w:bottom w:val="single" w:sz="8" w:space="0" w:color="auto"/>
              <w:right w:val="single" w:sz="8" w:space="0" w:color="auto"/>
            </w:tcBorders>
            <w:shd w:val="clear" w:color="auto" w:fill="auto"/>
            <w:noWrap/>
            <w:vAlign w:val="bottom"/>
            <w:hideMark/>
          </w:tcPr>
          <w:p w14:paraId="6A59329F" w14:textId="77777777"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w:t>
            </w:r>
          </w:p>
        </w:tc>
        <w:tc>
          <w:tcPr>
            <w:tcW w:w="971" w:type="pct"/>
            <w:tcBorders>
              <w:top w:val="nil"/>
              <w:left w:val="nil"/>
              <w:bottom w:val="single" w:sz="8" w:space="0" w:color="auto"/>
              <w:right w:val="single" w:sz="8" w:space="0" w:color="auto"/>
            </w:tcBorders>
            <w:shd w:val="clear" w:color="auto" w:fill="auto"/>
            <w:noWrap/>
            <w:vAlign w:val="center"/>
            <w:hideMark/>
          </w:tcPr>
          <w:p w14:paraId="7AF7E1F0" w14:textId="57D950C3" w:rsidR="00644EC2" w:rsidRPr="00A132C7" w:rsidRDefault="00A33588"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00FD07E2" w:rsidRPr="00A132C7">
              <w:rPr>
                <w:rFonts w:ascii="Book Antiqua" w:eastAsia="Times New Roman" w:hAnsi="Book Antiqua" w:cs="Times New Roman"/>
                <w:color w:val="000000"/>
                <w:lang w:eastAsia="es-CR"/>
              </w:rPr>
              <w:t>31 532 987</w:t>
            </w:r>
          </w:p>
        </w:tc>
        <w:tc>
          <w:tcPr>
            <w:tcW w:w="1045" w:type="pct"/>
            <w:tcBorders>
              <w:top w:val="nil"/>
              <w:left w:val="nil"/>
              <w:bottom w:val="single" w:sz="8" w:space="0" w:color="auto"/>
              <w:right w:val="single" w:sz="8" w:space="0" w:color="auto"/>
            </w:tcBorders>
            <w:shd w:val="clear" w:color="auto" w:fill="auto"/>
            <w:noWrap/>
            <w:vAlign w:val="center"/>
            <w:hideMark/>
          </w:tcPr>
          <w:p w14:paraId="12A3AEC6" w14:textId="46FC242D" w:rsidR="00644EC2" w:rsidRPr="00A132C7" w:rsidRDefault="00A33588"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00FD07E2" w:rsidRPr="00A132C7">
              <w:rPr>
                <w:rFonts w:ascii="Book Antiqua" w:eastAsia="Times New Roman" w:hAnsi="Book Antiqua" w:cs="Times New Roman"/>
                <w:color w:val="000000"/>
                <w:lang w:eastAsia="es-CR"/>
              </w:rPr>
              <w:t>31 532 987</w:t>
            </w:r>
          </w:p>
        </w:tc>
      </w:tr>
      <w:tr w:rsidR="00644EC2" w:rsidRPr="00261FCB" w14:paraId="59409A6D" w14:textId="77777777" w:rsidTr="00E50AC2">
        <w:trPr>
          <w:trHeight w:val="97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1085FD98" w14:textId="77777777"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Desarrollo página web de la Comisión de Familia -Dirección de Tecnología de la Información</w:t>
            </w:r>
          </w:p>
        </w:tc>
        <w:tc>
          <w:tcPr>
            <w:tcW w:w="872" w:type="pct"/>
            <w:tcBorders>
              <w:top w:val="nil"/>
              <w:left w:val="nil"/>
              <w:bottom w:val="single" w:sz="8" w:space="0" w:color="auto"/>
              <w:right w:val="single" w:sz="8" w:space="0" w:color="auto"/>
            </w:tcBorders>
            <w:shd w:val="clear" w:color="auto" w:fill="auto"/>
            <w:noWrap/>
            <w:vAlign w:val="bottom"/>
            <w:hideMark/>
          </w:tcPr>
          <w:p w14:paraId="7F5E6258" w14:textId="77777777" w:rsidR="00644EC2" w:rsidRPr="00A132C7" w:rsidRDefault="00644EC2" w:rsidP="00644EC2">
            <w:pPr>
              <w:spacing w:after="0" w:line="240" w:lineRule="auto"/>
              <w:rPr>
                <w:rFonts w:ascii="Book Antiqua" w:eastAsia="Times New Roman" w:hAnsi="Book Antiqua" w:cs="Calibri"/>
                <w:color w:val="000000"/>
                <w:lang w:eastAsia="es-CR"/>
              </w:rPr>
            </w:pPr>
            <w:r w:rsidRPr="00A132C7">
              <w:rPr>
                <w:rFonts w:ascii="Book Antiqua" w:eastAsia="Times New Roman" w:hAnsi="Book Antiqua" w:cs="Calibri"/>
                <w:color w:val="000000"/>
                <w:lang w:eastAsia="es-CR"/>
              </w:rPr>
              <w:t> </w:t>
            </w:r>
          </w:p>
        </w:tc>
        <w:tc>
          <w:tcPr>
            <w:tcW w:w="971" w:type="pct"/>
            <w:tcBorders>
              <w:top w:val="nil"/>
              <w:left w:val="nil"/>
              <w:bottom w:val="single" w:sz="8" w:space="0" w:color="auto"/>
              <w:right w:val="single" w:sz="8" w:space="0" w:color="auto"/>
            </w:tcBorders>
            <w:shd w:val="clear" w:color="auto" w:fill="auto"/>
            <w:noWrap/>
            <w:vAlign w:val="center"/>
            <w:hideMark/>
          </w:tcPr>
          <w:p w14:paraId="62EFB7A9" w14:textId="77777777" w:rsidR="00644EC2" w:rsidRPr="00A132C7"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15,000,000.00</w:t>
            </w:r>
          </w:p>
        </w:tc>
        <w:tc>
          <w:tcPr>
            <w:tcW w:w="1045" w:type="pct"/>
            <w:tcBorders>
              <w:top w:val="nil"/>
              <w:left w:val="nil"/>
              <w:bottom w:val="single" w:sz="8" w:space="0" w:color="auto"/>
              <w:right w:val="single" w:sz="8" w:space="0" w:color="auto"/>
            </w:tcBorders>
            <w:shd w:val="clear" w:color="auto" w:fill="auto"/>
            <w:noWrap/>
            <w:vAlign w:val="center"/>
            <w:hideMark/>
          </w:tcPr>
          <w:p w14:paraId="2165CB9A" w14:textId="77777777" w:rsidR="00644EC2" w:rsidRPr="00A132C7" w:rsidRDefault="00644EC2" w:rsidP="00644EC2">
            <w:pPr>
              <w:spacing w:after="0" w:line="240" w:lineRule="auto"/>
              <w:jc w:val="center"/>
              <w:rPr>
                <w:rFonts w:ascii="Book Antiqua" w:eastAsia="Times New Roman" w:hAnsi="Book Antiqua" w:cs="Times New Roman"/>
                <w:color w:val="000000"/>
                <w:lang w:eastAsia="es-CR"/>
              </w:rPr>
            </w:pPr>
            <w:r w:rsidRPr="00A132C7">
              <w:rPr>
                <w:rFonts w:ascii="Times New Roman" w:eastAsia="Times New Roman" w:hAnsi="Times New Roman" w:cs="Times New Roman"/>
                <w:color w:val="000000"/>
                <w:lang w:eastAsia="es-CR"/>
              </w:rPr>
              <w:t>₡</w:t>
            </w:r>
            <w:r w:rsidRPr="00A132C7">
              <w:rPr>
                <w:rFonts w:ascii="Book Antiqua" w:eastAsia="Times New Roman" w:hAnsi="Book Antiqua" w:cs="Times New Roman"/>
                <w:color w:val="000000"/>
                <w:lang w:eastAsia="es-CR"/>
              </w:rPr>
              <w:t xml:space="preserve"> 15,000,000.00</w:t>
            </w:r>
          </w:p>
        </w:tc>
      </w:tr>
      <w:tr w:rsidR="00644EC2" w:rsidRPr="00261FCB" w14:paraId="2CE25EE1" w14:textId="77777777" w:rsidTr="00E50AC2">
        <w:trPr>
          <w:trHeight w:val="750"/>
        </w:trPr>
        <w:tc>
          <w:tcPr>
            <w:tcW w:w="2112" w:type="pct"/>
            <w:tcBorders>
              <w:top w:val="nil"/>
              <w:left w:val="single" w:sz="8" w:space="0" w:color="auto"/>
              <w:bottom w:val="single" w:sz="8" w:space="0" w:color="auto"/>
              <w:right w:val="single" w:sz="8" w:space="0" w:color="auto"/>
            </w:tcBorders>
            <w:shd w:val="clear" w:color="auto" w:fill="auto"/>
            <w:vAlign w:val="center"/>
            <w:hideMark/>
          </w:tcPr>
          <w:p w14:paraId="1E712C61" w14:textId="6EFE92AC"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Pago de peritajes-</w:t>
            </w:r>
            <w:r>
              <w:rPr>
                <w:rFonts w:ascii="Book Antiqua" w:eastAsia="Times New Roman" w:hAnsi="Book Antiqua" w:cs="Calibri"/>
                <w:color w:val="000000"/>
                <w:lang w:eastAsia="es-CR"/>
              </w:rPr>
              <w:t xml:space="preserve">Familia </w:t>
            </w:r>
            <w:r w:rsidRPr="00261FCB">
              <w:rPr>
                <w:rFonts w:ascii="Book Antiqua" w:eastAsia="Times New Roman" w:hAnsi="Book Antiqua" w:cs="Calibri"/>
                <w:color w:val="000000"/>
                <w:lang w:eastAsia="es-CR"/>
              </w:rPr>
              <w:t>Departamento de Trabajo Social</w:t>
            </w:r>
          </w:p>
        </w:tc>
        <w:tc>
          <w:tcPr>
            <w:tcW w:w="872" w:type="pct"/>
            <w:tcBorders>
              <w:top w:val="nil"/>
              <w:left w:val="nil"/>
              <w:bottom w:val="single" w:sz="8" w:space="0" w:color="auto"/>
              <w:right w:val="single" w:sz="8" w:space="0" w:color="auto"/>
            </w:tcBorders>
            <w:shd w:val="clear" w:color="auto" w:fill="auto"/>
            <w:vAlign w:val="center"/>
            <w:hideMark/>
          </w:tcPr>
          <w:p w14:paraId="76C0447A" w14:textId="176F53B4"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30,000,000.00</w:t>
            </w:r>
          </w:p>
        </w:tc>
        <w:tc>
          <w:tcPr>
            <w:tcW w:w="971" w:type="pct"/>
            <w:tcBorders>
              <w:top w:val="nil"/>
              <w:left w:val="nil"/>
              <w:bottom w:val="single" w:sz="8" w:space="0" w:color="auto"/>
              <w:right w:val="single" w:sz="8" w:space="0" w:color="auto"/>
            </w:tcBorders>
            <w:shd w:val="clear" w:color="auto" w:fill="auto"/>
            <w:noWrap/>
            <w:vAlign w:val="bottom"/>
            <w:hideMark/>
          </w:tcPr>
          <w:p w14:paraId="490FE1D9" w14:textId="77777777" w:rsidR="00644EC2" w:rsidRPr="009B71C9" w:rsidRDefault="00644EC2" w:rsidP="00644EC2">
            <w:pPr>
              <w:spacing w:after="0" w:line="240" w:lineRule="auto"/>
              <w:rPr>
                <w:rFonts w:ascii="Book Antiqua" w:eastAsia="Times New Roman" w:hAnsi="Book Antiqua" w:cs="Calibri"/>
                <w:color w:val="000000"/>
                <w:lang w:eastAsia="es-CR"/>
              </w:rPr>
            </w:pPr>
            <w:r w:rsidRPr="009B71C9">
              <w:rPr>
                <w:rFonts w:ascii="Book Antiqua" w:eastAsia="Times New Roman" w:hAnsi="Book Antiqua" w:cs="Calibri"/>
                <w:color w:val="000000"/>
                <w:lang w:eastAsia="es-CR"/>
              </w:rPr>
              <w:t> </w:t>
            </w:r>
          </w:p>
        </w:tc>
        <w:tc>
          <w:tcPr>
            <w:tcW w:w="1045" w:type="pct"/>
            <w:tcBorders>
              <w:top w:val="nil"/>
              <w:left w:val="nil"/>
              <w:bottom w:val="single" w:sz="8" w:space="0" w:color="auto"/>
              <w:right w:val="single" w:sz="8" w:space="0" w:color="auto"/>
            </w:tcBorders>
            <w:shd w:val="clear" w:color="auto" w:fill="auto"/>
            <w:noWrap/>
            <w:vAlign w:val="center"/>
            <w:hideMark/>
          </w:tcPr>
          <w:p w14:paraId="01582078" w14:textId="77777777"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30,000,000.00</w:t>
            </w:r>
          </w:p>
        </w:tc>
      </w:tr>
      <w:tr w:rsidR="00644EC2" w:rsidRPr="00261FCB" w14:paraId="37C00FD5" w14:textId="77777777" w:rsidTr="00E50AC2">
        <w:trPr>
          <w:trHeight w:val="750"/>
        </w:trPr>
        <w:tc>
          <w:tcPr>
            <w:tcW w:w="2112" w:type="pct"/>
            <w:tcBorders>
              <w:top w:val="nil"/>
              <w:left w:val="single" w:sz="8" w:space="0" w:color="auto"/>
              <w:bottom w:val="single" w:sz="8" w:space="0" w:color="auto"/>
              <w:right w:val="single" w:sz="8" w:space="0" w:color="auto"/>
            </w:tcBorders>
            <w:shd w:val="clear" w:color="auto" w:fill="auto"/>
            <w:vAlign w:val="center"/>
          </w:tcPr>
          <w:p w14:paraId="5FDFE1E4" w14:textId="6B0ADE03" w:rsidR="00644EC2" w:rsidRPr="00261FCB" w:rsidRDefault="00644EC2" w:rsidP="001D0C10">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Pago de peritajes-</w:t>
            </w:r>
            <w:r>
              <w:rPr>
                <w:rFonts w:ascii="Book Antiqua" w:eastAsia="Times New Roman" w:hAnsi="Book Antiqua" w:cs="Calibri"/>
                <w:color w:val="000000"/>
                <w:lang w:eastAsia="es-CR"/>
              </w:rPr>
              <w:t>Violencia Doméstica-</w:t>
            </w:r>
            <w:r w:rsidRPr="00261FCB">
              <w:rPr>
                <w:rFonts w:ascii="Book Antiqua" w:eastAsia="Times New Roman" w:hAnsi="Book Antiqua" w:cs="Calibri"/>
                <w:color w:val="000000"/>
                <w:lang w:eastAsia="es-CR"/>
              </w:rPr>
              <w:t>Departamento de Trabajo Social</w:t>
            </w:r>
          </w:p>
        </w:tc>
        <w:tc>
          <w:tcPr>
            <w:tcW w:w="872" w:type="pct"/>
            <w:tcBorders>
              <w:top w:val="nil"/>
              <w:left w:val="nil"/>
              <w:bottom w:val="single" w:sz="8" w:space="0" w:color="auto"/>
              <w:right w:val="single" w:sz="8" w:space="0" w:color="auto"/>
            </w:tcBorders>
            <w:shd w:val="clear" w:color="auto" w:fill="auto"/>
            <w:vAlign w:val="center"/>
          </w:tcPr>
          <w:p w14:paraId="2AE9CEEE" w14:textId="0EC1C683"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9B71C9">
              <w:rPr>
                <w:rFonts w:ascii="Book Antiqua" w:eastAsia="Times New Roman" w:hAnsi="Book Antiqua" w:cs="Times New Roman"/>
                <w:color w:val="000000"/>
                <w:lang w:eastAsia="es-CR"/>
              </w:rPr>
              <w:t xml:space="preserve"> 30,000,000.00</w:t>
            </w:r>
          </w:p>
        </w:tc>
        <w:tc>
          <w:tcPr>
            <w:tcW w:w="971" w:type="pct"/>
            <w:tcBorders>
              <w:top w:val="nil"/>
              <w:left w:val="nil"/>
              <w:bottom w:val="single" w:sz="8" w:space="0" w:color="auto"/>
              <w:right w:val="single" w:sz="8" w:space="0" w:color="auto"/>
            </w:tcBorders>
            <w:shd w:val="clear" w:color="auto" w:fill="auto"/>
            <w:noWrap/>
            <w:vAlign w:val="bottom"/>
          </w:tcPr>
          <w:p w14:paraId="66B457E6" w14:textId="77777777" w:rsidR="00644EC2" w:rsidRPr="009B71C9" w:rsidRDefault="00644EC2" w:rsidP="00644EC2">
            <w:pPr>
              <w:spacing w:after="0" w:line="240" w:lineRule="auto"/>
              <w:rPr>
                <w:rFonts w:ascii="Book Antiqua" w:eastAsia="Times New Roman" w:hAnsi="Book Antiqua" w:cs="Calibri"/>
                <w:color w:val="000000"/>
                <w:lang w:eastAsia="es-CR"/>
              </w:rPr>
            </w:pPr>
          </w:p>
        </w:tc>
        <w:tc>
          <w:tcPr>
            <w:tcW w:w="1045" w:type="pct"/>
            <w:tcBorders>
              <w:top w:val="nil"/>
              <w:left w:val="nil"/>
              <w:bottom w:val="single" w:sz="8" w:space="0" w:color="auto"/>
              <w:right w:val="single" w:sz="8" w:space="0" w:color="auto"/>
            </w:tcBorders>
            <w:shd w:val="clear" w:color="auto" w:fill="auto"/>
            <w:noWrap/>
            <w:vAlign w:val="center"/>
          </w:tcPr>
          <w:p w14:paraId="2F9D11C9" w14:textId="524A9440" w:rsidR="00644EC2" w:rsidRPr="009B71C9" w:rsidRDefault="00644EC2" w:rsidP="00644EC2">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9B71C9">
              <w:rPr>
                <w:rFonts w:ascii="Book Antiqua" w:eastAsia="Times New Roman" w:hAnsi="Book Antiqua" w:cs="Times New Roman"/>
                <w:color w:val="000000"/>
                <w:lang w:eastAsia="es-CR"/>
              </w:rPr>
              <w:t xml:space="preserve"> 30,000,000.00</w:t>
            </w:r>
          </w:p>
        </w:tc>
      </w:tr>
      <w:tr w:rsidR="00644EC2" w:rsidRPr="00A132C7" w14:paraId="53B90CFD" w14:textId="77777777" w:rsidTr="00A132C7">
        <w:trPr>
          <w:trHeight w:val="300"/>
        </w:trPr>
        <w:tc>
          <w:tcPr>
            <w:tcW w:w="2112" w:type="pct"/>
            <w:tcBorders>
              <w:top w:val="nil"/>
              <w:left w:val="single" w:sz="8" w:space="0" w:color="auto"/>
              <w:bottom w:val="single" w:sz="8" w:space="0" w:color="auto"/>
              <w:right w:val="single" w:sz="8" w:space="0" w:color="auto"/>
            </w:tcBorders>
            <w:shd w:val="clear" w:color="000000" w:fill="DDEBF7"/>
            <w:vAlign w:val="center"/>
            <w:hideMark/>
          </w:tcPr>
          <w:p w14:paraId="035EBBEE" w14:textId="77777777" w:rsidR="00644EC2" w:rsidRPr="00A132C7" w:rsidRDefault="00644EC2" w:rsidP="00644EC2">
            <w:pPr>
              <w:spacing w:after="0" w:line="240" w:lineRule="auto"/>
              <w:jc w:val="center"/>
              <w:rPr>
                <w:rFonts w:ascii="Book Antiqua" w:eastAsia="Times New Roman" w:hAnsi="Book Antiqua" w:cs="Calibri"/>
                <w:b/>
                <w:bCs/>
                <w:color w:val="000000"/>
                <w:lang w:eastAsia="es-CR"/>
              </w:rPr>
            </w:pPr>
            <w:r w:rsidRPr="00A132C7">
              <w:rPr>
                <w:rFonts w:ascii="Book Antiqua" w:eastAsia="Times New Roman" w:hAnsi="Book Antiqua" w:cs="Calibri"/>
                <w:b/>
                <w:bCs/>
                <w:color w:val="000000"/>
                <w:lang w:eastAsia="es-CR"/>
              </w:rPr>
              <w:t>Total</w:t>
            </w:r>
          </w:p>
        </w:tc>
        <w:tc>
          <w:tcPr>
            <w:tcW w:w="872" w:type="pct"/>
            <w:tcBorders>
              <w:top w:val="nil"/>
              <w:left w:val="nil"/>
              <w:bottom w:val="single" w:sz="8" w:space="0" w:color="auto"/>
              <w:right w:val="single" w:sz="8" w:space="0" w:color="auto"/>
            </w:tcBorders>
            <w:shd w:val="clear" w:color="000000" w:fill="DDEBF7"/>
            <w:vAlign w:val="center"/>
            <w:hideMark/>
          </w:tcPr>
          <w:p w14:paraId="645C3E70" w14:textId="35DC7A14" w:rsidR="00644EC2" w:rsidRPr="00A132C7" w:rsidRDefault="00644EC2" w:rsidP="00644EC2">
            <w:pPr>
              <w:spacing w:after="0" w:line="240" w:lineRule="auto"/>
              <w:jc w:val="center"/>
              <w:rPr>
                <w:rFonts w:ascii="Book Antiqua" w:eastAsia="Times New Roman" w:hAnsi="Book Antiqua" w:cs="Times New Roman"/>
                <w:b/>
                <w:bCs/>
                <w:color w:val="000000"/>
                <w:lang w:eastAsia="es-CR"/>
              </w:rPr>
            </w:pPr>
            <w:r w:rsidRPr="00A132C7">
              <w:rPr>
                <w:rFonts w:ascii="Times New Roman" w:eastAsia="Times New Roman" w:hAnsi="Times New Roman" w:cs="Times New Roman"/>
                <w:b/>
                <w:bCs/>
                <w:color w:val="000000"/>
                <w:lang w:eastAsia="es-CR"/>
              </w:rPr>
              <w:t>₡</w:t>
            </w:r>
            <w:r w:rsidR="008605BF" w:rsidRPr="00A132C7">
              <w:rPr>
                <w:rFonts w:ascii="Book Antiqua" w:eastAsia="Times New Roman" w:hAnsi="Book Antiqua" w:cs="Times New Roman"/>
                <w:b/>
                <w:bCs/>
                <w:color w:val="000000"/>
                <w:lang w:eastAsia="es-CR"/>
              </w:rPr>
              <w:t>60,642,250.00</w:t>
            </w:r>
          </w:p>
        </w:tc>
        <w:tc>
          <w:tcPr>
            <w:tcW w:w="971" w:type="pct"/>
            <w:tcBorders>
              <w:top w:val="nil"/>
              <w:left w:val="nil"/>
              <w:bottom w:val="single" w:sz="8" w:space="0" w:color="auto"/>
              <w:right w:val="single" w:sz="8" w:space="0" w:color="auto"/>
            </w:tcBorders>
            <w:shd w:val="clear" w:color="000000" w:fill="DDEBF7"/>
            <w:vAlign w:val="center"/>
          </w:tcPr>
          <w:p w14:paraId="41D42DE2" w14:textId="3FA15180" w:rsidR="00644EC2" w:rsidRPr="00A132C7" w:rsidRDefault="00E50AC2" w:rsidP="00644EC2">
            <w:pPr>
              <w:spacing w:after="0" w:line="240" w:lineRule="auto"/>
              <w:jc w:val="center"/>
              <w:rPr>
                <w:rFonts w:ascii="Book Antiqua" w:eastAsia="Times New Roman" w:hAnsi="Book Antiqua" w:cs="Times New Roman"/>
                <w:b/>
                <w:bCs/>
                <w:color w:val="000000"/>
                <w:lang w:eastAsia="es-CR"/>
              </w:rPr>
            </w:pPr>
            <w:r w:rsidRPr="00A132C7">
              <w:rPr>
                <w:rFonts w:ascii="Times New Roman" w:eastAsia="Times New Roman" w:hAnsi="Times New Roman" w:cs="Times New Roman"/>
                <w:b/>
                <w:bCs/>
                <w:color w:val="000000"/>
                <w:lang w:eastAsia="es-CR"/>
              </w:rPr>
              <w:t>₡1,504,813,368</w:t>
            </w:r>
          </w:p>
        </w:tc>
        <w:tc>
          <w:tcPr>
            <w:tcW w:w="1045" w:type="pct"/>
            <w:tcBorders>
              <w:top w:val="nil"/>
              <w:left w:val="nil"/>
              <w:bottom w:val="single" w:sz="8" w:space="0" w:color="auto"/>
              <w:right w:val="single" w:sz="8" w:space="0" w:color="auto"/>
            </w:tcBorders>
            <w:shd w:val="clear" w:color="000000" w:fill="DDEBF7"/>
            <w:vAlign w:val="center"/>
          </w:tcPr>
          <w:p w14:paraId="03F11B82" w14:textId="2CCDBE50" w:rsidR="00644EC2" w:rsidRPr="00A132C7" w:rsidRDefault="00E50AC2" w:rsidP="00644EC2">
            <w:pPr>
              <w:spacing w:after="0" w:line="240" w:lineRule="auto"/>
              <w:jc w:val="center"/>
              <w:rPr>
                <w:rFonts w:ascii="Book Antiqua" w:eastAsia="Times New Roman" w:hAnsi="Book Antiqua" w:cs="Times New Roman"/>
                <w:b/>
                <w:bCs/>
                <w:color w:val="000000"/>
                <w:lang w:eastAsia="es-CR"/>
              </w:rPr>
            </w:pPr>
            <w:r w:rsidRPr="00A132C7">
              <w:rPr>
                <w:rFonts w:ascii="Times New Roman" w:eastAsia="Times New Roman" w:hAnsi="Times New Roman" w:cs="Times New Roman"/>
                <w:b/>
                <w:bCs/>
                <w:color w:val="000000"/>
                <w:lang w:eastAsia="es-CR"/>
              </w:rPr>
              <w:t>₡1,5</w:t>
            </w:r>
            <w:r w:rsidR="00F901A8">
              <w:rPr>
                <w:rFonts w:ascii="Times New Roman" w:eastAsia="Times New Roman" w:hAnsi="Times New Roman" w:cs="Times New Roman"/>
                <w:b/>
                <w:bCs/>
                <w:color w:val="000000"/>
                <w:lang w:eastAsia="es-CR"/>
              </w:rPr>
              <w:t>65</w:t>
            </w:r>
            <w:r w:rsidRPr="00A132C7">
              <w:rPr>
                <w:rFonts w:ascii="Times New Roman" w:eastAsia="Times New Roman" w:hAnsi="Times New Roman" w:cs="Times New Roman"/>
                <w:b/>
                <w:bCs/>
                <w:color w:val="000000"/>
                <w:lang w:eastAsia="es-CR"/>
              </w:rPr>
              <w:t>,4</w:t>
            </w:r>
            <w:r w:rsidR="00F901A8">
              <w:rPr>
                <w:rFonts w:ascii="Times New Roman" w:eastAsia="Times New Roman" w:hAnsi="Times New Roman" w:cs="Times New Roman"/>
                <w:b/>
                <w:bCs/>
                <w:color w:val="000000"/>
                <w:lang w:eastAsia="es-CR"/>
              </w:rPr>
              <w:t>55</w:t>
            </w:r>
            <w:r w:rsidRPr="00A132C7">
              <w:rPr>
                <w:rFonts w:ascii="Times New Roman" w:eastAsia="Times New Roman" w:hAnsi="Times New Roman" w:cs="Times New Roman"/>
                <w:b/>
                <w:bCs/>
                <w:color w:val="000000"/>
                <w:lang w:eastAsia="es-CR"/>
              </w:rPr>
              <w:t>,6</w:t>
            </w:r>
            <w:r w:rsidR="00F901A8">
              <w:rPr>
                <w:rFonts w:ascii="Times New Roman" w:eastAsia="Times New Roman" w:hAnsi="Times New Roman" w:cs="Times New Roman"/>
                <w:b/>
                <w:bCs/>
                <w:color w:val="000000"/>
                <w:lang w:eastAsia="es-CR"/>
              </w:rPr>
              <w:t>1</w:t>
            </w:r>
            <w:r w:rsidRPr="00A132C7">
              <w:rPr>
                <w:rFonts w:ascii="Times New Roman" w:eastAsia="Times New Roman" w:hAnsi="Times New Roman" w:cs="Times New Roman"/>
                <w:b/>
                <w:bCs/>
                <w:color w:val="000000"/>
                <w:lang w:eastAsia="es-CR"/>
              </w:rPr>
              <w:t>8</w:t>
            </w:r>
          </w:p>
        </w:tc>
      </w:tr>
      <w:bookmarkEnd w:id="70"/>
    </w:tbl>
    <w:p w14:paraId="580AD1D0" w14:textId="322006A2" w:rsidR="005B3BE1" w:rsidRPr="00A132C7" w:rsidRDefault="005B3BE1" w:rsidP="009E73B0">
      <w:pPr>
        <w:pStyle w:val="Ttulo"/>
        <w:spacing w:line="276" w:lineRule="auto"/>
        <w:jc w:val="left"/>
        <w:rPr>
          <w:szCs w:val="24"/>
          <w:lang w:val="es-CR"/>
        </w:rPr>
      </w:pPr>
    </w:p>
    <w:p w14:paraId="35D7E1CA" w14:textId="366431F4" w:rsidR="005B3BE1" w:rsidRPr="005B3BE1" w:rsidRDefault="005B3BE1" w:rsidP="005B3BE1">
      <w:p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 xml:space="preserve">Como se observa del cuadro anterior, el costo total para el 2023 </w:t>
      </w:r>
      <w:r w:rsidR="00E50AC2" w:rsidRPr="00A132C7">
        <w:rPr>
          <w:rFonts w:ascii="Book Antiqua" w:eastAsia="Calibri" w:hAnsi="Book Antiqua" w:cs="Arial"/>
          <w:sz w:val="24"/>
          <w:szCs w:val="24"/>
        </w:rPr>
        <w:t>con motivo de la</w:t>
      </w:r>
      <w:r w:rsidRPr="00A132C7">
        <w:rPr>
          <w:rFonts w:ascii="Book Antiqua" w:eastAsia="Calibri" w:hAnsi="Book Antiqua" w:cs="Arial"/>
          <w:sz w:val="24"/>
          <w:szCs w:val="24"/>
        </w:rPr>
        <w:t xml:space="preserve"> implementa</w:t>
      </w:r>
      <w:r w:rsidR="00E50AC2" w:rsidRPr="00A132C7">
        <w:rPr>
          <w:rFonts w:ascii="Book Antiqua" w:eastAsia="Calibri" w:hAnsi="Book Antiqua" w:cs="Arial"/>
          <w:sz w:val="24"/>
          <w:szCs w:val="24"/>
        </w:rPr>
        <w:t>ción de</w:t>
      </w:r>
      <w:r w:rsidRPr="00A132C7">
        <w:rPr>
          <w:rFonts w:ascii="Book Antiqua" w:eastAsia="Calibri" w:hAnsi="Book Antiqua" w:cs="Arial"/>
          <w:sz w:val="24"/>
          <w:szCs w:val="24"/>
        </w:rPr>
        <w:t xml:space="preserve"> la Ley 9747 es de </w:t>
      </w:r>
      <w:r w:rsidR="006723BB" w:rsidRPr="00743154">
        <w:rPr>
          <w:rFonts w:ascii="Times New Roman" w:eastAsia="Calibri" w:hAnsi="Times New Roman" w:cs="Times New Roman"/>
          <w:b/>
          <w:bCs/>
          <w:sz w:val="24"/>
          <w:szCs w:val="24"/>
        </w:rPr>
        <w:t>₡</w:t>
      </w:r>
      <w:r w:rsidR="006723BB" w:rsidRPr="00743154">
        <w:rPr>
          <w:rFonts w:ascii="Book Antiqua" w:eastAsia="Calibri" w:hAnsi="Book Antiqua" w:cs="Arial"/>
          <w:b/>
          <w:bCs/>
          <w:sz w:val="24"/>
          <w:szCs w:val="24"/>
        </w:rPr>
        <w:t>1,</w:t>
      </w:r>
      <w:r w:rsidR="00E50AC2" w:rsidRPr="00743154">
        <w:rPr>
          <w:rFonts w:ascii="Book Antiqua" w:eastAsia="Calibri" w:hAnsi="Book Antiqua" w:cs="Arial"/>
          <w:b/>
          <w:bCs/>
          <w:sz w:val="24"/>
          <w:szCs w:val="24"/>
        </w:rPr>
        <w:t>5</w:t>
      </w:r>
      <w:r w:rsidR="00F901A8" w:rsidRPr="00743154">
        <w:rPr>
          <w:rFonts w:ascii="Book Antiqua" w:eastAsia="Calibri" w:hAnsi="Book Antiqua" w:cs="Arial"/>
          <w:b/>
          <w:bCs/>
          <w:sz w:val="24"/>
          <w:szCs w:val="24"/>
        </w:rPr>
        <w:t>6</w:t>
      </w:r>
      <w:r w:rsidR="00E50AC2" w:rsidRPr="00743154">
        <w:rPr>
          <w:rFonts w:ascii="Book Antiqua" w:eastAsia="Calibri" w:hAnsi="Book Antiqua" w:cs="Arial"/>
          <w:b/>
          <w:bCs/>
          <w:sz w:val="24"/>
          <w:szCs w:val="24"/>
        </w:rPr>
        <w:t>5</w:t>
      </w:r>
      <w:r w:rsidR="006723BB" w:rsidRPr="00743154">
        <w:rPr>
          <w:rFonts w:ascii="Book Antiqua" w:eastAsia="Calibri" w:hAnsi="Book Antiqua" w:cs="Arial"/>
          <w:b/>
          <w:bCs/>
          <w:sz w:val="24"/>
          <w:szCs w:val="24"/>
        </w:rPr>
        <w:t>,</w:t>
      </w:r>
      <w:r w:rsidR="00E50AC2" w:rsidRPr="00743154">
        <w:rPr>
          <w:rFonts w:ascii="Book Antiqua" w:eastAsia="Calibri" w:hAnsi="Book Antiqua" w:cs="Arial"/>
          <w:b/>
          <w:bCs/>
          <w:sz w:val="24"/>
          <w:szCs w:val="24"/>
        </w:rPr>
        <w:t>4</w:t>
      </w:r>
      <w:r w:rsidR="00F901A8" w:rsidRPr="00743154">
        <w:rPr>
          <w:rFonts w:ascii="Book Antiqua" w:eastAsia="Calibri" w:hAnsi="Book Antiqua" w:cs="Arial"/>
          <w:b/>
          <w:bCs/>
          <w:sz w:val="24"/>
          <w:szCs w:val="24"/>
        </w:rPr>
        <w:t>55</w:t>
      </w:r>
      <w:r w:rsidR="006723BB" w:rsidRPr="00743154">
        <w:rPr>
          <w:rFonts w:ascii="Book Antiqua" w:eastAsia="Calibri" w:hAnsi="Book Antiqua" w:cs="Arial"/>
          <w:b/>
          <w:bCs/>
          <w:sz w:val="24"/>
          <w:szCs w:val="24"/>
        </w:rPr>
        <w:t>,</w:t>
      </w:r>
      <w:r w:rsidR="00E50AC2" w:rsidRPr="00743154">
        <w:rPr>
          <w:rFonts w:ascii="Book Antiqua" w:eastAsia="Calibri" w:hAnsi="Book Antiqua" w:cs="Arial"/>
          <w:b/>
          <w:bCs/>
          <w:sz w:val="24"/>
          <w:szCs w:val="24"/>
        </w:rPr>
        <w:t>6</w:t>
      </w:r>
      <w:r w:rsidR="00F901A8" w:rsidRPr="00743154">
        <w:rPr>
          <w:rFonts w:ascii="Book Antiqua" w:eastAsia="Calibri" w:hAnsi="Book Antiqua" w:cs="Arial"/>
          <w:b/>
          <w:bCs/>
          <w:sz w:val="24"/>
          <w:szCs w:val="24"/>
        </w:rPr>
        <w:t>1</w:t>
      </w:r>
      <w:r w:rsidR="00E50AC2" w:rsidRPr="00743154">
        <w:rPr>
          <w:rFonts w:ascii="Book Antiqua" w:eastAsia="Calibri" w:hAnsi="Book Antiqua" w:cs="Arial"/>
          <w:b/>
          <w:bCs/>
          <w:sz w:val="24"/>
          <w:szCs w:val="24"/>
        </w:rPr>
        <w:t>8</w:t>
      </w:r>
      <w:r w:rsidR="006723BB" w:rsidRPr="00743154">
        <w:rPr>
          <w:rFonts w:ascii="Book Antiqua" w:eastAsia="Calibri" w:hAnsi="Book Antiqua" w:cs="Arial"/>
          <w:b/>
          <w:bCs/>
          <w:sz w:val="24"/>
          <w:szCs w:val="24"/>
        </w:rPr>
        <w:t>.</w:t>
      </w:r>
    </w:p>
    <w:p w14:paraId="1E84C044" w14:textId="432FB85E" w:rsidR="003B52A8" w:rsidRPr="00770255" w:rsidRDefault="003B52A8" w:rsidP="0090609F">
      <w:pPr>
        <w:pStyle w:val="Ttulo1"/>
        <w:numPr>
          <w:ilvl w:val="0"/>
          <w:numId w:val="44"/>
        </w:numPr>
        <w:spacing w:line="276" w:lineRule="auto"/>
        <w:rPr>
          <w:lang w:eastAsia="es-CR"/>
        </w:rPr>
      </w:pPr>
      <w:r>
        <w:rPr>
          <w:lang w:eastAsia="es-CR"/>
        </w:rPr>
        <w:lastRenderedPageBreak/>
        <w:t>Limitaciones</w:t>
      </w:r>
    </w:p>
    <w:p w14:paraId="250DFC22" w14:textId="22BE79FF" w:rsidR="003B52A8" w:rsidRDefault="003B52A8" w:rsidP="003B52A8">
      <w:pPr>
        <w:spacing w:after="0" w:line="276" w:lineRule="auto"/>
        <w:jc w:val="both"/>
        <w:rPr>
          <w:rFonts w:ascii="Book Antiqua" w:eastAsia="Calibri" w:hAnsi="Book Antiqua" w:cs="Arial"/>
          <w:sz w:val="24"/>
          <w:szCs w:val="24"/>
        </w:rPr>
      </w:pPr>
      <w:r w:rsidRPr="003B52A8">
        <w:rPr>
          <w:rFonts w:ascii="Book Antiqua" w:eastAsia="Calibri" w:hAnsi="Book Antiqua" w:cs="Arial"/>
          <w:sz w:val="24"/>
          <w:szCs w:val="24"/>
        </w:rPr>
        <w:t>A continuación, se presentan las principales limitaciones identificadas durante el estudio del impacto del Código Procesal de Familia:</w:t>
      </w:r>
    </w:p>
    <w:p w14:paraId="69757AC5" w14:textId="445FB595" w:rsidR="008163AB" w:rsidRPr="009B71C9" w:rsidRDefault="003B52A8" w:rsidP="0090609F">
      <w:pPr>
        <w:pStyle w:val="Prrafodelista"/>
        <w:numPr>
          <w:ilvl w:val="1"/>
          <w:numId w:val="44"/>
        </w:numPr>
        <w:spacing w:after="0" w:line="276" w:lineRule="auto"/>
        <w:jc w:val="both"/>
        <w:rPr>
          <w:rFonts w:ascii="Book Antiqua" w:eastAsia="Calibri" w:hAnsi="Book Antiqua" w:cs="Arial"/>
          <w:sz w:val="24"/>
          <w:szCs w:val="24"/>
          <w:lang w:eastAsia="es-CR"/>
        </w:rPr>
      </w:pPr>
      <w:r w:rsidRPr="009B71C9">
        <w:rPr>
          <w:rFonts w:ascii="Book Antiqua" w:eastAsia="Calibri" w:hAnsi="Book Antiqua" w:cs="Arial"/>
          <w:sz w:val="24"/>
          <w:szCs w:val="24"/>
          <w:lang w:eastAsia="es-CR"/>
        </w:rPr>
        <w:t>Aunque se estima el posible impacto de la desjudicialización de procesos con el CPF sobre los despachos judiciales competentes en la materia, actualmente no se cuentan con datos exactos a nivel estadístico para determinar la cantidad de casos de los divorcios o separaciones judiciales por mutuo consentimiento (para aquellos casos donde no existan hijos o hijas menores de edad y no existiera referencia a bienes), de igual forma, las adopciones registradas en los datos estadísticos no especifican el tipo de persona involucrada (mayor o menor de edad).</w:t>
      </w:r>
      <w:r w:rsidR="008C697C" w:rsidRPr="009B71C9">
        <w:rPr>
          <w:rFonts w:ascii="Book Antiqua" w:eastAsia="Calibri" w:hAnsi="Book Antiqua" w:cs="Arial"/>
          <w:sz w:val="24"/>
          <w:szCs w:val="24"/>
          <w:lang w:eastAsia="es-CR"/>
        </w:rPr>
        <w:t xml:space="preserve"> Se requiere estimación del impacto de la eliminación en segunda instancia de</w:t>
      </w:r>
      <w:r w:rsidR="00AE6A4B" w:rsidRPr="009B71C9">
        <w:rPr>
          <w:rFonts w:ascii="Book Antiqua" w:eastAsia="Calibri" w:hAnsi="Book Antiqua" w:cs="Arial"/>
          <w:sz w:val="24"/>
          <w:szCs w:val="24"/>
          <w:lang w:eastAsia="es-CR"/>
        </w:rPr>
        <w:t xml:space="preserve"> </w:t>
      </w:r>
      <w:r w:rsidR="008C697C" w:rsidRPr="009B71C9">
        <w:rPr>
          <w:rFonts w:ascii="Book Antiqua" w:eastAsia="Calibri" w:hAnsi="Book Antiqua" w:cs="Arial"/>
          <w:sz w:val="24"/>
          <w:szCs w:val="24"/>
          <w:lang w:eastAsia="es-CR"/>
        </w:rPr>
        <w:t xml:space="preserve">las apelaciones contra sentencias de Pensiones Alimentarias provisionales y la factibilidad de creación de un juzgado que solamente conozca de la segunda instancia en PA. </w:t>
      </w:r>
    </w:p>
    <w:p w14:paraId="2B0901EC" w14:textId="26C5DB7D" w:rsidR="008163AB" w:rsidRPr="009B71C9" w:rsidRDefault="003B52A8" w:rsidP="0090609F">
      <w:pPr>
        <w:pStyle w:val="Prrafodelista"/>
        <w:numPr>
          <w:ilvl w:val="1"/>
          <w:numId w:val="44"/>
        </w:numPr>
        <w:spacing w:after="0" w:line="276" w:lineRule="auto"/>
        <w:jc w:val="both"/>
        <w:rPr>
          <w:rFonts w:ascii="Book Antiqua" w:eastAsia="Calibri" w:hAnsi="Book Antiqua" w:cs="Arial"/>
          <w:sz w:val="24"/>
          <w:szCs w:val="24"/>
          <w:lang w:eastAsia="es-CR"/>
        </w:rPr>
      </w:pPr>
      <w:r w:rsidRPr="009B71C9">
        <w:rPr>
          <w:rFonts w:ascii="Book Antiqua" w:eastAsia="Calibri" w:hAnsi="Book Antiqua" w:cs="Arial"/>
          <w:sz w:val="24"/>
          <w:szCs w:val="24"/>
          <w:lang w:eastAsia="es-CR"/>
        </w:rPr>
        <w:t>La recalificación de plazas de Auxiliar de Servicios Generales a Técnica o Técnico Judicial es una limitante, ya que, según criterio de la Dirección Ejecutiva, para poder realizar esto se debe considerar la contratación de Servicios de Limpieza, de la subpartida 1.04.06 “Servicios Generales”, la cual de momento se encuentra restringida por el aumento del Impuesto al Valor Agregado (IVA) en estos servicio</w:t>
      </w:r>
      <w:r w:rsidR="002B50D1" w:rsidRPr="009B71C9">
        <w:rPr>
          <w:rFonts w:ascii="Book Antiqua" w:eastAsia="Calibri" w:hAnsi="Book Antiqua" w:cs="Arial"/>
          <w:sz w:val="24"/>
          <w:szCs w:val="24"/>
          <w:lang w:eastAsia="es-CR"/>
        </w:rPr>
        <w:t>s.</w:t>
      </w:r>
    </w:p>
    <w:p w14:paraId="0706EDE9" w14:textId="2320CA9F" w:rsidR="00A30CBC" w:rsidRDefault="003B52A8" w:rsidP="0090609F">
      <w:pPr>
        <w:pStyle w:val="Prrafodelista"/>
        <w:numPr>
          <w:ilvl w:val="1"/>
          <w:numId w:val="44"/>
        </w:numPr>
        <w:spacing w:after="0" w:line="276" w:lineRule="auto"/>
        <w:jc w:val="both"/>
        <w:rPr>
          <w:rFonts w:ascii="Book Antiqua" w:eastAsia="Calibri" w:hAnsi="Book Antiqua" w:cs="Arial"/>
          <w:sz w:val="24"/>
          <w:szCs w:val="24"/>
          <w:lang w:eastAsia="es-CR"/>
        </w:rPr>
      </w:pPr>
      <w:r w:rsidRPr="009B71C9">
        <w:rPr>
          <w:rFonts w:ascii="Book Antiqua" w:eastAsia="Calibri" w:hAnsi="Book Antiqua" w:cs="Arial"/>
          <w:sz w:val="24"/>
          <w:szCs w:val="24"/>
          <w:lang w:eastAsia="es-CR"/>
        </w:rPr>
        <w:t>Se prevé que con la entrada del nuevo Código Procesal de Familia se reduzca la intervención en el trámite de los expedientes que actualmente tienen el personal técnico judicial debido a que, con el sistema por audiencias, muchas de las gestiones actualmente resueltas por medio de resolución interlocutoria se resolverán en la audiencia inicial por la persona juzgadora. Esta situación disminuirá también la cantidad de notificaciones que se realicen, pero con la información disponible a la fecha no se puede estimar esta disminución</w:t>
      </w:r>
      <w:r w:rsidR="002B50D1" w:rsidRPr="009B71C9">
        <w:rPr>
          <w:rFonts w:ascii="Book Antiqua" w:eastAsia="Calibri" w:hAnsi="Book Antiqua" w:cs="Arial"/>
          <w:sz w:val="24"/>
          <w:szCs w:val="24"/>
          <w:lang w:eastAsia="es-CR"/>
        </w:rPr>
        <w:t>.</w:t>
      </w:r>
      <w:r w:rsidR="00AE6A4B" w:rsidRPr="009B71C9">
        <w:rPr>
          <w:rFonts w:ascii="Book Antiqua" w:eastAsia="Calibri" w:hAnsi="Book Antiqua" w:cs="Arial"/>
          <w:sz w:val="24"/>
          <w:szCs w:val="24"/>
          <w:lang w:eastAsia="es-CR"/>
        </w:rPr>
        <w:t xml:space="preserve"> </w:t>
      </w:r>
      <w:r w:rsidR="008C697C" w:rsidRPr="009B71C9">
        <w:rPr>
          <w:rFonts w:ascii="Book Antiqua" w:eastAsia="Calibri" w:hAnsi="Book Antiqua" w:cs="Arial"/>
          <w:sz w:val="24"/>
          <w:szCs w:val="24"/>
          <w:lang w:eastAsia="es-CR"/>
        </w:rPr>
        <w:t xml:space="preserve">Por lo que se requiere que el órgano superior competente autorice que en materia de Familia, </w:t>
      </w:r>
      <w:r w:rsidR="00AE6A4B" w:rsidRPr="009B71C9">
        <w:rPr>
          <w:rFonts w:ascii="Book Antiqua" w:eastAsia="Calibri" w:hAnsi="Book Antiqua" w:cs="Arial"/>
          <w:sz w:val="24"/>
          <w:szCs w:val="24"/>
          <w:lang w:eastAsia="es-CR"/>
        </w:rPr>
        <w:t>Pensiones</w:t>
      </w:r>
      <w:r w:rsidR="008C697C" w:rsidRPr="009B71C9">
        <w:rPr>
          <w:rFonts w:ascii="Book Antiqua" w:eastAsia="Calibri" w:hAnsi="Book Antiqua" w:cs="Arial"/>
          <w:sz w:val="24"/>
          <w:szCs w:val="24"/>
          <w:lang w:eastAsia="es-CR"/>
        </w:rPr>
        <w:t xml:space="preserve"> y Violencia, en primer y segunda instancia, no se saquen concursos para </w:t>
      </w:r>
      <w:r w:rsidR="00AE6A4B" w:rsidRPr="009B71C9">
        <w:rPr>
          <w:rFonts w:ascii="Book Antiqua" w:eastAsia="Calibri" w:hAnsi="Book Antiqua" w:cs="Arial"/>
          <w:sz w:val="24"/>
          <w:szCs w:val="24"/>
          <w:lang w:eastAsia="es-CR"/>
        </w:rPr>
        <w:t>nombrar</w:t>
      </w:r>
      <w:r w:rsidR="008C697C" w:rsidRPr="009B71C9">
        <w:rPr>
          <w:rFonts w:ascii="Book Antiqua" w:eastAsia="Calibri" w:hAnsi="Book Antiqua" w:cs="Arial"/>
          <w:sz w:val="24"/>
          <w:szCs w:val="24"/>
          <w:lang w:eastAsia="es-CR"/>
        </w:rPr>
        <w:t xml:space="preserve"> personas en propiedad, sea juzgador o técnico, o si se </w:t>
      </w:r>
      <w:r w:rsidR="00AE6A4B" w:rsidRPr="009B71C9">
        <w:rPr>
          <w:rFonts w:ascii="Book Antiqua" w:eastAsia="Calibri" w:hAnsi="Book Antiqua" w:cs="Arial"/>
          <w:sz w:val="24"/>
          <w:szCs w:val="24"/>
          <w:lang w:eastAsia="es-CR"/>
        </w:rPr>
        <w:t>nombra</w:t>
      </w:r>
      <w:r w:rsidR="008C697C" w:rsidRPr="009B71C9">
        <w:rPr>
          <w:rFonts w:ascii="Book Antiqua" w:eastAsia="Calibri" w:hAnsi="Book Antiqua" w:cs="Arial"/>
          <w:sz w:val="24"/>
          <w:szCs w:val="24"/>
          <w:lang w:eastAsia="es-CR"/>
        </w:rPr>
        <w:t>, que se haga a observación de que esas plazas por temas de carga de trabajo</w:t>
      </w:r>
      <w:r w:rsidR="00E549EE">
        <w:rPr>
          <w:rFonts w:ascii="Book Antiqua" w:eastAsia="Calibri" w:hAnsi="Book Antiqua" w:cs="Arial"/>
          <w:sz w:val="24"/>
          <w:szCs w:val="24"/>
          <w:lang w:eastAsia="es-CR"/>
        </w:rPr>
        <w:t xml:space="preserve">, interés institucional, maximización de recursos </w:t>
      </w:r>
      <w:r w:rsidR="008C697C" w:rsidRPr="009B71C9">
        <w:rPr>
          <w:rFonts w:ascii="Book Antiqua" w:eastAsia="Calibri" w:hAnsi="Book Antiqua" w:cs="Arial"/>
          <w:sz w:val="24"/>
          <w:szCs w:val="24"/>
          <w:lang w:eastAsia="es-CR"/>
        </w:rPr>
        <w:t>pueden ser trasladadas a otras oficinas</w:t>
      </w:r>
      <w:r w:rsidR="00E549EE">
        <w:rPr>
          <w:rFonts w:ascii="Book Antiqua" w:eastAsia="Calibri" w:hAnsi="Book Antiqua" w:cs="Arial"/>
          <w:sz w:val="24"/>
          <w:szCs w:val="24"/>
          <w:lang w:eastAsia="es-CR"/>
        </w:rPr>
        <w:t xml:space="preserve"> incluso con posibilidad de reasignarse </w:t>
      </w:r>
      <w:r w:rsidR="00E549EE">
        <w:rPr>
          <w:rFonts w:ascii="Book Antiqua" w:eastAsia="Calibri" w:hAnsi="Book Antiqua" w:cs="Arial"/>
          <w:sz w:val="24"/>
          <w:szCs w:val="24"/>
          <w:lang w:eastAsia="es-CR"/>
        </w:rPr>
        <w:lastRenderedPageBreak/>
        <w:t xml:space="preserve">a otras categorías de puestos según recomiende la Dirección de gestión Humana según </w:t>
      </w:r>
      <w:r w:rsidR="00A30CBC">
        <w:rPr>
          <w:rFonts w:ascii="Book Antiqua" w:eastAsia="Calibri" w:hAnsi="Book Antiqua" w:cs="Arial"/>
          <w:sz w:val="24"/>
          <w:szCs w:val="24"/>
          <w:lang w:eastAsia="es-CR"/>
        </w:rPr>
        <w:t>la estructura de cada oficina</w:t>
      </w:r>
      <w:r w:rsidR="008C697C" w:rsidRPr="009B71C9">
        <w:rPr>
          <w:rFonts w:ascii="Book Antiqua" w:eastAsia="Calibri" w:hAnsi="Book Antiqua" w:cs="Arial"/>
          <w:sz w:val="24"/>
          <w:szCs w:val="24"/>
          <w:lang w:eastAsia="es-CR"/>
        </w:rPr>
        <w:t>.</w:t>
      </w:r>
    </w:p>
    <w:p w14:paraId="3C09E99D" w14:textId="0E4B5A40" w:rsidR="008A3B19" w:rsidRDefault="008A3B19" w:rsidP="0090609F">
      <w:pPr>
        <w:pStyle w:val="Prrafodelista"/>
        <w:numPr>
          <w:ilvl w:val="1"/>
          <w:numId w:val="44"/>
        </w:numPr>
        <w:spacing w:after="0" w:line="276" w:lineRule="auto"/>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Dentro de los costos </w:t>
      </w:r>
      <w:r w:rsidRPr="008A3B19">
        <w:rPr>
          <w:rFonts w:ascii="Book Antiqua" w:eastAsia="Calibri" w:hAnsi="Book Antiqua" w:cs="Arial"/>
          <w:sz w:val="24"/>
          <w:szCs w:val="24"/>
          <w:lang w:eastAsia="es-CR"/>
        </w:rPr>
        <w:t>identificados del Código Procesal de Familia, no se incluye ninguna suma para la creación de plazas de asistencia letrada de la Defensa Pública ya que dan cobertura nacional a la atención en Pensión Alimentaria a la parte beneficiaria que no cuente con recursos económicos para contratar patrocinio letrado conforme lo establece el artículo 56 del Código Procesal de Familia, salvo que así lo apruebe Corte Plena</w:t>
      </w:r>
      <w:r>
        <w:rPr>
          <w:rFonts w:ascii="Book Antiqua" w:eastAsia="Calibri" w:hAnsi="Book Antiqua" w:cs="Arial"/>
          <w:sz w:val="24"/>
          <w:szCs w:val="24"/>
          <w:lang w:eastAsia="es-CR"/>
        </w:rPr>
        <w:t>.</w:t>
      </w:r>
    </w:p>
    <w:p w14:paraId="2D6C1EA1" w14:textId="591F55C6" w:rsidR="00DC6BBB" w:rsidRPr="00770255" w:rsidRDefault="00DC6BBB" w:rsidP="0090609F">
      <w:pPr>
        <w:pStyle w:val="Ttulo1"/>
        <w:numPr>
          <w:ilvl w:val="0"/>
          <w:numId w:val="44"/>
        </w:numPr>
        <w:spacing w:line="276" w:lineRule="auto"/>
        <w:rPr>
          <w:lang w:eastAsia="es-CR"/>
        </w:rPr>
      </w:pPr>
      <w:bookmarkStart w:id="71" w:name="_Hlk97234454"/>
      <w:bookmarkStart w:id="72" w:name="_Hlk97234500"/>
      <w:r>
        <w:rPr>
          <w:lang w:eastAsia="es-CR"/>
        </w:rPr>
        <w:t>Conclusiones</w:t>
      </w:r>
      <w:bookmarkEnd w:id="71"/>
    </w:p>
    <w:bookmarkEnd w:id="72"/>
    <w:p w14:paraId="51E3EE69" w14:textId="0C2EBA06" w:rsidR="006F6088" w:rsidRPr="009B71C9" w:rsidRDefault="006F6088" w:rsidP="0090609F">
      <w:pPr>
        <w:pStyle w:val="Prrafodelista"/>
        <w:numPr>
          <w:ilvl w:val="1"/>
          <w:numId w:val="44"/>
        </w:numPr>
        <w:tabs>
          <w:tab w:val="left" w:pos="426"/>
        </w:tabs>
        <w:spacing w:after="0" w:line="276" w:lineRule="auto"/>
        <w:jc w:val="both"/>
        <w:rPr>
          <w:rFonts w:ascii="Book Antiqua" w:eastAsia="Calibri" w:hAnsi="Book Antiqua" w:cs="Arial"/>
          <w:sz w:val="24"/>
          <w:szCs w:val="24"/>
          <w:lang w:eastAsia="es-CR"/>
        </w:rPr>
      </w:pPr>
      <w:r w:rsidRPr="009B71C9">
        <w:rPr>
          <w:rFonts w:ascii="Book Antiqua" w:eastAsia="Calibri" w:hAnsi="Book Antiqua" w:cs="Arial"/>
          <w:sz w:val="24"/>
          <w:szCs w:val="24"/>
          <w:lang w:eastAsia="es-CR"/>
        </w:rPr>
        <w:t xml:space="preserve">A nivel institucional dentro del Proyecto 1374-CF-P01 </w:t>
      </w:r>
      <w:r w:rsidRPr="009B71C9">
        <w:rPr>
          <w:rFonts w:ascii="Book Antiqua" w:eastAsia="Calibri" w:hAnsi="Book Antiqua" w:cs="Arial"/>
          <w:i/>
          <w:iCs/>
          <w:sz w:val="24"/>
          <w:szCs w:val="24"/>
          <w:lang w:eastAsia="es-CR"/>
        </w:rPr>
        <w:t>“Implementación del Código Procesal de Familia”</w:t>
      </w:r>
      <w:r w:rsidRPr="009B71C9">
        <w:rPr>
          <w:rFonts w:ascii="Book Antiqua" w:eastAsia="Calibri" w:hAnsi="Book Antiqua" w:cs="Arial"/>
          <w:sz w:val="24"/>
          <w:szCs w:val="24"/>
          <w:lang w:eastAsia="es-CR"/>
        </w:rPr>
        <w:t xml:space="preserve"> se incorporó la atención de las recomendaciones emitidas por la Contraloría General de la República (CGR) número DFOE-PG-0098 (2683)-2020, relacionado con el informe DFOE-PG-IF-00002-2020 </w:t>
      </w:r>
      <w:r w:rsidRPr="009B71C9">
        <w:rPr>
          <w:rFonts w:ascii="Book Antiqua" w:eastAsia="Calibri" w:hAnsi="Book Antiqua" w:cs="Arial"/>
          <w:i/>
          <w:iCs/>
          <w:sz w:val="24"/>
          <w:szCs w:val="24"/>
          <w:lang w:eastAsia="es-CR"/>
        </w:rPr>
        <w:t xml:space="preserve">“Informe de Auditoría Operativa sobre la gestión del Poder Judicial en cuanto a la oportunidad de la prestación del servicio público de administración de la justicia de los juzgados de Familia y de Pensiones alimentarias” </w:t>
      </w:r>
      <w:r w:rsidRPr="009B71C9">
        <w:rPr>
          <w:rFonts w:ascii="Book Antiqua" w:eastAsia="Calibri" w:hAnsi="Book Antiqua" w:cs="Arial"/>
          <w:sz w:val="24"/>
          <w:szCs w:val="24"/>
          <w:lang w:eastAsia="es-CR"/>
        </w:rPr>
        <w:t>de conformidad con el acuerdo del Consejo Superior en sesión 19-2020 celebrada el 10 de marzo del 2020, artículo LI así como las distintas labores asociadas a la preparación de la Jurisdicción de Familia (incluida materias de Pensiones Alimentarias y Violencias Doméstica) para la entrada en vigencia de la Ley 9747 el 1 de octubre 2022</w:t>
      </w:r>
      <w:r w:rsidR="008163AB">
        <w:rPr>
          <w:rFonts w:ascii="Book Antiqua" w:eastAsia="Calibri" w:hAnsi="Book Antiqua" w:cs="Arial"/>
          <w:sz w:val="24"/>
          <w:szCs w:val="24"/>
          <w:lang w:eastAsia="es-CR"/>
        </w:rPr>
        <w:t xml:space="preserve">, lo que limitó el análisis que se pudo realizar en esas oficinas que no consistió en un rediseño como tal, sino que solamente abarco algunas tareas con la visión de atender lo solicitado por la Contraloría. </w:t>
      </w:r>
    </w:p>
    <w:p w14:paraId="0C55F7B5" w14:textId="348DD114" w:rsidR="00B83D28" w:rsidRPr="006F6088" w:rsidRDefault="00B83D28"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Al finalizar </w:t>
      </w:r>
      <w:r w:rsidRPr="00B83D28">
        <w:rPr>
          <w:rFonts w:ascii="Book Antiqua" w:eastAsia="Calibri" w:hAnsi="Book Antiqua" w:cs="Arial"/>
          <w:sz w:val="24"/>
          <w:szCs w:val="24"/>
          <w:lang w:eastAsia="es-CR"/>
        </w:rPr>
        <w:t xml:space="preserve">el 2020 se </w:t>
      </w:r>
      <w:r w:rsidR="008C697C">
        <w:rPr>
          <w:rFonts w:ascii="Book Antiqua" w:eastAsia="Calibri" w:hAnsi="Book Antiqua" w:cs="Arial"/>
          <w:sz w:val="24"/>
          <w:szCs w:val="24"/>
          <w:lang w:eastAsia="es-CR"/>
        </w:rPr>
        <w:t>contó</w:t>
      </w:r>
      <w:r w:rsidRPr="00B83D28">
        <w:rPr>
          <w:rFonts w:ascii="Book Antiqua" w:eastAsia="Calibri" w:hAnsi="Book Antiqua" w:cs="Arial"/>
          <w:sz w:val="24"/>
          <w:szCs w:val="24"/>
          <w:lang w:eastAsia="es-CR"/>
        </w:rPr>
        <w:t xml:space="preserve"> con un análisis por parte de la Dirección de Planificación de las estructuras funcionales y organizativas de los 106 despachos competentes en materia de Familia y Pensiones a nivel nacional los cuales cuentan con estandarización en lo referente a:</w:t>
      </w:r>
    </w:p>
    <w:p w14:paraId="1A512FA2" w14:textId="77777777" w:rsidR="00B83D28" w:rsidRDefault="00B83D28" w:rsidP="00B83D28">
      <w:pPr>
        <w:tabs>
          <w:tab w:val="left" w:pos="426"/>
        </w:tabs>
        <w:spacing w:after="0" w:line="276" w:lineRule="auto"/>
        <w:ind w:left="780"/>
        <w:contextualSpacing/>
        <w:jc w:val="both"/>
        <w:rPr>
          <w:rFonts w:ascii="Book Antiqua" w:eastAsia="Calibri" w:hAnsi="Book Antiqua" w:cs="Arial"/>
          <w:sz w:val="24"/>
          <w:szCs w:val="24"/>
          <w:lang w:eastAsia="es-CR"/>
        </w:rPr>
      </w:pPr>
    </w:p>
    <w:p w14:paraId="5CB4558A" w14:textId="6B042D77" w:rsidR="006F6088" w:rsidRPr="006F6088" w:rsidRDefault="006F6088" w:rsidP="0090609F">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Tareas y ubicaciones.</w:t>
      </w:r>
    </w:p>
    <w:p w14:paraId="0D4281A0" w14:textId="77777777" w:rsidR="006F6088" w:rsidRPr="006F6088" w:rsidRDefault="006F6088" w:rsidP="0090609F">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Libros de control.</w:t>
      </w:r>
    </w:p>
    <w:p w14:paraId="4B739F95" w14:textId="77777777" w:rsidR="006F6088" w:rsidRPr="006F6088" w:rsidRDefault="006F6088" w:rsidP="0090609F">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Sistemas informáticos (Escritorio Virtual, módulo de pase a fallo, y mejoras asociadas).</w:t>
      </w:r>
    </w:p>
    <w:p w14:paraId="2DBDE368" w14:textId="77777777" w:rsidR="006F6088" w:rsidRPr="006F6088" w:rsidRDefault="006F6088" w:rsidP="0090609F">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lastRenderedPageBreak/>
        <w:t>Modelo de sostenibilidad y seguimiento (equipo de mejora, indicadores de gestión, entre otros).</w:t>
      </w:r>
    </w:p>
    <w:p w14:paraId="43A36BE6" w14:textId="3357FAE7" w:rsidR="00C92AC5" w:rsidRPr="00C92AC5" w:rsidRDefault="006F6088" w:rsidP="0090609F">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Cargas de trabajo equitativas </w:t>
      </w:r>
      <w:r w:rsidR="008163AB">
        <w:rPr>
          <w:rFonts w:ascii="Book Antiqua" w:eastAsia="Calibri" w:hAnsi="Book Antiqua" w:cs="Arial"/>
          <w:sz w:val="24"/>
          <w:szCs w:val="24"/>
          <w:lang w:eastAsia="es-CR"/>
        </w:rPr>
        <w:t xml:space="preserve">entre el personal existente en ese momento en las oficinas </w:t>
      </w:r>
      <w:r w:rsidRPr="00275211">
        <w:rPr>
          <w:rFonts w:ascii="Book Antiqua" w:eastAsia="Calibri" w:hAnsi="Book Antiqua" w:cs="Arial"/>
          <w:sz w:val="24"/>
          <w:szCs w:val="24"/>
          <w:lang w:eastAsia="es-CR"/>
        </w:rPr>
        <w:t xml:space="preserve">(las oficinas de Familia </w:t>
      </w:r>
      <w:r w:rsidR="008163AB">
        <w:rPr>
          <w:rFonts w:ascii="Book Antiqua" w:eastAsia="Calibri" w:hAnsi="Book Antiqua" w:cs="Arial"/>
          <w:sz w:val="24"/>
          <w:szCs w:val="24"/>
          <w:lang w:eastAsia="es-CR"/>
        </w:rPr>
        <w:t>se encargaron de</w:t>
      </w:r>
      <w:r w:rsidR="008163AB" w:rsidRPr="00275211">
        <w:rPr>
          <w:rFonts w:ascii="Book Antiqua" w:eastAsia="Calibri" w:hAnsi="Book Antiqua" w:cs="Arial"/>
          <w:sz w:val="24"/>
          <w:szCs w:val="24"/>
          <w:lang w:eastAsia="es-CR"/>
        </w:rPr>
        <w:t xml:space="preserve"> </w:t>
      </w:r>
      <w:r w:rsidRPr="00275211">
        <w:rPr>
          <w:rFonts w:ascii="Book Antiqua" w:eastAsia="Calibri" w:hAnsi="Book Antiqua" w:cs="Arial"/>
          <w:sz w:val="24"/>
          <w:szCs w:val="24"/>
          <w:lang w:eastAsia="es-CR"/>
        </w:rPr>
        <w:t>realizar la distribución equitativa de sus circulantes conforme a la estructura de oficina aprobada</w:t>
      </w:r>
      <w:r w:rsidR="008163AB">
        <w:rPr>
          <w:rFonts w:ascii="Book Antiqua" w:eastAsia="Calibri" w:hAnsi="Book Antiqua" w:cs="Arial"/>
          <w:sz w:val="24"/>
          <w:szCs w:val="24"/>
          <w:lang w:eastAsia="es-CR"/>
        </w:rPr>
        <w:t xml:space="preserve"> y</w:t>
      </w:r>
      <w:r w:rsidRPr="00275211">
        <w:rPr>
          <w:rFonts w:ascii="Book Antiqua" w:eastAsia="Calibri" w:hAnsi="Book Antiqua" w:cs="Arial"/>
          <w:sz w:val="24"/>
          <w:szCs w:val="24"/>
          <w:lang w:eastAsia="es-CR"/>
        </w:rPr>
        <w:t xml:space="preserve"> la Dirección de Tecnología de la </w:t>
      </w:r>
      <w:r w:rsidR="00A20C08">
        <w:rPr>
          <w:rFonts w:ascii="Book Antiqua" w:eastAsia="Calibri" w:hAnsi="Book Antiqua" w:cs="Arial"/>
          <w:sz w:val="24"/>
          <w:szCs w:val="24"/>
          <w:lang w:eastAsia="es-CR"/>
        </w:rPr>
        <w:t>I</w:t>
      </w:r>
      <w:r w:rsidRPr="00275211">
        <w:rPr>
          <w:rFonts w:ascii="Book Antiqua" w:eastAsia="Calibri" w:hAnsi="Book Antiqua" w:cs="Arial"/>
          <w:sz w:val="24"/>
          <w:szCs w:val="24"/>
          <w:lang w:eastAsia="es-CR"/>
        </w:rPr>
        <w:t xml:space="preserve">nformación el reparto por </w:t>
      </w:r>
      <w:r w:rsidRPr="00275211">
        <w:rPr>
          <w:rFonts w:ascii="Book Antiqua" w:eastAsia="Calibri" w:hAnsi="Book Antiqua" w:cs="Arial"/>
          <w:i/>
          <w:iCs/>
          <w:sz w:val="24"/>
          <w:szCs w:val="24"/>
          <w:lang w:eastAsia="es-CR"/>
        </w:rPr>
        <w:t xml:space="preserve">“clase de asunto” </w:t>
      </w:r>
      <w:r w:rsidRPr="00275211">
        <w:rPr>
          <w:rFonts w:ascii="Book Antiqua" w:eastAsia="Calibri" w:hAnsi="Book Antiqua" w:cs="Arial"/>
          <w:sz w:val="24"/>
          <w:szCs w:val="24"/>
          <w:lang w:eastAsia="es-CR"/>
        </w:rPr>
        <w:t>en las oficinas de Familia</w:t>
      </w:r>
      <w:r w:rsidR="00A20C08">
        <w:rPr>
          <w:rFonts w:ascii="Book Antiqua" w:eastAsia="Calibri" w:hAnsi="Book Antiqua" w:cs="Arial"/>
          <w:sz w:val="24"/>
          <w:szCs w:val="24"/>
          <w:lang w:eastAsia="es-CR"/>
        </w:rPr>
        <w:t xml:space="preserve">, </w:t>
      </w:r>
      <w:r w:rsidRPr="00275211">
        <w:rPr>
          <w:rFonts w:ascii="Book Antiqua" w:eastAsia="Calibri" w:hAnsi="Book Antiqua" w:cs="Arial"/>
          <w:sz w:val="24"/>
          <w:szCs w:val="24"/>
          <w:lang w:eastAsia="es-CR"/>
        </w:rPr>
        <w:t>Pensiones Alimentarias</w:t>
      </w:r>
      <w:r w:rsidR="00A20C08">
        <w:rPr>
          <w:rFonts w:ascii="Book Antiqua" w:eastAsia="Calibri" w:hAnsi="Book Antiqua" w:cs="Arial"/>
          <w:sz w:val="24"/>
          <w:szCs w:val="24"/>
          <w:lang w:eastAsia="es-CR"/>
        </w:rPr>
        <w:t xml:space="preserve"> y Violencia Doméstica</w:t>
      </w:r>
      <w:r w:rsidRPr="00275211">
        <w:rPr>
          <w:rFonts w:ascii="Book Antiqua" w:eastAsia="Calibri" w:hAnsi="Book Antiqua" w:cs="Arial"/>
          <w:sz w:val="24"/>
          <w:szCs w:val="24"/>
          <w:lang w:eastAsia="es-CR"/>
        </w:rPr>
        <w:t xml:space="preserve"> a nivel nacional para garantizar también la distribución por igual de los asuntos nuevos</w:t>
      </w:r>
      <w:r w:rsidR="00A20C08">
        <w:rPr>
          <w:rFonts w:ascii="Book Antiqua" w:eastAsia="Calibri" w:hAnsi="Book Antiqua" w:cs="Arial"/>
          <w:sz w:val="24"/>
          <w:szCs w:val="24"/>
          <w:lang w:eastAsia="es-CR"/>
        </w:rPr>
        <w:t>).</w:t>
      </w:r>
      <w:r w:rsidRPr="00275211">
        <w:rPr>
          <w:rFonts w:ascii="Book Antiqua" w:eastAsia="Calibri" w:hAnsi="Book Antiqua" w:cs="Arial"/>
          <w:sz w:val="24"/>
          <w:szCs w:val="24"/>
          <w:lang w:eastAsia="es-CR"/>
        </w:rPr>
        <w:t xml:space="preserve"> </w:t>
      </w:r>
    </w:p>
    <w:p w14:paraId="0697FBBF" w14:textId="1F1495E5" w:rsidR="006F6088" w:rsidRDefault="006F6088"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En 2020 se realiz</w:t>
      </w:r>
      <w:r w:rsidR="008C697C">
        <w:rPr>
          <w:rFonts w:ascii="Book Antiqua" w:eastAsia="Calibri" w:hAnsi="Book Antiqua" w:cs="Arial"/>
          <w:sz w:val="24"/>
          <w:szCs w:val="24"/>
          <w:lang w:eastAsia="es-CR"/>
        </w:rPr>
        <w:t>ó</w:t>
      </w:r>
      <w:r w:rsidRPr="006F6088">
        <w:rPr>
          <w:rFonts w:ascii="Book Antiqua" w:eastAsia="Calibri" w:hAnsi="Book Antiqua" w:cs="Arial"/>
          <w:sz w:val="24"/>
          <w:szCs w:val="24"/>
          <w:lang w:eastAsia="es-CR"/>
        </w:rPr>
        <w:t xml:space="preserve"> una depuración de la información en los sistemas mediante inventario en materia de Familia que incluyó la revisión por parte de las oficinas de las carpetas principales, incidentes y legajos por primera vez. </w:t>
      </w:r>
      <w:r w:rsidRPr="00275211">
        <w:rPr>
          <w:rFonts w:ascii="Book Antiqua" w:eastAsia="Calibri" w:hAnsi="Book Antiqua" w:cs="Arial"/>
          <w:sz w:val="24"/>
          <w:szCs w:val="24"/>
          <w:lang w:eastAsia="es-CR"/>
        </w:rPr>
        <w:t xml:space="preserve">Además, se </w:t>
      </w:r>
      <w:r w:rsidR="008C697C">
        <w:rPr>
          <w:rFonts w:ascii="Book Antiqua" w:eastAsia="Calibri" w:hAnsi="Book Antiqua" w:cs="Arial"/>
          <w:sz w:val="24"/>
          <w:szCs w:val="24"/>
          <w:lang w:eastAsia="es-CR"/>
        </w:rPr>
        <w:t>realizó</w:t>
      </w:r>
      <w:r w:rsidRPr="00275211">
        <w:rPr>
          <w:rFonts w:ascii="Book Antiqua" w:eastAsia="Calibri" w:hAnsi="Book Antiqua" w:cs="Arial"/>
          <w:sz w:val="24"/>
          <w:szCs w:val="24"/>
          <w:lang w:eastAsia="es-CR"/>
        </w:rPr>
        <w:t xml:space="preserve"> el inventario en Pensiones Alimentarias a nivel nacional </w:t>
      </w:r>
      <w:r w:rsidR="00A20C08">
        <w:rPr>
          <w:rFonts w:ascii="Book Antiqua" w:eastAsia="Calibri" w:hAnsi="Book Antiqua" w:cs="Arial"/>
          <w:sz w:val="24"/>
          <w:szCs w:val="24"/>
          <w:lang w:eastAsia="es-CR"/>
        </w:rPr>
        <w:t>que inició en</w:t>
      </w:r>
      <w:r w:rsidR="008C697C">
        <w:rPr>
          <w:rFonts w:ascii="Book Antiqua" w:eastAsia="Calibri" w:hAnsi="Book Antiqua" w:cs="Arial"/>
          <w:sz w:val="24"/>
          <w:szCs w:val="24"/>
          <w:lang w:eastAsia="es-CR"/>
        </w:rPr>
        <w:t xml:space="preserve"> 2020 </w:t>
      </w:r>
      <w:r w:rsidR="00A20C08">
        <w:rPr>
          <w:rFonts w:ascii="Book Antiqua" w:eastAsia="Calibri" w:hAnsi="Book Antiqua" w:cs="Arial"/>
          <w:sz w:val="24"/>
          <w:szCs w:val="24"/>
          <w:lang w:eastAsia="es-CR"/>
        </w:rPr>
        <w:t xml:space="preserve">y finalizó a principios de </w:t>
      </w:r>
      <w:r w:rsidR="008C697C">
        <w:rPr>
          <w:rFonts w:ascii="Book Antiqua" w:eastAsia="Calibri" w:hAnsi="Book Antiqua" w:cs="Arial"/>
          <w:sz w:val="24"/>
          <w:szCs w:val="24"/>
          <w:lang w:eastAsia="es-CR"/>
        </w:rPr>
        <w:t>2021.</w:t>
      </w:r>
      <w:r w:rsidRPr="00275211">
        <w:rPr>
          <w:rFonts w:ascii="Book Antiqua" w:eastAsia="Calibri" w:hAnsi="Book Antiqua" w:cs="Arial"/>
          <w:sz w:val="24"/>
          <w:szCs w:val="24"/>
          <w:lang w:eastAsia="es-CR"/>
        </w:rPr>
        <w:t xml:space="preserve"> </w:t>
      </w:r>
    </w:p>
    <w:p w14:paraId="2D247164" w14:textId="73C74762" w:rsidR="00C92AC5" w:rsidRDefault="00C92AC5"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Las </w:t>
      </w:r>
      <w:r w:rsidR="008C697C">
        <w:rPr>
          <w:rFonts w:ascii="Book Antiqua" w:eastAsia="Calibri" w:hAnsi="Book Antiqua" w:cs="Arial"/>
          <w:sz w:val="24"/>
          <w:szCs w:val="24"/>
          <w:lang w:eastAsia="es-CR"/>
        </w:rPr>
        <w:t xml:space="preserve">materias </w:t>
      </w:r>
      <w:r w:rsidRPr="00822D25">
        <w:rPr>
          <w:rFonts w:ascii="Book Antiqua" w:eastAsia="Calibri" w:hAnsi="Book Antiqua" w:cs="Arial"/>
          <w:sz w:val="24"/>
          <w:szCs w:val="24"/>
          <w:lang w:eastAsia="es-CR"/>
        </w:rPr>
        <w:t>de Familia y Pensiones Alimentarias cuentan con un reporte en la Plataforma SIGMA que les permite monitorear la duración de los procesos por fase, y con ello dar prioridad a la resolución de aquellos asuntos que sobrepasen el rango legal de plazos o el criterio experto</w:t>
      </w:r>
      <w:r w:rsidR="00A20C08">
        <w:rPr>
          <w:rFonts w:ascii="Book Antiqua" w:eastAsia="Calibri" w:hAnsi="Book Antiqua" w:cs="Arial"/>
          <w:sz w:val="24"/>
          <w:szCs w:val="24"/>
          <w:lang w:eastAsia="es-CR"/>
        </w:rPr>
        <w:t>, incluso deben hacer una revisión trimestral y certificar al Subproceso de Estadística de la Dirección de Planificación que revisaron y dieron tramite a los asuntos de mayor duración. Circular 213-21.</w:t>
      </w:r>
    </w:p>
    <w:p w14:paraId="5C02D4C5" w14:textId="6935B438" w:rsidR="00C92AC5" w:rsidRDefault="00C92AC5"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Respecto al Modelo </w:t>
      </w:r>
      <w:r w:rsidRPr="00C92AC5">
        <w:rPr>
          <w:rFonts w:ascii="Book Antiqua" w:eastAsia="Calibri" w:hAnsi="Book Antiqua" w:cs="Arial"/>
          <w:sz w:val="24"/>
          <w:szCs w:val="24"/>
          <w:lang w:eastAsia="es-CR"/>
        </w:rPr>
        <w:t>Sostenibilidad y Seguimiento y a fin de mantener los logros obtenidos en la Jurisdicción, es fundamental el cumplimiento de responsabilidades de cada uno de los partícipes del proceso de mejora continua de las oficinas (Juzgados, Equipo de mejora, Administración Regional, Consejo de Administración, Centro de Apoyo, Coordinación y Mejoramiento de la Función Jurisdiccional, Dirección de Planificación, Consejo Superior)</w:t>
      </w:r>
      <w:r>
        <w:rPr>
          <w:rFonts w:ascii="Book Antiqua" w:eastAsia="Calibri" w:hAnsi="Book Antiqua" w:cs="Arial"/>
          <w:sz w:val="24"/>
          <w:szCs w:val="24"/>
          <w:lang w:eastAsia="es-CR"/>
        </w:rPr>
        <w:t>.</w:t>
      </w:r>
      <w:r w:rsidR="00A20C08">
        <w:rPr>
          <w:rFonts w:ascii="Book Antiqua" w:eastAsia="Calibri" w:hAnsi="Book Antiqua" w:cs="Arial"/>
          <w:sz w:val="24"/>
          <w:szCs w:val="24"/>
          <w:lang w:eastAsia="es-CR"/>
        </w:rPr>
        <w:t xml:space="preserve"> Se emitió para reiterar a obligaciones las circulares 193 y 230-20.</w:t>
      </w:r>
    </w:p>
    <w:p w14:paraId="256AE0E7" w14:textId="3827616D" w:rsidR="00C92AC5" w:rsidRPr="00275211" w:rsidRDefault="00C92AC5"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Sobre el análisis </w:t>
      </w:r>
      <w:r w:rsidRPr="006F6088">
        <w:rPr>
          <w:rFonts w:ascii="Book Antiqua" w:eastAsia="Calibri" w:hAnsi="Book Antiqua" w:cs="Arial"/>
          <w:sz w:val="24"/>
          <w:szCs w:val="24"/>
          <w:lang w:eastAsia="es-CR"/>
        </w:rPr>
        <w:t>estadístico se concluye</w:t>
      </w:r>
      <w:r>
        <w:rPr>
          <w:rFonts w:ascii="Book Antiqua" w:eastAsia="Calibri" w:hAnsi="Book Antiqua" w:cs="Arial"/>
          <w:sz w:val="24"/>
          <w:szCs w:val="24"/>
          <w:lang w:eastAsia="es-CR"/>
        </w:rPr>
        <w:t xml:space="preserve"> que:</w:t>
      </w:r>
    </w:p>
    <w:p w14:paraId="0FA18B62" w14:textId="77777777" w:rsidR="006F6088" w:rsidRPr="006F6088" w:rsidRDefault="006F6088" w:rsidP="006F6088">
      <w:pPr>
        <w:tabs>
          <w:tab w:val="left" w:pos="426"/>
        </w:tabs>
        <w:spacing w:after="0" w:line="276" w:lineRule="auto"/>
        <w:ind w:left="720"/>
        <w:contextualSpacing/>
        <w:jc w:val="both"/>
        <w:rPr>
          <w:rFonts w:ascii="Book Antiqua" w:eastAsia="Calibri" w:hAnsi="Book Antiqua" w:cs="Arial"/>
          <w:sz w:val="24"/>
          <w:szCs w:val="24"/>
          <w:lang w:eastAsia="es-CR"/>
        </w:rPr>
      </w:pPr>
    </w:p>
    <w:p w14:paraId="0989D0C6" w14:textId="08F983D8"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El promedio de ingreso por persona juzgadora de Familia es de </w:t>
      </w:r>
      <w:r w:rsidR="003969BA">
        <w:rPr>
          <w:rFonts w:ascii="Book Antiqua" w:eastAsia="Calibri" w:hAnsi="Book Antiqua" w:cs="Arial"/>
          <w:sz w:val="24"/>
          <w:szCs w:val="24"/>
          <w:lang w:eastAsia="es-CR"/>
        </w:rPr>
        <w:t>76</w:t>
      </w:r>
      <w:r w:rsidRPr="006F6088">
        <w:rPr>
          <w:rFonts w:ascii="Book Antiqua" w:eastAsia="Calibri" w:hAnsi="Book Antiqua" w:cs="Arial"/>
          <w:sz w:val="24"/>
          <w:szCs w:val="24"/>
          <w:lang w:eastAsia="es-CR"/>
        </w:rPr>
        <w:t xml:space="preserve"> expedientes por mes y 4</w:t>
      </w:r>
      <w:r w:rsidR="003969BA">
        <w:rPr>
          <w:rFonts w:ascii="Book Antiqua" w:eastAsia="Calibri" w:hAnsi="Book Antiqua" w:cs="Arial"/>
          <w:sz w:val="24"/>
          <w:szCs w:val="24"/>
          <w:lang w:eastAsia="es-CR"/>
        </w:rPr>
        <w:t>8</w:t>
      </w:r>
      <w:r w:rsidRPr="006F6088">
        <w:rPr>
          <w:rFonts w:ascii="Book Antiqua" w:eastAsia="Calibri" w:hAnsi="Book Antiqua" w:cs="Arial"/>
          <w:sz w:val="24"/>
          <w:szCs w:val="24"/>
          <w:lang w:eastAsia="es-CR"/>
        </w:rPr>
        <w:t xml:space="preserve"> por plaza de persona técnica Judicial. </w:t>
      </w:r>
    </w:p>
    <w:p w14:paraId="071AE8BE" w14:textId="0F5788D1"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El tipo de proceso con mayor ingreso durante el periodo del 201</w:t>
      </w:r>
      <w:r w:rsidR="003969BA">
        <w:rPr>
          <w:rFonts w:ascii="Book Antiqua" w:eastAsia="Calibri" w:hAnsi="Book Antiqua" w:cs="Arial"/>
          <w:sz w:val="24"/>
          <w:szCs w:val="24"/>
          <w:lang w:eastAsia="es-CR"/>
        </w:rPr>
        <w:t>7</w:t>
      </w:r>
      <w:r w:rsidRPr="006F6088">
        <w:rPr>
          <w:rFonts w:ascii="Book Antiqua" w:eastAsia="Calibri" w:hAnsi="Book Antiqua" w:cs="Arial"/>
          <w:sz w:val="24"/>
          <w:szCs w:val="24"/>
          <w:lang w:eastAsia="es-CR"/>
        </w:rPr>
        <w:t xml:space="preserve"> al 20</w:t>
      </w:r>
      <w:r w:rsidR="003969BA">
        <w:rPr>
          <w:rFonts w:ascii="Book Antiqua" w:eastAsia="Calibri" w:hAnsi="Book Antiqua" w:cs="Arial"/>
          <w:sz w:val="24"/>
          <w:szCs w:val="24"/>
          <w:lang w:eastAsia="es-CR"/>
        </w:rPr>
        <w:t>2</w:t>
      </w:r>
      <w:r w:rsidRPr="006F6088">
        <w:rPr>
          <w:rFonts w:ascii="Book Antiqua" w:eastAsia="Calibri" w:hAnsi="Book Antiqua" w:cs="Arial"/>
          <w:sz w:val="24"/>
          <w:szCs w:val="24"/>
          <w:lang w:eastAsia="es-CR"/>
        </w:rPr>
        <w:t xml:space="preserve">1, es </w:t>
      </w:r>
      <w:r w:rsidRPr="008B3F81">
        <w:rPr>
          <w:rFonts w:ascii="Book Antiqua" w:eastAsia="Calibri" w:hAnsi="Book Antiqua" w:cs="Arial"/>
          <w:sz w:val="24"/>
          <w:szCs w:val="24"/>
          <w:lang w:eastAsia="es-CR"/>
        </w:rPr>
        <w:t>el Divorcio o separación judicial por mutuo acuerdo con 8</w:t>
      </w:r>
      <w:r w:rsidR="00275211" w:rsidRPr="008B3F81">
        <w:rPr>
          <w:rFonts w:ascii="Book Antiqua" w:eastAsia="Calibri" w:hAnsi="Book Antiqua" w:cs="Arial"/>
          <w:sz w:val="24"/>
          <w:szCs w:val="24"/>
          <w:lang w:eastAsia="es-CR"/>
        </w:rPr>
        <w:t xml:space="preserve"> 696</w:t>
      </w:r>
      <w:r w:rsidRPr="008B3F81">
        <w:rPr>
          <w:rFonts w:ascii="Book Antiqua" w:eastAsia="Calibri" w:hAnsi="Book Antiqua" w:cs="Arial"/>
          <w:sz w:val="24"/>
          <w:szCs w:val="24"/>
          <w:lang w:eastAsia="es-CR"/>
        </w:rPr>
        <w:t xml:space="preserve"> lo que </w:t>
      </w:r>
      <w:r w:rsidRPr="008B3F81">
        <w:rPr>
          <w:rFonts w:ascii="Book Antiqua" w:eastAsia="Calibri" w:hAnsi="Book Antiqua" w:cs="Arial"/>
          <w:sz w:val="24"/>
          <w:szCs w:val="24"/>
          <w:lang w:eastAsia="es-CR"/>
        </w:rPr>
        <w:lastRenderedPageBreak/>
        <w:t>representa un 3</w:t>
      </w:r>
      <w:r w:rsidR="00275211" w:rsidRPr="008B3F81">
        <w:rPr>
          <w:rFonts w:ascii="Book Antiqua" w:eastAsia="Calibri" w:hAnsi="Book Antiqua" w:cs="Arial"/>
          <w:sz w:val="24"/>
          <w:szCs w:val="24"/>
          <w:lang w:eastAsia="es-CR"/>
        </w:rPr>
        <w:t>5</w:t>
      </w:r>
      <w:r w:rsidRPr="008B3F81">
        <w:rPr>
          <w:rFonts w:ascii="Book Antiqua" w:eastAsia="Calibri" w:hAnsi="Book Antiqua" w:cs="Arial"/>
          <w:sz w:val="24"/>
          <w:szCs w:val="24"/>
          <w:lang w:eastAsia="es-CR"/>
        </w:rPr>
        <w:t>,</w:t>
      </w:r>
      <w:r w:rsidR="00275211" w:rsidRPr="008B3F81">
        <w:rPr>
          <w:rFonts w:ascii="Book Antiqua" w:eastAsia="Calibri" w:hAnsi="Book Antiqua" w:cs="Arial"/>
          <w:sz w:val="24"/>
          <w:szCs w:val="24"/>
          <w:lang w:eastAsia="es-CR"/>
        </w:rPr>
        <w:t>3</w:t>
      </w:r>
      <w:r w:rsidR="008B3F81" w:rsidRPr="008B3F81">
        <w:rPr>
          <w:rFonts w:ascii="Book Antiqua" w:eastAsia="Calibri" w:hAnsi="Book Antiqua" w:cs="Arial"/>
          <w:sz w:val="24"/>
          <w:szCs w:val="24"/>
          <w:lang w:eastAsia="es-CR"/>
        </w:rPr>
        <w:t>1</w:t>
      </w:r>
      <w:r w:rsidR="00275211" w:rsidRPr="008B3F81">
        <w:rPr>
          <w:rFonts w:ascii="Book Antiqua" w:eastAsia="Calibri" w:hAnsi="Book Antiqua" w:cs="Arial"/>
          <w:sz w:val="24"/>
          <w:szCs w:val="24"/>
          <w:lang w:eastAsia="es-CR"/>
        </w:rPr>
        <w:t>%</w:t>
      </w:r>
      <w:r w:rsidRPr="008B3F81">
        <w:rPr>
          <w:rFonts w:ascii="Book Antiqua" w:eastAsia="Calibri" w:hAnsi="Book Antiqua" w:cs="Arial"/>
          <w:sz w:val="24"/>
          <w:szCs w:val="24"/>
          <w:lang w:eastAsia="es-CR"/>
        </w:rPr>
        <w:t xml:space="preserve"> del ingreso total en las oficinas especializadas, seguido del Divorcio con </w:t>
      </w:r>
      <w:r w:rsidR="008B3F81">
        <w:rPr>
          <w:rFonts w:ascii="Book Antiqua" w:eastAsia="Calibri" w:hAnsi="Book Antiqua" w:cs="Arial"/>
          <w:sz w:val="24"/>
          <w:szCs w:val="24"/>
          <w:lang w:eastAsia="es-CR"/>
        </w:rPr>
        <w:t xml:space="preserve">           </w:t>
      </w:r>
      <w:r w:rsidRPr="008B3F81">
        <w:rPr>
          <w:rFonts w:ascii="Book Antiqua" w:eastAsia="Calibri" w:hAnsi="Book Antiqua" w:cs="Arial"/>
          <w:sz w:val="24"/>
          <w:szCs w:val="24"/>
          <w:lang w:eastAsia="es-CR"/>
        </w:rPr>
        <w:t>2</w:t>
      </w:r>
      <w:r w:rsidR="00275211" w:rsidRPr="008B3F81">
        <w:rPr>
          <w:rFonts w:ascii="Book Antiqua" w:eastAsia="Calibri" w:hAnsi="Book Antiqua" w:cs="Arial"/>
          <w:sz w:val="24"/>
          <w:szCs w:val="24"/>
          <w:lang w:eastAsia="es-CR"/>
        </w:rPr>
        <w:t xml:space="preserve"> </w:t>
      </w:r>
      <w:r w:rsidRPr="008B3F81">
        <w:rPr>
          <w:rFonts w:ascii="Book Antiqua" w:eastAsia="Calibri" w:hAnsi="Book Antiqua" w:cs="Arial"/>
          <w:sz w:val="24"/>
          <w:szCs w:val="24"/>
          <w:lang w:eastAsia="es-CR"/>
        </w:rPr>
        <w:t>4</w:t>
      </w:r>
      <w:r w:rsidR="00275211" w:rsidRPr="008B3F81">
        <w:rPr>
          <w:rFonts w:ascii="Book Antiqua" w:eastAsia="Calibri" w:hAnsi="Book Antiqua" w:cs="Arial"/>
          <w:sz w:val="24"/>
          <w:szCs w:val="24"/>
          <w:lang w:eastAsia="es-CR"/>
        </w:rPr>
        <w:t>50</w:t>
      </w:r>
      <w:r w:rsidRPr="008B3F81">
        <w:rPr>
          <w:rFonts w:ascii="Book Antiqua" w:eastAsia="Calibri" w:hAnsi="Book Antiqua" w:cs="Arial"/>
          <w:sz w:val="24"/>
          <w:szCs w:val="24"/>
          <w:lang w:eastAsia="es-CR"/>
        </w:rPr>
        <w:t xml:space="preserve"> expedientes equivalentes a un </w:t>
      </w:r>
      <w:r w:rsidR="008B3F81" w:rsidRPr="008B3F81">
        <w:rPr>
          <w:rFonts w:ascii="Book Antiqua" w:eastAsia="Calibri" w:hAnsi="Book Antiqua" w:cs="Arial"/>
          <w:sz w:val="24"/>
          <w:szCs w:val="24"/>
          <w:lang w:eastAsia="es-CR"/>
        </w:rPr>
        <w:t>9</w:t>
      </w:r>
      <w:r w:rsidRPr="008B3F81">
        <w:rPr>
          <w:rFonts w:ascii="Book Antiqua" w:eastAsia="Calibri" w:hAnsi="Book Antiqua" w:cs="Arial"/>
          <w:sz w:val="24"/>
          <w:szCs w:val="24"/>
          <w:lang w:eastAsia="es-CR"/>
        </w:rPr>
        <w:t>,</w:t>
      </w:r>
      <w:r w:rsidR="008B3F81" w:rsidRPr="008B3F81">
        <w:rPr>
          <w:rFonts w:ascii="Book Antiqua" w:eastAsia="Calibri" w:hAnsi="Book Antiqua" w:cs="Arial"/>
          <w:sz w:val="24"/>
          <w:szCs w:val="24"/>
          <w:lang w:eastAsia="es-CR"/>
        </w:rPr>
        <w:t>95</w:t>
      </w:r>
      <w:r w:rsidRPr="008B3F81">
        <w:rPr>
          <w:rFonts w:ascii="Book Antiqua" w:eastAsia="Calibri" w:hAnsi="Book Antiqua" w:cs="Arial"/>
          <w:sz w:val="24"/>
          <w:szCs w:val="24"/>
          <w:lang w:eastAsia="es-CR"/>
        </w:rPr>
        <w:t>% los cuales en alguna proporción dejaran de ser competencia de los Juzgados de Familia a partir del 1 de octubre del 2022. En tercer lugar, están los asuntos de Interrelación familiar (régimen de visitas) con 1</w:t>
      </w:r>
      <w:r w:rsidR="008B3F81" w:rsidRPr="008B3F81">
        <w:rPr>
          <w:rFonts w:ascii="Book Antiqua" w:eastAsia="Calibri" w:hAnsi="Book Antiqua" w:cs="Arial"/>
          <w:sz w:val="24"/>
          <w:szCs w:val="24"/>
          <w:lang w:eastAsia="es-CR"/>
        </w:rPr>
        <w:t xml:space="preserve"> 6</w:t>
      </w:r>
      <w:r w:rsidRPr="008B3F81">
        <w:rPr>
          <w:rFonts w:ascii="Book Antiqua" w:eastAsia="Calibri" w:hAnsi="Book Antiqua" w:cs="Arial"/>
          <w:sz w:val="24"/>
          <w:szCs w:val="24"/>
          <w:lang w:eastAsia="es-CR"/>
        </w:rPr>
        <w:t>8</w:t>
      </w:r>
      <w:r w:rsidR="008B3F81" w:rsidRPr="008B3F81">
        <w:rPr>
          <w:rFonts w:ascii="Book Antiqua" w:eastAsia="Calibri" w:hAnsi="Book Antiqua" w:cs="Arial"/>
          <w:sz w:val="24"/>
          <w:szCs w:val="24"/>
          <w:lang w:eastAsia="es-CR"/>
        </w:rPr>
        <w:t>0</w:t>
      </w:r>
      <w:r w:rsidRPr="008B3F81">
        <w:rPr>
          <w:rFonts w:ascii="Book Antiqua" w:eastAsia="Calibri" w:hAnsi="Book Antiqua" w:cs="Arial"/>
          <w:sz w:val="24"/>
          <w:szCs w:val="24"/>
          <w:lang w:eastAsia="es-CR"/>
        </w:rPr>
        <w:t xml:space="preserve"> expedientes para un </w:t>
      </w:r>
      <w:r w:rsidR="008B3F81" w:rsidRPr="008B3F81">
        <w:rPr>
          <w:rFonts w:ascii="Book Antiqua" w:eastAsia="Calibri" w:hAnsi="Book Antiqua" w:cs="Arial"/>
          <w:sz w:val="24"/>
          <w:szCs w:val="24"/>
          <w:lang w:eastAsia="es-CR"/>
        </w:rPr>
        <w:t>6</w:t>
      </w:r>
      <w:r w:rsidRPr="008B3F81">
        <w:rPr>
          <w:rFonts w:ascii="Book Antiqua" w:eastAsia="Calibri" w:hAnsi="Book Antiqua" w:cs="Arial"/>
          <w:sz w:val="24"/>
          <w:szCs w:val="24"/>
          <w:lang w:eastAsia="es-CR"/>
        </w:rPr>
        <w:t>,</w:t>
      </w:r>
      <w:r w:rsidR="008B3F81" w:rsidRPr="008B3F81">
        <w:rPr>
          <w:rFonts w:ascii="Book Antiqua" w:eastAsia="Calibri" w:hAnsi="Book Antiqua" w:cs="Arial"/>
          <w:sz w:val="24"/>
          <w:szCs w:val="24"/>
          <w:lang w:eastAsia="es-CR"/>
        </w:rPr>
        <w:t>82</w:t>
      </w:r>
      <w:r w:rsidRPr="008B3F81">
        <w:rPr>
          <w:rFonts w:ascii="Book Antiqua" w:eastAsia="Calibri" w:hAnsi="Book Antiqua" w:cs="Arial"/>
          <w:sz w:val="24"/>
          <w:szCs w:val="24"/>
          <w:lang w:eastAsia="es-CR"/>
        </w:rPr>
        <w:t>%, proceso sumario que será objeto de modificaciones a nivel de competencia conforme la propuesta que se presente por parte de la Dirección de Planificación en 2022 a Corte Plena.</w:t>
      </w:r>
      <w:r w:rsidRPr="006F6088">
        <w:rPr>
          <w:rFonts w:ascii="Book Antiqua" w:eastAsia="Calibri" w:hAnsi="Book Antiqua" w:cs="Arial"/>
          <w:sz w:val="24"/>
          <w:szCs w:val="24"/>
          <w:lang w:eastAsia="es-CR"/>
        </w:rPr>
        <w:t xml:space="preserve"> </w:t>
      </w:r>
    </w:p>
    <w:p w14:paraId="2E5F65F7" w14:textId="5A5B168A"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Es importante indicar que con la desjudicialización que prevé el código de Familia, se estima una disminución de </w:t>
      </w:r>
      <w:r w:rsidRPr="008B3F81">
        <w:rPr>
          <w:rFonts w:ascii="Book Antiqua" w:eastAsia="Calibri" w:hAnsi="Book Antiqua" w:cs="Arial"/>
          <w:sz w:val="24"/>
          <w:szCs w:val="24"/>
          <w:lang w:eastAsia="es-CR"/>
        </w:rPr>
        <w:t>un 12,5% en</w:t>
      </w:r>
      <w:r w:rsidRPr="006F6088">
        <w:rPr>
          <w:rFonts w:ascii="Book Antiqua" w:eastAsia="Calibri" w:hAnsi="Book Antiqua" w:cs="Arial"/>
          <w:sz w:val="24"/>
          <w:szCs w:val="24"/>
          <w:lang w:eastAsia="es-CR"/>
        </w:rPr>
        <w:t xml:space="preserve"> la entrada de asuntos nuevos, según las estimaciones realizadas, por ejemplo, en los procesos de Divorcio, solicitud de matrimonio, adopción, entre otros.</w:t>
      </w:r>
      <w:r w:rsidR="008C697C">
        <w:rPr>
          <w:rFonts w:ascii="Book Antiqua" w:eastAsia="Calibri" w:hAnsi="Book Antiqua" w:cs="Arial"/>
          <w:sz w:val="24"/>
          <w:szCs w:val="24"/>
          <w:lang w:eastAsia="es-CR"/>
        </w:rPr>
        <w:t xml:space="preserve"> Más asuntos en segunda instancia que puedan perder por el cambio procesal en Pensiones Alimentarias (dejan de existir las pensiones provisionales o definitivas).</w:t>
      </w:r>
    </w:p>
    <w:p w14:paraId="1CD77D43" w14:textId="10C9FB32" w:rsidR="006F6088" w:rsidRPr="008B3F81"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8B3F81">
        <w:rPr>
          <w:rFonts w:ascii="Book Antiqua" w:eastAsia="Calibri" w:hAnsi="Book Antiqua" w:cs="Arial"/>
          <w:sz w:val="24"/>
          <w:szCs w:val="24"/>
          <w:lang w:eastAsia="es-CR"/>
        </w:rPr>
        <w:t>La salida</w:t>
      </w:r>
      <w:r w:rsidRPr="006F6088">
        <w:rPr>
          <w:rFonts w:ascii="Book Antiqua" w:eastAsia="Calibri" w:hAnsi="Book Antiqua" w:cs="Arial"/>
          <w:sz w:val="24"/>
          <w:szCs w:val="24"/>
          <w:lang w:eastAsia="es-CR"/>
        </w:rPr>
        <w:t xml:space="preserve"> de asuntos de los juzgados de la materia de Familia, durante los últimos cinco años, está conformada </w:t>
      </w:r>
      <w:r w:rsidRPr="008B3F81">
        <w:rPr>
          <w:rFonts w:ascii="Book Antiqua" w:eastAsia="Calibri" w:hAnsi="Book Antiqua" w:cs="Arial"/>
          <w:sz w:val="24"/>
          <w:szCs w:val="24"/>
          <w:lang w:eastAsia="es-CR"/>
        </w:rPr>
        <w:t xml:space="preserve">por un </w:t>
      </w:r>
      <w:r w:rsidR="008B3F81" w:rsidRPr="008B3F81">
        <w:rPr>
          <w:rFonts w:ascii="Book Antiqua" w:eastAsia="Calibri" w:hAnsi="Book Antiqua" w:cs="Arial"/>
          <w:sz w:val="24"/>
          <w:szCs w:val="24"/>
          <w:lang w:eastAsia="es-CR"/>
        </w:rPr>
        <w:t>7</w:t>
      </w:r>
      <w:r w:rsidRPr="008B3F81">
        <w:rPr>
          <w:rFonts w:ascii="Book Antiqua" w:eastAsia="Calibri" w:hAnsi="Book Antiqua" w:cs="Arial"/>
          <w:sz w:val="24"/>
          <w:szCs w:val="24"/>
          <w:lang w:eastAsia="es-CR"/>
        </w:rPr>
        <w:t>% de casos inactivos y un 9</w:t>
      </w:r>
      <w:r w:rsidR="008B3F81" w:rsidRPr="008B3F81">
        <w:rPr>
          <w:rFonts w:ascii="Book Antiqua" w:eastAsia="Calibri" w:hAnsi="Book Antiqua" w:cs="Arial"/>
          <w:sz w:val="24"/>
          <w:szCs w:val="24"/>
          <w:lang w:eastAsia="es-CR"/>
        </w:rPr>
        <w:t>3</w:t>
      </w:r>
      <w:r w:rsidRPr="008B3F81">
        <w:rPr>
          <w:rFonts w:ascii="Book Antiqua" w:eastAsia="Calibri" w:hAnsi="Book Antiqua" w:cs="Arial"/>
          <w:sz w:val="24"/>
          <w:szCs w:val="24"/>
          <w:lang w:eastAsia="es-CR"/>
        </w:rPr>
        <w:t>% de asuntos terminados, siendo el 20</w:t>
      </w:r>
      <w:r w:rsidR="008B3F81" w:rsidRPr="008B3F81">
        <w:rPr>
          <w:rFonts w:ascii="Book Antiqua" w:eastAsia="Calibri" w:hAnsi="Book Antiqua" w:cs="Arial"/>
          <w:sz w:val="24"/>
          <w:szCs w:val="24"/>
          <w:lang w:eastAsia="es-CR"/>
        </w:rPr>
        <w:t>2</w:t>
      </w:r>
      <w:r w:rsidRPr="008B3F81">
        <w:rPr>
          <w:rFonts w:ascii="Book Antiqua" w:eastAsia="Calibri" w:hAnsi="Book Antiqua" w:cs="Arial"/>
          <w:sz w:val="24"/>
          <w:szCs w:val="24"/>
          <w:lang w:eastAsia="es-CR"/>
        </w:rPr>
        <w:t xml:space="preserve">1 el año en que se finalizaron más expedientes 24 </w:t>
      </w:r>
      <w:r w:rsidR="008B3F81" w:rsidRPr="008B3F81">
        <w:rPr>
          <w:rFonts w:ascii="Book Antiqua" w:eastAsia="Calibri" w:hAnsi="Book Antiqua" w:cs="Arial"/>
          <w:sz w:val="24"/>
          <w:szCs w:val="24"/>
          <w:lang w:eastAsia="es-CR"/>
        </w:rPr>
        <w:t>29</w:t>
      </w:r>
      <w:r w:rsidRPr="008B3F81">
        <w:rPr>
          <w:rFonts w:ascii="Book Antiqua" w:eastAsia="Calibri" w:hAnsi="Book Antiqua" w:cs="Arial"/>
          <w:sz w:val="24"/>
          <w:szCs w:val="24"/>
          <w:lang w:eastAsia="es-CR"/>
        </w:rPr>
        <w:t>9 y el menor el 201</w:t>
      </w:r>
      <w:r w:rsidR="008B3F81" w:rsidRPr="008B3F81">
        <w:rPr>
          <w:rFonts w:ascii="Book Antiqua" w:eastAsia="Calibri" w:hAnsi="Book Antiqua" w:cs="Arial"/>
          <w:sz w:val="24"/>
          <w:szCs w:val="24"/>
          <w:lang w:eastAsia="es-CR"/>
        </w:rPr>
        <w:t xml:space="preserve">9 </w:t>
      </w:r>
      <w:r w:rsidRPr="008B3F81">
        <w:rPr>
          <w:rFonts w:ascii="Book Antiqua" w:eastAsia="Calibri" w:hAnsi="Book Antiqua" w:cs="Arial"/>
          <w:sz w:val="24"/>
          <w:szCs w:val="24"/>
          <w:lang w:eastAsia="es-CR"/>
        </w:rPr>
        <w:t>con 1</w:t>
      </w:r>
      <w:r w:rsidR="008B3F81" w:rsidRPr="008B3F81">
        <w:rPr>
          <w:rFonts w:ascii="Book Antiqua" w:eastAsia="Calibri" w:hAnsi="Book Antiqua" w:cs="Arial"/>
          <w:sz w:val="24"/>
          <w:szCs w:val="24"/>
          <w:lang w:eastAsia="es-CR"/>
        </w:rPr>
        <w:t>9 90</w:t>
      </w:r>
      <w:r w:rsidRPr="008B3F81">
        <w:rPr>
          <w:rFonts w:ascii="Book Antiqua" w:eastAsia="Calibri" w:hAnsi="Book Antiqua" w:cs="Arial"/>
          <w:sz w:val="24"/>
          <w:szCs w:val="24"/>
          <w:lang w:eastAsia="es-CR"/>
        </w:rPr>
        <w:t>3 asuntos.</w:t>
      </w:r>
    </w:p>
    <w:p w14:paraId="11ED4697" w14:textId="3231DE4F"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En cuanto a los </w:t>
      </w:r>
      <w:r w:rsidRPr="008B3F81">
        <w:rPr>
          <w:rFonts w:ascii="Book Antiqua" w:eastAsia="Calibri" w:hAnsi="Book Antiqua" w:cs="Arial"/>
          <w:sz w:val="24"/>
          <w:szCs w:val="24"/>
          <w:lang w:eastAsia="es-CR"/>
        </w:rPr>
        <w:t>inactivos el 201</w:t>
      </w:r>
      <w:r w:rsidR="008B3F81" w:rsidRPr="008B3F81">
        <w:rPr>
          <w:rFonts w:ascii="Book Antiqua" w:eastAsia="Calibri" w:hAnsi="Book Antiqua" w:cs="Arial"/>
          <w:sz w:val="24"/>
          <w:szCs w:val="24"/>
          <w:lang w:eastAsia="es-CR"/>
        </w:rPr>
        <w:t>7</w:t>
      </w:r>
      <w:r w:rsidRPr="008B3F81">
        <w:rPr>
          <w:rFonts w:ascii="Book Antiqua" w:eastAsia="Calibri" w:hAnsi="Book Antiqua" w:cs="Arial"/>
          <w:sz w:val="24"/>
          <w:szCs w:val="24"/>
          <w:lang w:eastAsia="es-CR"/>
        </w:rPr>
        <w:t xml:space="preserve"> fue el año donde se inactivaron más asuntos </w:t>
      </w:r>
      <w:r w:rsidR="008B3F81" w:rsidRPr="008B3F81">
        <w:rPr>
          <w:rFonts w:ascii="Book Antiqua" w:eastAsia="Calibri" w:hAnsi="Book Antiqua" w:cs="Arial"/>
          <w:sz w:val="24"/>
          <w:szCs w:val="24"/>
          <w:lang w:eastAsia="es-CR"/>
        </w:rPr>
        <w:t>1 858</w:t>
      </w:r>
      <w:r w:rsidRPr="008B3F81">
        <w:rPr>
          <w:rFonts w:ascii="Book Antiqua" w:eastAsia="Calibri" w:hAnsi="Book Antiqua" w:cs="Arial"/>
          <w:sz w:val="24"/>
          <w:szCs w:val="24"/>
          <w:lang w:eastAsia="es-CR"/>
        </w:rPr>
        <w:t xml:space="preserve"> y el menor fue el 20</w:t>
      </w:r>
      <w:r w:rsidR="008B3F81" w:rsidRPr="008B3F81">
        <w:rPr>
          <w:rFonts w:ascii="Book Antiqua" w:eastAsia="Calibri" w:hAnsi="Book Antiqua" w:cs="Arial"/>
          <w:sz w:val="24"/>
          <w:szCs w:val="24"/>
          <w:lang w:eastAsia="es-CR"/>
        </w:rPr>
        <w:t>2</w:t>
      </w:r>
      <w:r w:rsidRPr="008B3F81">
        <w:rPr>
          <w:rFonts w:ascii="Book Antiqua" w:eastAsia="Calibri" w:hAnsi="Book Antiqua" w:cs="Arial"/>
          <w:sz w:val="24"/>
          <w:szCs w:val="24"/>
          <w:lang w:eastAsia="es-CR"/>
        </w:rPr>
        <w:t xml:space="preserve">1 con 1 </w:t>
      </w:r>
      <w:r w:rsidR="008B3F81" w:rsidRPr="008B3F81">
        <w:rPr>
          <w:rFonts w:ascii="Book Antiqua" w:eastAsia="Calibri" w:hAnsi="Book Antiqua" w:cs="Arial"/>
          <w:sz w:val="24"/>
          <w:szCs w:val="24"/>
          <w:lang w:eastAsia="es-CR"/>
        </w:rPr>
        <w:t>66</w:t>
      </w:r>
      <w:r w:rsidRPr="008B3F81">
        <w:rPr>
          <w:rFonts w:ascii="Book Antiqua" w:eastAsia="Calibri" w:hAnsi="Book Antiqua" w:cs="Arial"/>
          <w:sz w:val="24"/>
          <w:szCs w:val="24"/>
          <w:lang w:eastAsia="es-CR"/>
        </w:rPr>
        <w:t>7 expedientes</w:t>
      </w:r>
      <w:r w:rsidRPr="006F6088">
        <w:rPr>
          <w:rFonts w:ascii="Book Antiqua" w:eastAsia="Calibri" w:hAnsi="Book Antiqua" w:cs="Arial"/>
          <w:sz w:val="24"/>
          <w:szCs w:val="24"/>
          <w:lang w:eastAsia="es-CR"/>
        </w:rPr>
        <w:t>, lo que refleja que los despachos durante este año inactivaron menos casos en las depuraciones de expedientes; es importante realizar la revisión de los expedientes que tienen más de 6 meses sin movimiento ya que la inactivación contribuye en la disminución del circulante activo.</w:t>
      </w:r>
    </w:p>
    <w:p w14:paraId="56B9BAC3" w14:textId="361AB989"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La cantidad de asuntos </w:t>
      </w:r>
      <w:r w:rsidRPr="002C2A54">
        <w:rPr>
          <w:rFonts w:ascii="Book Antiqua" w:eastAsia="Calibri" w:hAnsi="Book Antiqua" w:cs="Arial"/>
          <w:sz w:val="24"/>
          <w:szCs w:val="24"/>
          <w:lang w:eastAsia="es-CR"/>
        </w:rPr>
        <w:t>finalizados en segunda instancia para el periodo</w:t>
      </w:r>
      <w:r w:rsidR="008B3F81" w:rsidRPr="002C2A54">
        <w:rPr>
          <w:rFonts w:ascii="Book Antiqua" w:eastAsia="Calibri" w:hAnsi="Book Antiqua" w:cs="Arial"/>
          <w:sz w:val="24"/>
          <w:szCs w:val="24"/>
          <w:lang w:eastAsia="es-CR"/>
        </w:rPr>
        <w:t xml:space="preserve"> </w:t>
      </w:r>
      <w:r w:rsidRPr="002C2A54">
        <w:rPr>
          <w:rFonts w:ascii="Book Antiqua" w:eastAsia="Calibri" w:hAnsi="Book Antiqua" w:cs="Arial"/>
          <w:sz w:val="24"/>
          <w:szCs w:val="24"/>
          <w:lang w:eastAsia="es-CR"/>
        </w:rPr>
        <w:t>20</w:t>
      </w:r>
      <w:r w:rsidR="008B3F81" w:rsidRPr="002C2A54">
        <w:rPr>
          <w:rFonts w:ascii="Book Antiqua" w:eastAsia="Calibri" w:hAnsi="Book Antiqua" w:cs="Arial"/>
          <w:sz w:val="24"/>
          <w:szCs w:val="24"/>
          <w:lang w:eastAsia="es-CR"/>
        </w:rPr>
        <w:t>2</w:t>
      </w:r>
      <w:r w:rsidRPr="002C2A54">
        <w:rPr>
          <w:rFonts w:ascii="Book Antiqua" w:eastAsia="Calibri" w:hAnsi="Book Antiqua" w:cs="Arial"/>
          <w:sz w:val="24"/>
          <w:szCs w:val="24"/>
          <w:lang w:eastAsia="es-CR"/>
        </w:rPr>
        <w:t>18 al 20</w:t>
      </w:r>
      <w:r w:rsidR="008B3F81" w:rsidRPr="002C2A54">
        <w:rPr>
          <w:rFonts w:ascii="Book Antiqua" w:eastAsia="Calibri" w:hAnsi="Book Antiqua" w:cs="Arial"/>
          <w:sz w:val="24"/>
          <w:szCs w:val="24"/>
          <w:lang w:eastAsia="es-CR"/>
        </w:rPr>
        <w:t>2</w:t>
      </w:r>
      <w:r w:rsidRPr="002C2A54">
        <w:rPr>
          <w:rFonts w:ascii="Book Antiqua" w:eastAsia="Calibri" w:hAnsi="Book Antiqua" w:cs="Arial"/>
          <w:sz w:val="24"/>
          <w:szCs w:val="24"/>
          <w:lang w:eastAsia="es-CR"/>
        </w:rPr>
        <w:t xml:space="preserve">1 fue de un </w:t>
      </w:r>
      <w:r w:rsidR="002C2A54" w:rsidRPr="002C2A54">
        <w:rPr>
          <w:rFonts w:ascii="Book Antiqua" w:eastAsia="Calibri" w:hAnsi="Book Antiqua" w:cs="Arial"/>
          <w:sz w:val="24"/>
          <w:szCs w:val="24"/>
          <w:lang w:eastAsia="es-CR"/>
        </w:rPr>
        <w:t>2</w:t>
      </w:r>
      <w:r w:rsidRPr="002C2A54">
        <w:rPr>
          <w:rFonts w:ascii="Book Antiqua" w:eastAsia="Calibri" w:hAnsi="Book Antiqua" w:cs="Arial"/>
          <w:sz w:val="24"/>
          <w:szCs w:val="24"/>
          <w:lang w:eastAsia="es-CR"/>
        </w:rPr>
        <w:t>% más en el 20</w:t>
      </w:r>
      <w:r w:rsidR="002C2A54" w:rsidRPr="002C2A54">
        <w:rPr>
          <w:rFonts w:ascii="Book Antiqua" w:eastAsia="Calibri" w:hAnsi="Book Antiqua" w:cs="Arial"/>
          <w:sz w:val="24"/>
          <w:szCs w:val="24"/>
          <w:lang w:eastAsia="es-CR"/>
        </w:rPr>
        <w:t>2</w:t>
      </w:r>
      <w:r w:rsidRPr="002C2A54">
        <w:rPr>
          <w:rFonts w:ascii="Book Antiqua" w:eastAsia="Calibri" w:hAnsi="Book Antiqua" w:cs="Arial"/>
          <w:sz w:val="24"/>
          <w:szCs w:val="24"/>
          <w:lang w:eastAsia="es-CR"/>
        </w:rPr>
        <w:t>1 que su antecesor el 20</w:t>
      </w:r>
      <w:r w:rsidR="002C2A54" w:rsidRPr="002C2A54">
        <w:rPr>
          <w:rFonts w:ascii="Book Antiqua" w:eastAsia="Calibri" w:hAnsi="Book Antiqua" w:cs="Arial"/>
          <w:sz w:val="24"/>
          <w:szCs w:val="24"/>
          <w:lang w:eastAsia="es-CR"/>
        </w:rPr>
        <w:t>20</w:t>
      </w:r>
      <w:r w:rsidRPr="002C2A54">
        <w:rPr>
          <w:rFonts w:ascii="Book Antiqua" w:eastAsia="Calibri" w:hAnsi="Book Antiqua" w:cs="Arial"/>
          <w:sz w:val="24"/>
          <w:szCs w:val="24"/>
          <w:lang w:eastAsia="es-CR"/>
        </w:rPr>
        <w:t>, y en cuanto a los casos fenecidos de incidentes se terminó</w:t>
      </w:r>
      <w:r w:rsidRPr="006F6088">
        <w:rPr>
          <w:rFonts w:ascii="Book Antiqua" w:eastAsia="Calibri" w:hAnsi="Book Antiqua" w:cs="Arial"/>
          <w:sz w:val="24"/>
          <w:szCs w:val="24"/>
          <w:lang w:eastAsia="es-CR"/>
        </w:rPr>
        <w:t xml:space="preserve"> más del </w:t>
      </w:r>
      <w:r w:rsidR="002C2A54">
        <w:rPr>
          <w:rFonts w:ascii="Book Antiqua" w:eastAsia="Calibri" w:hAnsi="Book Antiqua" w:cs="Arial"/>
          <w:sz w:val="24"/>
          <w:szCs w:val="24"/>
          <w:lang w:eastAsia="es-CR"/>
        </w:rPr>
        <w:t>47</w:t>
      </w:r>
      <w:r w:rsidRPr="006F6088">
        <w:rPr>
          <w:rFonts w:ascii="Book Antiqua" w:eastAsia="Calibri" w:hAnsi="Book Antiqua" w:cs="Arial"/>
          <w:sz w:val="24"/>
          <w:szCs w:val="24"/>
          <w:lang w:eastAsia="es-CR"/>
        </w:rPr>
        <w:t>% en el 20</w:t>
      </w:r>
      <w:r w:rsidR="002C2A54">
        <w:rPr>
          <w:rFonts w:ascii="Book Antiqua" w:eastAsia="Calibri" w:hAnsi="Book Antiqua" w:cs="Arial"/>
          <w:sz w:val="24"/>
          <w:szCs w:val="24"/>
          <w:lang w:eastAsia="es-CR"/>
        </w:rPr>
        <w:t>2</w:t>
      </w:r>
      <w:r w:rsidRPr="006F6088">
        <w:rPr>
          <w:rFonts w:ascii="Book Antiqua" w:eastAsia="Calibri" w:hAnsi="Book Antiqua" w:cs="Arial"/>
          <w:sz w:val="24"/>
          <w:szCs w:val="24"/>
          <w:lang w:eastAsia="es-CR"/>
        </w:rPr>
        <w:t>1 en comparación con el 20</w:t>
      </w:r>
      <w:r w:rsidR="002C2A54">
        <w:rPr>
          <w:rFonts w:ascii="Book Antiqua" w:eastAsia="Calibri" w:hAnsi="Book Antiqua" w:cs="Arial"/>
          <w:sz w:val="24"/>
          <w:szCs w:val="24"/>
          <w:lang w:eastAsia="es-CR"/>
        </w:rPr>
        <w:t>20</w:t>
      </w:r>
      <w:r w:rsidRPr="006F6088">
        <w:rPr>
          <w:rFonts w:ascii="Book Antiqua" w:eastAsia="Calibri" w:hAnsi="Book Antiqua" w:cs="Arial"/>
          <w:sz w:val="24"/>
          <w:szCs w:val="24"/>
          <w:lang w:eastAsia="es-CR"/>
        </w:rPr>
        <w:t>.</w:t>
      </w:r>
    </w:p>
    <w:p w14:paraId="2E3EB59D" w14:textId="4EE15F67"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En promedio una persona juzgadora </w:t>
      </w:r>
      <w:r w:rsidRPr="002C2A54">
        <w:rPr>
          <w:rFonts w:ascii="Book Antiqua" w:eastAsia="Calibri" w:hAnsi="Book Antiqua" w:cs="Arial"/>
          <w:sz w:val="24"/>
          <w:szCs w:val="24"/>
          <w:lang w:eastAsia="es-CR"/>
        </w:rPr>
        <w:t>finaliza 7</w:t>
      </w:r>
      <w:r w:rsidR="002C2A54" w:rsidRPr="002C2A54">
        <w:rPr>
          <w:rFonts w:ascii="Book Antiqua" w:eastAsia="Calibri" w:hAnsi="Book Antiqua" w:cs="Arial"/>
          <w:sz w:val="24"/>
          <w:szCs w:val="24"/>
          <w:lang w:eastAsia="es-CR"/>
        </w:rPr>
        <w:t>2</w:t>
      </w:r>
      <w:r w:rsidRPr="002C2A54">
        <w:rPr>
          <w:rFonts w:ascii="Book Antiqua" w:eastAsia="Calibri" w:hAnsi="Book Antiqua" w:cs="Arial"/>
          <w:sz w:val="24"/>
          <w:szCs w:val="24"/>
          <w:lang w:eastAsia="es-CR"/>
        </w:rPr>
        <w:t xml:space="preserve"> expedientes mensuales, y con una entrada promedio por mes de 7</w:t>
      </w:r>
      <w:r w:rsidR="002C2A54" w:rsidRPr="002C2A54">
        <w:rPr>
          <w:rFonts w:ascii="Book Antiqua" w:eastAsia="Calibri" w:hAnsi="Book Antiqua" w:cs="Arial"/>
          <w:sz w:val="24"/>
          <w:szCs w:val="24"/>
          <w:lang w:eastAsia="es-CR"/>
        </w:rPr>
        <w:t>6</w:t>
      </w:r>
      <w:r w:rsidRPr="002C2A54">
        <w:rPr>
          <w:rFonts w:ascii="Book Antiqua" w:eastAsia="Calibri" w:hAnsi="Book Antiqua" w:cs="Arial"/>
          <w:sz w:val="24"/>
          <w:szCs w:val="24"/>
          <w:lang w:eastAsia="es-CR"/>
        </w:rPr>
        <w:t xml:space="preserve"> asuntos, se evidencia</w:t>
      </w:r>
      <w:r w:rsidRPr="006F6088">
        <w:rPr>
          <w:rFonts w:ascii="Book Antiqua" w:eastAsia="Calibri" w:hAnsi="Book Antiqua" w:cs="Arial"/>
          <w:sz w:val="24"/>
          <w:szCs w:val="24"/>
          <w:lang w:eastAsia="es-CR"/>
        </w:rPr>
        <w:t xml:space="preserve"> </w:t>
      </w:r>
      <w:r w:rsidR="002C2A54">
        <w:rPr>
          <w:rFonts w:ascii="Book Antiqua" w:eastAsia="Calibri" w:hAnsi="Book Antiqua" w:cs="Arial"/>
          <w:sz w:val="24"/>
          <w:szCs w:val="24"/>
          <w:lang w:eastAsia="es-CR"/>
        </w:rPr>
        <w:t>que no</w:t>
      </w:r>
      <w:r w:rsidRPr="006F6088">
        <w:rPr>
          <w:rFonts w:ascii="Book Antiqua" w:eastAsia="Calibri" w:hAnsi="Book Antiqua" w:cs="Arial"/>
          <w:sz w:val="24"/>
          <w:szCs w:val="24"/>
          <w:lang w:eastAsia="es-CR"/>
        </w:rPr>
        <w:t xml:space="preserve"> se está logrando terminar lo que ingresa.</w:t>
      </w:r>
    </w:p>
    <w:p w14:paraId="36CA1BA8" w14:textId="371C6133"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Durante los años </w:t>
      </w:r>
      <w:r w:rsidR="00645DAD">
        <w:rPr>
          <w:rFonts w:ascii="Book Antiqua" w:eastAsia="Calibri" w:hAnsi="Book Antiqua" w:cs="Arial"/>
          <w:sz w:val="24"/>
          <w:szCs w:val="24"/>
          <w:lang w:eastAsia="es-CR"/>
        </w:rPr>
        <w:t xml:space="preserve">del 2017 al 2020 </w:t>
      </w:r>
      <w:r w:rsidRPr="006F6088">
        <w:rPr>
          <w:rFonts w:ascii="Book Antiqua" w:eastAsia="Calibri" w:hAnsi="Book Antiqua" w:cs="Arial"/>
          <w:sz w:val="24"/>
          <w:szCs w:val="24"/>
          <w:lang w:eastAsia="es-CR"/>
        </w:rPr>
        <w:t xml:space="preserve">se ha dado un crecimiento en </w:t>
      </w:r>
      <w:r w:rsidRPr="00645DAD">
        <w:rPr>
          <w:rFonts w:ascii="Book Antiqua" w:eastAsia="Calibri" w:hAnsi="Book Antiqua" w:cs="Arial"/>
          <w:sz w:val="24"/>
          <w:szCs w:val="24"/>
          <w:lang w:eastAsia="es-CR"/>
        </w:rPr>
        <w:t>el circulante</w:t>
      </w:r>
      <w:r w:rsidRPr="006F6088">
        <w:rPr>
          <w:rFonts w:ascii="Book Antiqua" w:eastAsia="Calibri" w:hAnsi="Book Antiqua" w:cs="Arial"/>
          <w:sz w:val="24"/>
          <w:szCs w:val="24"/>
          <w:lang w:eastAsia="es-CR"/>
        </w:rPr>
        <w:t xml:space="preserve"> de las oficinas especializadas en materia de Familia, pasando de 13 </w:t>
      </w:r>
      <w:r w:rsidR="00645DAD">
        <w:rPr>
          <w:rFonts w:ascii="Book Antiqua" w:eastAsia="Calibri" w:hAnsi="Book Antiqua" w:cs="Arial"/>
          <w:sz w:val="24"/>
          <w:szCs w:val="24"/>
          <w:lang w:eastAsia="es-CR"/>
        </w:rPr>
        <w:t>69</w:t>
      </w:r>
      <w:r w:rsidRPr="006F6088">
        <w:rPr>
          <w:rFonts w:ascii="Book Antiqua" w:eastAsia="Calibri" w:hAnsi="Book Antiqua" w:cs="Arial"/>
          <w:sz w:val="24"/>
          <w:szCs w:val="24"/>
          <w:lang w:eastAsia="es-CR"/>
        </w:rPr>
        <w:t>8 casos activos al finalizar el 201</w:t>
      </w:r>
      <w:r w:rsidR="00645DAD">
        <w:rPr>
          <w:rFonts w:ascii="Book Antiqua" w:eastAsia="Calibri" w:hAnsi="Book Antiqua" w:cs="Arial"/>
          <w:sz w:val="24"/>
          <w:szCs w:val="24"/>
          <w:lang w:eastAsia="es-CR"/>
        </w:rPr>
        <w:t>7</w:t>
      </w:r>
      <w:r w:rsidRPr="006F6088">
        <w:rPr>
          <w:rFonts w:ascii="Book Antiqua" w:eastAsia="Calibri" w:hAnsi="Book Antiqua" w:cs="Arial"/>
          <w:sz w:val="24"/>
          <w:szCs w:val="24"/>
          <w:lang w:eastAsia="es-CR"/>
        </w:rPr>
        <w:t xml:space="preserve"> a 1</w:t>
      </w:r>
      <w:r w:rsidR="00645DAD">
        <w:rPr>
          <w:rFonts w:ascii="Book Antiqua" w:eastAsia="Calibri" w:hAnsi="Book Antiqua" w:cs="Arial"/>
          <w:sz w:val="24"/>
          <w:szCs w:val="24"/>
          <w:lang w:eastAsia="es-CR"/>
        </w:rPr>
        <w:t>4</w:t>
      </w:r>
      <w:r w:rsidRPr="006F6088">
        <w:rPr>
          <w:rFonts w:ascii="Book Antiqua" w:eastAsia="Calibri" w:hAnsi="Book Antiqua" w:cs="Arial"/>
          <w:sz w:val="24"/>
          <w:szCs w:val="24"/>
          <w:lang w:eastAsia="es-CR"/>
        </w:rPr>
        <w:t xml:space="preserve"> 4</w:t>
      </w:r>
      <w:r w:rsidR="00645DAD">
        <w:rPr>
          <w:rFonts w:ascii="Book Antiqua" w:eastAsia="Calibri" w:hAnsi="Book Antiqua" w:cs="Arial"/>
          <w:sz w:val="24"/>
          <w:szCs w:val="24"/>
          <w:lang w:eastAsia="es-CR"/>
        </w:rPr>
        <w:t>46</w:t>
      </w:r>
      <w:r w:rsidRPr="006F6088">
        <w:rPr>
          <w:rFonts w:ascii="Book Antiqua" w:eastAsia="Calibri" w:hAnsi="Book Antiqua" w:cs="Arial"/>
          <w:sz w:val="24"/>
          <w:szCs w:val="24"/>
          <w:lang w:eastAsia="es-CR"/>
        </w:rPr>
        <w:t xml:space="preserve"> en 20</w:t>
      </w:r>
      <w:r w:rsidR="00645DAD">
        <w:rPr>
          <w:rFonts w:ascii="Book Antiqua" w:eastAsia="Calibri" w:hAnsi="Book Antiqua" w:cs="Arial"/>
          <w:sz w:val="24"/>
          <w:szCs w:val="24"/>
          <w:lang w:eastAsia="es-CR"/>
        </w:rPr>
        <w:t>20</w:t>
      </w:r>
      <w:r w:rsidRPr="006F6088">
        <w:rPr>
          <w:rFonts w:ascii="Book Antiqua" w:eastAsia="Calibri" w:hAnsi="Book Antiqua" w:cs="Arial"/>
          <w:sz w:val="24"/>
          <w:szCs w:val="24"/>
          <w:lang w:eastAsia="es-CR"/>
        </w:rPr>
        <w:t>.  Al finalizar 202</w:t>
      </w:r>
      <w:r w:rsidR="00645DAD">
        <w:rPr>
          <w:rFonts w:ascii="Book Antiqua" w:eastAsia="Calibri" w:hAnsi="Book Antiqua" w:cs="Arial"/>
          <w:sz w:val="24"/>
          <w:szCs w:val="24"/>
          <w:lang w:eastAsia="es-CR"/>
        </w:rPr>
        <w:t>1</w:t>
      </w:r>
      <w:r w:rsidRPr="006F6088">
        <w:rPr>
          <w:rFonts w:ascii="Book Antiqua" w:eastAsia="Calibri" w:hAnsi="Book Antiqua" w:cs="Arial"/>
          <w:sz w:val="24"/>
          <w:szCs w:val="24"/>
          <w:lang w:eastAsia="es-CR"/>
        </w:rPr>
        <w:t xml:space="preserve">, se reportan en </w:t>
      </w:r>
      <w:r w:rsidRPr="006F6088">
        <w:rPr>
          <w:rFonts w:ascii="Book Antiqua" w:eastAsia="Calibri" w:hAnsi="Book Antiqua" w:cs="Arial"/>
          <w:sz w:val="24"/>
          <w:szCs w:val="24"/>
          <w:lang w:eastAsia="es-CR"/>
        </w:rPr>
        <w:lastRenderedPageBreak/>
        <w:t>los Juzgados Especializados un circulante de 1</w:t>
      </w:r>
      <w:r w:rsidR="00645DAD">
        <w:rPr>
          <w:rFonts w:ascii="Book Antiqua" w:eastAsia="Calibri" w:hAnsi="Book Antiqua" w:cs="Arial"/>
          <w:sz w:val="24"/>
          <w:szCs w:val="24"/>
          <w:lang w:eastAsia="es-CR"/>
        </w:rPr>
        <w:t>3 47</w:t>
      </w:r>
      <w:r w:rsidRPr="006F6088">
        <w:rPr>
          <w:rFonts w:ascii="Book Antiqua" w:eastAsia="Calibri" w:hAnsi="Book Antiqua" w:cs="Arial"/>
          <w:sz w:val="24"/>
          <w:szCs w:val="24"/>
          <w:lang w:eastAsia="es-CR"/>
        </w:rPr>
        <w:t>1</w:t>
      </w:r>
      <w:r w:rsidR="00645DAD">
        <w:rPr>
          <w:rFonts w:ascii="Book Antiqua" w:eastAsia="Calibri" w:hAnsi="Book Antiqua" w:cs="Arial"/>
          <w:sz w:val="24"/>
          <w:szCs w:val="24"/>
          <w:lang w:eastAsia="es-CR"/>
        </w:rPr>
        <w:t>, obteniéndose una disminución en este año</w:t>
      </w:r>
      <w:r w:rsidRPr="006F6088">
        <w:rPr>
          <w:rFonts w:ascii="Book Antiqua" w:eastAsia="Calibri" w:hAnsi="Book Antiqua" w:cs="Arial"/>
          <w:sz w:val="24"/>
          <w:szCs w:val="24"/>
          <w:lang w:eastAsia="es-CR"/>
        </w:rPr>
        <w:t>.</w:t>
      </w:r>
    </w:p>
    <w:p w14:paraId="0293CAC9" w14:textId="6C8837A7"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Un </w:t>
      </w:r>
      <w:r w:rsidR="00C34202" w:rsidRPr="00C34202">
        <w:rPr>
          <w:rFonts w:ascii="Book Antiqua" w:eastAsia="Calibri" w:hAnsi="Book Antiqua" w:cs="Arial"/>
          <w:sz w:val="24"/>
          <w:szCs w:val="24"/>
          <w:lang w:eastAsia="es-CR"/>
        </w:rPr>
        <w:t>67</w:t>
      </w:r>
      <w:r w:rsidRPr="00C34202">
        <w:rPr>
          <w:rFonts w:ascii="Book Antiqua" w:eastAsia="Calibri" w:hAnsi="Book Antiqua" w:cs="Arial"/>
          <w:sz w:val="24"/>
          <w:szCs w:val="24"/>
          <w:lang w:eastAsia="es-CR"/>
        </w:rPr>
        <w:t xml:space="preserve">% de los expedientes están en fase de Demanda, </w:t>
      </w:r>
      <w:r w:rsidR="00C34202" w:rsidRPr="00C34202">
        <w:rPr>
          <w:rFonts w:ascii="Book Antiqua" w:eastAsia="Calibri" w:hAnsi="Book Antiqua" w:cs="Arial"/>
          <w:sz w:val="24"/>
          <w:szCs w:val="24"/>
          <w:lang w:eastAsia="es-CR"/>
        </w:rPr>
        <w:t>2</w:t>
      </w:r>
      <w:r w:rsidRPr="00C34202">
        <w:rPr>
          <w:rFonts w:ascii="Book Antiqua" w:eastAsia="Calibri" w:hAnsi="Book Antiqua" w:cs="Arial"/>
          <w:sz w:val="24"/>
          <w:szCs w:val="24"/>
          <w:lang w:eastAsia="es-CR"/>
        </w:rPr>
        <w:t xml:space="preserve">3% en Demostrativa, </w:t>
      </w:r>
      <w:r w:rsidR="00C34202" w:rsidRPr="00C34202">
        <w:rPr>
          <w:rFonts w:ascii="Book Antiqua" w:eastAsia="Calibri" w:hAnsi="Book Antiqua" w:cs="Arial"/>
          <w:sz w:val="24"/>
          <w:szCs w:val="24"/>
          <w:lang w:eastAsia="es-CR"/>
        </w:rPr>
        <w:t>8</w:t>
      </w:r>
      <w:r w:rsidRPr="00C34202">
        <w:rPr>
          <w:rFonts w:ascii="Book Antiqua" w:eastAsia="Calibri" w:hAnsi="Book Antiqua" w:cs="Arial"/>
          <w:sz w:val="24"/>
          <w:szCs w:val="24"/>
          <w:lang w:eastAsia="es-CR"/>
        </w:rPr>
        <w:t>% en Conclusiva y 1% en Ejecución; además, para el periodo del 201</w:t>
      </w:r>
      <w:r w:rsidR="008E1533" w:rsidRPr="00C34202">
        <w:rPr>
          <w:rFonts w:ascii="Book Antiqua" w:eastAsia="Calibri" w:hAnsi="Book Antiqua" w:cs="Arial"/>
          <w:sz w:val="24"/>
          <w:szCs w:val="24"/>
          <w:lang w:eastAsia="es-CR"/>
        </w:rPr>
        <w:t>7</w:t>
      </w:r>
      <w:r w:rsidRPr="00C34202">
        <w:rPr>
          <w:rFonts w:ascii="Book Antiqua" w:eastAsia="Calibri" w:hAnsi="Book Antiqua" w:cs="Arial"/>
          <w:sz w:val="24"/>
          <w:szCs w:val="24"/>
          <w:lang w:eastAsia="es-CR"/>
        </w:rPr>
        <w:t xml:space="preserve"> al 20</w:t>
      </w:r>
      <w:r w:rsidR="008E1533" w:rsidRPr="00C34202">
        <w:rPr>
          <w:rFonts w:ascii="Book Antiqua" w:eastAsia="Calibri" w:hAnsi="Book Antiqua" w:cs="Arial"/>
          <w:sz w:val="24"/>
          <w:szCs w:val="24"/>
          <w:lang w:eastAsia="es-CR"/>
        </w:rPr>
        <w:t>2</w:t>
      </w:r>
      <w:r w:rsidRPr="00C34202">
        <w:rPr>
          <w:rFonts w:ascii="Book Antiqua" w:eastAsia="Calibri" w:hAnsi="Book Antiqua" w:cs="Arial"/>
          <w:sz w:val="24"/>
          <w:szCs w:val="24"/>
          <w:lang w:eastAsia="es-CR"/>
        </w:rPr>
        <w:t>1, se identificó un grupo de expedientes que no</w:t>
      </w:r>
      <w:r w:rsidRPr="006F6088">
        <w:rPr>
          <w:rFonts w:ascii="Book Antiqua" w:eastAsia="Calibri" w:hAnsi="Book Antiqua" w:cs="Arial"/>
          <w:sz w:val="24"/>
          <w:szCs w:val="24"/>
          <w:lang w:eastAsia="es-CR"/>
        </w:rPr>
        <w:t xml:space="preserve"> tenían fase, es importante mantener la información actualizada de los expedientes porque es insumo para la toma de decisiones por lo que debe ser veraz y confiable.</w:t>
      </w:r>
    </w:p>
    <w:p w14:paraId="7AD730D2" w14:textId="2C4A0669" w:rsidR="006F6088" w:rsidRP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 xml:space="preserve">Según el periodo analizado </w:t>
      </w:r>
      <w:r w:rsidRPr="00B15E56">
        <w:rPr>
          <w:rFonts w:ascii="Book Antiqua" w:eastAsia="Calibri" w:hAnsi="Book Antiqua" w:cs="Arial"/>
          <w:sz w:val="24"/>
          <w:szCs w:val="24"/>
          <w:lang w:eastAsia="es-CR"/>
        </w:rPr>
        <w:t>del 201</w:t>
      </w:r>
      <w:r w:rsidR="00C34202" w:rsidRPr="00B15E56">
        <w:rPr>
          <w:rFonts w:ascii="Book Antiqua" w:eastAsia="Calibri" w:hAnsi="Book Antiqua" w:cs="Arial"/>
          <w:sz w:val="24"/>
          <w:szCs w:val="24"/>
          <w:lang w:eastAsia="es-CR"/>
        </w:rPr>
        <w:t>7</w:t>
      </w:r>
      <w:r w:rsidRPr="00B15E56">
        <w:rPr>
          <w:rFonts w:ascii="Book Antiqua" w:eastAsia="Calibri" w:hAnsi="Book Antiqua" w:cs="Arial"/>
          <w:sz w:val="24"/>
          <w:szCs w:val="24"/>
          <w:lang w:eastAsia="es-CR"/>
        </w:rPr>
        <w:t xml:space="preserve"> al 20</w:t>
      </w:r>
      <w:r w:rsidR="00C34202" w:rsidRPr="00B15E56">
        <w:rPr>
          <w:rFonts w:ascii="Book Antiqua" w:eastAsia="Calibri" w:hAnsi="Book Antiqua" w:cs="Arial"/>
          <w:sz w:val="24"/>
          <w:szCs w:val="24"/>
          <w:lang w:eastAsia="es-CR"/>
        </w:rPr>
        <w:t>2</w:t>
      </w:r>
      <w:r w:rsidRPr="00B15E56">
        <w:rPr>
          <w:rFonts w:ascii="Book Antiqua" w:eastAsia="Calibri" w:hAnsi="Book Antiqua" w:cs="Arial"/>
          <w:sz w:val="24"/>
          <w:szCs w:val="24"/>
          <w:lang w:eastAsia="es-CR"/>
        </w:rPr>
        <w:t>1, a nivel nacional para el 20</w:t>
      </w:r>
      <w:r w:rsidR="00C34202" w:rsidRPr="00B15E56">
        <w:rPr>
          <w:rFonts w:ascii="Book Antiqua" w:eastAsia="Calibri" w:hAnsi="Book Antiqua" w:cs="Arial"/>
          <w:sz w:val="24"/>
          <w:szCs w:val="24"/>
          <w:lang w:eastAsia="es-CR"/>
        </w:rPr>
        <w:t>2</w:t>
      </w:r>
      <w:r w:rsidRPr="00B15E56">
        <w:rPr>
          <w:rFonts w:ascii="Book Antiqua" w:eastAsia="Calibri" w:hAnsi="Book Antiqua" w:cs="Arial"/>
          <w:sz w:val="24"/>
          <w:szCs w:val="24"/>
          <w:lang w:eastAsia="es-CR"/>
        </w:rPr>
        <w:t>1 se registra un promedio mensual de efectividad en los señalamientos de las audiencias</w:t>
      </w:r>
      <w:r w:rsidRPr="006F6088">
        <w:rPr>
          <w:rFonts w:ascii="Book Antiqua" w:eastAsia="Calibri" w:hAnsi="Book Antiqua" w:cs="Arial"/>
          <w:sz w:val="24"/>
          <w:szCs w:val="24"/>
          <w:lang w:eastAsia="es-CR"/>
        </w:rPr>
        <w:t xml:space="preserve"> de un 6</w:t>
      </w:r>
      <w:r w:rsidR="00C34202">
        <w:rPr>
          <w:rFonts w:ascii="Book Antiqua" w:eastAsia="Calibri" w:hAnsi="Book Antiqua" w:cs="Arial"/>
          <w:sz w:val="24"/>
          <w:szCs w:val="24"/>
          <w:lang w:eastAsia="es-CR"/>
        </w:rPr>
        <w:t>7</w:t>
      </w:r>
      <w:r w:rsidRPr="006F6088">
        <w:rPr>
          <w:rFonts w:ascii="Book Antiqua" w:eastAsia="Calibri" w:hAnsi="Book Antiqua" w:cs="Arial"/>
          <w:sz w:val="24"/>
          <w:szCs w:val="24"/>
          <w:lang w:eastAsia="es-CR"/>
        </w:rPr>
        <w:t>% y el menor en el 20</w:t>
      </w:r>
      <w:r w:rsidR="00C34202">
        <w:rPr>
          <w:rFonts w:ascii="Book Antiqua" w:eastAsia="Calibri" w:hAnsi="Book Antiqua" w:cs="Arial"/>
          <w:sz w:val="24"/>
          <w:szCs w:val="24"/>
          <w:lang w:eastAsia="es-CR"/>
        </w:rPr>
        <w:t>20</w:t>
      </w:r>
      <w:r w:rsidRPr="006F6088">
        <w:rPr>
          <w:rFonts w:ascii="Book Antiqua" w:eastAsia="Calibri" w:hAnsi="Book Antiqua" w:cs="Arial"/>
          <w:sz w:val="24"/>
          <w:szCs w:val="24"/>
          <w:lang w:eastAsia="es-CR"/>
        </w:rPr>
        <w:t xml:space="preserve"> con un </w:t>
      </w:r>
      <w:r w:rsidR="00C34202">
        <w:rPr>
          <w:rFonts w:ascii="Book Antiqua" w:eastAsia="Calibri" w:hAnsi="Book Antiqua" w:cs="Arial"/>
          <w:sz w:val="24"/>
          <w:szCs w:val="24"/>
          <w:lang w:eastAsia="es-CR"/>
        </w:rPr>
        <w:t>46</w:t>
      </w:r>
      <w:r w:rsidRPr="006F6088">
        <w:rPr>
          <w:rFonts w:ascii="Book Antiqua" w:eastAsia="Calibri" w:hAnsi="Book Antiqua" w:cs="Arial"/>
          <w:sz w:val="24"/>
          <w:szCs w:val="24"/>
          <w:lang w:eastAsia="es-CR"/>
        </w:rPr>
        <w:t xml:space="preserve">%, lo que refleja un aumento del </w:t>
      </w:r>
      <w:r w:rsidR="0024077A">
        <w:rPr>
          <w:rFonts w:ascii="Book Antiqua" w:eastAsia="Calibri" w:hAnsi="Book Antiqua" w:cs="Arial"/>
          <w:sz w:val="24"/>
          <w:szCs w:val="24"/>
          <w:lang w:eastAsia="es-CR"/>
        </w:rPr>
        <w:t>12</w:t>
      </w:r>
      <w:r w:rsidRPr="006F6088">
        <w:rPr>
          <w:rFonts w:ascii="Book Antiqua" w:eastAsia="Calibri" w:hAnsi="Book Antiqua" w:cs="Arial"/>
          <w:sz w:val="24"/>
          <w:szCs w:val="24"/>
          <w:lang w:eastAsia="es-CR"/>
        </w:rPr>
        <w:t xml:space="preserve">%; por otra parte, existen más de </w:t>
      </w:r>
      <w:r w:rsidR="0024077A">
        <w:rPr>
          <w:rFonts w:ascii="Book Antiqua" w:eastAsia="Calibri" w:hAnsi="Book Antiqua" w:cs="Arial"/>
          <w:sz w:val="24"/>
          <w:szCs w:val="24"/>
          <w:lang w:eastAsia="es-CR"/>
        </w:rPr>
        <w:t>2</w:t>
      </w:r>
      <w:r w:rsidRPr="006F6088">
        <w:rPr>
          <w:rFonts w:ascii="Book Antiqua" w:eastAsia="Calibri" w:hAnsi="Book Antiqua" w:cs="Arial"/>
          <w:sz w:val="24"/>
          <w:szCs w:val="24"/>
          <w:lang w:eastAsia="es-CR"/>
        </w:rPr>
        <w:t> 000 señalamientos en estado “Pendiente” lo que evidencia que los despachos no están actualizando la información en la Agenda Cronos.</w:t>
      </w:r>
    </w:p>
    <w:p w14:paraId="2C78E426" w14:textId="5275589D" w:rsidR="006F6088" w:rsidRDefault="006F6088"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sidRPr="0024077A">
        <w:rPr>
          <w:rFonts w:ascii="Book Antiqua" w:eastAsia="Calibri" w:hAnsi="Book Antiqua" w:cs="Arial"/>
          <w:sz w:val="24"/>
          <w:szCs w:val="24"/>
          <w:lang w:eastAsia="es-CR"/>
        </w:rPr>
        <w:t xml:space="preserve">El Tribunal de Familia conoció en total </w:t>
      </w:r>
      <w:r w:rsidR="0024077A" w:rsidRPr="0024077A">
        <w:rPr>
          <w:rFonts w:ascii="Book Antiqua" w:eastAsia="Calibri" w:hAnsi="Book Antiqua" w:cs="Arial"/>
          <w:sz w:val="24"/>
          <w:szCs w:val="24"/>
          <w:lang w:eastAsia="es-CR"/>
        </w:rPr>
        <w:t xml:space="preserve">1 </w:t>
      </w:r>
      <w:r w:rsidRPr="0024077A">
        <w:rPr>
          <w:rFonts w:ascii="Book Antiqua" w:eastAsia="Calibri" w:hAnsi="Book Antiqua" w:cs="Arial"/>
          <w:sz w:val="24"/>
          <w:szCs w:val="24"/>
          <w:lang w:eastAsia="es-CR"/>
        </w:rPr>
        <w:t>4</w:t>
      </w:r>
      <w:r w:rsidR="0024077A" w:rsidRPr="0024077A">
        <w:rPr>
          <w:rFonts w:ascii="Book Antiqua" w:eastAsia="Calibri" w:hAnsi="Book Antiqua" w:cs="Arial"/>
          <w:sz w:val="24"/>
          <w:szCs w:val="24"/>
          <w:lang w:eastAsia="es-CR"/>
        </w:rPr>
        <w:t>46</w:t>
      </w:r>
      <w:r w:rsidRPr="0024077A">
        <w:rPr>
          <w:rFonts w:ascii="Book Antiqua" w:eastAsia="Calibri" w:hAnsi="Book Antiqua" w:cs="Arial"/>
          <w:sz w:val="24"/>
          <w:szCs w:val="24"/>
          <w:lang w:eastAsia="es-CR"/>
        </w:rPr>
        <w:t xml:space="preserve"> apelaciones durante el periodo 201</w:t>
      </w:r>
      <w:r w:rsidR="0024077A" w:rsidRPr="0024077A">
        <w:rPr>
          <w:rFonts w:ascii="Book Antiqua" w:eastAsia="Calibri" w:hAnsi="Book Antiqua" w:cs="Arial"/>
          <w:sz w:val="24"/>
          <w:szCs w:val="24"/>
          <w:lang w:eastAsia="es-CR"/>
        </w:rPr>
        <w:t>7</w:t>
      </w:r>
      <w:r w:rsidRPr="0024077A">
        <w:rPr>
          <w:rFonts w:ascii="Book Antiqua" w:eastAsia="Calibri" w:hAnsi="Book Antiqua" w:cs="Arial"/>
          <w:sz w:val="24"/>
          <w:szCs w:val="24"/>
          <w:lang w:eastAsia="es-CR"/>
        </w:rPr>
        <w:t xml:space="preserve"> a 20</w:t>
      </w:r>
      <w:r w:rsidR="0024077A" w:rsidRPr="0024077A">
        <w:rPr>
          <w:rFonts w:ascii="Book Antiqua" w:eastAsia="Calibri" w:hAnsi="Book Antiqua" w:cs="Arial"/>
          <w:sz w:val="24"/>
          <w:szCs w:val="24"/>
          <w:lang w:eastAsia="es-CR"/>
        </w:rPr>
        <w:t>2</w:t>
      </w:r>
      <w:r w:rsidRPr="0024077A">
        <w:rPr>
          <w:rFonts w:ascii="Book Antiqua" w:eastAsia="Calibri" w:hAnsi="Book Antiqua" w:cs="Arial"/>
          <w:sz w:val="24"/>
          <w:szCs w:val="24"/>
          <w:lang w:eastAsia="es-CR"/>
        </w:rPr>
        <w:t>1, procedente de</w:t>
      </w:r>
      <w:r w:rsidRPr="006F6088">
        <w:rPr>
          <w:rFonts w:ascii="Book Antiqua" w:eastAsia="Calibri" w:hAnsi="Book Antiqua" w:cs="Arial"/>
          <w:sz w:val="24"/>
          <w:szCs w:val="24"/>
          <w:lang w:eastAsia="es-CR"/>
        </w:rPr>
        <w:t xml:space="preserve"> los Juzgados Especializados en Familia, siendo el Juzgado de Familia de II Circuito Judicial de San José el que mayor cantidad de apelaciones remite a este Tribunal, con </w:t>
      </w:r>
      <w:r w:rsidR="0024077A">
        <w:rPr>
          <w:rFonts w:ascii="Book Antiqua" w:eastAsia="Calibri" w:hAnsi="Book Antiqua" w:cs="Arial"/>
          <w:sz w:val="24"/>
          <w:szCs w:val="24"/>
          <w:lang w:eastAsia="es-CR"/>
        </w:rPr>
        <w:t>2</w:t>
      </w:r>
      <w:r w:rsidRPr="006F6088">
        <w:rPr>
          <w:rFonts w:ascii="Book Antiqua" w:eastAsia="Calibri" w:hAnsi="Book Antiqua" w:cs="Arial"/>
          <w:sz w:val="24"/>
          <w:szCs w:val="24"/>
          <w:lang w:eastAsia="es-CR"/>
        </w:rPr>
        <w:t>5</w:t>
      </w:r>
      <w:r w:rsidR="0024077A">
        <w:rPr>
          <w:rFonts w:ascii="Book Antiqua" w:eastAsia="Calibri" w:hAnsi="Book Antiqua" w:cs="Arial"/>
          <w:sz w:val="24"/>
          <w:szCs w:val="24"/>
          <w:lang w:eastAsia="es-CR"/>
        </w:rPr>
        <w:t>6</w:t>
      </w:r>
      <w:r w:rsidRPr="006F6088">
        <w:rPr>
          <w:rFonts w:ascii="Book Antiqua" w:eastAsia="Calibri" w:hAnsi="Book Antiqua" w:cs="Arial"/>
          <w:sz w:val="24"/>
          <w:szCs w:val="24"/>
          <w:lang w:eastAsia="es-CR"/>
        </w:rPr>
        <w:t xml:space="preserve"> asuntos el 1</w:t>
      </w:r>
      <w:r w:rsidR="0024077A">
        <w:rPr>
          <w:rFonts w:ascii="Book Antiqua" w:eastAsia="Calibri" w:hAnsi="Book Antiqua" w:cs="Arial"/>
          <w:sz w:val="24"/>
          <w:szCs w:val="24"/>
          <w:lang w:eastAsia="es-CR"/>
        </w:rPr>
        <w:t>7</w:t>
      </w:r>
      <w:r w:rsidRPr="006F6088">
        <w:rPr>
          <w:rFonts w:ascii="Book Antiqua" w:eastAsia="Calibri" w:hAnsi="Book Antiqua" w:cs="Arial"/>
          <w:sz w:val="24"/>
          <w:szCs w:val="24"/>
          <w:lang w:eastAsia="es-CR"/>
        </w:rPr>
        <w:t>% del total recibido procedente de los Juzgados Especializados en Familia</w:t>
      </w:r>
      <w:r w:rsidR="0091425F">
        <w:rPr>
          <w:rFonts w:ascii="Book Antiqua" w:eastAsia="Calibri" w:hAnsi="Book Antiqua" w:cs="Arial"/>
          <w:sz w:val="24"/>
          <w:szCs w:val="24"/>
          <w:lang w:eastAsia="es-CR"/>
        </w:rPr>
        <w:t>, además, se tiene un promedio en la duración de los procesos para el 2021 de 3 meses</w:t>
      </w:r>
      <w:r w:rsidR="00A20C08">
        <w:rPr>
          <w:rFonts w:ascii="Book Antiqua" w:eastAsia="Calibri" w:hAnsi="Book Antiqua" w:cs="Arial"/>
          <w:sz w:val="24"/>
          <w:szCs w:val="24"/>
          <w:lang w:eastAsia="es-CR"/>
        </w:rPr>
        <w:t>.</w:t>
      </w:r>
    </w:p>
    <w:p w14:paraId="4DAE2422" w14:textId="5B3C1237" w:rsidR="0091425F" w:rsidRDefault="0091425F" w:rsidP="00067FBC">
      <w:pPr>
        <w:numPr>
          <w:ilvl w:val="0"/>
          <w:numId w:val="33"/>
        </w:numPr>
        <w:tabs>
          <w:tab w:val="left" w:pos="426"/>
        </w:tabs>
        <w:spacing w:after="0" w:line="276" w:lineRule="auto"/>
        <w:contextualSpacing/>
        <w:jc w:val="both"/>
        <w:rPr>
          <w:rFonts w:ascii="Book Antiqua" w:eastAsia="Calibri" w:hAnsi="Book Antiqua" w:cs="Arial"/>
          <w:sz w:val="24"/>
          <w:szCs w:val="24"/>
          <w:lang w:eastAsia="es-CR"/>
        </w:rPr>
      </w:pPr>
      <w:r>
        <w:rPr>
          <w:rFonts w:ascii="Book Antiqua" w:eastAsia="Calibri" w:hAnsi="Book Antiqua" w:cs="Arial"/>
          <w:sz w:val="24"/>
          <w:szCs w:val="24"/>
          <w:lang w:eastAsia="es-CR"/>
        </w:rPr>
        <w:t xml:space="preserve">La duración </w:t>
      </w:r>
      <w:r w:rsidR="002B4F1E">
        <w:rPr>
          <w:rFonts w:ascii="Book Antiqua" w:eastAsia="Calibri" w:hAnsi="Book Antiqua" w:cs="Arial"/>
          <w:sz w:val="24"/>
          <w:szCs w:val="24"/>
          <w:lang w:eastAsia="es-CR"/>
        </w:rPr>
        <w:t xml:space="preserve">promedio </w:t>
      </w:r>
      <w:r>
        <w:rPr>
          <w:rFonts w:ascii="Book Antiqua" w:eastAsia="Calibri" w:hAnsi="Book Antiqua" w:cs="Arial"/>
          <w:sz w:val="24"/>
          <w:szCs w:val="24"/>
          <w:lang w:eastAsia="es-CR"/>
        </w:rPr>
        <w:t xml:space="preserve">de los Procesos en la Sala Segunda para el periodo 2021 es de </w:t>
      </w:r>
      <w:r w:rsidR="002B4F1E">
        <w:rPr>
          <w:rFonts w:ascii="Book Antiqua" w:eastAsia="Calibri" w:hAnsi="Book Antiqua" w:cs="Arial"/>
          <w:sz w:val="24"/>
          <w:szCs w:val="24"/>
          <w:lang w:eastAsia="es-CR"/>
        </w:rPr>
        <w:t>16 meses 1 semana, por lo que es necesario</w:t>
      </w:r>
      <w:r w:rsidR="002B4F1E" w:rsidRPr="002B4F1E">
        <w:rPr>
          <w:rFonts w:ascii="Book Antiqua" w:eastAsia="Calibri" w:hAnsi="Book Antiqua" w:cs="Arial"/>
          <w:sz w:val="24"/>
          <w:szCs w:val="24"/>
          <w:lang w:eastAsia="es-CR"/>
        </w:rPr>
        <w:t xml:space="preserve"> reducir los tiempos de proceso, en miras de mejorar la respuesta a las personas usuarias.</w:t>
      </w:r>
    </w:p>
    <w:p w14:paraId="312D06BC" w14:textId="77777777" w:rsidR="006F6088" w:rsidRPr="006F6088" w:rsidRDefault="006F6088" w:rsidP="0090609F">
      <w:pPr>
        <w:numPr>
          <w:ilvl w:val="1"/>
          <w:numId w:val="44"/>
        </w:numPr>
        <w:tabs>
          <w:tab w:val="left" w:pos="426"/>
        </w:tabs>
        <w:spacing w:after="0" w:line="276" w:lineRule="auto"/>
        <w:contextualSpacing/>
        <w:jc w:val="both"/>
        <w:rPr>
          <w:rFonts w:ascii="Book Antiqua" w:eastAsia="Calibri" w:hAnsi="Book Antiqua" w:cs="Arial"/>
          <w:sz w:val="24"/>
          <w:szCs w:val="24"/>
          <w:lang w:eastAsia="es-CR"/>
        </w:rPr>
      </w:pPr>
      <w:r w:rsidRPr="006F6088">
        <w:rPr>
          <w:rFonts w:ascii="Book Antiqua" w:eastAsia="Calibri" w:hAnsi="Book Antiqua" w:cs="Arial"/>
          <w:sz w:val="24"/>
          <w:szCs w:val="24"/>
          <w:lang w:eastAsia="es-CR"/>
        </w:rPr>
        <w:t>A nivel de los sistemas se identifica la necesidad de que la Dirección de Tecnología de la Información trabaje con carácter urgente en las siguientes mejoras:</w:t>
      </w:r>
    </w:p>
    <w:p w14:paraId="2768327D" w14:textId="77777777" w:rsidR="006F6088" w:rsidRPr="006F6088" w:rsidRDefault="006F6088" w:rsidP="006F6088">
      <w:pPr>
        <w:tabs>
          <w:tab w:val="left" w:pos="426"/>
        </w:tabs>
        <w:spacing w:after="0" w:line="276" w:lineRule="auto"/>
        <w:jc w:val="both"/>
        <w:rPr>
          <w:rFonts w:ascii="Book Antiqua" w:eastAsia="Calibri" w:hAnsi="Book Antiqua" w:cs="Arial"/>
          <w:sz w:val="24"/>
        </w:rPr>
      </w:pPr>
    </w:p>
    <w:p w14:paraId="6365B73B" w14:textId="1692D957" w:rsidR="006F6088" w:rsidRPr="001D0C10" w:rsidRDefault="006F6088" w:rsidP="0090609F">
      <w:pPr>
        <w:numPr>
          <w:ilvl w:val="0"/>
          <w:numId w:val="3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6F6088">
        <w:rPr>
          <w:rFonts w:ascii="Book Antiqua" w:eastAsia="Calibri" w:hAnsi="Book Antiqua" w:cs="Book Antiqua"/>
          <w:iCs/>
          <w:color w:val="000000"/>
          <w:spacing w:val="-3"/>
          <w:sz w:val="24"/>
          <w:szCs w:val="24"/>
        </w:rPr>
        <w:t xml:space="preserve">Mejora en </w:t>
      </w:r>
      <w:r w:rsidRPr="006F6088">
        <w:rPr>
          <w:rFonts w:ascii="Book Antiqua" w:eastAsia="Calibri" w:hAnsi="Book Antiqua" w:cs="Book Antiqua"/>
          <w:color w:val="000000"/>
          <w:sz w:val="24"/>
          <w:szCs w:val="24"/>
        </w:rPr>
        <w:t xml:space="preserve">el reparto por procedimiento, de forma que se puedan excluir los </w:t>
      </w:r>
      <w:r w:rsidRPr="00306AD4">
        <w:rPr>
          <w:rFonts w:ascii="Book Antiqua" w:eastAsia="Calibri" w:hAnsi="Book Antiqua" w:cs="Book Antiqua"/>
          <w:color w:val="000000"/>
          <w:sz w:val="24"/>
          <w:szCs w:val="24"/>
        </w:rPr>
        <w:t xml:space="preserve">asuntos reentrados del rol de reparto conforme al requerimiento realizado el 15 de diciembre </w:t>
      </w:r>
      <w:r w:rsidRPr="00306AD4">
        <w:rPr>
          <w:rFonts w:ascii="Book Antiqua" w:eastAsia="Calibri" w:hAnsi="Book Antiqua" w:cs="Book Antiqua"/>
          <w:sz w:val="24"/>
          <w:szCs w:val="24"/>
        </w:rPr>
        <w:t xml:space="preserve">2020 (ver </w:t>
      </w:r>
      <w:r w:rsidRPr="00306AD4">
        <w:rPr>
          <w:rFonts w:ascii="Book Antiqua" w:eastAsia="Calibri" w:hAnsi="Book Antiqua" w:cs="Book Antiqua"/>
          <w:b/>
          <w:bCs/>
          <w:i/>
          <w:iCs/>
          <w:sz w:val="24"/>
          <w:szCs w:val="24"/>
        </w:rPr>
        <w:t xml:space="preserve">anexo </w:t>
      </w:r>
      <w:r w:rsidR="00D405E9">
        <w:rPr>
          <w:rFonts w:ascii="Book Antiqua" w:eastAsia="Calibri" w:hAnsi="Book Antiqua" w:cs="Book Antiqua"/>
          <w:b/>
          <w:bCs/>
          <w:i/>
          <w:iCs/>
          <w:sz w:val="24"/>
          <w:szCs w:val="24"/>
        </w:rPr>
        <w:t>4</w:t>
      </w:r>
      <w:r w:rsidRPr="00306AD4">
        <w:rPr>
          <w:rFonts w:ascii="Book Antiqua" w:eastAsia="Calibri" w:hAnsi="Book Antiqua" w:cs="Book Antiqua"/>
          <w:sz w:val="24"/>
          <w:szCs w:val="24"/>
        </w:rPr>
        <w:t>).</w:t>
      </w:r>
      <w:r w:rsidRPr="006F6088">
        <w:rPr>
          <w:rFonts w:ascii="Book Antiqua" w:eastAsia="Calibri" w:hAnsi="Book Antiqua" w:cs="Book Antiqua"/>
          <w:iCs/>
          <w:sz w:val="24"/>
          <w:szCs w:val="24"/>
        </w:rPr>
        <w:t xml:space="preserve"> </w:t>
      </w:r>
    </w:p>
    <w:p w14:paraId="55B31A8A" w14:textId="20656EE7" w:rsidR="00D405E9" w:rsidRPr="006F6088" w:rsidRDefault="00D405E9" w:rsidP="0090609F">
      <w:pPr>
        <w:numPr>
          <w:ilvl w:val="0"/>
          <w:numId w:val="3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sz w:val="24"/>
          <w:szCs w:val="24"/>
        </w:rPr>
        <w:t xml:space="preserve">Mejora solicitada </w:t>
      </w:r>
      <w:r w:rsidRPr="00306AD4">
        <w:rPr>
          <w:rFonts w:ascii="Book Antiqua" w:eastAsia="Calibri" w:hAnsi="Book Antiqua" w:cs="Book Antiqua"/>
          <w:iCs/>
          <w:color w:val="000000"/>
          <w:sz w:val="24"/>
          <w:szCs w:val="24"/>
        </w:rPr>
        <w:t>(reporte GIS RF-1009915-3-118986) de forma que se pueda cruzar la información entre la clase de asunto y el resultado de las resoluciones, a fin de lograr obtener directamente del SIGMA la cantidad de resoluciones de aprobación o improbación de divorcios por mutuo consentimiento y poder incluirlo así en la matriz</w:t>
      </w:r>
      <w:r>
        <w:rPr>
          <w:rFonts w:ascii="Book Antiqua" w:eastAsia="Calibri" w:hAnsi="Book Antiqua" w:cs="Book Antiqua"/>
          <w:iCs/>
          <w:color w:val="000000"/>
          <w:sz w:val="24"/>
          <w:szCs w:val="24"/>
        </w:rPr>
        <w:t>.</w:t>
      </w:r>
    </w:p>
    <w:p w14:paraId="26A8624A" w14:textId="68AB591C" w:rsidR="00E85731" w:rsidRDefault="006F6088" w:rsidP="0090609F">
      <w:pPr>
        <w:numPr>
          <w:ilvl w:val="0"/>
          <w:numId w:val="34"/>
        </w:numPr>
        <w:tabs>
          <w:tab w:val="left" w:pos="426"/>
        </w:tabs>
        <w:autoSpaceDE w:val="0"/>
        <w:autoSpaceDN w:val="0"/>
        <w:adjustRightInd w:val="0"/>
        <w:spacing w:after="0" w:line="276" w:lineRule="auto"/>
        <w:jc w:val="both"/>
        <w:rPr>
          <w:rFonts w:ascii="Book Antiqua" w:eastAsia="Calibri" w:hAnsi="Book Antiqua" w:cs="Book Antiqua"/>
          <w:iCs/>
          <w:sz w:val="24"/>
          <w:szCs w:val="24"/>
        </w:rPr>
      </w:pPr>
      <w:r w:rsidRPr="001D0C10">
        <w:rPr>
          <w:rFonts w:ascii="Book Antiqua" w:eastAsia="Calibri" w:hAnsi="Book Antiqua" w:cs="Book Antiqua"/>
          <w:iCs/>
          <w:sz w:val="24"/>
          <w:szCs w:val="24"/>
        </w:rPr>
        <w:lastRenderedPageBreak/>
        <w:t xml:space="preserve">Mejora en el sistema SIGA PJ que amplié la cantidad de caracteres para incluir los nombres correctos de las oficinas, incluidos los nuevos nombres </w:t>
      </w:r>
      <w:r w:rsidR="003B21F4" w:rsidRPr="001D0C10">
        <w:rPr>
          <w:rFonts w:ascii="Book Antiqua" w:eastAsia="Calibri" w:hAnsi="Book Antiqua" w:cs="Book Antiqua"/>
          <w:iCs/>
          <w:sz w:val="24"/>
          <w:szCs w:val="24"/>
        </w:rPr>
        <w:t>d</w:t>
      </w:r>
      <w:r w:rsidRPr="001D0C10">
        <w:rPr>
          <w:rFonts w:ascii="Book Antiqua" w:eastAsia="Calibri" w:hAnsi="Book Antiqua" w:cs="Book Antiqua"/>
          <w:iCs/>
          <w:sz w:val="24"/>
          <w:szCs w:val="24"/>
        </w:rPr>
        <w:t xml:space="preserve">e las oficinas competentes en Violencia Doméstica y Protección Cautelar, requerimiento presentado por la misma Comisión de Familia, Niñez y Adolescencia en la sesión del primero de diciembre </w:t>
      </w:r>
      <w:r w:rsidR="00BD101C" w:rsidRPr="001D0C10">
        <w:rPr>
          <w:rFonts w:ascii="Book Antiqua" w:eastAsia="Calibri" w:hAnsi="Book Antiqua" w:cs="Book Antiqua"/>
          <w:iCs/>
          <w:sz w:val="24"/>
          <w:szCs w:val="24"/>
        </w:rPr>
        <w:t>2021</w:t>
      </w:r>
      <w:r w:rsidRPr="001D0C10">
        <w:rPr>
          <w:rFonts w:ascii="Book Antiqua" w:eastAsia="Calibri" w:hAnsi="Book Antiqua" w:cs="Book Antiqua"/>
          <w:iCs/>
          <w:sz w:val="24"/>
          <w:szCs w:val="24"/>
        </w:rPr>
        <w:t>, artículo III y mediante oficio 124-PLA-PP-MI-2021</w:t>
      </w:r>
      <w:r w:rsidR="00D405E9">
        <w:rPr>
          <w:rFonts w:ascii="Book Antiqua" w:eastAsia="Calibri" w:hAnsi="Book Antiqua" w:cs="Book Antiqua"/>
          <w:iCs/>
          <w:sz w:val="24"/>
          <w:szCs w:val="24"/>
        </w:rPr>
        <w:t>.</w:t>
      </w:r>
    </w:p>
    <w:p w14:paraId="09EE5287" w14:textId="6F36BBD6" w:rsidR="00083201" w:rsidRPr="00083201" w:rsidRDefault="000819A3" w:rsidP="00083201">
      <w:pPr>
        <w:pStyle w:val="Prrafodelista"/>
        <w:numPr>
          <w:ilvl w:val="0"/>
          <w:numId w:val="34"/>
        </w:numPr>
        <w:jc w:val="both"/>
        <w:rPr>
          <w:rFonts w:ascii="Book Antiqua" w:eastAsia="Calibri" w:hAnsi="Book Antiqua" w:cs="Book Antiqua"/>
          <w:iCs/>
          <w:sz w:val="24"/>
          <w:szCs w:val="24"/>
        </w:rPr>
      </w:pPr>
      <w:r w:rsidRPr="00083201">
        <w:rPr>
          <w:rFonts w:ascii="Book Antiqua" w:eastAsia="Calibri" w:hAnsi="Book Antiqua" w:cs="Book Antiqua"/>
          <w:iCs/>
          <w:sz w:val="24"/>
          <w:szCs w:val="24"/>
        </w:rPr>
        <w:t>Además de que una vez aprobada la recomendación de este informe de que se varié el nombre del actual Juzgado de Familia, Niñez y Adolescencia, se pueda aplicar el cambio</w:t>
      </w:r>
      <w:r w:rsidR="00083201" w:rsidRPr="00083201">
        <w:rPr>
          <w:rFonts w:ascii="Book Antiqua" w:eastAsia="Calibri" w:hAnsi="Book Antiqua" w:cs="Book Antiqua"/>
          <w:iCs/>
          <w:sz w:val="24"/>
          <w:szCs w:val="24"/>
        </w:rPr>
        <w:t xml:space="preserve"> en el sistema de GH en línea. El cambio formal aplicaría a partir del 1 de octubre de 2022, sin embargo, para evitar errores de las personas usuarias que confunden esta oficina con un juzgado de Familia de los de San José</w:t>
      </w:r>
      <w:r w:rsidR="00083201">
        <w:rPr>
          <w:rFonts w:ascii="Book Antiqua" w:eastAsia="Calibri" w:hAnsi="Book Antiqua" w:cs="Book Antiqua"/>
          <w:iCs/>
          <w:sz w:val="24"/>
          <w:szCs w:val="24"/>
        </w:rPr>
        <w:t xml:space="preserve"> en el momento de subir escritos</w:t>
      </w:r>
      <w:r w:rsidR="00100A4D">
        <w:rPr>
          <w:rStyle w:val="Refdenotaalpie"/>
          <w:rFonts w:ascii="Book Antiqua" w:eastAsia="Calibri" w:hAnsi="Book Antiqua" w:cs="Book Antiqua"/>
          <w:iCs/>
          <w:sz w:val="24"/>
          <w:szCs w:val="24"/>
        </w:rPr>
        <w:footnoteReference w:id="18"/>
      </w:r>
      <w:r w:rsidR="00083201">
        <w:rPr>
          <w:rFonts w:ascii="Book Antiqua" w:eastAsia="Calibri" w:hAnsi="Book Antiqua" w:cs="Book Antiqua"/>
          <w:iCs/>
          <w:sz w:val="24"/>
          <w:szCs w:val="24"/>
        </w:rPr>
        <w:t>, se recomienda que puedan adelantar el cambio en este sistema</w:t>
      </w:r>
      <w:r w:rsidR="00083201" w:rsidRPr="00083201">
        <w:rPr>
          <w:rFonts w:ascii="Book Antiqua" w:eastAsia="Calibri" w:hAnsi="Book Antiqua" w:cs="Book Antiqua"/>
          <w:iCs/>
          <w:sz w:val="24"/>
          <w:szCs w:val="24"/>
        </w:rPr>
        <w:t xml:space="preserve">. </w:t>
      </w:r>
    </w:p>
    <w:p w14:paraId="47186959" w14:textId="66D0AE23" w:rsidR="006F6088" w:rsidRDefault="006F6088" w:rsidP="0090609F">
      <w:pPr>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6F6088">
        <w:rPr>
          <w:rFonts w:ascii="Book Antiqua" w:eastAsia="Calibri" w:hAnsi="Book Antiqua" w:cs="Book Antiqua"/>
          <w:iCs/>
          <w:color w:val="000000"/>
          <w:spacing w:val="-3"/>
          <w:sz w:val="24"/>
          <w:szCs w:val="24"/>
        </w:rPr>
        <w:t xml:space="preserve">Con el fin de elaborar una propuesta para Corte Plena de creación de Juzgados de Familia por Ministerio de Ley, se </w:t>
      </w:r>
      <w:r w:rsidR="008C697C">
        <w:rPr>
          <w:rFonts w:ascii="Book Antiqua" w:eastAsia="Calibri" w:hAnsi="Book Antiqua" w:cs="Book Antiqua"/>
          <w:iCs/>
          <w:color w:val="000000"/>
          <w:spacing w:val="-3"/>
          <w:sz w:val="24"/>
          <w:szCs w:val="24"/>
        </w:rPr>
        <w:t>utilizará</w:t>
      </w:r>
      <w:r w:rsidR="008C697C" w:rsidRPr="006F6088">
        <w:rPr>
          <w:rFonts w:ascii="Book Antiqua" w:eastAsia="Calibri" w:hAnsi="Book Antiqua" w:cs="Book Antiqua"/>
          <w:iCs/>
          <w:color w:val="000000"/>
          <w:spacing w:val="-3"/>
          <w:sz w:val="24"/>
          <w:szCs w:val="24"/>
        </w:rPr>
        <w:t xml:space="preserve"> </w:t>
      </w:r>
      <w:r w:rsidRPr="006F6088">
        <w:rPr>
          <w:rFonts w:ascii="Book Antiqua" w:eastAsia="Calibri" w:hAnsi="Book Antiqua" w:cs="Book Antiqua"/>
          <w:iCs/>
          <w:color w:val="000000"/>
          <w:spacing w:val="-3"/>
          <w:sz w:val="24"/>
          <w:szCs w:val="24"/>
        </w:rPr>
        <w:t xml:space="preserve">como </w:t>
      </w:r>
      <w:r w:rsidR="00784FA0">
        <w:rPr>
          <w:rFonts w:ascii="Book Antiqua" w:eastAsia="Calibri" w:hAnsi="Book Antiqua" w:cs="Book Antiqua"/>
          <w:iCs/>
          <w:color w:val="000000"/>
          <w:spacing w:val="-3"/>
          <w:sz w:val="24"/>
          <w:szCs w:val="24"/>
        </w:rPr>
        <w:t>insumo la información aportada por los</w:t>
      </w:r>
      <w:r w:rsidRPr="006F6088">
        <w:rPr>
          <w:rFonts w:ascii="Book Antiqua" w:eastAsia="Calibri" w:hAnsi="Book Antiqua" w:cs="Book Antiqua"/>
          <w:iCs/>
          <w:color w:val="000000"/>
          <w:spacing w:val="-3"/>
          <w:sz w:val="24"/>
          <w:szCs w:val="24"/>
        </w:rPr>
        <w:t xml:space="preserve"> Juzgados de Familia en el inventario 2021, y el criterio experto del Juez Gestor en la materia</w:t>
      </w:r>
      <w:r w:rsidR="008C697C">
        <w:rPr>
          <w:rFonts w:ascii="Book Antiqua" w:eastAsia="Calibri" w:hAnsi="Book Antiqua" w:cs="Book Antiqua"/>
          <w:iCs/>
          <w:color w:val="000000"/>
          <w:spacing w:val="-3"/>
          <w:sz w:val="24"/>
          <w:szCs w:val="24"/>
        </w:rPr>
        <w:t>, distintos jueces de Familia a nivel nacional</w:t>
      </w:r>
      <w:r w:rsidRPr="006F6088">
        <w:rPr>
          <w:rFonts w:ascii="Book Antiqua" w:eastAsia="Calibri" w:hAnsi="Book Antiqua" w:cs="Book Antiqua"/>
          <w:iCs/>
          <w:color w:val="000000"/>
          <w:spacing w:val="-3"/>
          <w:sz w:val="24"/>
          <w:szCs w:val="24"/>
        </w:rPr>
        <w:t xml:space="preserve"> y</w:t>
      </w:r>
      <w:r w:rsidR="008C697C">
        <w:rPr>
          <w:rFonts w:ascii="Book Antiqua" w:eastAsia="Calibri" w:hAnsi="Book Antiqua" w:cs="Book Antiqua"/>
          <w:iCs/>
          <w:color w:val="000000"/>
          <w:spacing w:val="-3"/>
          <w:sz w:val="24"/>
          <w:szCs w:val="24"/>
        </w:rPr>
        <w:t xml:space="preserve"> de</w:t>
      </w:r>
      <w:r w:rsidRPr="006F6088">
        <w:rPr>
          <w:rFonts w:ascii="Book Antiqua" w:eastAsia="Calibri" w:hAnsi="Book Antiqua" w:cs="Book Antiqua"/>
          <w:iCs/>
          <w:color w:val="000000"/>
          <w:spacing w:val="-3"/>
          <w:sz w:val="24"/>
          <w:szCs w:val="24"/>
        </w:rPr>
        <w:t xml:space="preserve"> la Comisión de Familia, Niñez y Adolescencia sobre la cantidad de asuntos que puede conocer mensualmente una plaza que solo conozca asuntos sumarios de este tipo, lo anterior para efectos de proyecciones de traslado de cargas de trabajo. </w:t>
      </w:r>
      <w:r w:rsidR="008C697C">
        <w:rPr>
          <w:rFonts w:ascii="Book Antiqua" w:eastAsia="Calibri" w:hAnsi="Book Antiqua" w:cs="Book Antiqua"/>
          <w:iCs/>
          <w:color w:val="000000"/>
          <w:spacing w:val="-3"/>
          <w:sz w:val="24"/>
          <w:szCs w:val="24"/>
        </w:rPr>
        <w:t xml:space="preserve">Este informe está pendiente por parte de la Dirección de Planificación y se entregara a la Corte previo a octubre 2022. </w:t>
      </w:r>
    </w:p>
    <w:p w14:paraId="26F6172B" w14:textId="15F42F1F" w:rsidR="002B073F" w:rsidRDefault="00C87C87" w:rsidP="0090609F">
      <w:pPr>
        <w:pStyle w:val="Prrafodelista"/>
        <w:numPr>
          <w:ilvl w:val="1"/>
          <w:numId w:val="44"/>
        </w:numPr>
        <w:spacing w:line="276" w:lineRule="auto"/>
        <w:jc w:val="both"/>
        <w:rPr>
          <w:rFonts w:ascii="Book Antiqua" w:eastAsia="Calibri" w:hAnsi="Book Antiqua" w:cs="Book Antiqua"/>
          <w:iCs/>
          <w:color w:val="000000"/>
          <w:spacing w:val="-3"/>
          <w:sz w:val="24"/>
          <w:szCs w:val="24"/>
        </w:rPr>
      </w:pPr>
      <w:r w:rsidRPr="001D0C10">
        <w:rPr>
          <w:rFonts w:ascii="Book Antiqua" w:eastAsia="Calibri" w:hAnsi="Book Antiqua" w:cs="Book Antiqua"/>
          <w:iCs/>
          <w:color w:val="000000"/>
          <w:spacing w:val="-3"/>
          <w:sz w:val="24"/>
          <w:szCs w:val="24"/>
        </w:rPr>
        <w:t xml:space="preserve">Para el 2021 y 2022 se incluyó en el presupuesto ordinario de la Institución un monto de 30 millones de colones a fin de que el Departamento </w:t>
      </w:r>
      <w:r w:rsidR="00AE6A4B">
        <w:rPr>
          <w:rFonts w:ascii="Book Antiqua" w:eastAsia="Calibri" w:hAnsi="Book Antiqua" w:cs="Book Antiqua"/>
          <w:iCs/>
          <w:color w:val="000000"/>
          <w:spacing w:val="-3"/>
          <w:sz w:val="24"/>
          <w:szCs w:val="24"/>
        </w:rPr>
        <w:t>d</w:t>
      </w:r>
      <w:r w:rsidRPr="001D0C10">
        <w:rPr>
          <w:rFonts w:ascii="Book Antiqua" w:eastAsia="Calibri" w:hAnsi="Book Antiqua" w:cs="Book Antiqua"/>
          <w:iCs/>
          <w:color w:val="000000"/>
          <w:spacing w:val="-3"/>
          <w:sz w:val="24"/>
          <w:szCs w:val="24"/>
        </w:rPr>
        <w:t>e Trabajo Social y Psicología, gestion</w:t>
      </w:r>
      <w:r w:rsidR="008C697C">
        <w:rPr>
          <w:rFonts w:ascii="Book Antiqua" w:eastAsia="Calibri" w:hAnsi="Book Antiqua" w:cs="Book Antiqua"/>
          <w:iCs/>
          <w:color w:val="000000"/>
          <w:spacing w:val="-3"/>
          <w:sz w:val="24"/>
          <w:szCs w:val="24"/>
        </w:rPr>
        <w:t>ara</w:t>
      </w:r>
      <w:r w:rsidRPr="001D0C10">
        <w:rPr>
          <w:rFonts w:ascii="Book Antiqua" w:eastAsia="Calibri" w:hAnsi="Book Antiqua" w:cs="Book Antiqua"/>
          <w:iCs/>
          <w:color w:val="000000"/>
          <w:spacing w:val="-3"/>
          <w:sz w:val="24"/>
          <w:szCs w:val="24"/>
        </w:rPr>
        <w:t xml:space="preserve"> el plan de trabajo necesario para que distintas pericias sean asumidas por peritos externos al departamento y contratados con el presupuesto disponible para esos efectos</w:t>
      </w:r>
      <w:r w:rsidR="008C697C">
        <w:rPr>
          <w:rFonts w:ascii="Book Antiqua" w:eastAsia="Calibri" w:hAnsi="Book Antiqua" w:cs="Book Antiqua"/>
          <w:iCs/>
          <w:color w:val="000000"/>
          <w:spacing w:val="-3"/>
          <w:sz w:val="24"/>
          <w:szCs w:val="24"/>
        </w:rPr>
        <w:t>, sin embargo en ninguno de</w:t>
      </w:r>
      <w:r w:rsidR="00AE6A4B">
        <w:rPr>
          <w:rFonts w:ascii="Book Antiqua" w:eastAsia="Calibri" w:hAnsi="Book Antiqua" w:cs="Book Antiqua"/>
          <w:iCs/>
          <w:color w:val="000000"/>
          <w:spacing w:val="-3"/>
          <w:sz w:val="24"/>
          <w:szCs w:val="24"/>
        </w:rPr>
        <w:t xml:space="preserve"> </w:t>
      </w:r>
      <w:r w:rsidR="008C697C">
        <w:rPr>
          <w:rFonts w:ascii="Book Antiqua" w:eastAsia="Calibri" w:hAnsi="Book Antiqua" w:cs="Book Antiqua"/>
          <w:iCs/>
          <w:color w:val="000000"/>
          <w:spacing w:val="-3"/>
          <w:sz w:val="24"/>
          <w:szCs w:val="24"/>
        </w:rPr>
        <w:t xml:space="preserve">los años se ejecutó. </w:t>
      </w:r>
    </w:p>
    <w:p w14:paraId="58F27F28" w14:textId="7FD36DEE" w:rsidR="006F6088" w:rsidRPr="00067FBC" w:rsidRDefault="00C87C87" w:rsidP="00985AA0">
      <w:pPr>
        <w:pStyle w:val="Prrafodelista"/>
        <w:numPr>
          <w:ilvl w:val="2"/>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067FBC">
        <w:rPr>
          <w:rFonts w:ascii="Book Antiqua" w:eastAsia="Calibri" w:hAnsi="Book Antiqua" w:cs="Book Antiqua"/>
          <w:iCs/>
          <w:color w:val="000000"/>
          <w:spacing w:val="-3"/>
          <w:sz w:val="24"/>
          <w:szCs w:val="24"/>
        </w:rPr>
        <w:t xml:space="preserve">Para 2023, se </w:t>
      </w:r>
      <w:r w:rsidR="008C697C" w:rsidRPr="00067FBC">
        <w:rPr>
          <w:rFonts w:ascii="Book Antiqua" w:eastAsia="Calibri" w:hAnsi="Book Antiqua" w:cs="Book Antiqua"/>
          <w:iCs/>
          <w:color w:val="000000"/>
          <w:spacing w:val="-3"/>
          <w:sz w:val="24"/>
          <w:szCs w:val="24"/>
        </w:rPr>
        <w:t>incorpora</w:t>
      </w:r>
      <w:r w:rsidRPr="00067FBC">
        <w:rPr>
          <w:rFonts w:ascii="Book Antiqua" w:eastAsia="Calibri" w:hAnsi="Book Antiqua" w:cs="Book Antiqua"/>
          <w:iCs/>
          <w:color w:val="000000"/>
          <w:spacing w:val="-3"/>
          <w:sz w:val="24"/>
          <w:szCs w:val="24"/>
        </w:rPr>
        <w:t xml:space="preserve"> en el presupuesto un monto de </w:t>
      </w:r>
      <w:r w:rsidR="008C697C" w:rsidRPr="00067FBC">
        <w:rPr>
          <w:rFonts w:ascii="Book Antiqua" w:eastAsia="Calibri" w:hAnsi="Book Antiqua" w:cs="Book Antiqua"/>
          <w:iCs/>
          <w:color w:val="000000"/>
          <w:spacing w:val="-3"/>
          <w:sz w:val="24"/>
          <w:szCs w:val="24"/>
        </w:rPr>
        <w:t>6</w:t>
      </w:r>
      <w:r w:rsidRPr="00067FBC">
        <w:rPr>
          <w:rFonts w:ascii="Book Antiqua" w:eastAsia="Calibri" w:hAnsi="Book Antiqua" w:cs="Book Antiqua"/>
          <w:iCs/>
          <w:color w:val="000000"/>
          <w:spacing w:val="-3"/>
          <w:sz w:val="24"/>
          <w:szCs w:val="24"/>
        </w:rPr>
        <w:t xml:space="preserve">0 millones de colones para garantizar la atención célere de los dictámenes solicitados por los distintos juzgados de </w:t>
      </w:r>
      <w:r w:rsidR="008C697C" w:rsidRPr="00067FBC">
        <w:rPr>
          <w:rFonts w:ascii="Book Antiqua" w:eastAsia="Calibri" w:hAnsi="Book Antiqua" w:cs="Book Antiqua"/>
          <w:iCs/>
          <w:color w:val="000000"/>
          <w:spacing w:val="-3"/>
          <w:sz w:val="24"/>
          <w:szCs w:val="24"/>
        </w:rPr>
        <w:t>F</w:t>
      </w:r>
      <w:r w:rsidRPr="00067FBC">
        <w:rPr>
          <w:rFonts w:ascii="Book Antiqua" w:eastAsia="Calibri" w:hAnsi="Book Antiqua" w:cs="Book Antiqua"/>
          <w:iCs/>
          <w:color w:val="000000"/>
          <w:spacing w:val="-3"/>
          <w:sz w:val="24"/>
          <w:szCs w:val="24"/>
        </w:rPr>
        <w:t>amilia</w:t>
      </w:r>
      <w:r w:rsidR="008C697C" w:rsidRPr="00067FBC">
        <w:rPr>
          <w:rFonts w:ascii="Book Antiqua" w:eastAsia="Calibri" w:hAnsi="Book Antiqua" w:cs="Book Antiqua"/>
          <w:iCs/>
          <w:color w:val="000000"/>
          <w:spacing w:val="-3"/>
          <w:sz w:val="24"/>
          <w:szCs w:val="24"/>
        </w:rPr>
        <w:t xml:space="preserve"> y de Violencia</w:t>
      </w:r>
      <w:r w:rsidRPr="00067FBC">
        <w:rPr>
          <w:rFonts w:ascii="Book Antiqua" w:eastAsia="Calibri" w:hAnsi="Book Antiqua" w:cs="Book Antiqua"/>
          <w:iCs/>
          <w:color w:val="000000"/>
          <w:spacing w:val="-3"/>
          <w:sz w:val="24"/>
          <w:szCs w:val="24"/>
        </w:rPr>
        <w:t xml:space="preserve"> a nivel nacional y permitir que el Departamento de Trabajo Social y Psicología pueda reducir al mínimo los </w:t>
      </w:r>
      <w:r w:rsidRPr="00067FBC">
        <w:rPr>
          <w:rFonts w:ascii="Book Antiqua" w:eastAsia="Calibri" w:hAnsi="Book Antiqua" w:cs="Book Antiqua"/>
          <w:iCs/>
          <w:color w:val="000000"/>
          <w:spacing w:val="-3"/>
          <w:sz w:val="24"/>
          <w:szCs w:val="24"/>
        </w:rPr>
        <w:lastRenderedPageBreak/>
        <w:t>plazos de respuesta para la realización de las valoraciones solicitadas en adelante.</w:t>
      </w:r>
      <w:r w:rsidR="008C697C" w:rsidRPr="00067FBC">
        <w:rPr>
          <w:rFonts w:ascii="Book Antiqua" w:eastAsia="Calibri" w:hAnsi="Book Antiqua" w:cs="Book Antiqua"/>
          <w:iCs/>
          <w:color w:val="000000"/>
          <w:spacing w:val="-3"/>
          <w:sz w:val="24"/>
          <w:szCs w:val="24"/>
        </w:rPr>
        <w:t xml:space="preserve"> A este Departamento como parte del abordaje en 2022 de los Juzgados contra la Violencia, se remitirá </w:t>
      </w:r>
      <w:r w:rsidR="00AE6A4B" w:rsidRPr="00067FBC">
        <w:rPr>
          <w:rFonts w:ascii="Book Antiqua" w:eastAsia="Calibri" w:hAnsi="Book Antiqua" w:cs="Book Antiqua"/>
          <w:iCs/>
          <w:color w:val="000000"/>
          <w:spacing w:val="-3"/>
          <w:sz w:val="24"/>
          <w:szCs w:val="24"/>
        </w:rPr>
        <w:t>próximamente</w:t>
      </w:r>
      <w:r w:rsidR="008C697C" w:rsidRPr="00067FBC">
        <w:rPr>
          <w:rFonts w:ascii="Book Antiqua" w:eastAsia="Calibri" w:hAnsi="Book Antiqua" w:cs="Book Antiqua"/>
          <w:iCs/>
          <w:color w:val="000000"/>
          <w:spacing w:val="-3"/>
          <w:sz w:val="24"/>
          <w:szCs w:val="24"/>
        </w:rPr>
        <w:t xml:space="preserve"> un entregable con las oportunidades de mejora identificadas. </w:t>
      </w:r>
      <w:r w:rsidR="006F6088" w:rsidRPr="00067FBC">
        <w:rPr>
          <w:rFonts w:ascii="Book Antiqua" w:eastAsia="Calibri" w:hAnsi="Book Antiqua" w:cs="Book Antiqua"/>
          <w:color w:val="000000"/>
          <w:sz w:val="24"/>
          <w:szCs w:val="24"/>
        </w:rPr>
        <w:t xml:space="preserve">  </w:t>
      </w:r>
    </w:p>
    <w:p w14:paraId="41CB6235" w14:textId="2B0D9568" w:rsidR="008C697C" w:rsidRDefault="008C697C" w:rsidP="0090609F">
      <w:pPr>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 xml:space="preserve">De los informes de cierre del abordaje pendientes de remitir a las oficinas, están el informe del Juzgado de Niñez y Adolescencia, Tribunal de Familia y PISAV a nivel nacional y de la propuesta de unificación de los Juzgados de Familia en San José. Esto se atenderá en 2022, referencias internas de la Dirección de Planificación:  1746-21, 1741-2021, 1916-2021, 1679-2021, 1687-2021.  Se encuentra pendiente el análisis de la carga de algunos </w:t>
      </w:r>
      <w:r w:rsidR="00324317">
        <w:rPr>
          <w:rFonts w:ascii="Book Antiqua" w:eastAsia="Calibri" w:hAnsi="Book Antiqua" w:cs="Book Antiqua"/>
          <w:iCs/>
          <w:color w:val="000000"/>
          <w:spacing w:val="-3"/>
          <w:sz w:val="24"/>
          <w:szCs w:val="24"/>
        </w:rPr>
        <w:t>Juzgados</w:t>
      </w:r>
      <w:r>
        <w:rPr>
          <w:rFonts w:ascii="Book Antiqua" w:eastAsia="Calibri" w:hAnsi="Book Antiqua" w:cs="Book Antiqua"/>
          <w:iCs/>
          <w:color w:val="000000"/>
          <w:spacing w:val="-3"/>
          <w:sz w:val="24"/>
          <w:szCs w:val="24"/>
        </w:rPr>
        <w:t xml:space="preserve"> Contravencionales a partir de la estructura analizada en 2020-2021, referencia interna 1688-2021.</w:t>
      </w:r>
    </w:p>
    <w:p w14:paraId="6F1B3A22" w14:textId="5B5B3610" w:rsidR="008C697C" w:rsidRDefault="008C697C" w:rsidP="0090609F">
      <w:pPr>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Se requiere por parte de la Comisión de Familia, el cumplimiento de las tareas pendientes a su cargo previo a la entrada en vigencia de la Ley 9747</w:t>
      </w:r>
      <w:r w:rsidR="003C1BA6">
        <w:rPr>
          <w:rFonts w:ascii="Book Antiqua" w:eastAsia="Calibri" w:hAnsi="Book Antiqua" w:cs="Book Antiqua"/>
          <w:iCs/>
          <w:color w:val="000000"/>
          <w:spacing w:val="-3"/>
          <w:sz w:val="24"/>
          <w:szCs w:val="24"/>
        </w:rPr>
        <w:t xml:space="preserve">, que constan en el apartado </w:t>
      </w:r>
      <w:r w:rsidR="003C1BA6" w:rsidRPr="009B71C9">
        <w:rPr>
          <w:rFonts w:ascii="Book Antiqua" w:eastAsia="Calibri" w:hAnsi="Book Antiqua" w:cs="Book Antiqua"/>
          <w:i/>
          <w:color w:val="000000"/>
          <w:spacing w:val="-3"/>
          <w:sz w:val="24"/>
          <w:szCs w:val="24"/>
        </w:rPr>
        <w:t>13.7 Comisión de Familia, Niñez y Adolescencia</w:t>
      </w:r>
      <w:r w:rsidRPr="009B71C9">
        <w:rPr>
          <w:rFonts w:ascii="Book Antiqua" w:eastAsia="Calibri" w:hAnsi="Book Antiqua" w:cs="Book Antiqua"/>
          <w:i/>
          <w:color w:val="000000"/>
          <w:spacing w:val="-3"/>
          <w:sz w:val="24"/>
          <w:szCs w:val="24"/>
        </w:rPr>
        <w:t>.</w:t>
      </w:r>
      <w:r>
        <w:rPr>
          <w:rFonts w:ascii="Book Antiqua" w:eastAsia="Calibri" w:hAnsi="Book Antiqua" w:cs="Book Antiqua"/>
          <w:iCs/>
          <w:color w:val="000000"/>
          <w:spacing w:val="-3"/>
          <w:sz w:val="24"/>
          <w:szCs w:val="24"/>
        </w:rPr>
        <w:t xml:space="preserve"> </w:t>
      </w:r>
    </w:p>
    <w:p w14:paraId="2640A54E" w14:textId="43297CEA" w:rsidR="008C697C" w:rsidRDefault="008C697C" w:rsidP="0090609F">
      <w:pPr>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 xml:space="preserve">Para acercar la justicia en el Primer Circuito Judicial de la Zona Sur, se requiere cambio de competencia en materia de Niñez, </w:t>
      </w:r>
      <w:r w:rsidR="00324317">
        <w:rPr>
          <w:rFonts w:ascii="Book Antiqua" w:eastAsia="Calibri" w:hAnsi="Book Antiqua" w:cs="Book Antiqua"/>
          <w:iCs/>
          <w:color w:val="000000"/>
          <w:spacing w:val="-3"/>
          <w:sz w:val="24"/>
          <w:szCs w:val="24"/>
        </w:rPr>
        <w:t>p</w:t>
      </w:r>
      <w:r>
        <w:rPr>
          <w:rFonts w:ascii="Book Antiqua" w:eastAsia="Calibri" w:hAnsi="Book Antiqua" w:cs="Book Antiqua"/>
          <w:iCs/>
          <w:color w:val="000000"/>
          <w:spacing w:val="-3"/>
          <w:sz w:val="24"/>
          <w:szCs w:val="24"/>
        </w:rPr>
        <w:t xml:space="preserve">ara que sean conocidos por el </w:t>
      </w:r>
      <w:r w:rsidR="00324317">
        <w:rPr>
          <w:rFonts w:ascii="Book Antiqua" w:eastAsia="Calibri" w:hAnsi="Book Antiqua" w:cs="Book Antiqua"/>
          <w:iCs/>
          <w:color w:val="000000"/>
          <w:spacing w:val="-3"/>
          <w:sz w:val="24"/>
          <w:szCs w:val="24"/>
        </w:rPr>
        <w:t>Juzgado</w:t>
      </w:r>
      <w:r>
        <w:rPr>
          <w:rFonts w:ascii="Book Antiqua" w:eastAsia="Calibri" w:hAnsi="Book Antiqua" w:cs="Book Antiqua"/>
          <w:iCs/>
          <w:color w:val="000000"/>
          <w:spacing w:val="-3"/>
          <w:sz w:val="24"/>
          <w:szCs w:val="24"/>
        </w:rPr>
        <w:t xml:space="preserve"> de Familia de la zona, este cambio aplicaría a partir de la aprobación por parte de Corte Plena, ya que no requiere de la entrada en vigencia de la Ley 9747. </w:t>
      </w:r>
    </w:p>
    <w:p w14:paraId="6A051631" w14:textId="6257E916" w:rsidR="006F6088" w:rsidRPr="00FC05D4" w:rsidRDefault="00C87C87" w:rsidP="0090609F">
      <w:pPr>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sidRPr="00FC05D4">
        <w:rPr>
          <w:rFonts w:ascii="Book Antiqua" w:eastAsia="Calibri" w:hAnsi="Book Antiqua" w:cs="Book Antiqua"/>
          <w:color w:val="000000"/>
          <w:sz w:val="24"/>
          <w:szCs w:val="24"/>
        </w:rPr>
        <w:t>Costos presupuestarios asociados con el Código Procesal de Famil</w:t>
      </w:r>
      <w:r w:rsidR="006F6088" w:rsidRPr="00FC05D4">
        <w:rPr>
          <w:rFonts w:ascii="Book Antiqua" w:eastAsia="Calibri" w:hAnsi="Book Antiqua" w:cs="Book Antiqua"/>
          <w:color w:val="000000"/>
          <w:sz w:val="24"/>
          <w:szCs w:val="24"/>
        </w:rPr>
        <w:t>ia</w:t>
      </w:r>
      <w:r w:rsidR="0027515B">
        <w:rPr>
          <w:rFonts w:ascii="Book Antiqua" w:eastAsia="Calibri" w:hAnsi="Book Antiqua" w:cs="Book Antiqua"/>
          <w:color w:val="000000"/>
          <w:sz w:val="24"/>
          <w:szCs w:val="24"/>
        </w:rPr>
        <w:t>:</w:t>
      </w:r>
    </w:p>
    <w:p w14:paraId="60314EE2" w14:textId="77777777" w:rsidR="006F6088" w:rsidRPr="006F6088" w:rsidRDefault="006F6088" w:rsidP="006F6088">
      <w:pPr>
        <w:spacing w:after="0" w:line="276" w:lineRule="auto"/>
        <w:jc w:val="both"/>
        <w:rPr>
          <w:rFonts w:ascii="Book Antiqua" w:eastAsia="Calibri" w:hAnsi="Book Antiqua" w:cs="Arial"/>
          <w:sz w:val="24"/>
          <w:szCs w:val="24"/>
        </w:rPr>
      </w:pPr>
    </w:p>
    <w:p w14:paraId="6CBFDA37" w14:textId="417B1479" w:rsidR="002B073F" w:rsidRDefault="006F6088" w:rsidP="006F6088">
      <w:pPr>
        <w:spacing w:after="0" w:line="276" w:lineRule="auto"/>
        <w:jc w:val="both"/>
        <w:rPr>
          <w:rFonts w:ascii="Book Antiqua" w:eastAsia="Calibri" w:hAnsi="Book Antiqua" w:cs="Arial"/>
          <w:sz w:val="24"/>
          <w:szCs w:val="24"/>
        </w:rPr>
      </w:pPr>
      <w:r w:rsidRPr="004C2467">
        <w:rPr>
          <w:rFonts w:ascii="Book Antiqua" w:eastAsia="Calibri" w:hAnsi="Book Antiqua" w:cs="Arial"/>
          <w:sz w:val="24"/>
          <w:szCs w:val="24"/>
        </w:rPr>
        <w:t>Para el 202</w:t>
      </w:r>
      <w:r w:rsidR="00FC05D4" w:rsidRPr="004C2467">
        <w:rPr>
          <w:rFonts w:ascii="Book Antiqua" w:eastAsia="Calibri" w:hAnsi="Book Antiqua" w:cs="Arial"/>
          <w:sz w:val="24"/>
          <w:szCs w:val="24"/>
        </w:rPr>
        <w:t>3</w:t>
      </w:r>
      <w:r w:rsidRPr="004C2467">
        <w:rPr>
          <w:rFonts w:ascii="Book Antiqua" w:eastAsia="Calibri" w:hAnsi="Book Antiqua" w:cs="Arial"/>
          <w:sz w:val="24"/>
          <w:szCs w:val="24"/>
        </w:rPr>
        <w:t xml:space="preserve">, </w:t>
      </w:r>
      <w:r w:rsidR="00A05342" w:rsidRPr="004C2467">
        <w:rPr>
          <w:rFonts w:ascii="Book Antiqua" w:eastAsia="Calibri" w:hAnsi="Book Antiqua" w:cs="Arial"/>
          <w:sz w:val="24"/>
          <w:szCs w:val="24"/>
        </w:rPr>
        <w:t>se requieren</w:t>
      </w:r>
      <w:r w:rsidR="000A073C" w:rsidRPr="004C2467">
        <w:rPr>
          <w:rFonts w:ascii="Book Antiqua" w:eastAsia="Calibri" w:hAnsi="Book Antiqua" w:cs="Arial"/>
          <w:sz w:val="24"/>
          <w:szCs w:val="24"/>
        </w:rPr>
        <w:t xml:space="preserve"> </w:t>
      </w:r>
      <w:r w:rsidR="00D804EF" w:rsidRPr="004C2467">
        <w:rPr>
          <w:rFonts w:ascii="Book Antiqua" w:eastAsia="Calibri" w:hAnsi="Book Antiqua" w:cs="Arial"/>
          <w:sz w:val="24"/>
          <w:szCs w:val="24"/>
        </w:rPr>
        <w:t>42</w:t>
      </w:r>
      <w:r w:rsidRPr="004C2467">
        <w:rPr>
          <w:rFonts w:ascii="Book Antiqua" w:eastAsia="Calibri" w:hAnsi="Book Antiqua" w:cs="Arial"/>
          <w:sz w:val="24"/>
          <w:szCs w:val="24"/>
        </w:rPr>
        <w:t xml:space="preserve"> recursos nuevos en total</w:t>
      </w:r>
      <w:r w:rsidR="002B073F" w:rsidRPr="004C2467">
        <w:rPr>
          <w:rFonts w:ascii="Book Antiqua" w:eastAsia="Calibri" w:hAnsi="Book Antiqua" w:cs="Arial"/>
          <w:sz w:val="24"/>
          <w:szCs w:val="24"/>
        </w:rPr>
        <w:t>:</w:t>
      </w:r>
    </w:p>
    <w:p w14:paraId="29CD4904" w14:textId="77777777" w:rsidR="005C5C7F" w:rsidRPr="00A132C7" w:rsidRDefault="005C5C7F" w:rsidP="006F6088">
      <w:pPr>
        <w:spacing w:after="0" w:line="276" w:lineRule="auto"/>
        <w:jc w:val="both"/>
        <w:rPr>
          <w:rFonts w:ascii="Book Antiqua" w:eastAsia="Calibri" w:hAnsi="Book Antiqua" w:cs="Arial"/>
          <w:sz w:val="24"/>
          <w:szCs w:val="24"/>
        </w:rPr>
      </w:pPr>
    </w:p>
    <w:p w14:paraId="2332DA5B" w14:textId="2555F77D" w:rsidR="008C20AB" w:rsidRPr="00A132C7" w:rsidRDefault="008C20AB" w:rsidP="0090609F">
      <w:pPr>
        <w:pStyle w:val="Prrafodelista"/>
        <w:numPr>
          <w:ilvl w:val="0"/>
          <w:numId w:val="48"/>
        </w:num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 xml:space="preserve">A nivel de Juzgados y Sala Segunda para completar estructuras: 1 plaza de Técnico Judicial 2 extraordinaria, 1 plaza de Técnica o Técnico Judicial 2 ordinaria, 1 plaza de Técnico Judicial 1 ordinaria, </w:t>
      </w:r>
      <w:r w:rsidR="00E830F5" w:rsidRPr="00A132C7">
        <w:rPr>
          <w:rFonts w:ascii="Book Antiqua" w:eastAsia="Calibri" w:hAnsi="Book Antiqua" w:cs="Arial"/>
          <w:sz w:val="24"/>
          <w:szCs w:val="24"/>
        </w:rPr>
        <w:t xml:space="preserve">1 plaza de Juez 1 ordinaria </w:t>
      </w:r>
      <w:r w:rsidRPr="00A132C7">
        <w:rPr>
          <w:rFonts w:ascii="Book Antiqua" w:eastAsia="Calibri" w:hAnsi="Book Antiqua" w:cs="Arial"/>
          <w:sz w:val="24"/>
          <w:szCs w:val="24"/>
        </w:rPr>
        <w:t xml:space="preserve">y en la Sala Segunda: 3 plazas nuevas de Profesional en Derecho 3B, 2 Técnico Sala de la Corte y 2 Técnico Judicial 3, todas ordinarias para un costo estimado </w:t>
      </w:r>
      <w:r w:rsidRPr="00A132C7">
        <w:rPr>
          <w:rFonts w:ascii="Times New Roman" w:eastAsia="Calibri" w:hAnsi="Times New Roman" w:cs="Times New Roman"/>
          <w:sz w:val="24"/>
          <w:szCs w:val="24"/>
        </w:rPr>
        <w:t>₡</w:t>
      </w:r>
      <w:r w:rsidR="00A07C1D" w:rsidRPr="00A132C7">
        <w:rPr>
          <w:rFonts w:ascii="Book Antiqua" w:eastAsia="Calibri" w:hAnsi="Book Antiqua" w:cs="Arial"/>
          <w:sz w:val="24"/>
          <w:szCs w:val="24"/>
        </w:rPr>
        <w:t>322</w:t>
      </w:r>
      <w:r w:rsidRPr="00A132C7">
        <w:rPr>
          <w:rFonts w:ascii="Book Antiqua" w:eastAsia="Calibri" w:hAnsi="Book Antiqua" w:cs="Arial"/>
          <w:sz w:val="24"/>
          <w:szCs w:val="24"/>
        </w:rPr>
        <w:t>,0</w:t>
      </w:r>
      <w:r w:rsidR="006D756B" w:rsidRPr="00A132C7">
        <w:rPr>
          <w:rFonts w:ascii="Book Antiqua" w:eastAsia="Calibri" w:hAnsi="Book Antiqua" w:cs="Arial"/>
          <w:sz w:val="24"/>
          <w:szCs w:val="24"/>
        </w:rPr>
        <w:t>84</w:t>
      </w:r>
      <w:r w:rsidRPr="00A132C7">
        <w:rPr>
          <w:rFonts w:ascii="Book Antiqua" w:eastAsia="Calibri" w:hAnsi="Book Antiqua" w:cs="Arial"/>
          <w:sz w:val="24"/>
          <w:szCs w:val="24"/>
        </w:rPr>
        <w:t>,000.00.</w:t>
      </w:r>
    </w:p>
    <w:p w14:paraId="70EFA561" w14:textId="3A6869AA" w:rsidR="008C20AB" w:rsidRPr="00127FDC" w:rsidRDefault="008C20AB" w:rsidP="0090609F">
      <w:pPr>
        <w:pStyle w:val="Prrafodelista"/>
        <w:numPr>
          <w:ilvl w:val="0"/>
          <w:numId w:val="48"/>
        </w:num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Para el CACMFJ y planes de trabajo: 1 Jueza o Juez</w:t>
      </w:r>
      <w:r w:rsidRPr="00127FDC">
        <w:rPr>
          <w:rFonts w:ascii="Book Antiqua" w:eastAsia="Calibri" w:hAnsi="Book Antiqua" w:cs="Arial"/>
          <w:sz w:val="24"/>
          <w:szCs w:val="24"/>
        </w:rPr>
        <w:t xml:space="preserve"> 4 Gestor</w:t>
      </w:r>
      <w:r>
        <w:rPr>
          <w:rFonts w:ascii="Book Antiqua" w:eastAsia="Calibri" w:hAnsi="Book Antiqua" w:cs="Arial"/>
          <w:sz w:val="24"/>
          <w:szCs w:val="24"/>
        </w:rPr>
        <w:t xml:space="preserve"> ordinaria</w:t>
      </w:r>
      <w:r w:rsidRPr="00127FDC">
        <w:rPr>
          <w:rFonts w:ascii="Book Antiqua" w:eastAsia="Calibri" w:hAnsi="Book Antiqua" w:cs="Arial"/>
          <w:sz w:val="24"/>
          <w:szCs w:val="24"/>
        </w:rPr>
        <w:t>, 1 profesional 2</w:t>
      </w:r>
      <w:r>
        <w:rPr>
          <w:rFonts w:ascii="Book Antiqua" w:eastAsia="Calibri" w:hAnsi="Book Antiqua" w:cs="Arial"/>
          <w:sz w:val="24"/>
          <w:szCs w:val="24"/>
        </w:rPr>
        <w:t xml:space="preserve"> ordinaria y de forma extraordinarias: </w:t>
      </w:r>
      <w:r w:rsidRPr="00127FDC">
        <w:rPr>
          <w:rFonts w:ascii="Book Antiqua" w:eastAsia="Calibri" w:hAnsi="Book Antiqua" w:cs="Arial"/>
          <w:sz w:val="24"/>
          <w:szCs w:val="24"/>
        </w:rPr>
        <w:t xml:space="preserve"> 2 técnicos Judiciales 2. </w:t>
      </w:r>
      <w:r w:rsidR="00F26624" w:rsidRPr="00F26624">
        <w:rPr>
          <w:rFonts w:ascii="Book Antiqua" w:eastAsia="Calibri" w:hAnsi="Book Antiqua" w:cs="Arial"/>
          <w:sz w:val="24"/>
          <w:szCs w:val="24"/>
        </w:rPr>
        <w:t xml:space="preserve">Para el plan de Trabajo en Pensiones 4 personas juzgadoras 1, para el plan en Familia 4 personas juzgadoras 3 y para el modelo de tramitación de  Violencia Doméstica se necesitan 2 personas juzgadoras 3 con 17 personas técnicas </w:t>
      </w:r>
      <w:r w:rsidR="00F26624" w:rsidRPr="00F26624">
        <w:rPr>
          <w:rFonts w:ascii="Book Antiqua" w:eastAsia="Calibri" w:hAnsi="Book Antiqua" w:cs="Arial"/>
          <w:sz w:val="24"/>
          <w:szCs w:val="24"/>
        </w:rPr>
        <w:lastRenderedPageBreak/>
        <w:t xml:space="preserve">judiciales 2; haciéndose la observación que se encuentra en proceso un estudio de una plaza compartida de Auxiliar de Servicios Generales entre el Juzgado contra la </w:t>
      </w:r>
      <w:r w:rsidR="00F26624">
        <w:rPr>
          <w:rFonts w:ascii="Book Antiqua" w:eastAsia="Calibri" w:hAnsi="Book Antiqua" w:cs="Arial"/>
          <w:sz w:val="24"/>
          <w:szCs w:val="24"/>
        </w:rPr>
        <w:t>V</w:t>
      </w:r>
      <w:r w:rsidR="00F26624" w:rsidRPr="00F26624">
        <w:rPr>
          <w:rFonts w:ascii="Book Antiqua" w:eastAsia="Calibri" w:hAnsi="Book Antiqua" w:cs="Arial"/>
          <w:sz w:val="24"/>
          <w:szCs w:val="24"/>
        </w:rPr>
        <w:t xml:space="preserve">iolencia </w:t>
      </w:r>
      <w:r w:rsidR="00F26624">
        <w:rPr>
          <w:rFonts w:ascii="Book Antiqua" w:eastAsia="Calibri" w:hAnsi="Book Antiqua" w:cs="Arial"/>
          <w:sz w:val="24"/>
          <w:szCs w:val="24"/>
        </w:rPr>
        <w:t>D</w:t>
      </w:r>
      <w:r w:rsidR="00F26624" w:rsidRPr="00F26624">
        <w:rPr>
          <w:rFonts w:ascii="Book Antiqua" w:eastAsia="Calibri" w:hAnsi="Book Antiqua" w:cs="Arial"/>
          <w:sz w:val="24"/>
          <w:szCs w:val="24"/>
        </w:rPr>
        <w:t>oméstica del Primer Circuito Judicial de San José y el Juzgado de Familia, Niñez y Adolescencia, en el caso de que esta plaza sea adscrita al Juzgado de Familia, Niñez y Adolescencia sería necesario crear una plaza adicional de Técnico Judicial para el Juzgado contra la Violencia Doméstica y restar una recalificación.</w:t>
      </w:r>
    </w:p>
    <w:p w14:paraId="2017EAF9" w14:textId="77777777" w:rsidR="008C20AB" w:rsidRDefault="008C20AB" w:rsidP="00D76695">
      <w:pPr>
        <w:spacing w:after="0" w:line="276" w:lineRule="auto"/>
        <w:jc w:val="both"/>
        <w:rPr>
          <w:rFonts w:ascii="Book Antiqua" w:eastAsia="Calibri" w:hAnsi="Book Antiqua" w:cs="Arial"/>
          <w:sz w:val="24"/>
          <w:szCs w:val="24"/>
        </w:rPr>
      </w:pPr>
    </w:p>
    <w:p w14:paraId="5EAC2252" w14:textId="29DCD05E" w:rsidR="006F6088" w:rsidRPr="00A132C7" w:rsidRDefault="00D76695" w:rsidP="00D76695">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Para un total </w:t>
      </w:r>
      <w:r w:rsidR="006F6088" w:rsidRPr="009B71C9">
        <w:rPr>
          <w:rFonts w:ascii="Book Antiqua" w:eastAsia="Calibri" w:hAnsi="Book Antiqua" w:cs="Arial"/>
          <w:sz w:val="24"/>
          <w:szCs w:val="24"/>
        </w:rPr>
        <w:t xml:space="preserve">por </w:t>
      </w:r>
      <w:r w:rsidR="006F6088" w:rsidRPr="00A132C7">
        <w:rPr>
          <w:rFonts w:ascii="Book Antiqua" w:eastAsia="Calibri" w:hAnsi="Book Antiqua" w:cs="Arial"/>
          <w:sz w:val="24"/>
          <w:szCs w:val="24"/>
        </w:rPr>
        <w:t>concepto de recurso humano necesario para la entrada en vigencia del C</w:t>
      </w:r>
      <w:r w:rsidR="006F6088" w:rsidRPr="00A132C7">
        <w:rPr>
          <w:rFonts w:ascii="Book Antiqua" w:eastAsia="Calibri" w:hAnsi="Book Antiqua" w:cs="Book Antiqua"/>
          <w:sz w:val="24"/>
          <w:szCs w:val="24"/>
        </w:rPr>
        <w:t>ó</w:t>
      </w:r>
      <w:r w:rsidR="006F6088" w:rsidRPr="00A132C7">
        <w:rPr>
          <w:rFonts w:ascii="Book Antiqua" w:eastAsia="Calibri" w:hAnsi="Book Antiqua" w:cs="Arial"/>
          <w:sz w:val="24"/>
          <w:szCs w:val="24"/>
        </w:rPr>
        <w:t>digo Procesal Familia</w:t>
      </w:r>
      <w:r w:rsidRPr="00A132C7">
        <w:rPr>
          <w:rFonts w:ascii="Book Antiqua" w:eastAsia="Calibri" w:hAnsi="Book Antiqua" w:cs="Arial"/>
          <w:sz w:val="24"/>
          <w:szCs w:val="24"/>
        </w:rPr>
        <w:t xml:space="preserve"> de </w:t>
      </w:r>
      <w:r w:rsidRPr="00067FBC">
        <w:rPr>
          <w:rFonts w:ascii="Times New Roman" w:eastAsia="Calibri" w:hAnsi="Times New Roman" w:cs="Times New Roman"/>
          <w:sz w:val="24"/>
          <w:szCs w:val="24"/>
        </w:rPr>
        <w:t>₡</w:t>
      </w:r>
      <w:r w:rsidR="00CB440E" w:rsidRPr="00067FBC">
        <w:rPr>
          <w:rFonts w:ascii="Times New Roman" w:eastAsia="Calibri" w:hAnsi="Times New Roman" w:cs="Times New Roman"/>
          <w:sz w:val="24"/>
          <w:szCs w:val="24"/>
        </w:rPr>
        <w:t>1</w:t>
      </w:r>
      <w:r w:rsidR="00B04FF5" w:rsidRPr="00067FBC">
        <w:rPr>
          <w:rFonts w:ascii="Times New Roman" w:eastAsia="Calibri" w:hAnsi="Times New Roman" w:cs="Times New Roman"/>
          <w:sz w:val="24"/>
          <w:szCs w:val="24"/>
        </w:rPr>
        <w:t>,</w:t>
      </w:r>
      <w:r w:rsidR="00D804EF" w:rsidRPr="00067FBC">
        <w:rPr>
          <w:rFonts w:ascii="Book Antiqua" w:eastAsia="Calibri" w:hAnsi="Book Antiqua" w:cs="Arial"/>
          <w:sz w:val="24"/>
          <w:szCs w:val="24"/>
        </w:rPr>
        <w:t>227,8</w:t>
      </w:r>
      <w:r w:rsidR="003F7369" w:rsidRPr="00067FBC">
        <w:rPr>
          <w:rFonts w:ascii="Book Antiqua" w:eastAsia="Calibri" w:hAnsi="Book Antiqua" w:cs="Arial"/>
          <w:sz w:val="24"/>
          <w:szCs w:val="24"/>
        </w:rPr>
        <w:t>9</w:t>
      </w:r>
      <w:r w:rsidR="00D804EF" w:rsidRPr="00067FBC">
        <w:rPr>
          <w:rFonts w:ascii="Book Antiqua" w:eastAsia="Calibri" w:hAnsi="Book Antiqua" w:cs="Arial"/>
          <w:sz w:val="24"/>
          <w:szCs w:val="24"/>
        </w:rPr>
        <w:t>6,000.00</w:t>
      </w:r>
      <w:r w:rsidRPr="00067FBC">
        <w:rPr>
          <w:rFonts w:ascii="Book Antiqua" w:eastAsia="Calibri" w:hAnsi="Book Antiqua" w:cs="Arial"/>
          <w:sz w:val="24"/>
          <w:szCs w:val="24"/>
        </w:rPr>
        <w:t>.</w:t>
      </w:r>
    </w:p>
    <w:p w14:paraId="77D5EE5B" w14:textId="0B2F3496" w:rsidR="006F6088" w:rsidRPr="006F6088" w:rsidRDefault="006F6088" w:rsidP="006F6088">
      <w:p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El detalle del presupuesto para 202</w:t>
      </w:r>
      <w:r w:rsidR="00151F1D" w:rsidRPr="00A132C7">
        <w:rPr>
          <w:rFonts w:ascii="Book Antiqua" w:eastAsia="Calibri" w:hAnsi="Book Antiqua" w:cs="Arial"/>
          <w:sz w:val="24"/>
          <w:szCs w:val="24"/>
        </w:rPr>
        <w:t>3</w:t>
      </w:r>
      <w:r w:rsidRPr="00A132C7">
        <w:rPr>
          <w:rFonts w:ascii="Book Antiqua" w:eastAsia="Calibri" w:hAnsi="Book Antiqua" w:cs="Arial"/>
          <w:sz w:val="24"/>
          <w:szCs w:val="24"/>
        </w:rPr>
        <w:t xml:space="preserve"> solicitado por la Dirección Ejecutiva asciende a </w:t>
      </w:r>
      <w:r w:rsidRPr="00A132C7">
        <w:rPr>
          <w:rFonts w:ascii="Times New Roman" w:eastAsia="Calibri" w:hAnsi="Times New Roman" w:cs="Times New Roman"/>
          <w:sz w:val="24"/>
          <w:szCs w:val="24"/>
        </w:rPr>
        <w:t>₡</w:t>
      </w:r>
      <w:r w:rsidR="00D804EF" w:rsidRPr="00A132C7">
        <w:rPr>
          <w:rFonts w:ascii="Book Antiqua" w:eastAsia="Calibri" w:hAnsi="Book Antiqua" w:cs="Arial"/>
          <w:sz w:val="24"/>
          <w:szCs w:val="24"/>
        </w:rPr>
        <w:t>8,084,549.00</w:t>
      </w:r>
      <w:r w:rsidRPr="00A132C7">
        <w:rPr>
          <w:rFonts w:ascii="Book Antiqua" w:eastAsia="Calibri" w:hAnsi="Book Antiqua" w:cs="Arial"/>
          <w:sz w:val="24"/>
          <w:szCs w:val="24"/>
        </w:rPr>
        <w:t>, por concepto de gastos variables por suministros, mobiliario y equipo (no contempla equipo de cómputo que es presupuestado por la Dirección de Tecnología de la Información) .</w:t>
      </w:r>
    </w:p>
    <w:p w14:paraId="65260075" w14:textId="77777777" w:rsidR="006F6088" w:rsidRPr="006F6088" w:rsidRDefault="006F6088" w:rsidP="006F6088">
      <w:pPr>
        <w:spacing w:after="0" w:line="276" w:lineRule="auto"/>
        <w:jc w:val="both"/>
        <w:rPr>
          <w:rFonts w:ascii="Book Antiqua" w:eastAsia="Calibri" w:hAnsi="Book Antiqua" w:cs="Arial"/>
          <w:sz w:val="24"/>
          <w:szCs w:val="24"/>
        </w:rPr>
      </w:pPr>
    </w:p>
    <w:p w14:paraId="7DEC7BD1" w14:textId="2D010D8C" w:rsidR="006F6088" w:rsidRPr="00A132C7" w:rsidRDefault="006F6088" w:rsidP="006F6088">
      <w:pPr>
        <w:spacing w:after="0" w:line="276" w:lineRule="auto"/>
        <w:jc w:val="both"/>
        <w:rPr>
          <w:rFonts w:ascii="Book Antiqua" w:eastAsia="Calibri" w:hAnsi="Book Antiqua" w:cs="Arial"/>
          <w:sz w:val="24"/>
          <w:szCs w:val="24"/>
        </w:rPr>
      </w:pPr>
      <w:r w:rsidRPr="00D76695">
        <w:rPr>
          <w:rFonts w:ascii="Book Antiqua" w:eastAsia="Calibri" w:hAnsi="Book Antiqua" w:cs="Arial"/>
          <w:sz w:val="24"/>
          <w:szCs w:val="24"/>
        </w:rPr>
        <w:t xml:space="preserve">El detalle del presupuesto requerido por la Dirección de Tecnología de la Información para la </w:t>
      </w:r>
      <w:r w:rsidRPr="00A132C7">
        <w:rPr>
          <w:rFonts w:ascii="Book Antiqua" w:eastAsia="Calibri" w:hAnsi="Book Antiqua" w:cs="Arial"/>
          <w:sz w:val="24"/>
          <w:szCs w:val="24"/>
        </w:rPr>
        <w:t xml:space="preserve">adquisición equipo de cómputo de las plazas nuevas, licencias y diseño sitio web de la Comisión de Familia asciende a </w:t>
      </w:r>
      <w:r w:rsidR="00D76695" w:rsidRPr="00A132C7">
        <w:rPr>
          <w:rFonts w:ascii="Times New Roman" w:eastAsia="Calibri" w:hAnsi="Times New Roman" w:cs="Times New Roman"/>
          <w:sz w:val="24"/>
          <w:szCs w:val="24"/>
        </w:rPr>
        <w:t>₡</w:t>
      </w:r>
      <w:r w:rsidR="00D804EF" w:rsidRPr="00A132C7">
        <w:rPr>
          <w:rFonts w:ascii="Times New Roman" w:eastAsia="Calibri" w:hAnsi="Times New Roman" w:cs="Times New Roman"/>
          <w:sz w:val="24"/>
          <w:szCs w:val="24"/>
        </w:rPr>
        <w:t>46</w:t>
      </w:r>
      <w:r w:rsidR="00D804EF" w:rsidRPr="00A132C7">
        <w:rPr>
          <w:rFonts w:ascii="Book Antiqua" w:eastAsia="Calibri" w:hAnsi="Book Antiqua" w:cs="Arial"/>
          <w:sz w:val="24"/>
          <w:szCs w:val="24"/>
        </w:rPr>
        <w:t>,532,987.00</w:t>
      </w:r>
      <w:r w:rsidR="00D76695" w:rsidRPr="00A132C7">
        <w:rPr>
          <w:rFonts w:ascii="Book Antiqua" w:eastAsia="Calibri" w:hAnsi="Book Antiqua" w:cs="Arial"/>
          <w:sz w:val="24"/>
          <w:szCs w:val="24"/>
        </w:rPr>
        <w:t xml:space="preserve">. </w:t>
      </w:r>
    </w:p>
    <w:p w14:paraId="7456EFAB" w14:textId="77777777" w:rsidR="006F6088" w:rsidRPr="00A132C7" w:rsidRDefault="006F6088" w:rsidP="006F6088">
      <w:pPr>
        <w:spacing w:after="0" w:line="276" w:lineRule="auto"/>
        <w:jc w:val="both"/>
        <w:rPr>
          <w:rFonts w:ascii="Book Antiqua" w:eastAsia="Calibri" w:hAnsi="Book Antiqua" w:cs="Arial"/>
          <w:sz w:val="24"/>
          <w:szCs w:val="24"/>
        </w:rPr>
      </w:pPr>
    </w:p>
    <w:p w14:paraId="46355EF1" w14:textId="62B68079" w:rsidR="006F6088" w:rsidRPr="006F6088" w:rsidRDefault="006F6088" w:rsidP="006F6088">
      <w:pPr>
        <w:spacing w:after="0" w:line="276" w:lineRule="auto"/>
        <w:jc w:val="both"/>
        <w:rPr>
          <w:rFonts w:ascii="Book Antiqua" w:eastAsia="Calibri" w:hAnsi="Book Antiqua" w:cs="Arial"/>
          <w:sz w:val="24"/>
          <w:szCs w:val="24"/>
        </w:rPr>
      </w:pPr>
      <w:r w:rsidRPr="00A132C7">
        <w:rPr>
          <w:rFonts w:ascii="Book Antiqua" w:eastAsia="Calibri" w:hAnsi="Book Antiqua" w:cs="Arial"/>
          <w:sz w:val="24"/>
          <w:szCs w:val="24"/>
        </w:rPr>
        <w:t>El proceso de capacitación, implementación y seguimiento de la aplicación de</w:t>
      </w:r>
      <w:r w:rsidRPr="006F6088">
        <w:rPr>
          <w:rFonts w:ascii="Book Antiqua" w:eastAsia="Calibri" w:hAnsi="Book Antiqua" w:cs="Arial"/>
          <w:sz w:val="24"/>
          <w:szCs w:val="24"/>
        </w:rPr>
        <w:t xml:space="preserve"> la nueva ley por parte de la </w:t>
      </w:r>
      <w:r w:rsidRPr="001D0C10">
        <w:rPr>
          <w:rFonts w:ascii="Book Antiqua" w:eastAsia="Calibri" w:hAnsi="Book Antiqua" w:cs="Arial"/>
          <w:sz w:val="24"/>
          <w:szCs w:val="24"/>
        </w:rPr>
        <w:t>Escuela Judicial</w:t>
      </w:r>
      <w:r w:rsidRPr="006F6088">
        <w:rPr>
          <w:rFonts w:ascii="Book Antiqua" w:eastAsia="Calibri" w:hAnsi="Book Antiqua" w:cs="Arial"/>
          <w:sz w:val="24"/>
          <w:szCs w:val="24"/>
        </w:rPr>
        <w:t xml:space="preserve"> </w:t>
      </w:r>
      <w:r w:rsidR="00151F1D">
        <w:rPr>
          <w:rFonts w:ascii="Book Antiqua" w:eastAsia="Calibri" w:hAnsi="Book Antiqua" w:cs="Arial"/>
          <w:sz w:val="24"/>
          <w:szCs w:val="24"/>
        </w:rPr>
        <w:t xml:space="preserve">y de viáticos </w:t>
      </w:r>
      <w:r w:rsidRPr="006F6088">
        <w:rPr>
          <w:rFonts w:ascii="Book Antiqua" w:eastAsia="Calibri" w:hAnsi="Book Antiqua" w:cs="Arial"/>
          <w:sz w:val="24"/>
          <w:szCs w:val="24"/>
        </w:rPr>
        <w:t xml:space="preserve">se estima en </w:t>
      </w:r>
      <w:r w:rsidRPr="00D76695">
        <w:rPr>
          <w:rFonts w:ascii="Times New Roman" w:eastAsia="Calibri" w:hAnsi="Times New Roman" w:cs="Times New Roman"/>
          <w:sz w:val="24"/>
          <w:szCs w:val="24"/>
        </w:rPr>
        <w:t>₡</w:t>
      </w:r>
      <w:r w:rsidR="009369F5" w:rsidRPr="009B71C9">
        <w:rPr>
          <w:rFonts w:ascii="Book Antiqua" w:eastAsia="Calibri" w:hAnsi="Book Antiqua" w:cs="Arial"/>
          <w:sz w:val="24"/>
          <w:szCs w:val="24"/>
        </w:rPr>
        <w:t xml:space="preserve"> 211</w:t>
      </w:r>
      <w:r w:rsidR="009369F5">
        <w:rPr>
          <w:rFonts w:ascii="Book Antiqua" w:eastAsia="Calibri" w:hAnsi="Book Antiqua" w:cs="Arial"/>
          <w:sz w:val="24"/>
          <w:szCs w:val="24"/>
        </w:rPr>
        <w:t xml:space="preserve"> 650 </w:t>
      </w:r>
      <w:r w:rsidR="00200489" w:rsidRPr="006F6088">
        <w:rPr>
          <w:rFonts w:ascii="Book Antiqua" w:eastAsia="Calibri" w:hAnsi="Book Antiqua" w:cs="Arial"/>
          <w:sz w:val="24"/>
          <w:szCs w:val="24"/>
        </w:rPr>
        <w:t>0</w:t>
      </w:r>
      <w:r w:rsidR="00200489">
        <w:rPr>
          <w:rFonts w:ascii="Book Antiqua" w:eastAsia="Calibri" w:hAnsi="Book Antiqua" w:cs="Arial"/>
          <w:sz w:val="24"/>
          <w:szCs w:val="24"/>
        </w:rPr>
        <w:t>48</w:t>
      </w:r>
      <w:r w:rsidRPr="006F6088">
        <w:rPr>
          <w:rFonts w:ascii="Book Antiqua" w:eastAsia="Calibri" w:hAnsi="Book Antiqua" w:cs="Arial"/>
          <w:sz w:val="24"/>
          <w:szCs w:val="24"/>
        </w:rPr>
        <w:t>.00 según el requerimiento y plan de capacitación de la Escuela Judicial en modalidad virtual-presencial para 202</w:t>
      </w:r>
      <w:r w:rsidR="00D76695">
        <w:rPr>
          <w:rFonts w:ascii="Book Antiqua" w:eastAsia="Calibri" w:hAnsi="Book Antiqua" w:cs="Arial"/>
          <w:sz w:val="24"/>
          <w:szCs w:val="24"/>
        </w:rPr>
        <w:t>3</w:t>
      </w:r>
      <w:r w:rsidRPr="006F6088">
        <w:rPr>
          <w:rFonts w:ascii="Book Antiqua" w:eastAsia="Calibri" w:hAnsi="Book Antiqua" w:cs="Arial"/>
          <w:sz w:val="24"/>
          <w:szCs w:val="24"/>
        </w:rPr>
        <w:t>.</w:t>
      </w:r>
    </w:p>
    <w:p w14:paraId="08882C14" w14:textId="77777777" w:rsidR="006F6088" w:rsidRPr="006F6088" w:rsidRDefault="006F6088" w:rsidP="006F6088">
      <w:pPr>
        <w:spacing w:after="0" w:line="276" w:lineRule="auto"/>
        <w:jc w:val="both"/>
        <w:rPr>
          <w:rFonts w:ascii="Book Antiqua" w:eastAsia="Calibri" w:hAnsi="Book Antiqua" w:cs="Arial"/>
          <w:sz w:val="24"/>
          <w:szCs w:val="24"/>
        </w:rPr>
      </w:pPr>
    </w:p>
    <w:p w14:paraId="47A5565F" w14:textId="51D12481" w:rsidR="006F6088" w:rsidRPr="006F6088" w:rsidRDefault="006F6088" w:rsidP="006F6088">
      <w:pPr>
        <w:spacing w:after="0" w:line="276" w:lineRule="auto"/>
        <w:jc w:val="both"/>
        <w:rPr>
          <w:rFonts w:ascii="Book Antiqua" w:eastAsia="Calibri" w:hAnsi="Book Antiqua" w:cs="Arial"/>
          <w:sz w:val="24"/>
          <w:szCs w:val="24"/>
        </w:rPr>
      </w:pPr>
      <w:r w:rsidRPr="006F6088">
        <w:rPr>
          <w:rFonts w:ascii="Book Antiqua" w:eastAsia="Calibri" w:hAnsi="Book Antiqua" w:cs="Arial"/>
          <w:sz w:val="24"/>
          <w:szCs w:val="24"/>
        </w:rPr>
        <w:t xml:space="preserve">Se incorporan adicionalmente </w:t>
      </w:r>
      <w:r w:rsidRPr="006F6088">
        <w:rPr>
          <w:rFonts w:ascii="Times New Roman" w:eastAsia="Calibri" w:hAnsi="Times New Roman" w:cs="Times New Roman"/>
          <w:sz w:val="24"/>
          <w:szCs w:val="24"/>
        </w:rPr>
        <w:t>₡</w:t>
      </w:r>
      <w:r w:rsidR="00200489">
        <w:rPr>
          <w:rFonts w:ascii="Book Antiqua" w:eastAsia="Calibri" w:hAnsi="Book Antiqua" w:cs="Arial"/>
          <w:sz w:val="24"/>
          <w:szCs w:val="24"/>
        </w:rPr>
        <w:t>6</w:t>
      </w:r>
      <w:r w:rsidR="00200489" w:rsidRPr="006F6088">
        <w:rPr>
          <w:rFonts w:ascii="Book Antiqua" w:eastAsia="Calibri" w:hAnsi="Book Antiqua" w:cs="Arial"/>
          <w:sz w:val="24"/>
          <w:szCs w:val="24"/>
        </w:rPr>
        <w:t>0</w:t>
      </w:r>
      <w:r w:rsidRPr="006F6088">
        <w:rPr>
          <w:rFonts w:ascii="Book Antiqua" w:eastAsia="Calibri" w:hAnsi="Book Antiqua" w:cs="Arial"/>
          <w:sz w:val="24"/>
          <w:szCs w:val="24"/>
        </w:rPr>
        <w:t xml:space="preserve">,000,000.00 para el pago de peritajes por parte del </w:t>
      </w:r>
      <w:r w:rsidRPr="00980DBE">
        <w:rPr>
          <w:rFonts w:ascii="Book Antiqua" w:eastAsia="Calibri" w:hAnsi="Book Antiqua" w:cs="Arial"/>
          <w:sz w:val="24"/>
          <w:szCs w:val="24"/>
        </w:rPr>
        <w:t>Departamento de Trabajo Social y Psicología</w:t>
      </w:r>
      <w:r w:rsidR="00151F1D">
        <w:rPr>
          <w:rFonts w:ascii="Book Antiqua" w:eastAsia="Calibri" w:hAnsi="Book Antiqua" w:cs="Arial"/>
          <w:sz w:val="24"/>
          <w:szCs w:val="24"/>
        </w:rPr>
        <w:t xml:space="preserve"> que corresponden 30 millones para la materia de Familia y 30 millones para Violencia Doméstica</w:t>
      </w:r>
      <w:r w:rsidRPr="00980DBE">
        <w:rPr>
          <w:rFonts w:ascii="Book Antiqua" w:eastAsia="Calibri" w:hAnsi="Book Antiqua" w:cs="Arial"/>
          <w:sz w:val="24"/>
          <w:szCs w:val="24"/>
        </w:rPr>
        <w:t>.</w:t>
      </w:r>
      <w:r w:rsidRPr="006F6088">
        <w:rPr>
          <w:rFonts w:ascii="Book Antiqua" w:eastAsia="Calibri" w:hAnsi="Book Antiqua" w:cs="Arial"/>
          <w:sz w:val="24"/>
          <w:szCs w:val="24"/>
        </w:rPr>
        <w:t xml:space="preserve"> </w:t>
      </w:r>
    </w:p>
    <w:p w14:paraId="2CEF4D89" w14:textId="17326DC8" w:rsidR="006F6088" w:rsidRDefault="006F6088" w:rsidP="006F6088">
      <w:pPr>
        <w:spacing w:after="0" w:line="276" w:lineRule="auto"/>
        <w:jc w:val="both"/>
        <w:rPr>
          <w:rFonts w:ascii="Book Antiqua" w:eastAsia="Calibri" w:hAnsi="Book Antiqua" w:cs="Arial"/>
          <w:sz w:val="24"/>
          <w:szCs w:val="24"/>
        </w:rPr>
      </w:pPr>
    </w:p>
    <w:p w14:paraId="04AA5E03" w14:textId="6059577D" w:rsidR="003F7369" w:rsidRPr="00067FBC" w:rsidRDefault="00C43016" w:rsidP="006F6088">
      <w:pPr>
        <w:spacing w:after="0" w:line="276" w:lineRule="auto"/>
        <w:jc w:val="both"/>
        <w:rPr>
          <w:rFonts w:ascii="Book Antiqua" w:eastAsia="Calibri" w:hAnsi="Book Antiqua" w:cs="Arial"/>
          <w:sz w:val="24"/>
          <w:szCs w:val="24"/>
        </w:rPr>
      </w:pPr>
      <w:r w:rsidRPr="00067FBC">
        <w:rPr>
          <w:rFonts w:ascii="Book Antiqua" w:eastAsia="Calibri" w:hAnsi="Book Antiqua" w:cs="Arial"/>
          <w:sz w:val="24"/>
          <w:szCs w:val="24"/>
        </w:rPr>
        <w:t xml:space="preserve">Los costos </w:t>
      </w:r>
      <w:r w:rsidRPr="00067FBC">
        <w:rPr>
          <w:rFonts w:ascii="Book Antiqua" w:eastAsia="Calibri" w:hAnsi="Book Antiqua" w:cs="Arial"/>
          <w:bCs/>
          <w:sz w:val="24"/>
          <w:szCs w:val="24"/>
        </w:rPr>
        <w:t xml:space="preserve">que representaría la activación del rubro de disponibilidad en la Jurisdicción Especializada de Familia se estiman </w:t>
      </w:r>
      <w:r w:rsidR="003F7369" w:rsidRPr="00067FBC">
        <w:rPr>
          <w:rFonts w:ascii="Book Antiqua" w:eastAsia="Calibri" w:hAnsi="Book Antiqua" w:cs="Arial"/>
          <w:sz w:val="24"/>
          <w:szCs w:val="24"/>
        </w:rPr>
        <w:t xml:space="preserve">en </w:t>
      </w:r>
      <w:r w:rsidR="003F7369" w:rsidRPr="00067FBC">
        <w:rPr>
          <w:rFonts w:ascii="Times New Roman" w:eastAsia="Calibri" w:hAnsi="Times New Roman" w:cs="Times New Roman"/>
          <w:sz w:val="24"/>
          <w:szCs w:val="24"/>
        </w:rPr>
        <w:t>₡</w:t>
      </w:r>
      <w:r w:rsidRPr="00067FBC">
        <w:rPr>
          <w:rFonts w:ascii="Times New Roman" w:eastAsia="Calibri" w:hAnsi="Times New Roman" w:cs="Times New Roman"/>
          <w:sz w:val="24"/>
          <w:szCs w:val="24"/>
        </w:rPr>
        <w:t>1</w:t>
      </w:r>
      <w:r w:rsidR="003F7369" w:rsidRPr="00067FBC">
        <w:rPr>
          <w:rFonts w:ascii="Book Antiqua" w:eastAsia="Calibri" w:hAnsi="Book Antiqua" w:cs="Arial"/>
          <w:sz w:val="24"/>
          <w:szCs w:val="24"/>
        </w:rPr>
        <w:t>0,</w:t>
      </w:r>
      <w:r w:rsidRPr="00067FBC">
        <w:rPr>
          <w:rFonts w:ascii="Book Antiqua" w:eastAsia="Calibri" w:hAnsi="Book Antiqua" w:cs="Arial"/>
          <w:sz w:val="24"/>
          <w:szCs w:val="24"/>
        </w:rPr>
        <w:t>649</w:t>
      </w:r>
      <w:r w:rsidR="003F7369" w:rsidRPr="00067FBC">
        <w:rPr>
          <w:rFonts w:ascii="Book Antiqua" w:eastAsia="Calibri" w:hAnsi="Book Antiqua" w:cs="Arial"/>
          <w:sz w:val="24"/>
          <w:szCs w:val="24"/>
        </w:rPr>
        <w:t>,</w:t>
      </w:r>
      <w:r w:rsidRPr="00067FBC">
        <w:rPr>
          <w:rFonts w:ascii="Book Antiqua" w:eastAsia="Calibri" w:hAnsi="Book Antiqua" w:cs="Arial"/>
          <w:sz w:val="24"/>
          <w:szCs w:val="24"/>
        </w:rPr>
        <w:t>784</w:t>
      </w:r>
      <w:r w:rsidR="003F7369" w:rsidRPr="00067FBC">
        <w:rPr>
          <w:rFonts w:ascii="Book Antiqua" w:eastAsia="Calibri" w:hAnsi="Book Antiqua" w:cs="Arial"/>
          <w:sz w:val="24"/>
          <w:szCs w:val="24"/>
        </w:rPr>
        <w:t>.00</w:t>
      </w:r>
      <w:r w:rsidRPr="00067FBC">
        <w:rPr>
          <w:rFonts w:ascii="Book Antiqua" w:eastAsia="Calibri" w:hAnsi="Book Antiqua" w:cs="Arial"/>
          <w:sz w:val="24"/>
          <w:szCs w:val="24"/>
        </w:rPr>
        <w:t>.</w:t>
      </w:r>
    </w:p>
    <w:p w14:paraId="05EA9FB2" w14:textId="0DA67DCE" w:rsidR="007442EC" w:rsidRPr="009B71C9" w:rsidRDefault="006F6088" w:rsidP="008C697C">
      <w:pPr>
        <w:pStyle w:val="Ttulo"/>
        <w:spacing w:line="276" w:lineRule="auto"/>
        <w:jc w:val="both"/>
        <w:rPr>
          <w:rFonts w:eastAsia="Calibri" w:cs="Arial"/>
          <w:b w:val="0"/>
          <w:color w:val="auto"/>
          <w:spacing w:val="0"/>
          <w:szCs w:val="24"/>
          <w:lang w:val="es-CR" w:eastAsia="en-US"/>
        </w:rPr>
      </w:pPr>
      <w:r w:rsidRPr="00067FBC">
        <w:rPr>
          <w:rFonts w:eastAsia="Calibri" w:cs="Arial"/>
          <w:b w:val="0"/>
          <w:color w:val="auto"/>
          <w:spacing w:val="0"/>
          <w:szCs w:val="24"/>
          <w:lang w:val="es-CR" w:eastAsia="en-US"/>
        </w:rPr>
        <w:t>Los costos correspondientes a la implementación del Código Procesal de Familia tomando en cuenta los costos de recurso humano y gastos variables, para 202</w:t>
      </w:r>
      <w:r w:rsidR="00793734" w:rsidRPr="00067FBC">
        <w:rPr>
          <w:rFonts w:eastAsia="Calibri" w:cs="Arial"/>
          <w:b w:val="0"/>
          <w:color w:val="auto"/>
          <w:spacing w:val="0"/>
          <w:szCs w:val="24"/>
          <w:lang w:val="es-CR" w:eastAsia="en-US"/>
        </w:rPr>
        <w:t>3</w:t>
      </w:r>
      <w:r w:rsidRPr="00067FBC">
        <w:rPr>
          <w:rFonts w:eastAsia="Calibri" w:cs="Arial"/>
          <w:b w:val="0"/>
          <w:color w:val="auto"/>
          <w:spacing w:val="0"/>
          <w:szCs w:val="24"/>
          <w:lang w:val="es-CR" w:eastAsia="en-US"/>
        </w:rPr>
        <w:t xml:space="preserve"> ascienden a un total de </w:t>
      </w:r>
      <w:r w:rsidRPr="00067FBC">
        <w:rPr>
          <w:rFonts w:ascii="Times New Roman" w:eastAsia="Times New Roman" w:hAnsi="Times New Roman" w:cs="Times New Roman"/>
          <w:color w:val="000000"/>
          <w:lang w:eastAsia="es-CR"/>
        </w:rPr>
        <w:t>₡</w:t>
      </w:r>
      <w:r w:rsidR="001C1BBE" w:rsidRPr="00067FBC">
        <w:rPr>
          <w:rFonts w:ascii="Times New Roman" w:eastAsia="Times New Roman" w:hAnsi="Times New Roman" w:cs="Times New Roman"/>
          <w:color w:val="000000"/>
          <w:lang w:eastAsia="es-CR"/>
        </w:rPr>
        <w:t>1,</w:t>
      </w:r>
      <w:r w:rsidR="00836271" w:rsidRPr="00067FBC">
        <w:rPr>
          <w:rFonts w:ascii="Times New Roman" w:eastAsia="Times New Roman" w:hAnsi="Times New Roman" w:cs="Times New Roman"/>
          <w:bCs/>
          <w:color w:val="000000"/>
          <w:lang w:eastAsia="es-CR"/>
        </w:rPr>
        <w:t>5</w:t>
      </w:r>
      <w:r w:rsidR="00496DD2" w:rsidRPr="00067FBC">
        <w:rPr>
          <w:rFonts w:ascii="Times New Roman" w:eastAsia="Times New Roman" w:hAnsi="Times New Roman" w:cs="Times New Roman"/>
          <w:bCs/>
          <w:color w:val="000000"/>
          <w:lang w:eastAsia="es-CR"/>
        </w:rPr>
        <w:t>6</w:t>
      </w:r>
      <w:r w:rsidR="00836271" w:rsidRPr="00067FBC">
        <w:rPr>
          <w:rFonts w:ascii="Times New Roman" w:eastAsia="Times New Roman" w:hAnsi="Times New Roman" w:cs="Times New Roman"/>
          <w:bCs/>
          <w:color w:val="000000"/>
          <w:lang w:eastAsia="es-CR"/>
        </w:rPr>
        <w:t>5,4</w:t>
      </w:r>
      <w:r w:rsidR="00496DD2" w:rsidRPr="00067FBC">
        <w:rPr>
          <w:rFonts w:ascii="Times New Roman" w:eastAsia="Times New Roman" w:hAnsi="Times New Roman" w:cs="Times New Roman"/>
          <w:bCs/>
          <w:color w:val="000000"/>
          <w:lang w:eastAsia="es-CR"/>
        </w:rPr>
        <w:t>55</w:t>
      </w:r>
      <w:r w:rsidR="00836271" w:rsidRPr="00067FBC">
        <w:rPr>
          <w:rFonts w:ascii="Times New Roman" w:eastAsia="Times New Roman" w:hAnsi="Times New Roman" w:cs="Times New Roman"/>
          <w:bCs/>
          <w:color w:val="000000"/>
          <w:lang w:eastAsia="es-CR"/>
        </w:rPr>
        <w:t>,6</w:t>
      </w:r>
      <w:r w:rsidR="00496DD2" w:rsidRPr="00067FBC">
        <w:rPr>
          <w:rFonts w:ascii="Times New Roman" w:eastAsia="Times New Roman" w:hAnsi="Times New Roman" w:cs="Times New Roman"/>
          <w:bCs/>
          <w:color w:val="000000"/>
          <w:lang w:eastAsia="es-CR"/>
        </w:rPr>
        <w:t>1</w:t>
      </w:r>
      <w:r w:rsidR="00836271" w:rsidRPr="00067FBC">
        <w:rPr>
          <w:rFonts w:ascii="Times New Roman" w:eastAsia="Times New Roman" w:hAnsi="Times New Roman" w:cs="Times New Roman"/>
          <w:bCs/>
          <w:color w:val="000000"/>
          <w:lang w:eastAsia="es-CR"/>
        </w:rPr>
        <w:t>8.</w:t>
      </w:r>
    </w:p>
    <w:p w14:paraId="4D25FA2A" w14:textId="183C58AA" w:rsidR="007442EC" w:rsidRDefault="008C697C" w:rsidP="0090609F">
      <w:pPr>
        <w:pStyle w:val="Ttulo"/>
        <w:numPr>
          <w:ilvl w:val="1"/>
          <w:numId w:val="44"/>
        </w:numPr>
        <w:spacing w:line="276" w:lineRule="auto"/>
        <w:jc w:val="both"/>
        <w:rPr>
          <w:rFonts w:eastAsia="Calibri" w:cs="Book Antiqua"/>
          <w:b w:val="0"/>
          <w:color w:val="000000"/>
          <w:spacing w:val="0"/>
          <w:szCs w:val="24"/>
          <w:lang w:val="es-CR" w:eastAsia="en-US"/>
        </w:rPr>
      </w:pPr>
      <w:r w:rsidRPr="001D0C10">
        <w:rPr>
          <w:rFonts w:eastAsia="Calibri" w:cs="Book Antiqua"/>
          <w:b w:val="0"/>
          <w:color w:val="000000"/>
          <w:spacing w:val="0"/>
          <w:szCs w:val="24"/>
          <w:lang w:val="es-CR" w:eastAsia="en-US"/>
        </w:rPr>
        <w:lastRenderedPageBreak/>
        <w:t xml:space="preserve">Las plazas asignadas </w:t>
      </w:r>
      <w:r>
        <w:rPr>
          <w:rFonts w:eastAsia="Calibri" w:cs="Book Antiqua"/>
          <w:b w:val="0"/>
          <w:color w:val="000000"/>
          <w:spacing w:val="0"/>
          <w:szCs w:val="24"/>
          <w:lang w:val="es-CR" w:eastAsia="en-US"/>
        </w:rPr>
        <w:t>a planes</w:t>
      </w:r>
      <w:r w:rsidRPr="001D0C10">
        <w:rPr>
          <w:rFonts w:eastAsia="Calibri" w:cs="Book Antiqua"/>
          <w:b w:val="0"/>
          <w:color w:val="000000"/>
          <w:spacing w:val="0"/>
          <w:szCs w:val="24"/>
          <w:lang w:val="es-CR" w:eastAsia="en-US"/>
        </w:rPr>
        <w:t xml:space="preserve"> de trabajo requieren de </w:t>
      </w:r>
      <w:r>
        <w:rPr>
          <w:rFonts w:eastAsia="Calibri" w:cs="Book Antiqua"/>
          <w:b w:val="0"/>
          <w:color w:val="000000"/>
          <w:spacing w:val="0"/>
          <w:szCs w:val="24"/>
          <w:lang w:val="es-CR" w:eastAsia="en-US"/>
        </w:rPr>
        <w:t>competencia a</w:t>
      </w:r>
      <w:r w:rsidRPr="001D0C10">
        <w:rPr>
          <w:rFonts w:eastAsia="Calibri" w:cs="Book Antiqua"/>
          <w:b w:val="0"/>
          <w:color w:val="000000"/>
          <w:spacing w:val="0"/>
          <w:szCs w:val="24"/>
          <w:lang w:val="es-CR" w:eastAsia="en-US"/>
        </w:rPr>
        <w:t xml:space="preserve"> nivel nacional. </w:t>
      </w:r>
    </w:p>
    <w:p w14:paraId="5E2228FA" w14:textId="1E2CCF34" w:rsidR="00B175D1" w:rsidRPr="001D0C10" w:rsidRDefault="00B175D1" w:rsidP="0090609F">
      <w:pPr>
        <w:pStyle w:val="Ttulo"/>
        <w:numPr>
          <w:ilvl w:val="1"/>
          <w:numId w:val="44"/>
        </w:numPr>
        <w:spacing w:line="276" w:lineRule="auto"/>
        <w:jc w:val="both"/>
        <w:rPr>
          <w:rFonts w:eastAsia="Calibri" w:cs="Book Antiqua"/>
          <w:b w:val="0"/>
          <w:color w:val="000000"/>
          <w:spacing w:val="0"/>
          <w:szCs w:val="24"/>
          <w:lang w:val="es-CR" w:eastAsia="en-US"/>
        </w:rPr>
      </w:pPr>
      <w:r>
        <w:rPr>
          <w:rFonts w:eastAsia="Calibri" w:cs="Book Antiqua"/>
          <w:b w:val="0"/>
          <w:color w:val="000000"/>
          <w:spacing w:val="0"/>
          <w:szCs w:val="24"/>
          <w:lang w:val="es-CR" w:eastAsia="en-US"/>
        </w:rPr>
        <w:t xml:space="preserve">Como se desprende de este informe, los cálculos de costos se realizan considerando las categorías de persona juzgadora existentes actualmente en Familia, Pensiones Alimentarias y Violencia Doméstica. Si la Dirección de Gestión Humana realiza algún estudio que concluya que debe existir alguna modificación en la categoría de las plazas actuales, tal y como sucedió en otras reformas, ese tema no parte de la Ley y por ende no lo considera la Dirección de Planificación en este estudio de impacto económico, por lo que de aprobarse en algún momento por el órgano superior pertinente deberán también considerar el impacto económico que ello signifique. </w:t>
      </w:r>
    </w:p>
    <w:p w14:paraId="3E9B7D50" w14:textId="5FBD750E" w:rsidR="0086688D" w:rsidRPr="00770255" w:rsidRDefault="0086688D" w:rsidP="0090609F">
      <w:pPr>
        <w:pStyle w:val="Ttulo1"/>
        <w:numPr>
          <w:ilvl w:val="0"/>
          <w:numId w:val="44"/>
        </w:numPr>
        <w:spacing w:line="276" w:lineRule="auto"/>
        <w:rPr>
          <w:lang w:eastAsia="es-CR"/>
        </w:rPr>
      </w:pPr>
      <w:r>
        <w:rPr>
          <w:lang w:eastAsia="es-CR"/>
        </w:rPr>
        <w:t>Recomendaciones</w:t>
      </w:r>
    </w:p>
    <w:p w14:paraId="049A63F1" w14:textId="050EE5D6" w:rsidR="0086688D" w:rsidRDefault="0086688D" w:rsidP="0086688D">
      <w:pPr>
        <w:spacing w:after="0" w:line="276" w:lineRule="auto"/>
        <w:jc w:val="both"/>
        <w:rPr>
          <w:rFonts w:ascii="Book Antiqua" w:eastAsia="Calibri" w:hAnsi="Book Antiqua" w:cs="Arial"/>
          <w:sz w:val="24"/>
          <w:szCs w:val="24"/>
        </w:rPr>
      </w:pPr>
      <w:r w:rsidRPr="0086688D">
        <w:rPr>
          <w:rFonts w:ascii="Book Antiqua" w:eastAsia="Calibri" w:hAnsi="Book Antiqua" w:cs="Arial"/>
          <w:sz w:val="24"/>
          <w:szCs w:val="24"/>
        </w:rPr>
        <w:t>A continuación, se presentan las recomendaciones del informe:</w:t>
      </w:r>
    </w:p>
    <w:p w14:paraId="2793ECA1" w14:textId="77777777" w:rsidR="00917EA1" w:rsidRPr="0086688D" w:rsidRDefault="00917EA1" w:rsidP="0086688D">
      <w:pPr>
        <w:spacing w:after="0" w:line="276" w:lineRule="auto"/>
        <w:jc w:val="both"/>
        <w:rPr>
          <w:rFonts w:ascii="Book Antiqua" w:eastAsia="Calibri" w:hAnsi="Book Antiqua" w:cs="Arial"/>
          <w:sz w:val="24"/>
          <w:szCs w:val="24"/>
        </w:rPr>
      </w:pPr>
    </w:p>
    <w:p w14:paraId="41D5324F" w14:textId="77777777" w:rsidR="00917EA1" w:rsidRPr="00917EA1" w:rsidRDefault="00917EA1" w:rsidP="00917EA1">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917EA1">
        <w:rPr>
          <w:rFonts w:ascii="Book Antiqua" w:eastAsia="MS PGothic" w:hAnsi="Book Antiqua" w:cs="Times New Roman"/>
          <w:b/>
          <w:snapToGrid w:val="0"/>
          <w:sz w:val="24"/>
          <w:szCs w:val="24"/>
          <w:lang w:val="es-ES" w:eastAsia="es-ES"/>
        </w:rPr>
        <w:t>A Corte Plena</w:t>
      </w:r>
    </w:p>
    <w:p w14:paraId="11A2D664" w14:textId="501452FB" w:rsidR="007442EC" w:rsidRPr="009B71C9" w:rsidRDefault="007442EC" w:rsidP="008C20AB">
      <w:pPr>
        <w:pStyle w:val="Ttulo"/>
        <w:spacing w:line="276" w:lineRule="auto"/>
        <w:jc w:val="left"/>
        <w:rPr>
          <w:b w:val="0"/>
          <w:color w:val="auto"/>
          <w:szCs w:val="24"/>
          <w:lang w:val="es-CR"/>
        </w:rPr>
      </w:pPr>
    </w:p>
    <w:p w14:paraId="36C03E7A" w14:textId="28243B2B" w:rsidR="00917EA1" w:rsidRPr="00E01CE3" w:rsidRDefault="008C20AB" w:rsidP="0090609F">
      <w:pPr>
        <w:pStyle w:val="Ttulo"/>
        <w:numPr>
          <w:ilvl w:val="1"/>
          <w:numId w:val="44"/>
        </w:numPr>
        <w:spacing w:line="276" w:lineRule="auto"/>
        <w:jc w:val="both"/>
        <w:rPr>
          <w:b w:val="0"/>
          <w:color w:val="auto"/>
          <w:szCs w:val="24"/>
          <w:lang w:val="es-CR"/>
        </w:rPr>
      </w:pPr>
      <w:r>
        <w:rPr>
          <w:rFonts w:eastAsia="Calibri" w:cs="Arial"/>
          <w:b w:val="0"/>
          <w:color w:val="auto"/>
          <w:spacing w:val="0"/>
          <w:szCs w:val="24"/>
          <w:lang w:val="es-CR" w:eastAsia="en-US"/>
        </w:rPr>
        <w:t>A</w:t>
      </w:r>
      <w:r w:rsidR="00917EA1" w:rsidRPr="008C20AB">
        <w:rPr>
          <w:rFonts w:eastAsia="Calibri" w:cs="Arial"/>
          <w:b w:val="0"/>
          <w:color w:val="auto"/>
          <w:spacing w:val="0"/>
          <w:szCs w:val="24"/>
          <w:lang w:val="es-CR" w:eastAsia="en-US"/>
        </w:rPr>
        <w:t xml:space="preserve">probar la propuesta de incorporar los siguientes rubros a nivel del presupuesto para la implementación del Código Procesal de Familia, para remitirlo en forma separada del presupuesto ordinario institucional al Ministerio de Hacienda para </w:t>
      </w:r>
      <w:r w:rsidR="00917EA1" w:rsidRPr="00E01CE3">
        <w:rPr>
          <w:rFonts w:eastAsia="Calibri" w:cs="Arial"/>
          <w:b w:val="0"/>
          <w:color w:val="auto"/>
          <w:spacing w:val="0"/>
          <w:szCs w:val="24"/>
          <w:lang w:val="es-CR" w:eastAsia="en-US"/>
        </w:rPr>
        <w:t>el 202</w:t>
      </w:r>
      <w:r w:rsidR="0099763E" w:rsidRPr="00E01CE3">
        <w:rPr>
          <w:rFonts w:eastAsia="Calibri" w:cs="Arial"/>
          <w:b w:val="0"/>
          <w:color w:val="auto"/>
          <w:spacing w:val="0"/>
          <w:szCs w:val="24"/>
          <w:lang w:val="es-CR" w:eastAsia="en-US"/>
        </w:rPr>
        <w:t>3</w:t>
      </w:r>
      <w:r w:rsidR="00917EA1" w:rsidRPr="00E01CE3">
        <w:rPr>
          <w:rFonts w:eastAsia="Calibri" w:cs="Arial"/>
          <w:b w:val="0"/>
          <w:color w:val="auto"/>
          <w:spacing w:val="0"/>
          <w:szCs w:val="24"/>
          <w:lang w:val="es-CR" w:eastAsia="en-US"/>
        </w:rPr>
        <w:t>:</w:t>
      </w:r>
    </w:p>
    <w:p w14:paraId="06ADB863" w14:textId="01631AED" w:rsidR="008C20AB" w:rsidRPr="00E01CE3" w:rsidRDefault="008C20AB" w:rsidP="008C20AB">
      <w:p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Aprobar la incorporación a nivel de recurso humano de un total de </w:t>
      </w:r>
      <w:r w:rsidR="00543D70" w:rsidRPr="00E01CE3">
        <w:rPr>
          <w:rFonts w:ascii="Book Antiqua" w:eastAsia="Calibri" w:hAnsi="Book Antiqua" w:cs="Arial"/>
          <w:sz w:val="24"/>
          <w:szCs w:val="24"/>
        </w:rPr>
        <w:t>42</w:t>
      </w:r>
      <w:r w:rsidRPr="00E01CE3">
        <w:rPr>
          <w:rFonts w:ascii="Book Antiqua" w:eastAsia="Calibri" w:hAnsi="Book Antiqua" w:cs="Arial"/>
          <w:sz w:val="24"/>
          <w:szCs w:val="24"/>
        </w:rPr>
        <w:t xml:space="preserve"> plazas distribuidas así:</w:t>
      </w:r>
    </w:p>
    <w:p w14:paraId="5C20DCBD" w14:textId="17FEC923" w:rsidR="008C20AB" w:rsidRPr="00E01CE3" w:rsidRDefault="008C20AB" w:rsidP="0090609F">
      <w:pPr>
        <w:pStyle w:val="Prrafodelista"/>
        <w:numPr>
          <w:ilvl w:val="0"/>
          <w:numId w:val="48"/>
        </w:num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A nivel de Juzgados y Sala Segunda para completar estructuras: 1 plaza de Técnico Judicial 2 extraordinaria, 1 plaza de Técnica o Técnico Judicial 2 ordinaria, 1 plaza de Técnico Judicial 1 ordinaria, </w:t>
      </w:r>
      <w:r w:rsidR="003C3C9B" w:rsidRPr="00E01CE3">
        <w:rPr>
          <w:rFonts w:ascii="Book Antiqua" w:eastAsia="Calibri" w:hAnsi="Book Antiqua" w:cs="Arial"/>
          <w:sz w:val="24"/>
          <w:szCs w:val="24"/>
        </w:rPr>
        <w:t xml:space="preserve">1 plaza de Juez 1 </w:t>
      </w:r>
      <w:r w:rsidRPr="00E01CE3">
        <w:rPr>
          <w:rFonts w:ascii="Book Antiqua" w:eastAsia="Calibri" w:hAnsi="Book Antiqua" w:cs="Arial"/>
          <w:sz w:val="24"/>
          <w:szCs w:val="24"/>
        </w:rPr>
        <w:t xml:space="preserve">y en la Sala Segunda: 3 plazas nuevas de Profesional en Derecho 3B, 2 Técnico Sala de la Corte y 2 Técnico Judicial 3, todas ordinarias para un costo estimado </w:t>
      </w:r>
      <w:r w:rsidRPr="00E01CE3">
        <w:rPr>
          <w:rFonts w:ascii="Times New Roman" w:eastAsia="Calibri" w:hAnsi="Times New Roman" w:cs="Times New Roman"/>
          <w:sz w:val="24"/>
          <w:szCs w:val="24"/>
        </w:rPr>
        <w:t>₡</w:t>
      </w:r>
      <w:r w:rsidR="009E2CC2" w:rsidRPr="00E01CE3">
        <w:rPr>
          <w:rFonts w:ascii="Book Antiqua" w:eastAsia="Calibri" w:hAnsi="Book Antiqua" w:cs="Arial"/>
          <w:sz w:val="24"/>
          <w:szCs w:val="24"/>
        </w:rPr>
        <w:t>322</w:t>
      </w:r>
      <w:r w:rsidRPr="00E01CE3">
        <w:rPr>
          <w:rFonts w:ascii="Book Antiqua" w:eastAsia="Calibri" w:hAnsi="Book Antiqua" w:cs="Arial"/>
          <w:sz w:val="24"/>
          <w:szCs w:val="24"/>
        </w:rPr>
        <w:t>,0</w:t>
      </w:r>
      <w:r w:rsidR="009E2CC2" w:rsidRPr="00E01CE3">
        <w:rPr>
          <w:rFonts w:ascii="Book Antiqua" w:eastAsia="Calibri" w:hAnsi="Book Antiqua" w:cs="Arial"/>
          <w:sz w:val="24"/>
          <w:szCs w:val="24"/>
        </w:rPr>
        <w:t>84</w:t>
      </w:r>
      <w:r w:rsidRPr="00E01CE3">
        <w:rPr>
          <w:rFonts w:ascii="Book Antiqua" w:eastAsia="Calibri" w:hAnsi="Book Antiqua" w:cs="Arial"/>
          <w:sz w:val="24"/>
          <w:szCs w:val="24"/>
        </w:rPr>
        <w:t>,000.00.</w:t>
      </w:r>
    </w:p>
    <w:p w14:paraId="12EA293F" w14:textId="27EEC078" w:rsidR="008C20AB" w:rsidRPr="00E01CE3" w:rsidRDefault="008C20AB" w:rsidP="0090609F">
      <w:pPr>
        <w:pStyle w:val="Prrafodelista"/>
        <w:numPr>
          <w:ilvl w:val="0"/>
          <w:numId w:val="48"/>
        </w:num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Para el CACMFJ</w:t>
      </w:r>
      <w:r w:rsidR="00E20756" w:rsidRPr="00E01CE3">
        <w:rPr>
          <w:rFonts w:ascii="Book Antiqua" w:eastAsia="Calibri" w:hAnsi="Book Antiqua" w:cs="Arial"/>
          <w:sz w:val="24"/>
          <w:szCs w:val="24"/>
        </w:rPr>
        <w:t>,</w:t>
      </w:r>
      <w:r w:rsidRPr="00E01CE3">
        <w:rPr>
          <w:rFonts w:ascii="Book Antiqua" w:eastAsia="Calibri" w:hAnsi="Book Antiqua" w:cs="Arial"/>
          <w:sz w:val="24"/>
          <w:szCs w:val="24"/>
        </w:rPr>
        <w:t xml:space="preserve"> planes de trabajo</w:t>
      </w:r>
      <w:r w:rsidR="00E20756" w:rsidRPr="00E01CE3">
        <w:rPr>
          <w:rFonts w:ascii="Book Antiqua" w:eastAsia="Calibri" w:hAnsi="Book Antiqua" w:cs="Arial"/>
          <w:sz w:val="24"/>
          <w:szCs w:val="24"/>
        </w:rPr>
        <w:t xml:space="preserve"> y estructuras de tramitación en los Juzgados de Violencia Doméstica</w:t>
      </w:r>
      <w:r w:rsidRPr="00E01CE3">
        <w:rPr>
          <w:rFonts w:ascii="Book Antiqua" w:eastAsia="Calibri" w:hAnsi="Book Antiqua" w:cs="Arial"/>
          <w:sz w:val="24"/>
          <w:szCs w:val="24"/>
        </w:rPr>
        <w:t xml:space="preserve">: 1 Jueza o Juez 4 Gestor ordinaria, 1 profesional 2 ordinaria y de forma extraordinarias:  2 técnicos Judiciales 2. Para el plan de Trabajo en Pensiones 4 personas juzgadoras 1, para el plan en </w:t>
      </w:r>
      <w:r w:rsidRPr="00E01CE3">
        <w:rPr>
          <w:rFonts w:ascii="Book Antiqua" w:eastAsia="Calibri" w:hAnsi="Book Antiqua" w:cs="Arial"/>
          <w:sz w:val="24"/>
          <w:szCs w:val="24"/>
        </w:rPr>
        <w:lastRenderedPageBreak/>
        <w:t xml:space="preserve">Familia 4 personas juzgadoras 3 y para </w:t>
      </w:r>
      <w:r w:rsidR="00E03F00" w:rsidRPr="00E01CE3">
        <w:rPr>
          <w:rFonts w:ascii="Book Antiqua" w:eastAsia="Calibri" w:hAnsi="Book Antiqua" w:cs="Arial"/>
          <w:sz w:val="24"/>
          <w:szCs w:val="24"/>
        </w:rPr>
        <w:t>la implementación del Modelo de Tramitación</w:t>
      </w:r>
      <w:r w:rsidRPr="00E01CE3">
        <w:rPr>
          <w:rFonts w:ascii="Book Antiqua" w:eastAsia="Calibri" w:hAnsi="Book Antiqua" w:cs="Arial"/>
          <w:sz w:val="24"/>
          <w:szCs w:val="24"/>
        </w:rPr>
        <w:t xml:space="preserve"> en Violencia Doméstica 2 personas juzgadoras 3 con </w:t>
      </w:r>
      <w:r w:rsidR="00BE4A7C" w:rsidRPr="00E01CE3">
        <w:rPr>
          <w:rFonts w:ascii="Book Antiqua" w:eastAsia="Calibri" w:hAnsi="Book Antiqua" w:cs="Arial"/>
          <w:sz w:val="24"/>
          <w:szCs w:val="24"/>
        </w:rPr>
        <w:t>17</w:t>
      </w:r>
      <w:r w:rsidRPr="00E01CE3">
        <w:rPr>
          <w:rFonts w:ascii="Book Antiqua" w:eastAsia="Calibri" w:hAnsi="Book Antiqua" w:cs="Arial"/>
          <w:sz w:val="24"/>
          <w:szCs w:val="24"/>
        </w:rPr>
        <w:t xml:space="preserve"> personas técnicas judiciales 2</w:t>
      </w:r>
      <w:r w:rsidR="00D157A6" w:rsidRPr="00E01CE3">
        <w:rPr>
          <w:rFonts w:ascii="Book Antiqua" w:eastAsia="Calibri" w:hAnsi="Book Antiqua" w:cs="Arial"/>
          <w:sz w:val="24"/>
          <w:szCs w:val="24"/>
        </w:rPr>
        <w:t xml:space="preserve"> además de la recalificación de cuatro plazas de Conserje a </w:t>
      </w:r>
      <w:r w:rsidR="001F6367" w:rsidRPr="00E01CE3">
        <w:rPr>
          <w:rFonts w:ascii="Book Antiqua" w:eastAsia="Calibri" w:hAnsi="Book Antiqua" w:cs="Arial"/>
          <w:sz w:val="24"/>
          <w:szCs w:val="24"/>
        </w:rPr>
        <w:t>personal Técnico Judicial</w:t>
      </w:r>
      <w:r w:rsidRPr="00E01CE3">
        <w:rPr>
          <w:rFonts w:ascii="Book Antiqua" w:eastAsia="Calibri" w:hAnsi="Book Antiqua" w:cs="Arial"/>
          <w:sz w:val="24"/>
          <w:szCs w:val="24"/>
        </w:rPr>
        <w:t xml:space="preserve">, para un costo estimado de </w:t>
      </w:r>
      <w:r w:rsidRPr="00E01CE3">
        <w:rPr>
          <w:rFonts w:ascii="Times New Roman" w:eastAsia="Calibri" w:hAnsi="Times New Roman" w:cs="Times New Roman"/>
          <w:sz w:val="24"/>
          <w:szCs w:val="24"/>
        </w:rPr>
        <w:t>₡</w:t>
      </w:r>
      <w:r w:rsidR="007B62F8" w:rsidRPr="00E01CE3">
        <w:rPr>
          <w:rFonts w:ascii="Book Antiqua" w:eastAsia="Calibri" w:hAnsi="Book Antiqua" w:cs="Arial"/>
          <w:sz w:val="24"/>
          <w:szCs w:val="24"/>
        </w:rPr>
        <w:t>905</w:t>
      </w:r>
      <w:r w:rsidRPr="00E01CE3">
        <w:rPr>
          <w:rFonts w:ascii="Book Antiqua" w:eastAsia="Calibri" w:hAnsi="Book Antiqua" w:cs="Arial"/>
          <w:sz w:val="24"/>
          <w:szCs w:val="24"/>
        </w:rPr>
        <w:t>,</w:t>
      </w:r>
      <w:r w:rsidR="00890130" w:rsidRPr="00E01CE3">
        <w:rPr>
          <w:rFonts w:ascii="Book Antiqua" w:eastAsia="Calibri" w:hAnsi="Book Antiqua" w:cs="Arial"/>
          <w:sz w:val="24"/>
          <w:szCs w:val="24"/>
        </w:rPr>
        <w:t>812</w:t>
      </w:r>
      <w:r w:rsidRPr="00E01CE3">
        <w:rPr>
          <w:rFonts w:ascii="Book Antiqua" w:eastAsia="Calibri" w:hAnsi="Book Antiqua" w:cs="Arial"/>
          <w:sz w:val="24"/>
          <w:szCs w:val="24"/>
        </w:rPr>
        <w:t>,000.00.</w:t>
      </w:r>
    </w:p>
    <w:p w14:paraId="2E0061A8" w14:textId="77777777" w:rsidR="008C20AB" w:rsidRDefault="008C20AB" w:rsidP="008C20AB">
      <w:pPr>
        <w:spacing w:after="0" w:line="276" w:lineRule="auto"/>
        <w:jc w:val="both"/>
        <w:rPr>
          <w:rFonts w:ascii="Book Antiqua" w:eastAsia="Calibri" w:hAnsi="Book Antiqua" w:cs="Arial"/>
          <w:sz w:val="24"/>
          <w:szCs w:val="24"/>
        </w:rPr>
      </w:pPr>
    </w:p>
    <w:p w14:paraId="3C3D12CE" w14:textId="62CB270B" w:rsidR="008C20AB" w:rsidRPr="00E01CE3" w:rsidRDefault="008C20AB" w:rsidP="008C20A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 xml:space="preserve">Para un total </w:t>
      </w:r>
      <w:r w:rsidRPr="00127FDC">
        <w:rPr>
          <w:rFonts w:ascii="Book Antiqua" w:eastAsia="Calibri" w:hAnsi="Book Antiqua" w:cs="Arial"/>
          <w:sz w:val="24"/>
          <w:szCs w:val="24"/>
        </w:rPr>
        <w:t xml:space="preserve">por </w:t>
      </w:r>
      <w:r w:rsidRPr="00E01CE3">
        <w:rPr>
          <w:rFonts w:ascii="Book Antiqua" w:eastAsia="Calibri" w:hAnsi="Book Antiqua" w:cs="Arial"/>
          <w:sz w:val="24"/>
          <w:szCs w:val="24"/>
        </w:rPr>
        <w:t>concepto de recurso humano necesario para la entrada en vigencia del C</w:t>
      </w:r>
      <w:r w:rsidRPr="00E01CE3">
        <w:rPr>
          <w:rFonts w:ascii="Book Antiqua" w:eastAsia="Calibri" w:hAnsi="Book Antiqua" w:cs="Book Antiqua"/>
          <w:sz w:val="24"/>
          <w:szCs w:val="24"/>
        </w:rPr>
        <w:t>ó</w:t>
      </w:r>
      <w:r w:rsidRPr="00E01CE3">
        <w:rPr>
          <w:rFonts w:ascii="Book Antiqua" w:eastAsia="Calibri" w:hAnsi="Book Antiqua" w:cs="Arial"/>
          <w:sz w:val="24"/>
          <w:szCs w:val="24"/>
        </w:rPr>
        <w:t xml:space="preserve">digo Procesal Familia de </w:t>
      </w:r>
      <w:r w:rsidRPr="00E01CE3" w:rsidDel="00D76695">
        <w:rPr>
          <w:rFonts w:ascii="Times New Roman" w:eastAsia="Calibri" w:hAnsi="Times New Roman" w:cs="Times New Roman"/>
          <w:sz w:val="24"/>
          <w:szCs w:val="24"/>
        </w:rPr>
        <w:t>₡</w:t>
      </w:r>
      <w:r w:rsidR="00C955ED" w:rsidRPr="00E01CE3">
        <w:rPr>
          <w:rFonts w:ascii="Book Antiqua" w:eastAsia="Calibri" w:hAnsi="Book Antiqua" w:cs="Arial"/>
          <w:sz w:val="24"/>
          <w:szCs w:val="24"/>
        </w:rPr>
        <w:t>1</w:t>
      </w:r>
      <w:r w:rsidR="00C8566E" w:rsidRPr="00E01CE3">
        <w:rPr>
          <w:rFonts w:ascii="Book Antiqua" w:eastAsia="Calibri" w:hAnsi="Book Antiqua" w:cs="Arial"/>
          <w:sz w:val="24"/>
          <w:szCs w:val="24"/>
        </w:rPr>
        <w:t>.2</w:t>
      </w:r>
      <w:r w:rsidR="007B74DC" w:rsidRPr="00E01CE3">
        <w:rPr>
          <w:rFonts w:ascii="Book Antiqua" w:eastAsia="Calibri" w:hAnsi="Book Antiqua" w:cs="Arial"/>
          <w:sz w:val="24"/>
          <w:szCs w:val="24"/>
        </w:rPr>
        <w:t>27</w:t>
      </w:r>
      <w:r w:rsidRPr="00E01CE3">
        <w:rPr>
          <w:rFonts w:ascii="Book Antiqua" w:eastAsia="Calibri" w:hAnsi="Book Antiqua" w:cs="Arial"/>
          <w:sz w:val="24"/>
          <w:szCs w:val="24"/>
        </w:rPr>
        <w:t>,</w:t>
      </w:r>
      <w:r w:rsidR="007B74DC" w:rsidRPr="00E01CE3">
        <w:rPr>
          <w:rFonts w:ascii="Book Antiqua" w:eastAsia="Calibri" w:hAnsi="Book Antiqua" w:cs="Arial"/>
          <w:sz w:val="24"/>
          <w:szCs w:val="24"/>
        </w:rPr>
        <w:t>8</w:t>
      </w:r>
      <w:r w:rsidR="00836271" w:rsidRPr="00E01CE3">
        <w:rPr>
          <w:rFonts w:ascii="Book Antiqua" w:eastAsia="Calibri" w:hAnsi="Book Antiqua" w:cs="Arial"/>
          <w:sz w:val="24"/>
          <w:szCs w:val="24"/>
        </w:rPr>
        <w:t>9</w:t>
      </w:r>
      <w:r w:rsidR="007B74DC" w:rsidRPr="00E01CE3">
        <w:rPr>
          <w:rFonts w:ascii="Book Antiqua" w:eastAsia="Calibri" w:hAnsi="Book Antiqua" w:cs="Arial"/>
          <w:sz w:val="24"/>
          <w:szCs w:val="24"/>
        </w:rPr>
        <w:t>6</w:t>
      </w:r>
      <w:r w:rsidRPr="00E01CE3">
        <w:rPr>
          <w:rFonts w:ascii="Book Antiqua" w:eastAsia="Calibri" w:hAnsi="Book Antiqua" w:cs="Arial"/>
          <w:sz w:val="24"/>
          <w:szCs w:val="24"/>
        </w:rPr>
        <w:t>,000.00.</w:t>
      </w:r>
    </w:p>
    <w:p w14:paraId="0E07362A" w14:textId="77777777" w:rsidR="008C20AB" w:rsidRPr="00E01CE3" w:rsidRDefault="008C20AB" w:rsidP="008C20AB">
      <w:pPr>
        <w:spacing w:after="0" w:line="276" w:lineRule="auto"/>
        <w:jc w:val="both"/>
        <w:rPr>
          <w:rFonts w:ascii="Book Antiqua" w:eastAsia="Calibri" w:hAnsi="Book Antiqua" w:cs="Arial"/>
          <w:sz w:val="24"/>
          <w:szCs w:val="24"/>
        </w:rPr>
      </w:pPr>
    </w:p>
    <w:p w14:paraId="45B5AE1E" w14:textId="4B36C134" w:rsidR="008C20AB" w:rsidRPr="00E01CE3" w:rsidRDefault="008C20AB" w:rsidP="008C20AB">
      <w:p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Aprobar el presupuesto para 2023 solicitado por la Dirección </w:t>
      </w:r>
      <w:r w:rsidR="009E2CC2" w:rsidRPr="00E01CE3">
        <w:rPr>
          <w:rFonts w:ascii="Book Antiqua" w:eastAsia="Calibri" w:hAnsi="Book Antiqua" w:cs="Arial"/>
          <w:sz w:val="24"/>
          <w:szCs w:val="24"/>
        </w:rPr>
        <w:t>Ejecutiva que</w:t>
      </w:r>
      <w:r w:rsidRPr="00E01CE3">
        <w:rPr>
          <w:rFonts w:ascii="Book Antiqua" w:eastAsia="Calibri" w:hAnsi="Book Antiqua" w:cs="Arial"/>
          <w:sz w:val="24"/>
          <w:szCs w:val="24"/>
        </w:rPr>
        <w:t xml:space="preserve"> asciende a </w:t>
      </w:r>
      <w:r w:rsidRPr="00E01CE3">
        <w:rPr>
          <w:rFonts w:ascii="Times New Roman" w:eastAsia="Calibri" w:hAnsi="Times New Roman" w:cs="Times New Roman"/>
          <w:sz w:val="24"/>
          <w:szCs w:val="24"/>
        </w:rPr>
        <w:t>₡</w:t>
      </w:r>
      <w:r w:rsidRPr="00E01CE3">
        <w:rPr>
          <w:rFonts w:ascii="Book Antiqua" w:eastAsia="Calibri" w:hAnsi="Book Antiqua" w:cs="Arial"/>
          <w:sz w:val="24"/>
          <w:szCs w:val="24"/>
        </w:rPr>
        <w:t>6,369,645.00, por concepto de gastos variables por suministros, mobiliario y equipo para las 26 plazas citadas en el párrafo anterior (no contempla equipo de cómputo que es presupuestado por la Dirección de Tecnología de la Información).</w:t>
      </w:r>
      <w:r w:rsidR="00267967" w:rsidRPr="00E01CE3">
        <w:rPr>
          <w:rFonts w:ascii="Book Antiqua" w:eastAsia="Calibri" w:hAnsi="Book Antiqua" w:cs="Arial"/>
          <w:sz w:val="24"/>
          <w:szCs w:val="24"/>
        </w:rPr>
        <w:t xml:space="preserve"> Para efecto de considerar </w:t>
      </w:r>
      <w:r w:rsidR="000843DA" w:rsidRPr="00E01CE3">
        <w:rPr>
          <w:rFonts w:ascii="Book Antiqua" w:eastAsia="Calibri" w:hAnsi="Book Antiqua" w:cs="Arial"/>
          <w:sz w:val="24"/>
          <w:szCs w:val="24"/>
        </w:rPr>
        <w:t>el costo</w:t>
      </w:r>
      <w:r w:rsidR="00267967" w:rsidRPr="00E01CE3">
        <w:rPr>
          <w:rFonts w:ascii="Book Antiqua" w:eastAsia="Calibri" w:hAnsi="Book Antiqua" w:cs="Arial"/>
          <w:sz w:val="24"/>
          <w:szCs w:val="24"/>
        </w:rPr>
        <w:t xml:space="preserve"> de </w:t>
      </w:r>
      <w:r w:rsidR="006B18DE" w:rsidRPr="00E01CE3">
        <w:rPr>
          <w:rFonts w:ascii="Book Antiqua" w:eastAsia="Calibri" w:hAnsi="Book Antiqua" w:cs="Arial"/>
          <w:sz w:val="24"/>
          <w:szCs w:val="24"/>
        </w:rPr>
        <w:t>7</w:t>
      </w:r>
      <w:r w:rsidR="004A6CA2" w:rsidRPr="00E01CE3">
        <w:rPr>
          <w:rFonts w:ascii="Book Antiqua" w:eastAsia="Calibri" w:hAnsi="Book Antiqua" w:cs="Arial"/>
          <w:sz w:val="24"/>
          <w:szCs w:val="24"/>
        </w:rPr>
        <w:t xml:space="preserve"> plazas</w:t>
      </w:r>
      <w:r w:rsidR="00653697" w:rsidRPr="00E01CE3">
        <w:rPr>
          <w:rFonts w:ascii="Book Antiqua" w:eastAsia="Calibri" w:hAnsi="Book Antiqua" w:cs="Arial"/>
          <w:sz w:val="24"/>
          <w:szCs w:val="24"/>
        </w:rPr>
        <w:t xml:space="preserve"> nuevas </w:t>
      </w:r>
      <w:r w:rsidR="00827DDE" w:rsidRPr="00E01CE3">
        <w:rPr>
          <w:rFonts w:ascii="Book Antiqua" w:eastAsia="Calibri" w:hAnsi="Book Antiqua" w:cs="Arial"/>
          <w:sz w:val="24"/>
          <w:szCs w:val="24"/>
        </w:rPr>
        <w:t>adicionales</w:t>
      </w:r>
      <w:r w:rsidR="00301803" w:rsidRPr="00E01CE3">
        <w:rPr>
          <w:rFonts w:ascii="Book Antiqua" w:eastAsia="Calibri" w:hAnsi="Book Antiqua" w:cs="Arial"/>
          <w:sz w:val="24"/>
          <w:szCs w:val="24"/>
        </w:rPr>
        <w:t xml:space="preserve"> al cálculo indicado en el oficio 982-DE-2022</w:t>
      </w:r>
      <w:r w:rsidR="004A6CA2" w:rsidRPr="00E01CE3">
        <w:rPr>
          <w:rFonts w:ascii="Book Antiqua" w:eastAsia="Calibri" w:hAnsi="Book Antiqua" w:cs="Arial"/>
          <w:sz w:val="24"/>
          <w:szCs w:val="24"/>
        </w:rPr>
        <w:t xml:space="preserve"> (</w:t>
      </w:r>
      <w:r w:rsidR="000843DA" w:rsidRPr="00E01CE3">
        <w:rPr>
          <w:rFonts w:ascii="Book Antiqua" w:eastAsia="Calibri" w:hAnsi="Book Antiqua" w:cs="Arial"/>
          <w:sz w:val="24"/>
          <w:szCs w:val="24"/>
        </w:rPr>
        <w:t xml:space="preserve">una para el </w:t>
      </w:r>
      <w:r w:rsidR="00827DDE" w:rsidRPr="00E01CE3">
        <w:rPr>
          <w:rFonts w:ascii="Book Antiqua" w:eastAsia="Calibri" w:hAnsi="Book Antiqua" w:cs="Arial"/>
          <w:sz w:val="24"/>
          <w:szCs w:val="24"/>
        </w:rPr>
        <w:t>Contravencional de P</w:t>
      </w:r>
      <w:r w:rsidR="004A6CA2" w:rsidRPr="00E01CE3">
        <w:rPr>
          <w:rFonts w:ascii="Book Antiqua" w:eastAsia="Calibri" w:hAnsi="Book Antiqua" w:cs="Arial"/>
          <w:sz w:val="24"/>
          <w:szCs w:val="24"/>
        </w:rPr>
        <w:t xml:space="preserve">araíso y </w:t>
      </w:r>
      <w:r w:rsidR="006B18DE" w:rsidRPr="00E01CE3">
        <w:rPr>
          <w:rFonts w:ascii="Book Antiqua" w:eastAsia="Calibri" w:hAnsi="Book Antiqua" w:cs="Arial"/>
          <w:sz w:val="24"/>
          <w:szCs w:val="24"/>
        </w:rPr>
        <w:t>6</w:t>
      </w:r>
      <w:r w:rsidR="004A6CA2" w:rsidRPr="00E01CE3">
        <w:rPr>
          <w:rFonts w:ascii="Book Antiqua" w:eastAsia="Calibri" w:hAnsi="Book Antiqua" w:cs="Arial"/>
          <w:sz w:val="24"/>
          <w:szCs w:val="24"/>
        </w:rPr>
        <w:t xml:space="preserve"> </w:t>
      </w:r>
      <w:r w:rsidR="00827DDE" w:rsidRPr="00E01CE3">
        <w:rPr>
          <w:rFonts w:ascii="Book Antiqua" w:eastAsia="Calibri" w:hAnsi="Book Antiqua" w:cs="Arial"/>
          <w:sz w:val="24"/>
          <w:szCs w:val="24"/>
        </w:rPr>
        <w:t xml:space="preserve">puestos </w:t>
      </w:r>
      <w:r w:rsidR="006B2DA9" w:rsidRPr="00E01CE3">
        <w:rPr>
          <w:rFonts w:ascii="Book Antiqua" w:eastAsia="Calibri" w:hAnsi="Book Antiqua" w:cs="Arial"/>
          <w:sz w:val="24"/>
          <w:szCs w:val="24"/>
        </w:rPr>
        <w:t xml:space="preserve">más </w:t>
      </w:r>
      <w:r w:rsidR="00827DDE" w:rsidRPr="00E01CE3">
        <w:rPr>
          <w:rFonts w:ascii="Book Antiqua" w:eastAsia="Calibri" w:hAnsi="Book Antiqua" w:cs="Arial"/>
          <w:sz w:val="24"/>
          <w:szCs w:val="24"/>
        </w:rPr>
        <w:t>de</w:t>
      </w:r>
      <w:r w:rsidR="006B2DA9" w:rsidRPr="00E01CE3">
        <w:rPr>
          <w:rFonts w:ascii="Book Antiqua" w:eastAsia="Calibri" w:hAnsi="Book Antiqua" w:cs="Arial"/>
          <w:sz w:val="24"/>
          <w:szCs w:val="24"/>
        </w:rPr>
        <w:t xml:space="preserve"> persona</w:t>
      </w:r>
      <w:r w:rsidR="00827DDE" w:rsidRPr="00E01CE3">
        <w:rPr>
          <w:rFonts w:ascii="Book Antiqua" w:eastAsia="Calibri" w:hAnsi="Book Antiqua" w:cs="Arial"/>
          <w:sz w:val="24"/>
          <w:szCs w:val="24"/>
        </w:rPr>
        <w:t xml:space="preserve"> Técnico Judicial </w:t>
      </w:r>
      <w:r w:rsidR="006B18DE" w:rsidRPr="00E01CE3">
        <w:rPr>
          <w:rFonts w:ascii="Book Antiqua" w:eastAsia="Calibri" w:hAnsi="Book Antiqua" w:cs="Arial"/>
          <w:sz w:val="24"/>
          <w:szCs w:val="24"/>
        </w:rPr>
        <w:t xml:space="preserve">de Trámite </w:t>
      </w:r>
      <w:r w:rsidR="00827DDE" w:rsidRPr="00E01CE3">
        <w:rPr>
          <w:rFonts w:ascii="Book Antiqua" w:eastAsia="Calibri" w:hAnsi="Book Antiqua" w:cs="Arial"/>
          <w:sz w:val="24"/>
          <w:szCs w:val="24"/>
        </w:rPr>
        <w:t xml:space="preserve">para Violencia Doméstica, </w:t>
      </w:r>
      <w:r w:rsidR="00301803" w:rsidRPr="00E01CE3">
        <w:rPr>
          <w:rFonts w:ascii="Book Antiqua" w:eastAsia="Calibri" w:hAnsi="Book Antiqua" w:cs="Arial"/>
          <w:sz w:val="24"/>
          <w:szCs w:val="24"/>
        </w:rPr>
        <w:t xml:space="preserve">de las cuales </w:t>
      </w:r>
      <w:r w:rsidR="006B2DA9" w:rsidRPr="00E01CE3">
        <w:rPr>
          <w:rFonts w:ascii="Book Antiqua" w:eastAsia="Calibri" w:hAnsi="Book Antiqua" w:cs="Arial"/>
          <w:sz w:val="24"/>
          <w:szCs w:val="24"/>
        </w:rPr>
        <w:t>se estima necesario proyectar un costo adicional</w:t>
      </w:r>
      <w:r w:rsidR="006B18DE" w:rsidRPr="00E01CE3">
        <w:rPr>
          <w:rFonts w:ascii="Book Antiqua" w:eastAsia="Calibri" w:hAnsi="Book Antiqua" w:cs="Arial"/>
          <w:sz w:val="24"/>
          <w:szCs w:val="24"/>
        </w:rPr>
        <w:t xml:space="preserve"> de </w:t>
      </w:r>
      <w:r w:rsidR="00A96205" w:rsidRPr="00E01CE3">
        <w:rPr>
          <w:rFonts w:ascii="Times New Roman" w:eastAsia="Calibri" w:hAnsi="Times New Roman" w:cs="Times New Roman"/>
          <w:sz w:val="24"/>
          <w:szCs w:val="24"/>
        </w:rPr>
        <w:t>₡</w:t>
      </w:r>
      <w:r w:rsidR="00FC108F" w:rsidRPr="00E01CE3">
        <w:rPr>
          <w:rFonts w:ascii="Book Antiqua" w:eastAsia="Calibri" w:hAnsi="Book Antiqua" w:cs="Arial"/>
          <w:sz w:val="24"/>
          <w:szCs w:val="24"/>
        </w:rPr>
        <w:t>1</w:t>
      </w:r>
      <w:r w:rsidR="00A96205" w:rsidRPr="00E01CE3">
        <w:rPr>
          <w:rFonts w:ascii="Book Antiqua" w:eastAsia="Calibri" w:hAnsi="Book Antiqua" w:cs="Arial"/>
          <w:sz w:val="24"/>
          <w:szCs w:val="24"/>
        </w:rPr>
        <w:t>,</w:t>
      </w:r>
      <w:r w:rsidR="00FC108F" w:rsidRPr="00E01CE3">
        <w:rPr>
          <w:rFonts w:ascii="Book Antiqua" w:eastAsia="Calibri" w:hAnsi="Book Antiqua" w:cs="Arial"/>
          <w:sz w:val="24"/>
          <w:szCs w:val="24"/>
        </w:rPr>
        <w:t>714</w:t>
      </w:r>
      <w:r w:rsidR="00A96205" w:rsidRPr="00E01CE3">
        <w:rPr>
          <w:rFonts w:ascii="Book Antiqua" w:eastAsia="Calibri" w:hAnsi="Book Antiqua" w:cs="Arial"/>
          <w:sz w:val="24"/>
          <w:szCs w:val="24"/>
        </w:rPr>
        <w:t>,</w:t>
      </w:r>
      <w:r w:rsidR="00FC108F" w:rsidRPr="00E01CE3">
        <w:rPr>
          <w:rFonts w:ascii="Book Antiqua" w:eastAsia="Calibri" w:hAnsi="Book Antiqua" w:cs="Arial"/>
          <w:sz w:val="24"/>
          <w:szCs w:val="24"/>
        </w:rPr>
        <w:t>904</w:t>
      </w:r>
      <w:r w:rsidR="00A96205" w:rsidRPr="00E01CE3">
        <w:rPr>
          <w:rFonts w:ascii="Book Antiqua" w:eastAsia="Calibri" w:hAnsi="Book Antiqua" w:cs="Arial"/>
          <w:sz w:val="24"/>
          <w:szCs w:val="24"/>
        </w:rPr>
        <w:t>.00,</w:t>
      </w:r>
      <w:r w:rsidR="00D943C7" w:rsidRPr="00E01CE3">
        <w:rPr>
          <w:rFonts w:ascii="Book Antiqua" w:eastAsia="Calibri" w:hAnsi="Book Antiqua" w:cs="Arial"/>
          <w:sz w:val="24"/>
          <w:szCs w:val="24"/>
        </w:rPr>
        <w:t xml:space="preserve"> para un total de</w:t>
      </w:r>
      <w:r w:rsidR="00FC108F" w:rsidRPr="00E01CE3">
        <w:rPr>
          <w:rFonts w:ascii="Book Antiqua" w:eastAsia="Calibri" w:hAnsi="Book Antiqua" w:cs="Arial"/>
          <w:sz w:val="24"/>
          <w:szCs w:val="24"/>
        </w:rPr>
        <w:t xml:space="preserve"> </w:t>
      </w:r>
      <w:r w:rsidR="00FC108F" w:rsidRPr="00E01CE3">
        <w:rPr>
          <w:rFonts w:ascii="Times New Roman" w:eastAsia="Calibri" w:hAnsi="Times New Roman" w:cs="Times New Roman"/>
          <w:sz w:val="24"/>
          <w:szCs w:val="24"/>
        </w:rPr>
        <w:t>₡</w:t>
      </w:r>
      <w:r w:rsidR="00FC108F" w:rsidRPr="00E01CE3">
        <w:rPr>
          <w:rFonts w:ascii="Book Antiqua" w:eastAsia="Calibri" w:hAnsi="Book Antiqua" w:cs="Arial"/>
          <w:sz w:val="24"/>
          <w:szCs w:val="24"/>
        </w:rPr>
        <w:t>8,084,549.00.</w:t>
      </w:r>
    </w:p>
    <w:p w14:paraId="65E58BF7" w14:textId="77777777" w:rsidR="008C20AB" w:rsidRPr="00E01CE3" w:rsidRDefault="008C20AB" w:rsidP="008C20AB">
      <w:pPr>
        <w:spacing w:after="0" w:line="276" w:lineRule="auto"/>
        <w:jc w:val="both"/>
        <w:rPr>
          <w:rFonts w:ascii="Book Antiqua" w:eastAsia="Calibri" w:hAnsi="Book Antiqua" w:cs="Arial"/>
          <w:sz w:val="24"/>
          <w:szCs w:val="24"/>
        </w:rPr>
      </w:pPr>
    </w:p>
    <w:p w14:paraId="32375F1E" w14:textId="6282E855" w:rsidR="008C20AB" w:rsidRPr="006F6088" w:rsidRDefault="008C20AB" w:rsidP="008C20AB">
      <w:p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Aprobar la inclusión también del presupuesto requerido por la Dirección de Tecnología de la Información para la adquisición equipo de cómputo de las plazas nuevas, licencias y diseño sitio web de la Comisión de Familia asciende a </w:t>
      </w:r>
      <w:r w:rsidRPr="00E01CE3">
        <w:rPr>
          <w:rFonts w:ascii="Times New Roman" w:eastAsia="Calibri" w:hAnsi="Times New Roman" w:cs="Times New Roman"/>
          <w:sz w:val="24"/>
          <w:szCs w:val="24"/>
        </w:rPr>
        <w:t>₡</w:t>
      </w:r>
      <w:r w:rsidRPr="00E01CE3">
        <w:rPr>
          <w:rFonts w:ascii="Book Antiqua" w:eastAsia="Calibri" w:hAnsi="Book Antiqua" w:cs="Arial"/>
          <w:sz w:val="24"/>
          <w:szCs w:val="24"/>
        </w:rPr>
        <w:t xml:space="preserve">37 808 051,80. </w:t>
      </w:r>
      <w:r w:rsidR="00FC108F" w:rsidRPr="00E01CE3">
        <w:rPr>
          <w:rFonts w:ascii="Book Antiqua" w:eastAsia="Calibri" w:hAnsi="Book Antiqua" w:cs="Arial"/>
          <w:sz w:val="24"/>
          <w:szCs w:val="24"/>
        </w:rPr>
        <w:t xml:space="preserve">Sin embargo, esta Dirección </w:t>
      </w:r>
      <w:r w:rsidR="009D03B5" w:rsidRPr="00E01CE3">
        <w:rPr>
          <w:rFonts w:ascii="Book Antiqua" w:eastAsia="Calibri" w:hAnsi="Book Antiqua" w:cs="Arial"/>
          <w:sz w:val="24"/>
          <w:szCs w:val="24"/>
        </w:rPr>
        <w:t xml:space="preserve">visualiza </w:t>
      </w:r>
      <w:r w:rsidR="00FC108F" w:rsidRPr="00E01CE3">
        <w:rPr>
          <w:rFonts w:ascii="Book Antiqua" w:eastAsia="Calibri" w:hAnsi="Book Antiqua" w:cs="Arial"/>
          <w:sz w:val="24"/>
          <w:szCs w:val="24"/>
        </w:rPr>
        <w:t xml:space="preserve">la necesidad de siete equipos adicionales (un equipo para el Juzgado Contravencional de Paraíso y seis equipos distribuidos para Juzgados de Violencia de </w:t>
      </w:r>
      <w:r w:rsidR="00D220ED" w:rsidRPr="00E01CE3">
        <w:rPr>
          <w:rFonts w:ascii="Book Antiqua" w:eastAsia="Calibri" w:hAnsi="Book Antiqua" w:cs="Arial"/>
          <w:sz w:val="24"/>
          <w:szCs w:val="24"/>
        </w:rPr>
        <w:t xml:space="preserve">Goicoechea(3), San Carlos (1), Pérez Zeledón (1), </w:t>
      </w:r>
      <w:r w:rsidR="0014286C" w:rsidRPr="00E01CE3">
        <w:rPr>
          <w:rFonts w:ascii="Book Antiqua" w:eastAsia="Calibri" w:hAnsi="Book Antiqua" w:cs="Arial"/>
          <w:sz w:val="24"/>
          <w:szCs w:val="24"/>
        </w:rPr>
        <w:t xml:space="preserve">Pococí (1)); por lo cual se proyecta un costo adicional de </w:t>
      </w:r>
      <w:r w:rsidR="0014286C" w:rsidRPr="00E01CE3">
        <w:rPr>
          <w:rFonts w:ascii="Times New Roman" w:eastAsia="Calibri" w:hAnsi="Times New Roman" w:cs="Times New Roman"/>
          <w:sz w:val="24"/>
          <w:szCs w:val="24"/>
        </w:rPr>
        <w:t>₡</w:t>
      </w:r>
      <w:r w:rsidR="0014286C" w:rsidRPr="00E01CE3">
        <w:rPr>
          <w:rFonts w:ascii="Book Antiqua" w:eastAsia="Calibri" w:hAnsi="Book Antiqua" w:cs="Arial"/>
          <w:sz w:val="24"/>
          <w:szCs w:val="24"/>
        </w:rPr>
        <w:t xml:space="preserve">8,724,935.00, para un costo total de </w:t>
      </w:r>
      <w:r w:rsidR="0014286C" w:rsidRPr="00E01CE3">
        <w:rPr>
          <w:rFonts w:ascii="Times New Roman" w:eastAsia="Calibri" w:hAnsi="Times New Roman" w:cs="Times New Roman"/>
          <w:sz w:val="24"/>
          <w:szCs w:val="24"/>
        </w:rPr>
        <w:t>₡46</w:t>
      </w:r>
      <w:r w:rsidR="0014286C" w:rsidRPr="00E01CE3">
        <w:rPr>
          <w:rFonts w:ascii="Book Antiqua" w:eastAsia="Calibri" w:hAnsi="Book Antiqua" w:cs="Arial"/>
          <w:sz w:val="24"/>
          <w:szCs w:val="24"/>
        </w:rPr>
        <w:t>,532,987.00,</w:t>
      </w:r>
    </w:p>
    <w:p w14:paraId="1148DA51" w14:textId="77777777" w:rsidR="008C20AB" w:rsidRPr="006F6088" w:rsidRDefault="008C20AB" w:rsidP="008C20AB">
      <w:pPr>
        <w:spacing w:after="0" w:line="276" w:lineRule="auto"/>
        <w:jc w:val="both"/>
        <w:rPr>
          <w:rFonts w:ascii="Book Antiqua" w:eastAsia="Calibri" w:hAnsi="Book Antiqua" w:cs="Arial"/>
          <w:sz w:val="24"/>
          <w:szCs w:val="24"/>
        </w:rPr>
      </w:pPr>
    </w:p>
    <w:p w14:paraId="32EC15CA" w14:textId="1B52A81D" w:rsidR="008C20AB" w:rsidRPr="006F6088" w:rsidRDefault="008C20AB" w:rsidP="008C20A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Y para e</w:t>
      </w:r>
      <w:r w:rsidRPr="006F6088">
        <w:rPr>
          <w:rFonts w:ascii="Book Antiqua" w:eastAsia="Calibri" w:hAnsi="Book Antiqua" w:cs="Arial"/>
          <w:sz w:val="24"/>
          <w:szCs w:val="24"/>
        </w:rPr>
        <w:t xml:space="preserve">l proceso de capacitación, implementación y seguimiento de la aplicación de la nueva ley por parte de la </w:t>
      </w:r>
      <w:r w:rsidRPr="001D0C10">
        <w:rPr>
          <w:rFonts w:ascii="Book Antiqua" w:eastAsia="Calibri" w:hAnsi="Book Antiqua" w:cs="Arial"/>
          <w:sz w:val="24"/>
          <w:szCs w:val="24"/>
        </w:rPr>
        <w:t>Escuela Judicial</w:t>
      </w:r>
      <w:r w:rsidRPr="006F6088">
        <w:rPr>
          <w:rFonts w:ascii="Book Antiqua" w:eastAsia="Calibri" w:hAnsi="Book Antiqua" w:cs="Arial"/>
          <w:sz w:val="24"/>
          <w:szCs w:val="24"/>
        </w:rPr>
        <w:t xml:space="preserve"> </w:t>
      </w:r>
      <w:r>
        <w:rPr>
          <w:rFonts w:ascii="Book Antiqua" w:eastAsia="Calibri" w:hAnsi="Book Antiqua" w:cs="Arial"/>
          <w:sz w:val="24"/>
          <w:szCs w:val="24"/>
        </w:rPr>
        <w:t xml:space="preserve">y de viáticos </w:t>
      </w:r>
      <w:r w:rsidRPr="006F6088">
        <w:rPr>
          <w:rFonts w:ascii="Book Antiqua" w:eastAsia="Calibri" w:hAnsi="Book Antiqua" w:cs="Arial"/>
          <w:sz w:val="24"/>
          <w:szCs w:val="24"/>
        </w:rPr>
        <w:t xml:space="preserve">se estima en </w:t>
      </w:r>
      <w:r w:rsidRPr="00D76695">
        <w:rPr>
          <w:rFonts w:ascii="Times New Roman" w:eastAsia="Calibri" w:hAnsi="Times New Roman" w:cs="Times New Roman"/>
          <w:sz w:val="24"/>
          <w:szCs w:val="24"/>
        </w:rPr>
        <w:t>₡</w:t>
      </w:r>
      <w:r w:rsidRPr="00127FDC">
        <w:rPr>
          <w:rFonts w:ascii="Book Antiqua" w:eastAsia="Calibri" w:hAnsi="Book Antiqua" w:cs="Arial"/>
          <w:sz w:val="24"/>
          <w:szCs w:val="24"/>
        </w:rPr>
        <w:t xml:space="preserve"> 211</w:t>
      </w:r>
      <w:r>
        <w:rPr>
          <w:rFonts w:ascii="Book Antiqua" w:eastAsia="Calibri" w:hAnsi="Book Antiqua" w:cs="Arial"/>
          <w:sz w:val="24"/>
          <w:szCs w:val="24"/>
        </w:rPr>
        <w:t xml:space="preserve"> 650 </w:t>
      </w:r>
      <w:r w:rsidRPr="006F6088">
        <w:rPr>
          <w:rFonts w:ascii="Book Antiqua" w:eastAsia="Calibri" w:hAnsi="Book Antiqua" w:cs="Arial"/>
          <w:sz w:val="24"/>
          <w:szCs w:val="24"/>
        </w:rPr>
        <w:t>0</w:t>
      </w:r>
      <w:r>
        <w:rPr>
          <w:rFonts w:ascii="Book Antiqua" w:eastAsia="Calibri" w:hAnsi="Book Antiqua" w:cs="Arial"/>
          <w:sz w:val="24"/>
          <w:szCs w:val="24"/>
        </w:rPr>
        <w:t>48</w:t>
      </w:r>
      <w:r w:rsidRPr="006F6088">
        <w:rPr>
          <w:rFonts w:ascii="Book Antiqua" w:eastAsia="Calibri" w:hAnsi="Book Antiqua" w:cs="Arial"/>
          <w:sz w:val="24"/>
          <w:szCs w:val="24"/>
        </w:rPr>
        <w:t>.00 según el requerimiento y plan de capacitación de la Escuela Judicial en modalidad virtual-presencial para 202</w:t>
      </w:r>
      <w:r>
        <w:rPr>
          <w:rFonts w:ascii="Book Antiqua" w:eastAsia="Calibri" w:hAnsi="Book Antiqua" w:cs="Arial"/>
          <w:sz w:val="24"/>
          <w:szCs w:val="24"/>
        </w:rPr>
        <w:t>3</w:t>
      </w:r>
      <w:r w:rsidRPr="006F6088">
        <w:rPr>
          <w:rFonts w:ascii="Book Antiqua" w:eastAsia="Calibri" w:hAnsi="Book Antiqua" w:cs="Arial"/>
          <w:sz w:val="24"/>
          <w:szCs w:val="24"/>
        </w:rPr>
        <w:t>.</w:t>
      </w:r>
    </w:p>
    <w:p w14:paraId="260CC159" w14:textId="77777777" w:rsidR="008C20AB" w:rsidRPr="006F6088" w:rsidRDefault="008C20AB" w:rsidP="008C20AB">
      <w:pPr>
        <w:spacing w:after="0" w:line="276" w:lineRule="auto"/>
        <w:jc w:val="both"/>
        <w:rPr>
          <w:rFonts w:ascii="Book Antiqua" w:eastAsia="Calibri" w:hAnsi="Book Antiqua" w:cs="Arial"/>
          <w:sz w:val="24"/>
          <w:szCs w:val="24"/>
        </w:rPr>
      </w:pPr>
    </w:p>
    <w:p w14:paraId="52623A70" w14:textId="0AA8FE63" w:rsidR="008C20AB" w:rsidRPr="00E01CE3" w:rsidRDefault="008C20AB" w:rsidP="008C20AB">
      <w:pPr>
        <w:spacing w:after="0" w:line="276" w:lineRule="auto"/>
        <w:jc w:val="both"/>
        <w:rPr>
          <w:rFonts w:ascii="Book Antiqua" w:eastAsia="Calibri" w:hAnsi="Book Antiqua" w:cs="Arial"/>
          <w:sz w:val="24"/>
          <w:szCs w:val="24"/>
        </w:rPr>
      </w:pPr>
      <w:r>
        <w:rPr>
          <w:rFonts w:ascii="Book Antiqua" w:eastAsia="Calibri" w:hAnsi="Book Antiqua" w:cs="Arial"/>
          <w:sz w:val="24"/>
          <w:szCs w:val="24"/>
        </w:rPr>
        <w:t>Aprobar para 2023, la incorporación de</w:t>
      </w:r>
      <w:r w:rsidRPr="006F6088">
        <w:rPr>
          <w:rFonts w:ascii="Book Antiqua" w:eastAsia="Calibri" w:hAnsi="Book Antiqua" w:cs="Arial"/>
          <w:sz w:val="24"/>
          <w:szCs w:val="24"/>
        </w:rPr>
        <w:t xml:space="preserve"> </w:t>
      </w:r>
      <w:r w:rsidRPr="006F6088">
        <w:rPr>
          <w:rFonts w:ascii="Times New Roman" w:eastAsia="Calibri" w:hAnsi="Times New Roman" w:cs="Times New Roman"/>
          <w:sz w:val="24"/>
          <w:szCs w:val="24"/>
        </w:rPr>
        <w:t>₡</w:t>
      </w:r>
      <w:r>
        <w:rPr>
          <w:rFonts w:ascii="Book Antiqua" w:eastAsia="Calibri" w:hAnsi="Book Antiqua" w:cs="Arial"/>
          <w:sz w:val="24"/>
          <w:szCs w:val="24"/>
        </w:rPr>
        <w:t>6</w:t>
      </w:r>
      <w:r w:rsidRPr="006F6088">
        <w:rPr>
          <w:rFonts w:ascii="Book Antiqua" w:eastAsia="Calibri" w:hAnsi="Book Antiqua" w:cs="Arial"/>
          <w:sz w:val="24"/>
          <w:szCs w:val="24"/>
        </w:rPr>
        <w:t xml:space="preserve">0,000,000.00 para el pago de peritajes por </w:t>
      </w:r>
      <w:r w:rsidRPr="00E01CE3">
        <w:rPr>
          <w:rFonts w:ascii="Book Antiqua" w:eastAsia="Calibri" w:hAnsi="Book Antiqua" w:cs="Arial"/>
          <w:sz w:val="24"/>
          <w:szCs w:val="24"/>
        </w:rPr>
        <w:t xml:space="preserve">parte del Departamento de Trabajo Social y Psicología que corresponden 30 millones para la materia de Familia y 30 millones para Violencia Doméstica. </w:t>
      </w:r>
    </w:p>
    <w:p w14:paraId="1D68C2FD" w14:textId="77777777" w:rsidR="008C20AB" w:rsidRPr="00E01CE3" w:rsidRDefault="008C20AB" w:rsidP="008C20AB">
      <w:pPr>
        <w:spacing w:after="0" w:line="276" w:lineRule="auto"/>
        <w:jc w:val="both"/>
        <w:rPr>
          <w:rFonts w:ascii="Book Antiqua" w:eastAsia="Calibri" w:hAnsi="Book Antiqua" w:cs="Arial"/>
          <w:sz w:val="24"/>
          <w:szCs w:val="24"/>
        </w:rPr>
      </w:pPr>
    </w:p>
    <w:p w14:paraId="14578D28" w14:textId="657F950D" w:rsidR="00917EA1" w:rsidRPr="00E01CE3" w:rsidRDefault="00917EA1" w:rsidP="00917EA1">
      <w:pPr>
        <w:spacing w:after="0" w:line="276" w:lineRule="auto"/>
        <w:jc w:val="both"/>
        <w:rPr>
          <w:rFonts w:ascii="Book Antiqua" w:eastAsia="Calibri" w:hAnsi="Book Antiqua" w:cs="Arial"/>
          <w:sz w:val="24"/>
          <w:szCs w:val="24"/>
        </w:rPr>
      </w:pPr>
      <w:r w:rsidRPr="00E01CE3">
        <w:rPr>
          <w:rFonts w:ascii="Book Antiqua" w:eastAsia="Calibri" w:hAnsi="Book Antiqua" w:cs="Arial"/>
          <w:sz w:val="24"/>
          <w:szCs w:val="24"/>
        </w:rPr>
        <w:t xml:space="preserve"> El costo de la implementación inicial del Código Procesal de Familia para el 202</w:t>
      </w:r>
      <w:r w:rsidR="0099763E" w:rsidRPr="00E01CE3">
        <w:rPr>
          <w:rFonts w:ascii="Book Antiqua" w:eastAsia="Calibri" w:hAnsi="Book Antiqua" w:cs="Arial"/>
          <w:sz w:val="24"/>
          <w:szCs w:val="24"/>
        </w:rPr>
        <w:t>3</w:t>
      </w:r>
      <w:r w:rsidRPr="00E01CE3">
        <w:rPr>
          <w:rFonts w:ascii="Book Antiqua" w:eastAsia="Calibri" w:hAnsi="Book Antiqua" w:cs="Arial"/>
          <w:sz w:val="24"/>
          <w:szCs w:val="24"/>
        </w:rPr>
        <w:t xml:space="preserve">, se estima </w:t>
      </w:r>
      <w:r w:rsidRPr="0062749F">
        <w:rPr>
          <w:rFonts w:ascii="Book Antiqua" w:eastAsia="Calibri" w:hAnsi="Book Antiqua" w:cs="Arial"/>
          <w:sz w:val="24"/>
          <w:szCs w:val="24"/>
        </w:rPr>
        <w:t xml:space="preserve">en </w:t>
      </w:r>
      <w:r w:rsidR="008C20AB" w:rsidRPr="0062749F">
        <w:rPr>
          <w:rFonts w:ascii="Times New Roman" w:eastAsia="Calibri" w:hAnsi="Times New Roman" w:cs="Times New Roman"/>
          <w:b/>
          <w:bCs/>
          <w:sz w:val="24"/>
          <w:szCs w:val="24"/>
        </w:rPr>
        <w:t>₡</w:t>
      </w:r>
      <w:r w:rsidR="00A35CF7" w:rsidRPr="0062749F">
        <w:rPr>
          <w:rFonts w:ascii="Book Antiqua" w:eastAsia="Calibri" w:hAnsi="Book Antiqua" w:cs="Arial"/>
          <w:b/>
          <w:bCs/>
          <w:sz w:val="24"/>
          <w:szCs w:val="24"/>
        </w:rPr>
        <w:t>1,5</w:t>
      </w:r>
      <w:r w:rsidR="00C926BC" w:rsidRPr="0062749F">
        <w:rPr>
          <w:rFonts w:ascii="Book Antiqua" w:eastAsia="Calibri" w:hAnsi="Book Antiqua" w:cs="Arial"/>
          <w:b/>
          <w:bCs/>
          <w:sz w:val="24"/>
          <w:szCs w:val="24"/>
        </w:rPr>
        <w:t>6</w:t>
      </w:r>
      <w:r w:rsidR="00BA5F48" w:rsidRPr="0062749F">
        <w:rPr>
          <w:rFonts w:ascii="Book Antiqua" w:eastAsia="Calibri" w:hAnsi="Book Antiqua" w:cs="Arial"/>
          <w:b/>
          <w:bCs/>
          <w:sz w:val="24"/>
          <w:szCs w:val="24"/>
        </w:rPr>
        <w:t>5</w:t>
      </w:r>
      <w:r w:rsidR="00A35CF7" w:rsidRPr="0062749F">
        <w:rPr>
          <w:rFonts w:ascii="Book Antiqua" w:eastAsia="Calibri" w:hAnsi="Book Antiqua" w:cs="Arial"/>
          <w:b/>
          <w:bCs/>
          <w:sz w:val="24"/>
          <w:szCs w:val="24"/>
        </w:rPr>
        <w:t>,</w:t>
      </w:r>
      <w:r w:rsidR="00BA5F48" w:rsidRPr="0062749F">
        <w:rPr>
          <w:rFonts w:ascii="Book Antiqua" w:eastAsia="Calibri" w:hAnsi="Book Antiqua" w:cs="Arial"/>
          <w:b/>
          <w:bCs/>
          <w:sz w:val="24"/>
          <w:szCs w:val="24"/>
        </w:rPr>
        <w:t>4</w:t>
      </w:r>
      <w:r w:rsidR="00C926BC" w:rsidRPr="0062749F">
        <w:rPr>
          <w:rFonts w:ascii="Book Antiqua" w:eastAsia="Calibri" w:hAnsi="Book Antiqua" w:cs="Arial"/>
          <w:b/>
          <w:bCs/>
          <w:sz w:val="24"/>
          <w:szCs w:val="24"/>
        </w:rPr>
        <w:t>55</w:t>
      </w:r>
      <w:r w:rsidR="00A35CF7" w:rsidRPr="0062749F">
        <w:rPr>
          <w:rFonts w:ascii="Book Antiqua" w:eastAsia="Calibri" w:hAnsi="Book Antiqua" w:cs="Arial"/>
          <w:b/>
          <w:bCs/>
          <w:sz w:val="24"/>
          <w:szCs w:val="24"/>
        </w:rPr>
        <w:t>,</w:t>
      </w:r>
      <w:r w:rsidR="00BA5F48" w:rsidRPr="0062749F">
        <w:rPr>
          <w:rFonts w:ascii="Book Antiqua" w:eastAsia="Calibri" w:hAnsi="Book Antiqua" w:cs="Arial"/>
          <w:b/>
          <w:bCs/>
          <w:sz w:val="24"/>
          <w:szCs w:val="24"/>
        </w:rPr>
        <w:t>6</w:t>
      </w:r>
      <w:r w:rsidR="00C926BC" w:rsidRPr="0062749F">
        <w:rPr>
          <w:rFonts w:ascii="Book Antiqua" w:eastAsia="Calibri" w:hAnsi="Book Antiqua" w:cs="Arial"/>
          <w:b/>
          <w:bCs/>
          <w:sz w:val="24"/>
          <w:szCs w:val="24"/>
        </w:rPr>
        <w:t>1</w:t>
      </w:r>
      <w:r w:rsidR="00BA5F48" w:rsidRPr="0062749F">
        <w:rPr>
          <w:rFonts w:ascii="Book Antiqua" w:eastAsia="Calibri" w:hAnsi="Book Antiqua" w:cs="Arial"/>
          <w:b/>
          <w:bCs/>
          <w:sz w:val="24"/>
          <w:szCs w:val="24"/>
        </w:rPr>
        <w:t>8</w:t>
      </w:r>
      <w:r w:rsidR="00A35CF7" w:rsidRPr="0062749F">
        <w:rPr>
          <w:rFonts w:ascii="Book Antiqua" w:eastAsia="Calibri" w:hAnsi="Book Antiqua" w:cs="Arial"/>
          <w:b/>
          <w:bCs/>
          <w:sz w:val="24"/>
          <w:szCs w:val="24"/>
        </w:rPr>
        <w:t>.00</w:t>
      </w:r>
      <w:r w:rsidR="00A35CF7" w:rsidRPr="0062749F">
        <w:rPr>
          <w:rFonts w:ascii="Book Antiqua" w:eastAsia="Calibri" w:hAnsi="Book Antiqua" w:cs="Arial"/>
          <w:sz w:val="24"/>
          <w:szCs w:val="24"/>
        </w:rPr>
        <w:t xml:space="preserve"> </w:t>
      </w:r>
      <w:r w:rsidRPr="0062749F">
        <w:rPr>
          <w:rFonts w:ascii="Book Antiqua" w:eastAsia="Calibri" w:hAnsi="Book Antiqua" w:cs="Arial"/>
          <w:sz w:val="24"/>
          <w:szCs w:val="24"/>
        </w:rPr>
        <w:t>con</w:t>
      </w:r>
      <w:r w:rsidRPr="00E01CE3">
        <w:rPr>
          <w:rFonts w:ascii="Book Antiqua" w:eastAsia="Calibri" w:hAnsi="Book Antiqua" w:cs="Arial"/>
          <w:sz w:val="24"/>
          <w:szCs w:val="24"/>
        </w:rPr>
        <w:t xml:space="preserve"> el siguiente detalle por programa.</w:t>
      </w:r>
    </w:p>
    <w:p w14:paraId="32B84BDF" w14:textId="77777777" w:rsidR="00B4675B" w:rsidRPr="00E01CE3" w:rsidRDefault="00B4675B" w:rsidP="00917EA1">
      <w:pPr>
        <w:spacing w:after="0" w:line="276" w:lineRule="auto"/>
        <w:jc w:val="both"/>
        <w:rPr>
          <w:rFonts w:ascii="Book Antiqua" w:eastAsia="Calibri" w:hAnsi="Book Antiqua" w:cs="Arial"/>
          <w:sz w:val="24"/>
          <w:szCs w:val="24"/>
        </w:rPr>
      </w:pPr>
    </w:p>
    <w:p w14:paraId="7DCEE0BD" w14:textId="466765E0" w:rsidR="00917EA1" w:rsidRPr="00E01CE3" w:rsidRDefault="00917EA1" w:rsidP="00917EA1">
      <w:pPr>
        <w:spacing w:after="0" w:line="276" w:lineRule="auto"/>
        <w:jc w:val="both"/>
        <w:rPr>
          <w:rFonts w:ascii="Book Antiqua" w:eastAsia="Calibri" w:hAnsi="Book Antiqua" w:cs="Arial"/>
          <w:sz w:val="24"/>
          <w:szCs w:val="24"/>
        </w:rPr>
      </w:pPr>
    </w:p>
    <w:p w14:paraId="7B62C2A9" w14:textId="11F523E0" w:rsidR="00B4675B" w:rsidRPr="00E01CE3" w:rsidRDefault="00B4675B" w:rsidP="00B4675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01CE3">
        <w:rPr>
          <w:rFonts w:ascii="Book Antiqua" w:eastAsia="Calibri" w:hAnsi="Book Antiqua" w:cs="Arial"/>
          <w:b/>
          <w:bCs/>
          <w:color w:val="1F497D"/>
          <w:szCs w:val="24"/>
          <w:lang w:val="es-ES" w:eastAsia="es-ES"/>
        </w:rPr>
        <w:t xml:space="preserve">Cuadro </w:t>
      </w:r>
      <w:r w:rsidRPr="00E01CE3">
        <w:rPr>
          <w:rFonts w:ascii="Book Antiqua" w:eastAsia="Calibri" w:hAnsi="Book Antiqua" w:cs="Arial"/>
          <w:b/>
          <w:bCs/>
          <w:color w:val="1F497D"/>
          <w:szCs w:val="24"/>
          <w:lang w:val="es-ES" w:eastAsia="es-ES"/>
        </w:rPr>
        <w:fldChar w:fldCharType="begin"/>
      </w:r>
      <w:r w:rsidRPr="00E01CE3">
        <w:rPr>
          <w:rFonts w:ascii="Book Antiqua" w:eastAsia="Calibri" w:hAnsi="Book Antiqua" w:cs="Arial"/>
          <w:b/>
          <w:bCs/>
          <w:color w:val="1F497D"/>
          <w:szCs w:val="24"/>
          <w:lang w:val="es-ES" w:eastAsia="es-ES"/>
        </w:rPr>
        <w:instrText xml:space="preserve"> SEQ Cuadro \* ARABIC </w:instrText>
      </w:r>
      <w:r w:rsidRPr="00E01CE3">
        <w:rPr>
          <w:rFonts w:ascii="Book Antiqua" w:eastAsia="Calibri" w:hAnsi="Book Antiqua" w:cs="Arial"/>
          <w:b/>
          <w:bCs/>
          <w:color w:val="1F497D"/>
          <w:szCs w:val="24"/>
          <w:lang w:val="es-ES" w:eastAsia="es-ES"/>
        </w:rPr>
        <w:fldChar w:fldCharType="separate"/>
      </w:r>
      <w:r w:rsidR="00FE0221">
        <w:rPr>
          <w:rFonts w:ascii="Book Antiqua" w:eastAsia="Calibri" w:hAnsi="Book Antiqua" w:cs="Arial"/>
          <w:b/>
          <w:bCs/>
          <w:noProof/>
          <w:color w:val="1F497D"/>
          <w:szCs w:val="24"/>
          <w:lang w:val="es-ES" w:eastAsia="es-ES"/>
        </w:rPr>
        <w:t>83</w:t>
      </w:r>
      <w:r w:rsidRPr="00E01CE3">
        <w:rPr>
          <w:rFonts w:ascii="Book Antiqua" w:eastAsia="Calibri" w:hAnsi="Book Antiqua" w:cs="Arial"/>
          <w:b/>
          <w:bCs/>
          <w:color w:val="1F497D"/>
          <w:szCs w:val="24"/>
          <w:lang w:val="es-ES" w:eastAsia="es-ES"/>
        </w:rPr>
        <w:fldChar w:fldCharType="end"/>
      </w:r>
      <w:r w:rsidRPr="00E01CE3">
        <w:rPr>
          <w:rFonts w:ascii="Book Antiqua" w:eastAsia="Calibri" w:hAnsi="Book Antiqua" w:cs="Arial"/>
          <w:b/>
          <w:bCs/>
          <w:color w:val="1F497D"/>
          <w:szCs w:val="24"/>
          <w:lang w:val="es-ES" w:eastAsia="es-ES"/>
        </w:rPr>
        <w:t xml:space="preserve"> </w:t>
      </w:r>
    </w:p>
    <w:p w14:paraId="16D2BA1E" w14:textId="314586F0" w:rsidR="00B4675B" w:rsidRPr="00E01CE3" w:rsidRDefault="00B4675B" w:rsidP="00B4675B">
      <w:pPr>
        <w:keepNext/>
        <w:numPr>
          <w:ilvl w:val="12"/>
          <w:numId w:val="0"/>
        </w:numPr>
        <w:spacing w:after="0" w:line="276" w:lineRule="auto"/>
        <w:jc w:val="center"/>
        <w:rPr>
          <w:rFonts w:ascii="Book Antiqua" w:eastAsia="Calibri" w:hAnsi="Book Antiqua" w:cs="Arial"/>
          <w:b/>
          <w:bCs/>
          <w:color w:val="1F497D"/>
          <w:szCs w:val="24"/>
          <w:lang w:val="es-ES" w:eastAsia="es-ES"/>
        </w:rPr>
      </w:pPr>
      <w:r w:rsidRPr="00E01CE3">
        <w:rPr>
          <w:rFonts w:ascii="Book Antiqua" w:eastAsia="Calibri" w:hAnsi="Book Antiqua" w:cs="Arial"/>
          <w:b/>
          <w:bCs/>
          <w:color w:val="1F497D"/>
          <w:szCs w:val="24"/>
          <w:lang w:val="es-ES" w:eastAsia="es-ES"/>
        </w:rPr>
        <w:t>Costos económicos asociados al CPF, 2023</w:t>
      </w:r>
    </w:p>
    <w:tbl>
      <w:tblPr>
        <w:tblW w:w="9629" w:type="dxa"/>
        <w:tblLayout w:type="fixed"/>
        <w:tblCellMar>
          <w:left w:w="70" w:type="dxa"/>
          <w:right w:w="70" w:type="dxa"/>
        </w:tblCellMar>
        <w:tblLook w:val="04A0" w:firstRow="1" w:lastRow="0" w:firstColumn="1" w:lastColumn="0" w:noHBand="0" w:noVBand="1"/>
      </w:tblPr>
      <w:tblGrid>
        <w:gridCol w:w="2437"/>
        <w:gridCol w:w="2089"/>
        <w:gridCol w:w="2391"/>
        <w:gridCol w:w="2712"/>
      </w:tblGrid>
      <w:tr w:rsidR="0075101E" w:rsidRPr="00E01CE3" w14:paraId="3CB4C86B" w14:textId="77777777" w:rsidTr="009B71C9">
        <w:trPr>
          <w:trHeight w:val="590"/>
        </w:trPr>
        <w:tc>
          <w:tcPr>
            <w:tcW w:w="2437" w:type="dxa"/>
            <w:tcBorders>
              <w:top w:val="single" w:sz="8" w:space="0" w:color="auto"/>
              <w:left w:val="single" w:sz="8" w:space="0" w:color="auto"/>
              <w:bottom w:val="single" w:sz="8" w:space="0" w:color="auto"/>
              <w:right w:val="single" w:sz="8" w:space="0" w:color="auto"/>
            </w:tcBorders>
            <w:shd w:val="clear" w:color="000000" w:fill="0070C0"/>
            <w:noWrap/>
            <w:vAlign w:val="center"/>
            <w:hideMark/>
          </w:tcPr>
          <w:p w14:paraId="71F47F73" w14:textId="77777777" w:rsidR="0075101E" w:rsidRPr="00E01CE3" w:rsidRDefault="0075101E" w:rsidP="00035934">
            <w:pPr>
              <w:spacing w:after="0" w:line="240" w:lineRule="auto"/>
              <w:jc w:val="center"/>
              <w:rPr>
                <w:rFonts w:ascii="Book Antiqua" w:eastAsia="Times New Roman" w:hAnsi="Book Antiqua" w:cs="Calibri"/>
                <w:b/>
                <w:bCs/>
                <w:color w:val="FFFFFF"/>
                <w:lang w:eastAsia="es-CR"/>
              </w:rPr>
            </w:pPr>
            <w:r w:rsidRPr="00E01CE3">
              <w:rPr>
                <w:rFonts w:ascii="Book Antiqua" w:eastAsia="Times New Roman" w:hAnsi="Book Antiqua" w:cs="Calibri"/>
                <w:b/>
                <w:bCs/>
                <w:color w:val="FFFFFF"/>
                <w:lang w:eastAsia="es-CR"/>
              </w:rPr>
              <w:t>Requerimiento</w:t>
            </w:r>
          </w:p>
        </w:tc>
        <w:tc>
          <w:tcPr>
            <w:tcW w:w="2089" w:type="dxa"/>
            <w:tcBorders>
              <w:top w:val="single" w:sz="8" w:space="0" w:color="auto"/>
              <w:left w:val="nil"/>
              <w:bottom w:val="single" w:sz="8" w:space="0" w:color="auto"/>
              <w:right w:val="single" w:sz="8" w:space="0" w:color="auto"/>
            </w:tcBorders>
            <w:shd w:val="clear" w:color="000000" w:fill="0070C0"/>
            <w:vAlign w:val="center"/>
            <w:hideMark/>
          </w:tcPr>
          <w:p w14:paraId="4BCA40C8" w14:textId="77777777" w:rsidR="0075101E" w:rsidRPr="00E01CE3" w:rsidRDefault="0075101E" w:rsidP="00035934">
            <w:pPr>
              <w:spacing w:after="0" w:line="240" w:lineRule="auto"/>
              <w:jc w:val="center"/>
              <w:rPr>
                <w:rFonts w:ascii="Book Antiqua" w:eastAsia="Times New Roman" w:hAnsi="Book Antiqua" w:cs="Calibri"/>
                <w:b/>
                <w:bCs/>
                <w:color w:val="FFFFFF"/>
                <w:lang w:eastAsia="es-CR"/>
              </w:rPr>
            </w:pPr>
            <w:r w:rsidRPr="00E01CE3">
              <w:rPr>
                <w:rFonts w:ascii="Book Antiqua" w:eastAsia="Times New Roman" w:hAnsi="Book Antiqua" w:cs="Calibri"/>
                <w:b/>
                <w:bCs/>
                <w:color w:val="FFFFFF"/>
                <w:lang w:eastAsia="es-CR"/>
              </w:rPr>
              <w:t>Programa 926</w:t>
            </w:r>
          </w:p>
        </w:tc>
        <w:tc>
          <w:tcPr>
            <w:tcW w:w="2391" w:type="dxa"/>
            <w:tcBorders>
              <w:top w:val="single" w:sz="8" w:space="0" w:color="auto"/>
              <w:left w:val="nil"/>
              <w:bottom w:val="single" w:sz="8" w:space="0" w:color="auto"/>
              <w:right w:val="single" w:sz="8" w:space="0" w:color="auto"/>
            </w:tcBorders>
            <w:shd w:val="clear" w:color="000000" w:fill="0070C0"/>
            <w:vAlign w:val="center"/>
            <w:hideMark/>
          </w:tcPr>
          <w:p w14:paraId="292428FA" w14:textId="77777777" w:rsidR="0075101E" w:rsidRPr="00E01CE3" w:rsidRDefault="0075101E" w:rsidP="00035934">
            <w:pPr>
              <w:spacing w:after="0" w:line="240" w:lineRule="auto"/>
              <w:jc w:val="center"/>
              <w:rPr>
                <w:rFonts w:ascii="Book Antiqua" w:eastAsia="Times New Roman" w:hAnsi="Book Antiqua" w:cs="Calibri"/>
                <w:b/>
                <w:bCs/>
                <w:color w:val="FFFFFF"/>
                <w:lang w:eastAsia="es-CR"/>
              </w:rPr>
            </w:pPr>
            <w:r w:rsidRPr="00E01CE3">
              <w:rPr>
                <w:rFonts w:ascii="Book Antiqua" w:eastAsia="Times New Roman" w:hAnsi="Book Antiqua" w:cs="Calibri"/>
                <w:b/>
                <w:bCs/>
                <w:color w:val="FFFFFF"/>
                <w:lang w:eastAsia="es-CR"/>
              </w:rPr>
              <w:t>Programa 927</w:t>
            </w:r>
          </w:p>
        </w:tc>
        <w:tc>
          <w:tcPr>
            <w:tcW w:w="2712" w:type="dxa"/>
            <w:tcBorders>
              <w:top w:val="single" w:sz="8" w:space="0" w:color="auto"/>
              <w:left w:val="nil"/>
              <w:bottom w:val="single" w:sz="8" w:space="0" w:color="auto"/>
              <w:right w:val="single" w:sz="8" w:space="0" w:color="auto"/>
            </w:tcBorders>
            <w:shd w:val="clear" w:color="000000" w:fill="0070C0"/>
            <w:noWrap/>
            <w:vAlign w:val="center"/>
            <w:hideMark/>
          </w:tcPr>
          <w:p w14:paraId="6B44BD02" w14:textId="77777777" w:rsidR="0075101E" w:rsidRPr="00E01CE3" w:rsidRDefault="0075101E" w:rsidP="00035934">
            <w:pPr>
              <w:spacing w:after="0" w:line="240" w:lineRule="auto"/>
              <w:jc w:val="center"/>
              <w:rPr>
                <w:rFonts w:ascii="Book Antiqua" w:eastAsia="Times New Roman" w:hAnsi="Book Antiqua" w:cs="Calibri"/>
                <w:b/>
                <w:bCs/>
                <w:color w:val="FFFFFF"/>
                <w:lang w:eastAsia="es-CR"/>
              </w:rPr>
            </w:pPr>
            <w:r w:rsidRPr="00E01CE3">
              <w:rPr>
                <w:rFonts w:ascii="Book Antiqua" w:eastAsia="Times New Roman" w:hAnsi="Book Antiqua" w:cs="Calibri"/>
                <w:b/>
                <w:bCs/>
                <w:color w:val="FFFFFF"/>
                <w:lang w:eastAsia="es-CR"/>
              </w:rPr>
              <w:t>Subtotal</w:t>
            </w:r>
          </w:p>
        </w:tc>
      </w:tr>
      <w:tr w:rsidR="0075101E" w:rsidRPr="00E01CE3" w14:paraId="614339E4" w14:textId="77777777" w:rsidTr="00A132C7">
        <w:trPr>
          <w:trHeight w:val="300"/>
        </w:trPr>
        <w:tc>
          <w:tcPr>
            <w:tcW w:w="2437" w:type="dxa"/>
            <w:tcBorders>
              <w:top w:val="nil"/>
              <w:left w:val="single" w:sz="8" w:space="0" w:color="auto"/>
              <w:bottom w:val="single" w:sz="8" w:space="0" w:color="auto"/>
              <w:right w:val="single" w:sz="8" w:space="0" w:color="auto"/>
            </w:tcBorders>
            <w:shd w:val="clear" w:color="auto" w:fill="auto"/>
            <w:noWrap/>
            <w:vAlign w:val="center"/>
            <w:hideMark/>
          </w:tcPr>
          <w:p w14:paraId="626FCCFC" w14:textId="7ED4972D"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xml:space="preserve">Recurso humano </w:t>
            </w:r>
            <w:r w:rsidR="0062603E">
              <w:rPr>
                <w:rFonts w:ascii="Book Antiqua" w:eastAsia="Times New Roman" w:hAnsi="Book Antiqua" w:cs="Calibri"/>
                <w:color w:val="000000"/>
                <w:lang w:eastAsia="es-CR"/>
              </w:rPr>
              <w:t>(</w:t>
            </w:r>
            <w:r w:rsidRPr="00E01CE3">
              <w:rPr>
                <w:rFonts w:ascii="Book Antiqua" w:eastAsia="Times New Roman" w:hAnsi="Book Antiqua" w:cs="Calibri"/>
                <w:color w:val="000000"/>
                <w:lang w:eastAsia="es-CR"/>
              </w:rPr>
              <w:t xml:space="preserve">plazas </w:t>
            </w:r>
            <w:r w:rsidR="0062603E">
              <w:rPr>
                <w:rFonts w:ascii="Book Antiqua" w:eastAsia="Times New Roman" w:hAnsi="Book Antiqua" w:cs="Calibri"/>
                <w:color w:val="000000"/>
                <w:lang w:eastAsia="es-CR"/>
              </w:rPr>
              <w:t xml:space="preserve">ordinarias, </w:t>
            </w:r>
            <w:r w:rsidRPr="00E01CE3">
              <w:rPr>
                <w:rFonts w:ascii="Book Antiqua" w:eastAsia="Times New Roman" w:hAnsi="Book Antiqua" w:cs="Calibri"/>
                <w:color w:val="000000"/>
                <w:lang w:eastAsia="es-CR"/>
              </w:rPr>
              <w:t>extraordinarias</w:t>
            </w:r>
            <w:r w:rsidR="0062603E">
              <w:rPr>
                <w:rFonts w:ascii="Book Antiqua" w:eastAsia="Times New Roman" w:hAnsi="Book Antiqua" w:cs="Calibri"/>
                <w:color w:val="000000"/>
                <w:lang w:eastAsia="es-CR"/>
              </w:rPr>
              <w:t xml:space="preserve"> y recalificaciones)</w:t>
            </w:r>
          </w:p>
        </w:tc>
        <w:tc>
          <w:tcPr>
            <w:tcW w:w="2089" w:type="dxa"/>
            <w:tcBorders>
              <w:top w:val="nil"/>
              <w:left w:val="nil"/>
              <w:bottom w:val="single" w:sz="8" w:space="0" w:color="auto"/>
              <w:right w:val="single" w:sz="8" w:space="0" w:color="auto"/>
            </w:tcBorders>
            <w:shd w:val="clear" w:color="auto" w:fill="auto"/>
            <w:noWrap/>
            <w:vAlign w:val="bottom"/>
            <w:hideMark/>
          </w:tcPr>
          <w:p w14:paraId="7617C3F3" w14:textId="77777777"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w:t>
            </w:r>
          </w:p>
        </w:tc>
        <w:tc>
          <w:tcPr>
            <w:tcW w:w="2391" w:type="dxa"/>
            <w:tcBorders>
              <w:top w:val="nil"/>
              <w:left w:val="nil"/>
              <w:bottom w:val="single" w:sz="8" w:space="0" w:color="auto"/>
              <w:right w:val="single" w:sz="8" w:space="0" w:color="auto"/>
            </w:tcBorders>
            <w:shd w:val="clear" w:color="auto" w:fill="auto"/>
            <w:noWrap/>
            <w:vAlign w:val="center"/>
          </w:tcPr>
          <w:p w14:paraId="08C52A68" w14:textId="1E5D5769" w:rsidR="0075101E" w:rsidRPr="00E01CE3" w:rsidRDefault="00E72CF5"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₡1,</w:t>
            </w:r>
            <w:r w:rsidRPr="00E01CE3">
              <w:rPr>
                <w:rFonts w:ascii="Book Antiqua" w:eastAsia="Times New Roman" w:hAnsi="Book Antiqua" w:cs="Times New Roman"/>
                <w:color w:val="000000"/>
                <w:lang w:eastAsia="es-CR"/>
              </w:rPr>
              <w:t>227,896,000.00</w:t>
            </w:r>
          </w:p>
        </w:tc>
        <w:tc>
          <w:tcPr>
            <w:tcW w:w="2712" w:type="dxa"/>
            <w:tcBorders>
              <w:top w:val="nil"/>
              <w:left w:val="nil"/>
              <w:bottom w:val="single" w:sz="8" w:space="0" w:color="auto"/>
              <w:right w:val="single" w:sz="8" w:space="0" w:color="auto"/>
            </w:tcBorders>
            <w:shd w:val="clear" w:color="auto" w:fill="auto"/>
            <w:noWrap/>
            <w:vAlign w:val="center"/>
          </w:tcPr>
          <w:p w14:paraId="0EF88544" w14:textId="4C204C89" w:rsidR="0075101E" w:rsidRPr="00E01CE3" w:rsidRDefault="00E72CF5"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₡1,</w:t>
            </w:r>
            <w:r w:rsidRPr="00E01CE3">
              <w:rPr>
                <w:rFonts w:ascii="Book Antiqua" w:eastAsia="Times New Roman" w:hAnsi="Book Antiqua" w:cs="Times New Roman"/>
                <w:color w:val="000000"/>
                <w:lang w:eastAsia="es-CR"/>
              </w:rPr>
              <w:t>227,896,000.00</w:t>
            </w:r>
          </w:p>
        </w:tc>
      </w:tr>
      <w:tr w:rsidR="00362107" w:rsidRPr="00261FCB" w14:paraId="4EB162E5" w14:textId="77777777" w:rsidTr="006B2D47">
        <w:trPr>
          <w:trHeight w:val="300"/>
        </w:trPr>
        <w:tc>
          <w:tcPr>
            <w:tcW w:w="2437" w:type="dxa"/>
            <w:tcBorders>
              <w:top w:val="nil"/>
              <w:left w:val="single" w:sz="8" w:space="0" w:color="auto"/>
              <w:bottom w:val="single" w:sz="8" w:space="0" w:color="auto"/>
              <w:right w:val="single" w:sz="8" w:space="0" w:color="auto"/>
            </w:tcBorders>
            <w:shd w:val="clear" w:color="auto" w:fill="auto"/>
            <w:noWrap/>
            <w:vAlign w:val="center"/>
          </w:tcPr>
          <w:p w14:paraId="2E70D9C8" w14:textId="30E32DB0" w:rsidR="00362107" w:rsidRPr="00E01CE3" w:rsidRDefault="00362107"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Activar Rubro de Disponibilidad Despachos Especializados de Familia</w:t>
            </w:r>
          </w:p>
        </w:tc>
        <w:tc>
          <w:tcPr>
            <w:tcW w:w="2089" w:type="dxa"/>
            <w:tcBorders>
              <w:top w:val="nil"/>
              <w:left w:val="nil"/>
              <w:bottom w:val="single" w:sz="8" w:space="0" w:color="auto"/>
              <w:right w:val="single" w:sz="8" w:space="0" w:color="auto"/>
            </w:tcBorders>
            <w:shd w:val="clear" w:color="auto" w:fill="auto"/>
            <w:noWrap/>
            <w:vAlign w:val="bottom"/>
          </w:tcPr>
          <w:p w14:paraId="3A5FAC72" w14:textId="77777777" w:rsidR="00362107" w:rsidRPr="00E01CE3" w:rsidRDefault="00362107" w:rsidP="00035934">
            <w:pPr>
              <w:spacing w:after="0" w:line="240" w:lineRule="auto"/>
              <w:rPr>
                <w:rFonts w:ascii="Book Antiqua" w:eastAsia="Times New Roman" w:hAnsi="Book Antiqua" w:cs="Calibri"/>
                <w:color w:val="000000"/>
                <w:lang w:eastAsia="es-CR"/>
              </w:rPr>
            </w:pPr>
          </w:p>
        </w:tc>
        <w:tc>
          <w:tcPr>
            <w:tcW w:w="2391" w:type="dxa"/>
            <w:tcBorders>
              <w:top w:val="nil"/>
              <w:left w:val="nil"/>
              <w:bottom w:val="single" w:sz="8" w:space="0" w:color="auto"/>
              <w:right w:val="single" w:sz="8" w:space="0" w:color="auto"/>
            </w:tcBorders>
            <w:shd w:val="clear" w:color="auto" w:fill="auto"/>
            <w:noWrap/>
            <w:vAlign w:val="center"/>
          </w:tcPr>
          <w:p w14:paraId="03675348" w14:textId="6865FD10" w:rsidR="00362107" w:rsidRPr="00E01CE3" w:rsidRDefault="00D656BE" w:rsidP="00035934">
            <w:pPr>
              <w:spacing w:after="0" w:line="240" w:lineRule="auto"/>
              <w:jc w:val="center"/>
              <w:rPr>
                <w:rFonts w:ascii="Times New Roman" w:eastAsia="Times New Roman" w:hAnsi="Times New Roman" w:cs="Times New Roman"/>
                <w:color w:val="000000"/>
                <w:lang w:eastAsia="es-CR"/>
              </w:rPr>
            </w:pPr>
            <w:r w:rsidRPr="00E01CE3">
              <w:rPr>
                <w:rFonts w:ascii="Times New Roman" w:eastAsia="Times New Roman" w:hAnsi="Times New Roman" w:cs="Times New Roman"/>
                <w:color w:val="000000"/>
                <w:lang w:eastAsia="es-CR"/>
              </w:rPr>
              <w:t>₡</w:t>
            </w:r>
            <w:r w:rsidR="00432BDF" w:rsidRPr="00E01CE3">
              <w:rPr>
                <w:rFonts w:ascii="Times New Roman" w:eastAsia="Times New Roman" w:hAnsi="Times New Roman" w:cs="Times New Roman"/>
                <w:color w:val="000000"/>
                <w:lang w:eastAsia="es-CR"/>
              </w:rPr>
              <w:t>10</w:t>
            </w:r>
            <w:r w:rsidR="005A1583" w:rsidRPr="00E01CE3">
              <w:rPr>
                <w:rFonts w:ascii="Times New Roman" w:eastAsia="Times New Roman" w:hAnsi="Times New Roman" w:cs="Times New Roman"/>
                <w:color w:val="000000"/>
                <w:lang w:eastAsia="es-CR"/>
              </w:rPr>
              <w:t>,</w:t>
            </w:r>
            <w:r w:rsidR="00432BDF" w:rsidRPr="00E01CE3">
              <w:rPr>
                <w:rFonts w:ascii="Times New Roman" w:eastAsia="Times New Roman" w:hAnsi="Times New Roman" w:cs="Times New Roman"/>
                <w:color w:val="000000"/>
                <w:lang w:eastAsia="es-CR"/>
              </w:rPr>
              <w:t>649</w:t>
            </w:r>
            <w:r w:rsidR="005A1583" w:rsidRPr="00E01CE3">
              <w:rPr>
                <w:rFonts w:ascii="Times New Roman" w:eastAsia="Times New Roman" w:hAnsi="Times New Roman" w:cs="Times New Roman"/>
                <w:color w:val="000000"/>
                <w:lang w:eastAsia="es-CR"/>
              </w:rPr>
              <w:t>,</w:t>
            </w:r>
            <w:r w:rsidR="00B752BA" w:rsidRPr="00E01CE3">
              <w:rPr>
                <w:rFonts w:ascii="Times New Roman" w:eastAsia="Times New Roman" w:hAnsi="Times New Roman" w:cs="Times New Roman"/>
                <w:color w:val="000000"/>
                <w:lang w:eastAsia="es-CR"/>
              </w:rPr>
              <w:t>784</w:t>
            </w:r>
          </w:p>
        </w:tc>
        <w:tc>
          <w:tcPr>
            <w:tcW w:w="2712" w:type="dxa"/>
            <w:tcBorders>
              <w:top w:val="nil"/>
              <w:left w:val="nil"/>
              <w:bottom w:val="single" w:sz="8" w:space="0" w:color="auto"/>
              <w:right w:val="single" w:sz="8" w:space="0" w:color="auto"/>
            </w:tcBorders>
            <w:shd w:val="clear" w:color="auto" w:fill="auto"/>
            <w:noWrap/>
            <w:vAlign w:val="center"/>
          </w:tcPr>
          <w:p w14:paraId="2DF297AC" w14:textId="0FACF655" w:rsidR="00362107" w:rsidRPr="00E01CE3" w:rsidRDefault="00496DD2" w:rsidP="00035934">
            <w:pPr>
              <w:spacing w:after="0" w:line="240" w:lineRule="auto"/>
              <w:jc w:val="center"/>
              <w:rPr>
                <w:rFonts w:ascii="Times New Roman" w:eastAsia="Times New Roman" w:hAnsi="Times New Roman" w:cs="Times New Roman"/>
                <w:color w:val="000000"/>
                <w:lang w:eastAsia="es-CR"/>
              </w:rPr>
            </w:pPr>
            <w:r w:rsidRPr="00E01CE3">
              <w:rPr>
                <w:rFonts w:ascii="Times New Roman" w:eastAsia="Times New Roman" w:hAnsi="Times New Roman" w:cs="Times New Roman"/>
                <w:color w:val="000000"/>
                <w:lang w:eastAsia="es-CR"/>
              </w:rPr>
              <w:t>₡10,649,784</w:t>
            </w:r>
          </w:p>
        </w:tc>
      </w:tr>
      <w:tr w:rsidR="0075101E" w:rsidRPr="00261FCB" w14:paraId="7E23B203" w14:textId="77777777" w:rsidTr="009B71C9">
        <w:trPr>
          <w:trHeight w:val="63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50068671" w14:textId="77777777" w:rsidR="0075101E" w:rsidRPr="00261FCB" w:rsidRDefault="0075101E" w:rsidP="00035934">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Suplencias para capacitación-Escuela Judicial</w:t>
            </w:r>
          </w:p>
        </w:tc>
        <w:tc>
          <w:tcPr>
            <w:tcW w:w="2089" w:type="dxa"/>
            <w:tcBorders>
              <w:top w:val="nil"/>
              <w:left w:val="nil"/>
              <w:bottom w:val="single" w:sz="8" w:space="0" w:color="auto"/>
              <w:right w:val="single" w:sz="8" w:space="0" w:color="auto"/>
            </w:tcBorders>
            <w:shd w:val="clear" w:color="auto" w:fill="auto"/>
            <w:vAlign w:val="center"/>
            <w:hideMark/>
          </w:tcPr>
          <w:p w14:paraId="256073BF" w14:textId="77777777" w:rsidR="0075101E" w:rsidRPr="00127FDC" w:rsidRDefault="0075101E" w:rsidP="00035934">
            <w:pPr>
              <w:spacing w:after="0" w:line="240" w:lineRule="auto"/>
              <w:rPr>
                <w:rFonts w:ascii="Book Antiqua" w:eastAsia="Times New Roman" w:hAnsi="Book Antiqua" w:cs="Calibri"/>
                <w:color w:val="000000"/>
                <w:lang w:eastAsia="es-CR"/>
              </w:rPr>
            </w:pPr>
            <w:r w:rsidRPr="00127FDC">
              <w:rPr>
                <w:rFonts w:ascii="Book Antiqua" w:eastAsia="Times New Roman" w:hAnsi="Book Antiqua" w:cs="Calibri"/>
                <w:color w:val="000000"/>
                <w:lang w:eastAsia="es-CR"/>
              </w:rPr>
              <w:t> </w:t>
            </w:r>
          </w:p>
        </w:tc>
        <w:tc>
          <w:tcPr>
            <w:tcW w:w="2391" w:type="dxa"/>
            <w:tcBorders>
              <w:top w:val="nil"/>
              <w:left w:val="nil"/>
              <w:bottom w:val="single" w:sz="8" w:space="0" w:color="auto"/>
              <w:right w:val="single" w:sz="8" w:space="0" w:color="auto"/>
            </w:tcBorders>
            <w:shd w:val="clear" w:color="auto" w:fill="auto"/>
            <w:vAlign w:val="center"/>
            <w:hideMark/>
          </w:tcPr>
          <w:p w14:paraId="00451FF0"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192,276,048.00</w:t>
            </w:r>
          </w:p>
        </w:tc>
        <w:tc>
          <w:tcPr>
            <w:tcW w:w="2712" w:type="dxa"/>
            <w:tcBorders>
              <w:top w:val="nil"/>
              <w:left w:val="nil"/>
              <w:bottom w:val="single" w:sz="8" w:space="0" w:color="auto"/>
              <w:right w:val="single" w:sz="8" w:space="0" w:color="auto"/>
            </w:tcBorders>
            <w:shd w:val="clear" w:color="auto" w:fill="auto"/>
            <w:noWrap/>
            <w:vAlign w:val="center"/>
            <w:hideMark/>
          </w:tcPr>
          <w:p w14:paraId="76E6DA7B"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127FDC">
              <w:rPr>
                <w:rFonts w:ascii="Book Antiqua" w:eastAsia="Times New Roman" w:hAnsi="Book Antiqua" w:cs="Times New Roman"/>
                <w:color w:val="000000"/>
                <w:lang w:eastAsia="es-CR"/>
              </w:rPr>
              <w:t xml:space="preserve"> 192,276,048.00</w:t>
            </w:r>
          </w:p>
        </w:tc>
      </w:tr>
      <w:tr w:rsidR="0075101E" w:rsidRPr="00261FCB" w14:paraId="0F1C1B18" w14:textId="77777777" w:rsidTr="009B71C9">
        <w:trPr>
          <w:trHeight w:val="630"/>
        </w:trPr>
        <w:tc>
          <w:tcPr>
            <w:tcW w:w="2437" w:type="dxa"/>
            <w:tcBorders>
              <w:top w:val="nil"/>
              <w:left w:val="single" w:sz="8" w:space="0" w:color="auto"/>
              <w:bottom w:val="single" w:sz="8" w:space="0" w:color="auto"/>
              <w:right w:val="single" w:sz="8" w:space="0" w:color="auto"/>
            </w:tcBorders>
            <w:shd w:val="clear" w:color="auto" w:fill="auto"/>
            <w:vAlign w:val="center"/>
          </w:tcPr>
          <w:p w14:paraId="0C07D3BB" w14:textId="77777777" w:rsidR="0075101E" w:rsidRPr="00261FCB" w:rsidRDefault="0075101E" w:rsidP="00035934">
            <w:pPr>
              <w:spacing w:after="0" w:line="240" w:lineRule="auto"/>
              <w:jc w:val="both"/>
              <w:rPr>
                <w:rFonts w:ascii="Book Antiqua" w:eastAsia="Times New Roman" w:hAnsi="Book Antiqua" w:cs="Calibri"/>
                <w:color w:val="000000"/>
                <w:lang w:eastAsia="es-CR"/>
              </w:rPr>
            </w:pPr>
            <w:r w:rsidRPr="00A83BE0">
              <w:rPr>
                <w:rFonts w:ascii="Book Antiqua" w:eastAsia="Times New Roman" w:hAnsi="Book Antiqua" w:cs="Calibri"/>
                <w:color w:val="000000"/>
                <w:lang w:eastAsia="es-CR"/>
              </w:rPr>
              <w:t>Viáticos para Capacitación-Escuela Judicial</w:t>
            </w:r>
          </w:p>
        </w:tc>
        <w:tc>
          <w:tcPr>
            <w:tcW w:w="2089" w:type="dxa"/>
            <w:tcBorders>
              <w:top w:val="nil"/>
              <w:left w:val="nil"/>
              <w:bottom w:val="single" w:sz="8" w:space="0" w:color="auto"/>
              <w:right w:val="single" w:sz="8" w:space="0" w:color="auto"/>
            </w:tcBorders>
            <w:shd w:val="clear" w:color="auto" w:fill="auto"/>
            <w:vAlign w:val="center"/>
          </w:tcPr>
          <w:p w14:paraId="2352632F" w14:textId="77777777" w:rsidR="0075101E" w:rsidRPr="00127FDC" w:rsidRDefault="0075101E" w:rsidP="00035934">
            <w:pPr>
              <w:spacing w:after="0" w:line="240" w:lineRule="auto"/>
              <w:rPr>
                <w:rFonts w:ascii="Book Antiqua" w:eastAsia="Times New Roman" w:hAnsi="Book Antiqua" w:cs="Calibri"/>
                <w:color w:val="000000"/>
                <w:lang w:eastAsia="es-CR"/>
              </w:rPr>
            </w:pPr>
          </w:p>
        </w:tc>
        <w:tc>
          <w:tcPr>
            <w:tcW w:w="2391" w:type="dxa"/>
            <w:tcBorders>
              <w:top w:val="nil"/>
              <w:left w:val="nil"/>
              <w:bottom w:val="single" w:sz="8" w:space="0" w:color="auto"/>
              <w:right w:val="single" w:sz="8" w:space="0" w:color="auto"/>
            </w:tcBorders>
            <w:shd w:val="clear" w:color="auto" w:fill="auto"/>
            <w:vAlign w:val="center"/>
          </w:tcPr>
          <w:p w14:paraId="2AB3C908"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127FDC">
              <w:rPr>
                <w:rFonts w:ascii="Book Antiqua" w:eastAsia="Times New Roman" w:hAnsi="Book Antiqua" w:cs="Times New Roman"/>
                <w:color w:val="000000"/>
                <w:lang w:eastAsia="es-CR"/>
              </w:rPr>
              <w:t xml:space="preserve"> 19,374,000.00</w:t>
            </w:r>
          </w:p>
        </w:tc>
        <w:tc>
          <w:tcPr>
            <w:tcW w:w="2712" w:type="dxa"/>
            <w:tcBorders>
              <w:top w:val="nil"/>
              <w:left w:val="nil"/>
              <w:bottom w:val="single" w:sz="8" w:space="0" w:color="auto"/>
              <w:right w:val="single" w:sz="8" w:space="0" w:color="auto"/>
            </w:tcBorders>
            <w:shd w:val="clear" w:color="auto" w:fill="auto"/>
            <w:noWrap/>
            <w:vAlign w:val="center"/>
          </w:tcPr>
          <w:p w14:paraId="4E341245"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127FDC">
              <w:rPr>
                <w:rFonts w:ascii="Book Antiqua" w:eastAsia="Times New Roman" w:hAnsi="Book Antiqua" w:cs="Times New Roman"/>
                <w:color w:val="000000"/>
                <w:lang w:eastAsia="es-CR"/>
              </w:rPr>
              <w:t xml:space="preserve"> 19,374,000.00</w:t>
            </w:r>
          </w:p>
        </w:tc>
      </w:tr>
      <w:tr w:rsidR="0075101E" w:rsidRPr="00261FCB" w14:paraId="7D344407" w14:textId="77777777" w:rsidTr="009B71C9">
        <w:trPr>
          <w:trHeight w:val="64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2A3E6413" w14:textId="77777777" w:rsidR="0075101E" w:rsidRPr="00261FCB" w:rsidRDefault="0075101E" w:rsidP="00035934">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2.99.03 Productos de papel, cartón e impresos-Dirección Ejecutiva</w:t>
            </w:r>
          </w:p>
        </w:tc>
        <w:tc>
          <w:tcPr>
            <w:tcW w:w="2089" w:type="dxa"/>
            <w:tcBorders>
              <w:top w:val="nil"/>
              <w:left w:val="nil"/>
              <w:bottom w:val="single" w:sz="8" w:space="0" w:color="auto"/>
              <w:right w:val="single" w:sz="8" w:space="0" w:color="auto"/>
            </w:tcBorders>
            <w:shd w:val="clear" w:color="auto" w:fill="auto"/>
            <w:vAlign w:val="center"/>
            <w:hideMark/>
          </w:tcPr>
          <w:p w14:paraId="3691FDC0"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70,000.00</w:t>
            </w:r>
          </w:p>
        </w:tc>
        <w:tc>
          <w:tcPr>
            <w:tcW w:w="2391" w:type="dxa"/>
            <w:tcBorders>
              <w:top w:val="nil"/>
              <w:left w:val="nil"/>
              <w:bottom w:val="single" w:sz="8" w:space="0" w:color="auto"/>
              <w:right w:val="single" w:sz="8" w:space="0" w:color="auto"/>
            </w:tcBorders>
            <w:shd w:val="clear" w:color="auto" w:fill="auto"/>
            <w:vAlign w:val="center"/>
            <w:hideMark/>
          </w:tcPr>
          <w:p w14:paraId="19C08838" w14:textId="77777777" w:rsidR="0075101E" w:rsidRPr="00127FDC" w:rsidRDefault="0075101E" w:rsidP="00035934">
            <w:pPr>
              <w:spacing w:after="0" w:line="240" w:lineRule="auto"/>
              <w:rPr>
                <w:rFonts w:ascii="Book Antiqua" w:eastAsia="Times New Roman" w:hAnsi="Book Antiqua" w:cs="Calibri"/>
                <w:color w:val="000000"/>
                <w:lang w:eastAsia="es-CR"/>
              </w:rPr>
            </w:pPr>
            <w:r w:rsidRPr="00127FDC">
              <w:rPr>
                <w:rFonts w:ascii="Book Antiqua" w:eastAsia="Times New Roman" w:hAnsi="Book Antiqua" w:cs="Calibri"/>
                <w:color w:val="000000"/>
                <w:lang w:eastAsia="es-CR"/>
              </w:rPr>
              <w:t> </w:t>
            </w:r>
          </w:p>
        </w:tc>
        <w:tc>
          <w:tcPr>
            <w:tcW w:w="2712" w:type="dxa"/>
            <w:tcBorders>
              <w:top w:val="nil"/>
              <w:left w:val="nil"/>
              <w:bottom w:val="single" w:sz="8" w:space="0" w:color="auto"/>
              <w:right w:val="single" w:sz="8" w:space="0" w:color="auto"/>
            </w:tcBorders>
            <w:shd w:val="clear" w:color="auto" w:fill="auto"/>
            <w:noWrap/>
            <w:vAlign w:val="center"/>
            <w:hideMark/>
          </w:tcPr>
          <w:p w14:paraId="0A367B2D"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70,000.00</w:t>
            </w:r>
          </w:p>
        </w:tc>
      </w:tr>
      <w:tr w:rsidR="0075101E" w:rsidRPr="00261FCB" w14:paraId="4EFA89A3" w14:textId="77777777" w:rsidTr="009B71C9">
        <w:trPr>
          <w:trHeight w:val="83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599D4D89" w14:textId="77777777" w:rsidR="0075101E" w:rsidRPr="00261FCB" w:rsidRDefault="0075101E" w:rsidP="00035934">
            <w:pPr>
              <w:spacing w:after="0" w:line="240" w:lineRule="auto"/>
              <w:jc w:val="both"/>
              <w:rPr>
                <w:rFonts w:ascii="Book Antiqua" w:eastAsia="Times New Roman" w:hAnsi="Book Antiqua" w:cs="Calibri"/>
                <w:color w:val="000000"/>
                <w:lang w:eastAsia="es-CR"/>
              </w:rPr>
            </w:pPr>
            <w:r w:rsidRPr="00261FCB">
              <w:rPr>
                <w:rFonts w:ascii="Book Antiqua" w:eastAsia="Times New Roman" w:hAnsi="Book Antiqua" w:cs="Calibri"/>
                <w:color w:val="000000"/>
                <w:lang w:eastAsia="es-CR"/>
              </w:rPr>
              <w:t>2.99.99 Otros útiles, materiales y suministros diversos-Dirección Ejecutiva</w:t>
            </w:r>
          </w:p>
        </w:tc>
        <w:tc>
          <w:tcPr>
            <w:tcW w:w="2089" w:type="dxa"/>
            <w:tcBorders>
              <w:top w:val="nil"/>
              <w:left w:val="nil"/>
              <w:bottom w:val="single" w:sz="8" w:space="0" w:color="auto"/>
              <w:right w:val="single" w:sz="8" w:space="0" w:color="auto"/>
            </w:tcBorders>
            <w:shd w:val="clear" w:color="auto" w:fill="auto"/>
            <w:vAlign w:val="center"/>
            <w:hideMark/>
          </w:tcPr>
          <w:p w14:paraId="02B45E22"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0A1761">
              <w:rPr>
                <w:rFonts w:ascii="Book Antiqua" w:eastAsia="Times New Roman" w:hAnsi="Book Antiqua" w:cs="Times New Roman"/>
                <w:color w:val="000000"/>
                <w:lang w:eastAsia="es-CR"/>
              </w:rPr>
              <w:t xml:space="preserve"> 572,250.00</w:t>
            </w:r>
          </w:p>
        </w:tc>
        <w:tc>
          <w:tcPr>
            <w:tcW w:w="2391" w:type="dxa"/>
            <w:tcBorders>
              <w:top w:val="nil"/>
              <w:left w:val="nil"/>
              <w:bottom w:val="single" w:sz="8" w:space="0" w:color="auto"/>
              <w:right w:val="single" w:sz="8" w:space="0" w:color="auto"/>
            </w:tcBorders>
            <w:shd w:val="clear" w:color="auto" w:fill="auto"/>
            <w:noWrap/>
            <w:vAlign w:val="bottom"/>
            <w:hideMark/>
          </w:tcPr>
          <w:p w14:paraId="5C8BFE44" w14:textId="77777777" w:rsidR="0075101E" w:rsidRPr="00127FDC" w:rsidRDefault="0075101E" w:rsidP="00035934">
            <w:pPr>
              <w:spacing w:after="0" w:line="240" w:lineRule="auto"/>
              <w:rPr>
                <w:rFonts w:ascii="Book Antiqua" w:eastAsia="Times New Roman" w:hAnsi="Book Antiqua" w:cs="Calibri"/>
                <w:color w:val="000000"/>
                <w:lang w:eastAsia="es-CR"/>
              </w:rPr>
            </w:pPr>
            <w:r w:rsidRPr="00127FDC">
              <w:rPr>
                <w:rFonts w:ascii="Book Antiqua" w:eastAsia="Times New Roman" w:hAnsi="Book Antiqua" w:cs="Calibri"/>
                <w:color w:val="000000"/>
                <w:lang w:eastAsia="es-CR"/>
              </w:rPr>
              <w:t> </w:t>
            </w:r>
          </w:p>
        </w:tc>
        <w:tc>
          <w:tcPr>
            <w:tcW w:w="2712" w:type="dxa"/>
            <w:tcBorders>
              <w:top w:val="nil"/>
              <w:left w:val="nil"/>
              <w:bottom w:val="single" w:sz="8" w:space="0" w:color="auto"/>
              <w:right w:val="single" w:sz="8" w:space="0" w:color="auto"/>
            </w:tcBorders>
            <w:shd w:val="clear" w:color="auto" w:fill="auto"/>
            <w:noWrap/>
            <w:vAlign w:val="center"/>
            <w:hideMark/>
          </w:tcPr>
          <w:p w14:paraId="01A64E3A" w14:textId="77777777" w:rsidR="0075101E" w:rsidRPr="00127FDC" w:rsidRDefault="0075101E" w:rsidP="00035934">
            <w:pPr>
              <w:spacing w:after="0" w:line="240" w:lineRule="auto"/>
              <w:jc w:val="center"/>
              <w:rPr>
                <w:rFonts w:ascii="Book Antiqua" w:eastAsia="Times New Roman" w:hAnsi="Book Antiqua" w:cs="Times New Roman"/>
                <w:color w:val="000000"/>
                <w:lang w:eastAsia="es-CR"/>
              </w:rPr>
            </w:pPr>
            <w:r w:rsidRPr="000A1761">
              <w:rPr>
                <w:rFonts w:ascii="Times New Roman" w:eastAsia="Times New Roman" w:hAnsi="Times New Roman" w:cs="Times New Roman"/>
                <w:color w:val="000000"/>
                <w:lang w:eastAsia="es-CR"/>
              </w:rPr>
              <w:t>₡</w:t>
            </w:r>
            <w:r w:rsidRPr="00127FDC">
              <w:rPr>
                <w:rFonts w:ascii="Book Antiqua" w:eastAsia="Times New Roman" w:hAnsi="Book Antiqua" w:cs="Times New Roman"/>
                <w:color w:val="000000"/>
                <w:lang w:eastAsia="es-CR"/>
              </w:rPr>
              <w:t xml:space="preserve"> </w:t>
            </w:r>
            <w:r w:rsidRPr="000A1761">
              <w:rPr>
                <w:rFonts w:ascii="Book Antiqua" w:eastAsia="Times New Roman" w:hAnsi="Book Antiqua" w:cs="Times New Roman"/>
                <w:color w:val="000000"/>
                <w:lang w:eastAsia="es-CR"/>
              </w:rPr>
              <w:t>572,250.00</w:t>
            </w:r>
          </w:p>
        </w:tc>
      </w:tr>
      <w:tr w:rsidR="0075101E" w:rsidRPr="00261FCB" w14:paraId="2CC0639E" w14:textId="77777777" w:rsidTr="009B71C9">
        <w:trPr>
          <w:trHeight w:val="69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62810EB2" w14:textId="77777777" w:rsidR="0075101E" w:rsidRPr="00E01CE3" w:rsidRDefault="0075101E" w:rsidP="00035934">
            <w:pPr>
              <w:spacing w:after="0" w:line="240" w:lineRule="auto"/>
              <w:jc w:val="both"/>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5.01.04 Equipo y mobiliario de oficina -Dirección Ejecutiva</w:t>
            </w:r>
          </w:p>
        </w:tc>
        <w:tc>
          <w:tcPr>
            <w:tcW w:w="2089" w:type="dxa"/>
            <w:tcBorders>
              <w:top w:val="nil"/>
              <w:left w:val="nil"/>
              <w:bottom w:val="single" w:sz="8" w:space="0" w:color="auto"/>
              <w:right w:val="single" w:sz="8" w:space="0" w:color="auto"/>
            </w:tcBorders>
            <w:shd w:val="clear" w:color="auto" w:fill="auto"/>
            <w:noWrap/>
            <w:vAlign w:val="bottom"/>
            <w:hideMark/>
          </w:tcPr>
          <w:p w14:paraId="0C1DB7EE" w14:textId="77777777"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w:t>
            </w:r>
          </w:p>
        </w:tc>
        <w:tc>
          <w:tcPr>
            <w:tcW w:w="2391" w:type="dxa"/>
            <w:tcBorders>
              <w:top w:val="nil"/>
              <w:left w:val="nil"/>
              <w:bottom w:val="single" w:sz="8" w:space="0" w:color="auto"/>
              <w:right w:val="single" w:sz="8" w:space="0" w:color="auto"/>
            </w:tcBorders>
            <w:shd w:val="clear" w:color="auto" w:fill="auto"/>
            <w:noWrap/>
            <w:vAlign w:val="center"/>
            <w:hideMark/>
          </w:tcPr>
          <w:p w14:paraId="6B25E333" w14:textId="07AAF7CF"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w:t>
            </w:r>
            <w:r w:rsidR="005F72B1" w:rsidRPr="00E01CE3">
              <w:rPr>
                <w:rFonts w:ascii="Book Antiqua" w:eastAsia="Times New Roman" w:hAnsi="Book Antiqua" w:cs="Times New Roman"/>
                <w:color w:val="000000"/>
                <w:lang w:eastAsia="es-CR"/>
              </w:rPr>
              <w:t>8</w:t>
            </w:r>
            <w:r w:rsidRPr="00E01CE3">
              <w:rPr>
                <w:rFonts w:ascii="Book Antiqua" w:eastAsia="Times New Roman" w:hAnsi="Book Antiqua" w:cs="Times New Roman"/>
                <w:color w:val="000000"/>
                <w:lang w:eastAsia="es-CR"/>
              </w:rPr>
              <w:t>,</w:t>
            </w:r>
            <w:r w:rsidR="005F72B1" w:rsidRPr="00E01CE3">
              <w:rPr>
                <w:rFonts w:ascii="Book Antiqua" w:eastAsia="Times New Roman" w:hAnsi="Book Antiqua" w:cs="Times New Roman"/>
                <w:color w:val="000000"/>
                <w:lang w:eastAsia="es-CR"/>
              </w:rPr>
              <w:t>084</w:t>
            </w:r>
            <w:r w:rsidRPr="00E01CE3">
              <w:rPr>
                <w:rFonts w:ascii="Book Antiqua" w:eastAsia="Times New Roman" w:hAnsi="Book Antiqua" w:cs="Times New Roman"/>
                <w:color w:val="000000"/>
                <w:lang w:eastAsia="es-CR"/>
              </w:rPr>
              <w:t>,</w:t>
            </w:r>
            <w:r w:rsidR="005F72B1" w:rsidRPr="00E01CE3">
              <w:rPr>
                <w:rFonts w:ascii="Book Antiqua" w:eastAsia="Times New Roman" w:hAnsi="Book Antiqua" w:cs="Times New Roman"/>
                <w:color w:val="000000"/>
                <w:lang w:eastAsia="es-CR"/>
              </w:rPr>
              <w:t>549</w:t>
            </w:r>
            <w:r w:rsidRPr="00E01CE3">
              <w:rPr>
                <w:rFonts w:ascii="Book Antiqua" w:eastAsia="Times New Roman" w:hAnsi="Book Antiqua" w:cs="Times New Roman"/>
                <w:color w:val="000000"/>
                <w:lang w:eastAsia="es-CR"/>
              </w:rPr>
              <w:t>.00</w:t>
            </w:r>
          </w:p>
        </w:tc>
        <w:tc>
          <w:tcPr>
            <w:tcW w:w="2712" w:type="dxa"/>
            <w:tcBorders>
              <w:top w:val="nil"/>
              <w:left w:val="nil"/>
              <w:bottom w:val="single" w:sz="8" w:space="0" w:color="auto"/>
              <w:right w:val="single" w:sz="8" w:space="0" w:color="auto"/>
            </w:tcBorders>
            <w:shd w:val="clear" w:color="auto" w:fill="auto"/>
            <w:noWrap/>
            <w:vAlign w:val="center"/>
            <w:hideMark/>
          </w:tcPr>
          <w:p w14:paraId="278A0F25" w14:textId="00C9A4AD" w:rsidR="0075101E" w:rsidRPr="00E01CE3" w:rsidRDefault="00494B11"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8,084,549.00</w:t>
            </w:r>
          </w:p>
        </w:tc>
      </w:tr>
      <w:tr w:rsidR="0075101E" w:rsidRPr="00261FCB" w14:paraId="23A0BF97" w14:textId="77777777" w:rsidTr="009B71C9">
        <w:trPr>
          <w:trHeight w:val="82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510FC3F0" w14:textId="77777777" w:rsidR="0075101E" w:rsidRPr="00E01CE3" w:rsidRDefault="0075101E" w:rsidP="00035934">
            <w:pPr>
              <w:spacing w:after="0" w:line="240" w:lineRule="auto"/>
              <w:jc w:val="both"/>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xml:space="preserve">Equipo de cómputo y licencias -Dirección de Tecnología de la Información </w:t>
            </w:r>
          </w:p>
        </w:tc>
        <w:tc>
          <w:tcPr>
            <w:tcW w:w="2089" w:type="dxa"/>
            <w:tcBorders>
              <w:top w:val="nil"/>
              <w:left w:val="nil"/>
              <w:bottom w:val="single" w:sz="8" w:space="0" w:color="auto"/>
              <w:right w:val="single" w:sz="8" w:space="0" w:color="auto"/>
            </w:tcBorders>
            <w:shd w:val="clear" w:color="auto" w:fill="auto"/>
            <w:noWrap/>
            <w:vAlign w:val="bottom"/>
            <w:hideMark/>
          </w:tcPr>
          <w:p w14:paraId="64DCA63A" w14:textId="77777777"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w:t>
            </w:r>
          </w:p>
        </w:tc>
        <w:tc>
          <w:tcPr>
            <w:tcW w:w="2391" w:type="dxa"/>
            <w:tcBorders>
              <w:top w:val="nil"/>
              <w:left w:val="nil"/>
              <w:bottom w:val="single" w:sz="8" w:space="0" w:color="auto"/>
              <w:right w:val="single" w:sz="8" w:space="0" w:color="auto"/>
            </w:tcBorders>
            <w:shd w:val="clear" w:color="auto" w:fill="auto"/>
            <w:noWrap/>
            <w:vAlign w:val="center"/>
            <w:hideMark/>
          </w:tcPr>
          <w:p w14:paraId="7FE1E951" w14:textId="26B41520"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002D3314" w:rsidRPr="00E01CE3">
              <w:rPr>
                <w:rFonts w:ascii="Book Antiqua" w:eastAsia="Times New Roman" w:hAnsi="Book Antiqua" w:cs="Times New Roman"/>
                <w:color w:val="000000"/>
                <w:lang w:eastAsia="es-CR"/>
              </w:rPr>
              <w:t>31</w:t>
            </w:r>
            <w:r w:rsidRPr="00E01CE3">
              <w:rPr>
                <w:rFonts w:ascii="Book Antiqua" w:eastAsia="Times New Roman" w:hAnsi="Book Antiqua" w:cs="Times New Roman"/>
                <w:color w:val="000000"/>
                <w:lang w:eastAsia="es-CR"/>
              </w:rPr>
              <w:t xml:space="preserve"> </w:t>
            </w:r>
            <w:r w:rsidR="002D3314" w:rsidRPr="00E01CE3">
              <w:rPr>
                <w:rFonts w:ascii="Book Antiqua" w:eastAsia="Times New Roman" w:hAnsi="Book Antiqua" w:cs="Times New Roman"/>
                <w:color w:val="000000"/>
                <w:lang w:eastAsia="es-CR"/>
              </w:rPr>
              <w:t>532</w:t>
            </w:r>
            <w:r w:rsidRPr="00E01CE3">
              <w:rPr>
                <w:rFonts w:ascii="Book Antiqua" w:eastAsia="Times New Roman" w:hAnsi="Book Antiqua" w:cs="Times New Roman"/>
                <w:color w:val="000000"/>
                <w:lang w:eastAsia="es-CR"/>
              </w:rPr>
              <w:t xml:space="preserve"> </w:t>
            </w:r>
            <w:r w:rsidR="000B2B43" w:rsidRPr="00E01CE3">
              <w:rPr>
                <w:rFonts w:ascii="Book Antiqua" w:eastAsia="Times New Roman" w:hAnsi="Book Antiqua" w:cs="Times New Roman"/>
                <w:color w:val="000000"/>
                <w:lang w:eastAsia="es-CR"/>
              </w:rPr>
              <w:t>987</w:t>
            </w:r>
          </w:p>
        </w:tc>
        <w:tc>
          <w:tcPr>
            <w:tcW w:w="2712" w:type="dxa"/>
            <w:tcBorders>
              <w:top w:val="nil"/>
              <w:left w:val="nil"/>
              <w:bottom w:val="single" w:sz="8" w:space="0" w:color="auto"/>
              <w:right w:val="single" w:sz="8" w:space="0" w:color="auto"/>
            </w:tcBorders>
            <w:shd w:val="clear" w:color="auto" w:fill="auto"/>
            <w:noWrap/>
            <w:vAlign w:val="center"/>
            <w:hideMark/>
          </w:tcPr>
          <w:p w14:paraId="18C0B7FF" w14:textId="10F0D4A6" w:rsidR="0075101E" w:rsidRPr="00E01CE3" w:rsidRDefault="000B2B43"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31 532 987</w:t>
            </w:r>
          </w:p>
        </w:tc>
      </w:tr>
      <w:tr w:rsidR="0075101E" w:rsidRPr="00261FCB" w14:paraId="484AC17A" w14:textId="77777777" w:rsidTr="009B71C9">
        <w:trPr>
          <w:trHeight w:val="97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4D62FC6D" w14:textId="77777777" w:rsidR="0075101E" w:rsidRPr="00E01CE3" w:rsidRDefault="0075101E" w:rsidP="00035934">
            <w:pPr>
              <w:spacing w:after="0" w:line="240" w:lineRule="auto"/>
              <w:jc w:val="both"/>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lastRenderedPageBreak/>
              <w:t>Desarrollo página web de la Comisión de Familia -Dirección de Tecnología de la Información</w:t>
            </w:r>
          </w:p>
        </w:tc>
        <w:tc>
          <w:tcPr>
            <w:tcW w:w="2089" w:type="dxa"/>
            <w:tcBorders>
              <w:top w:val="nil"/>
              <w:left w:val="nil"/>
              <w:bottom w:val="single" w:sz="8" w:space="0" w:color="auto"/>
              <w:right w:val="single" w:sz="8" w:space="0" w:color="auto"/>
            </w:tcBorders>
            <w:shd w:val="clear" w:color="auto" w:fill="auto"/>
            <w:noWrap/>
            <w:vAlign w:val="bottom"/>
            <w:hideMark/>
          </w:tcPr>
          <w:p w14:paraId="697ACB9E" w14:textId="77777777"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w:t>
            </w:r>
          </w:p>
        </w:tc>
        <w:tc>
          <w:tcPr>
            <w:tcW w:w="2391" w:type="dxa"/>
            <w:tcBorders>
              <w:top w:val="nil"/>
              <w:left w:val="nil"/>
              <w:bottom w:val="single" w:sz="8" w:space="0" w:color="auto"/>
              <w:right w:val="single" w:sz="8" w:space="0" w:color="auto"/>
            </w:tcBorders>
            <w:shd w:val="clear" w:color="auto" w:fill="auto"/>
            <w:noWrap/>
            <w:vAlign w:val="center"/>
            <w:hideMark/>
          </w:tcPr>
          <w:p w14:paraId="26E26D6D"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15,000,000.00</w:t>
            </w:r>
          </w:p>
        </w:tc>
        <w:tc>
          <w:tcPr>
            <w:tcW w:w="2712" w:type="dxa"/>
            <w:tcBorders>
              <w:top w:val="nil"/>
              <w:left w:val="nil"/>
              <w:bottom w:val="single" w:sz="8" w:space="0" w:color="auto"/>
              <w:right w:val="single" w:sz="8" w:space="0" w:color="auto"/>
            </w:tcBorders>
            <w:shd w:val="clear" w:color="auto" w:fill="auto"/>
            <w:noWrap/>
            <w:vAlign w:val="center"/>
            <w:hideMark/>
          </w:tcPr>
          <w:p w14:paraId="578CC032"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15,000,000.00</w:t>
            </w:r>
          </w:p>
        </w:tc>
      </w:tr>
      <w:tr w:rsidR="0075101E" w:rsidRPr="00261FCB" w14:paraId="2D31E38A" w14:textId="77777777" w:rsidTr="009B71C9">
        <w:trPr>
          <w:trHeight w:val="750"/>
        </w:trPr>
        <w:tc>
          <w:tcPr>
            <w:tcW w:w="2437" w:type="dxa"/>
            <w:tcBorders>
              <w:top w:val="nil"/>
              <w:left w:val="single" w:sz="8" w:space="0" w:color="auto"/>
              <w:bottom w:val="single" w:sz="8" w:space="0" w:color="auto"/>
              <w:right w:val="single" w:sz="8" w:space="0" w:color="auto"/>
            </w:tcBorders>
            <w:shd w:val="clear" w:color="auto" w:fill="auto"/>
            <w:vAlign w:val="center"/>
            <w:hideMark/>
          </w:tcPr>
          <w:p w14:paraId="5CA71CD6" w14:textId="77777777" w:rsidR="0075101E" w:rsidRPr="00E01CE3" w:rsidRDefault="0075101E" w:rsidP="00035934">
            <w:pPr>
              <w:spacing w:after="0" w:line="240" w:lineRule="auto"/>
              <w:jc w:val="both"/>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Pago de peritajes-Familia Departamento de Trabajo Social</w:t>
            </w:r>
          </w:p>
        </w:tc>
        <w:tc>
          <w:tcPr>
            <w:tcW w:w="2089" w:type="dxa"/>
            <w:tcBorders>
              <w:top w:val="nil"/>
              <w:left w:val="nil"/>
              <w:bottom w:val="single" w:sz="8" w:space="0" w:color="auto"/>
              <w:right w:val="single" w:sz="8" w:space="0" w:color="auto"/>
            </w:tcBorders>
            <w:shd w:val="clear" w:color="auto" w:fill="auto"/>
            <w:vAlign w:val="center"/>
            <w:hideMark/>
          </w:tcPr>
          <w:p w14:paraId="120A2F7D"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30,000,000.00</w:t>
            </w:r>
          </w:p>
        </w:tc>
        <w:tc>
          <w:tcPr>
            <w:tcW w:w="2391" w:type="dxa"/>
            <w:tcBorders>
              <w:top w:val="nil"/>
              <w:left w:val="nil"/>
              <w:bottom w:val="single" w:sz="8" w:space="0" w:color="auto"/>
              <w:right w:val="single" w:sz="8" w:space="0" w:color="auto"/>
            </w:tcBorders>
            <w:shd w:val="clear" w:color="auto" w:fill="auto"/>
            <w:noWrap/>
            <w:vAlign w:val="bottom"/>
            <w:hideMark/>
          </w:tcPr>
          <w:p w14:paraId="2BCC778C" w14:textId="77777777" w:rsidR="0075101E" w:rsidRPr="00E01CE3" w:rsidRDefault="0075101E" w:rsidP="00035934">
            <w:pPr>
              <w:spacing w:after="0" w:line="240" w:lineRule="auto"/>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 </w:t>
            </w:r>
          </w:p>
        </w:tc>
        <w:tc>
          <w:tcPr>
            <w:tcW w:w="2712" w:type="dxa"/>
            <w:tcBorders>
              <w:top w:val="nil"/>
              <w:left w:val="nil"/>
              <w:bottom w:val="single" w:sz="8" w:space="0" w:color="auto"/>
              <w:right w:val="single" w:sz="8" w:space="0" w:color="auto"/>
            </w:tcBorders>
            <w:shd w:val="clear" w:color="auto" w:fill="auto"/>
            <w:noWrap/>
            <w:vAlign w:val="center"/>
            <w:hideMark/>
          </w:tcPr>
          <w:p w14:paraId="5E1304FB"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30,000,000.00</w:t>
            </w:r>
          </w:p>
        </w:tc>
      </w:tr>
      <w:tr w:rsidR="0075101E" w:rsidRPr="00261FCB" w14:paraId="348D5D4F" w14:textId="77777777" w:rsidTr="009B71C9">
        <w:trPr>
          <w:trHeight w:val="750"/>
        </w:trPr>
        <w:tc>
          <w:tcPr>
            <w:tcW w:w="2437" w:type="dxa"/>
            <w:tcBorders>
              <w:top w:val="nil"/>
              <w:left w:val="single" w:sz="8" w:space="0" w:color="auto"/>
              <w:bottom w:val="single" w:sz="8" w:space="0" w:color="auto"/>
              <w:right w:val="single" w:sz="8" w:space="0" w:color="auto"/>
            </w:tcBorders>
            <w:shd w:val="clear" w:color="auto" w:fill="auto"/>
            <w:vAlign w:val="center"/>
          </w:tcPr>
          <w:p w14:paraId="619AE10D" w14:textId="77777777" w:rsidR="0075101E" w:rsidRPr="00E01CE3" w:rsidRDefault="0075101E" w:rsidP="00035934">
            <w:pPr>
              <w:spacing w:after="0" w:line="240" w:lineRule="auto"/>
              <w:jc w:val="both"/>
              <w:rPr>
                <w:rFonts w:ascii="Book Antiqua" w:eastAsia="Times New Roman" w:hAnsi="Book Antiqua" w:cs="Calibri"/>
                <w:color w:val="000000"/>
                <w:lang w:eastAsia="es-CR"/>
              </w:rPr>
            </w:pPr>
            <w:r w:rsidRPr="00E01CE3">
              <w:rPr>
                <w:rFonts w:ascii="Book Antiqua" w:eastAsia="Times New Roman" w:hAnsi="Book Antiqua" w:cs="Calibri"/>
                <w:color w:val="000000"/>
                <w:lang w:eastAsia="es-CR"/>
              </w:rPr>
              <w:t>Pago de peritajes-Violencia Doméstica-Departamento de Trabajo Social</w:t>
            </w:r>
          </w:p>
        </w:tc>
        <w:tc>
          <w:tcPr>
            <w:tcW w:w="2089" w:type="dxa"/>
            <w:tcBorders>
              <w:top w:val="nil"/>
              <w:left w:val="nil"/>
              <w:bottom w:val="single" w:sz="8" w:space="0" w:color="auto"/>
              <w:right w:val="single" w:sz="8" w:space="0" w:color="auto"/>
            </w:tcBorders>
            <w:shd w:val="clear" w:color="auto" w:fill="auto"/>
            <w:vAlign w:val="center"/>
          </w:tcPr>
          <w:p w14:paraId="0DB8951B"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30,000,000.00</w:t>
            </w:r>
          </w:p>
        </w:tc>
        <w:tc>
          <w:tcPr>
            <w:tcW w:w="2391" w:type="dxa"/>
            <w:tcBorders>
              <w:top w:val="nil"/>
              <w:left w:val="nil"/>
              <w:bottom w:val="single" w:sz="8" w:space="0" w:color="auto"/>
              <w:right w:val="single" w:sz="8" w:space="0" w:color="auto"/>
            </w:tcBorders>
            <w:shd w:val="clear" w:color="auto" w:fill="auto"/>
            <w:noWrap/>
            <w:vAlign w:val="bottom"/>
          </w:tcPr>
          <w:p w14:paraId="7D3CD711" w14:textId="77777777" w:rsidR="0075101E" w:rsidRPr="00E01CE3" w:rsidRDefault="0075101E" w:rsidP="00035934">
            <w:pPr>
              <w:spacing w:after="0" w:line="240" w:lineRule="auto"/>
              <w:rPr>
                <w:rFonts w:ascii="Book Antiqua" w:eastAsia="Times New Roman" w:hAnsi="Book Antiqua" w:cs="Calibri"/>
                <w:color w:val="000000"/>
                <w:lang w:eastAsia="es-CR"/>
              </w:rPr>
            </w:pPr>
          </w:p>
        </w:tc>
        <w:tc>
          <w:tcPr>
            <w:tcW w:w="2712" w:type="dxa"/>
            <w:tcBorders>
              <w:top w:val="nil"/>
              <w:left w:val="nil"/>
              <w:bottom w:val="single" w:sz="8" w:space="0" w:color="auto"/>
              <w:right w:val="single" w:sz="8" w:space="0" w:color="auto"/>
            </w:tcBorders>
            <w:shd w:val="clear" w:color="auto" w:fill="auto"/>
            <w:noWrap/>
            <w:vAlign w:val="center"/>
          </w:tcPr>
          <w:p w14:paraId="2213921A" w14:textId="77777777" w:rsidR="0075101E" w:rsidRPr="00E01CE3" w:rsidRDefault="0075101E" w:rsidP="00035934">
            <w:pPr>
              <w:spacing w:after="0" w:line="240" w:lineRule="auto"/>
              <w:jc w:val="center"/>
              <w:rPr>
                <w:rFonts w:ascii="Book Antiqua" w:eastAsia="Times New Roman" w:hAnsi="Book Antiqua" w:cs="Times New Roman"/>
                <w:color w:val="000000"/>
                <w:lang w:eastAsia="es-CR"/>
              </w:rPr>
            </w:pPr>
            <w:r w:rsidRPr="00E01CE3">
              <w:rPr>
                <w:rFonts w:ascii="Times New Roman" w:eastAsia="Times New Roman" w:hAnsi="Times New Roman" w:cs="Times New Roman"/>
                <w:color w:val="000000"/>
                <w:lang w:eastAsia="es-CR"/>
              </w:rPr>
              <w:t>₡</w:t>
            </w:r>
            <w:r w:rsidRPr="00E01CE3">
              <w:rPr>
                <w:rFonts w:ascii="Book Antiqua" w:eastAsia="Times New Roman" w:hAnsi="Book Antiqua" w:cs="Times New Roman"/>
                <w:color w:val="000000"/>
                <w:lang w:eastAsia="es-CR"/>
              </w:rPr>
              <w:t xml:space="preserve"> 30,000,000.00</w:t>
            </w:r>
          </w:p>
        </w:tc>
      </w:tr>
      <w:tr w:rsidR="0075101E" w:rsidRPr="00261FCB" w14:paraId="36B32B46" w14:textId="77777777" w:rsidTr="00A132C7">
        <w:trPr>
          <w:trHeight w:val="300"/>
        </w:trPr>
        <w:tc>
          <w:tcPr>
            <w:tcW w:w="2437" w:type="dxa"/>
            <w:tcBorders>
              <w:top w:val="nil"/>
              <w:left w:val="single" w:sz="8" w:space="0" w:color="auto"/>
              <w:bottom w:val="single" w:sz="8" w:space="0" w:color="auto"/>
              <w:right w:val="single" w:sz="8" w:space="0" w:color="auto"/>
            </w:tcBorders>
            <w:shd w:val="clear" w:color="000000" w:fill="DDEBF7"/>
            <w:vAlign w:val="center"/>
            <w:hideMark/>
          </w:tcPr>
          <w:p w14:paraId="0A19FBF6" w14:textId="77777777" w:rsidR="0075101E" w:rsidRPr="00E01CE3" w:rsidRDefault="0075101E" w:rsidP="00035934">
            <w:pPr>
              <w:spacing w:after="0" w:line="240" w:lineRule="auto"/>
              <w:jc w:val="center"/>
              <w:rPr>
                <w:rFonts w:ascii="Book Antiqua" w:eastAsia="Times New Roman" w:hAnsi="Book Antiqua" w:cs="Calibri"/>
                <w:b/>
                <w:bCs/>
                <w:color w:val="000000"/>
                <w:lang w:eastAsia="es-CR"/>
              </w:rPr>
            </w:pPr>
            <w:r w:rsidRPr="00E01CE3">
              <w:rPr>
                <w:rFonts w:ascii="Book Antiqua" w:eastAsia="Times New Roman" w:hAnsi="Book Antiqua" w:cs="Calibri"/>
                <w:b/>
                <w:bCs/>
                <w:color w:val="000000"/>
                <w:lang w:eastAsia="es-CR"/>
              </w:rPr>
              <w:t>Total</w:t>
            </w:r>
          </w:p>
        </w:tc>
        <w:tc>
          <w:tcPr>
            <w:tcW w:w="2089" w:type="dxa"/>
            <w:tcBorders>
              <w:top w:val="nil"/>
              <w:left w:val="nil"/>
              <w:bottom w:val="single" w:sz="8" w:space="0" w:color="auto"/>
              <w:right w:val="single" w:sz="8" w:space="0" w:color="auto"/>
            </w:tcBorders>
            <w:shd w:val="clear" w:color="000000" w:fill="DDEBF7"/>
            <w:vAlign w:val="center"/>
            <w:hideMark/>
          </w:tcPr>
          <w:p w14:paraId="21E3B8CD" w14:textId="77777777" w:rsidR="0075101E" w:rsidRPr="00E01CE3" w:rsidRDefault="0075101E" w:rsidP="00035934">
            <w:pPr>
              <w:spacing w:after="0" w:line="240" w:lineRule="auto"/>
              <w:jc w:val="center"/>
              <w:rPr>
                <w:rFonts w:ascii="Book Antiqua" w:eastAsia="Times New Roman" w:hAnsi="Book Antiqua" w:cs="Times New Roman"/>
                <w:b/>
                <w:bCs/>
                <w:color w:val="000000"/>
                <w:lang w:eastAsia="es-CR"/>
              </w:rPr>
            </w:pPr>
            <w:r w:rsidRPr="00E01CE3">
              <w:rPr>
                <w:rFonts w:ascii="Times New Roman" w:eastAsia="Times New Roman" w:hAnsi="Times New Roman" w:cs="Times New Roman"/>
                <w:b/>
                <w:bCs/>
                <w:color w:val="000000"/>
                <w:lang w:eastAsia="es-CR"/>
              </w:rPr>
              <w:t>₡</w:t>
            </w:r>
            <w:r w:rsidRPr="00E01CE3">
              <w:rPr>
                <w:rFonts w:ascii="Book Antiqua" w:eastAsia="Times New Roman" w:hAnsi="Book Antiqua" w:cs="Times New Roman"/>
                <w:b/>
                <w:bCs/>
                <w:color w:val="000000"/>
                <w:lang w:eastAsia="es-CR"/>
              </w:rPr>
              <w:t>60,642,250.00</w:t>
            </w:r>
          </w:p>
        </w:tc>
        <w:tc>
          <w:tcPr>
            <w:tcW w:w="2391" w:type="dxa"/>
            <w:tcBorders>
              <w:top w:val="nil"/>
              <w:left w:val="nil"/>
              <w:bottom w:val="single" w:sz="8" w:space="0" w:color="auto"/>
              <w:right w:val="single" w:sz="8" w:space="0" w:color="auto"/>
            </w:tcBorders>
            <w:shd w:val="clear" w:color="000000" w:fill="DDEBF7"/>
            <w:vAlign w:val="center"/>
          </w:tcPr>
          <w:p w14:paraId="38355F4C" w14:textId="397C0473" w:rsidR="0075101E" w:rsidRPr="00E01CE3" w:rsidRDefault="00481677" w:rsidP="00035934">
            <w:pPr>
              <w:spacing w:after="0" w:line="240" w:lineRule="auto"/>
              <w:jc w:val="center"/>
              <w:rPr>
                <w:rFonts w:ascii="Book Antiqua" w:eastAsia="Times New Roman" w:hAnsi="Book Antiqua" w:cs="Times New Roman"/>
                <w:b/>
                <w:bCs/>
                <w:color w:val="000000"/>
                <w:lang w:eastAsia="es-CR"/>
              </w:rPr>
            </w:pPr>
            <w:r w:rsidRPr="00E01CE3">
              <w:rPr>
                <w:rFonts w:ascii="Times New Roman" w:eastAsia="Times New Roman" w:hAnsi="Times New Roman" w:cs="Times New Roman"/>
                <w:b/>
                <w:color w:val="000000"/>
                <w:lang w:eastAsia="es-CR"/>
              </w:rPr>
              <w:t>₡1,504,813,368</w:t>
            </w:r>
          </w:p>
        </w:tc>
        <w:tc>
          <w:tcPr>
            <w:tcW w:w="2712" w:type="dxa"/>
            <w:tcBorders>
              <w:top w:val="nil"/>
              <w:left w:val="nil"/>
              <w:bottom w:val="single" w:sz="8" w:space="0" w:color="auto"/>
              <w:right w:val="single" w:sz="8" w:space="0" w:color="auto"/>
            </w:tcBorders>
            <w:shd w:val="clear" w:color="000000" w:fill="DDEBF7"/>
            <w:vAlign w:val="center"/>
          </w:tcPr>
          <w:p w14:paraId="7295C3BE" w14:textId="2B3E945F" w:rsidR="0075101E" w:rsidRPr="00E01CE3" w:rsidRDefault="00481677" w:rsidP="00035934">
            <w:pPr>
              <w:spacing w:after="0" w:line="240" w:lineRule="auto"/>
              <w:jc w:val="center"/>
              <w:rPr>
                <w:rFonts w:ascii="Book Antiqua" w:eastAsia="Times New Roman" w:hAnsi="Book Antiqua" w:cs="Times New Roman"/>
                <w:b/>
                <w:bCs/>
                <w:color w:val="000000"/>
                <w:lang w:eastAsia="es-CR"/>
              </w:rPr>
            </w:pPr>
            <w:r w:rsidRPr="00E01CE3">
              <w:rPr>
                <w:rFonts w:ascii="Times New Roman" w:eastAsia="Times New Roman" w:hAnsi="Times New Roman" w:cs="Times New Roman"/>
                <w:b/>
                <w:color w:val="000000"/>
                <w:lang w:eastAsia="es-CR"/>
              </w:rPr>
              <w:t>₡1,5</w:t>
            </w:r>
            <w:r w:rsidR="00496DD2">
              <w:rPr>
                <w:rFonts w:ascii="Times New Roman" w:eastAsia="Times New Roman" w:hAnsi="Times New Roman" w:cs="Times New Roman"/>
                <w:b/>
                <w:color w:val="000000"/>
                <w:lang w:eastAsia="es-CR"/>
              </w:rPr>
              <w:t>6</w:t>
            </w:r>
            <w:r w:rsidRPr="00E01CE3">
              <w:rPr>
                <w:rFonts w:ascii="Times New Roman" w:eastAsia="Times New Roman" w:hAnsi="Times New Roman" w:cs="Times New Roman"/>
                <w:b/>
                <w:color w:val="000000"/>
                <w:lang w:eastAsia="es-CR"/>
              </w:rPr>
              <w:t>5</w:t>
            </w:r>
            <w:r w:rsidR="00E50AC2" w:rsidRPr="00E01CE3">
              <w:rPr>
                <w:rFonts w:ascii="Times New Roman" w:eastAsia="Times New Roman" w:hAnsi="Times New Roman" w:cs="Times New Roman"/>
                <w:b/>
                <w:bCs/>
                <w:color w:val="000000"/>
                <w:lang w:eastAsia="es-CR"/>
              </w:rPr>
              <w:t>,4</w:t>
            </w:r>
            <w:r w:rsidR="00496DD2">
              <w:rPr>
                <w:rFonts w:ascii="Times New Roman" w:eastAsia="Times New Roman" w:hAnsi="Times New Roman" w:cs="Times New Roman"/>
                <w:b/>
                <w:bCs/>
                <w:color w:val="000000"/>
                <w:lang w:eastAsia="es-CR"/>
              </w:rPr>
              <w:t>55</w:t>
            </w:r>
            <w:r w:rsidR="00E50AC2" w:rsidRPr="00E01CE3">
              <w:rPr>
                <w:rFonts w:ascii="Times New Roman" w:eastAsia="Times New Roman" w:hAnsi="Times New Roman" w:cs="Times New Roman"/>
                <w:b/>
                <w:bCs/>
                <w:color w:val="000000"/>
                <w:lang w:eastAsia="es-CR"/>
              </w:rPr>
              <w:t>,6</w:t>
            </w:r>
            <w:r w:rsidR="00496DD2">
              <w:rPr>
                <w:rFonts w:ascii="Times New Roman" w:eastAsia="Times New Roman" w:hAnsi="Times New Roman" w:cs="Times New Roman"/>
                <w:b/>
                <w:bCs/>
                <w:color w:val="000000"/>
                <w:lang w:eastAsia="es-CR"/>
              </w:rPr>
              <w:t>1</w:t>
            </w:r>
            <w:r w:rsidR="00E50AC2" w:rsidRPr="00E01CE3">
              <w:rPr>
                <w:rFonts w:ascii="Times New Roman" w:eastAsia="Times New Roman" w:hAnsi="Times New Roman" w:cs="Times New Roman"/>
                <w:b/>
                <w:bCs/>
                <w:color w:val="000000"/>
                <w:lang w:eastAsia="es-CR"/>
              </w:rPr>
              <w:t>8</w:t>
            </w:r>
          </w:p>
        </w:tc>
      </w:tr>
    </w:tbl>
    <w:p w14:paraId="33A25730" w14:textId="611A50CD" w:rsidR="007442EC" w:rsidRPr="001D0C10" w:rsidRDefault="007E117C" w:rsidP="009E73B0">
      <w:pPr>
        <w:pStyle w:val="Ttulo"/>
        <w:spacing w:line="276" w:lineRule="auto"/>
        <w:jc w:val="left"/>
        <w:rPr>
          <w:i/>
          <w:iCs/>
          <w:sz w:val="20"/>
          <w:szCs w:val="20"/>
          <w:lang w:val="es-CR"/>
        </w:rPr>
      </w:pPr>
      <w:r w:rsidRPr="00F8739B">
        <w:rPr>
          <w:i/>
          <w:iCs/>
          <w:color w:val="auto"/>
          <w:sz w:val="20"/>
          <w:szCs w:val="20"/>
          <w:lang w:val="es-CR"/>
        </w:rPr>
        <w:t>Fuente: Subproceso Modernización Institucional</w:t>
      </w:r>
      <w:r w:rsidRPr="001D0C10">
        <w:rPr>
          <w:i/>
          <w:iCs/>
          <w:sz w:val="20"/>
          <w:szCs w:val="20"/>
          <w:lang w:val="es-CR"/>
        </w:rPr>
        <w:t>.</w:t>
      </w:r>
    </w:p>
    <w:p w14:paraId="67E71F01" w14:textId="77777777" w:rsidR="007E117C" w:rsidRDefault="007E117C" w:rsidP="009E73B0">
      <w:pPr>
        <w:pStyle w:val="Ttulo"/>
        <w:spacing w:line="276" w:lineRule="auto"/>
        <w:jc w:val="left"/>
        <w:rPr>
          <w:szCs w:val="24"/>
          <w:lang w:val="es-CR"/>
        </w:rPr>
      </w:pPr>
    </w:p>
    <w:p w14:paraId="0CA54F4F" w14:textId="381CD40B" w:rsidR="00287F87" w:rsidRDefault="00287F87" w:rsidP="0090609F">
      <w:pPr>
        <w:pStyle w:val="Ttulo"/>
        <w:numPr>
          <w:ilvl w:val="1"/>
          <w:numId w:val="44"/>
        </w:numPr>
        <w:spacing w:line="276" w:lineRule="auto"/>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 xml:space="preserve">Aprobar cambio de competencia </w:t>
      </w:r>
      <w:r w:rsidR="00BF554A">
        <w:rPr>
          <w:rFonts w:eastAsia="Calibri" w:cs="Arial"/>
          <w:b w:val="0"/>
          <w:color w:val="auto"/>
          <w:spacing w:val="0"/>
          <w:szCs w:val="24"/>
          <w:lang w:val="es-CR" w:eastAsia="en-US"/>
        </w:rPr>
        <w:t>para acercar la justicia en el Pri</w:t>
      </w:r>
      <w:r w:rsidR="00373941">
        <w:rPr>
          <w:rFonts w:eastAsia="Calibri" w:cs="Arial"/>
          <w:b w:val="0"/>
          <w:color w:val="auto"/>
          <w:spacing w:val="0"/>
          <w:szCs w:val="24"/>
          <w:lang w:val="es-CR" w:eastAsia="en-US"/>
        </w:rPr>
        <w:t>mer</w:t>
      </w:r>
      <w:r w:rsidR="00BF554A">
        <w:rPr>
          <w:rFonts w:eastAsia="Calibri" w:cs="Arial"/>
          <w:b w:val="0"/>
          <w:color w:val="auto"/>
          <w:spacing w:val="0"/>
          <w:szCs w:val="24"/>
          <w:lang w:val="es-CR" w:eastAsia="en-US"/>
        </w:rPr>
        <w:t xml:space="preserve"> Circuito Judicial de la Zona Sur-</w:t>
      </w:r>
      <w:r w:rsidRPr="001D0C10">
        <w:rPr>
          <w:rFonts w:eastAsia="Calibri" w:cs="Arial"/>
          <w:b w:val="0"/>
          <w:color w:val="auto"/>
          <w:spacing w:val="0"/>
          <w:szCs w:val="24"/>
          <w:lang w:val="es-CR" w:eastAsia="en-US"/>
        </w:rPr>
        <w:t xml:space="preserve"> P</w:t>
      </w:r>
      <w:r w:rsidR="00E16433" w:rsidRPr="001D0C10">
        <w:rPr>
          <w:rFonts w:eastAsia="Calibri" w:cs="Arial"/>
          <w:b w:val="0"/>
          <w:color w:val="auto"/>
          <w:spacing w:val="0"/>
          <w:szCs w:val="24"/>
          <w:lang w:val="es-CR" w:eastAsia="en-US"/>
        </w:rPr>
        <w:t xml:space="preserve">érez </w:t>
      </w:r>
      <w:r w:rsidRPr="001D0C10">
        <w:rPr>
          <w:rFonts w:eastAsia="Calibri" w:cs="Arial"/>
          <w:b w:val="0"/>
          <w:color w:val="auto"/>
          <w:spacing w:val="0"/>
          <w:szCs w:val="24"/>
          <w:lang w:val="es-CR" w:eastAsia="en-US"/>
        </w:rPr>
        <w:t>Z</w:t>
      </w:r>
      <w:r w:rsidR="00E16433" w:rsidRPr="001D0C10">
        <w:rPr>
          <w:rFonts w:eastAsia="Calibri" w:cs="Arial"/>
          <w:b w:val="0"/>
          <w:color w:val="auto"/>
          <w:spacing w:val="0"/>
          <w:szCs w:val="24"/>
          <w:lang w:val="es-CR" w:eastAsia="en-US"/>
        </w:rPr>
        <w:t>eledón</w:t>
      </w:r>
      <w:r w:rsidR="00CD10CC">
        <w:rPr>
          <w:rFonts w:eastAsia="Calibri" w:cs="Arial"/>
          <w:b w:val="0"/>
          <w:color w:val="auto"/>
          <w:spacing w:val="0"/>
          <w:szCs w:val="24"/>
          <w:lang w:val="es-CR" w:eastAsia="en-US"/>
        </w:rPr>
        <w:t xml:space="preserve"> en Niñez y Adolescencia</w:t>
      </w:r>
      <w:r w:rsidR="00373941">
        <w:rPr>
          <w:rFonts w:eastAsia="Calibri" w:cs="Arial"/>
          <w:b w:val="0"/>
          <w:color w:val="auto"/>
          <w:spacing w:val="0"/>
          <w:szCs w:val="24"/>
          <w:lang w:val="es-CR" w:eastAsia="en-US"/>
        </w:rPr>
        <w:t xml:space="preserve">, a partir de la aprobación de este informe. No se requiere de la entrada en vigencia de la Ley 9747 para aplicar este cambio. </w:t>
      </w:r>
    </w:p>
    <w:p w14:paraId="44FF6F74" w14:textId="0E0A6928" w:rsidR="00A236CE" w:rsidRDefault="00A236CE" w:rsidP="009B71C9">
      <w:pPr>
        <w:pStyle w:val="Ttulo"/>
        <w:spacing w:line="276" w:lineRule="auto"/>
        <w:jc w:val="both"/>
        <w:rPr>
          <w:rFonts w:eastAsia="Calibri" w:cs="Arial"/>
          <w:b w:val="0"/>
          <w:color w:val="auto"/>
          <w:spacing w:val="0"/>
          <w:szCs w:val="24"/>
          <w:lang w:val="es-CR" w:eastAsia="en-US"/>
        </w:rPr>
      </w:pPr>
      <w:r>
        <w:rPr>
          <w:rFonts w:eastAsia="Calibri" w:cs="Arial"/>
          <w:b w:val="0"/>
          <w:color w:val="auto"/>
          <w:spacing w:val="0"/>
          <w:szCs w:val="24"/>
          <w:lang w:val="es-CR" w:eastAsia="en-US"/>
        </w:rPr>
        <w:t>Y la propuesta es que se comunique que los asuntos nuevos</w:t>
      </w:r>
      <w:r w:rsidR="00CE07BF">
        <w:rPr>
          <w:rFonts w:eastAsia="Calibri" w:cs="Arial"/>
          <w:b w:val="0"/>
          <w:color w:val="auto"/>
          <w:spacing w:val="0"/>
          <w:szCs w:val="24"/>
          <w:lang w:val="es-CR" w:eastAsia="en-US"/>
        </w:rPr>
        <w:t xml:space="preserve"> y circulante</w:t>
      </w:r>
      <w:r>
        <w:rPr>
          <w:rFonts w:eastAsia="Calibri" w:cs="Arial"/>
          <w:b w:val="0"/>
          <w:color w:val="auto"/>
          <w:spacing w:val="0"/>
          <w:szCs w:val="24"/>
          <w:lang w:val="es-CR" w:eastAsia="en-US"/>
        </w:rPr>
        <w:t xml:space="preserve"> en Niñez y Adolescencia</w:t>
      </w:r>
      <w:r w:rsidR="00CE07BF">
        <w:rPr>
          <w:rFonts w:eastAsia="Calibri" w:cs="Arial"/>
          <w:b w:val="0"/>
          <w:color w:val="auto"/>
          <w:spacing w:val="0"/>
          <w:szCs w:val="24"/>
          <w:lang w:val="es-CR" w:eastAsia="en-US"/>
        </w:rPr>
        <w:t>, excepto los que tienen fecha de señalamiento,</w:t>
      </w:r>
      <w:r>
        <w:rPr>
          <w:rFonts w:eastAsia="Calibri" w:cs="Arial"/>
          <w:b w:val="0"/>
          <w:color w:val="auto"/>
          <w:spacing w:val="0"/>
          <w:szCs w:val="24"/>
          <w:lang w:val="es-CR" w:eastAsia="en-US"/>
        </w:rPr>
        <w:t xml:space="preserve"> </w:t>
      </w:r>
      <w:r w:rsidR="00CE07BF">
        <w:rPr>
          <w:rFonts w:eastAsia="Calibri" w:cs="Arial"/>
          <w:b w:val="0"/>
          <w:color w:val="auto"/>
          <w:spacing w:val="0"/>
          <w:szCs w:val="24"/>
          <w:lang w:val="es-CR" w:eastAsia="en-US"/>
        </w:rPr>
        <w:t>d</w:t>
      </w:r>
      <w:r>
        <w:rPr>
          <w:rFonts w:eastAsia="Calibri" w:cs="Arial"/>
          <w:b w:val="0"/>
          <w:color w:val="auto"/>
          <w:spacing w:val="0"/>
          <w:szCs w:val="24"/>
          <w:lang w:val="es-CR" w:eastAsia="en-US"/>
        </w:rPr>
        <w:t xml:space="preserve">el cantón de Pérez Zeledón se </w:t>
      </w:r>
      <w:r w:rsidR="00CE07BF">
        <w:rPr>
          <w:rFonts w:eastAsia="Calibri" w:cs="Arial"/>
          <w:b w:val="0"/>
          <w:color w:val="auto"/>
          <w:spacing w:val="0"/>
          <w:szCs w:val="24"/>
          <w:lang w:val="es-CR" w:eastAsia="en-US"/>
        </w:rPr>
        <w:t>conozcan</w:t>
      </w:r>
      <w:r>
        <w:rPr>
          <w:rFonts w:eastAsia="Calibri" w:cs="Arial"/>
          <w:b w:val="0"/>
          <w:color w:val="auto"/>
          <w:spacing w:val="0"/>
          <w:szCs w:val="24"/>
          <w:lang w:val="es-CR" w:eastAsia="en-US"/>
        </w:rPr>
        <w:t xml:space="preserve"> a partir de “x” fecha (acuerdo de Corte Plena) en el Juzgado de Familia del Primer Circuito Judicial de la Zona Sur</w:t>
      </w:r>
      <w:r w:rsidR="00CE07BF">
        <w:rPr>
          <w:rFonts w:eastAsia="Calibri" w:cs="Arial"/>
          <w:b w:val="0"/>
          <w:color w:val="auto"/>
          <w:spacing w:val="0"/>
          <w:szCs w:val="24"/>
          <w:lang w:val="es-CR" w:eastAsia="en-US"/>
        </w:rPr>
        <w:t>, excepto los que tienen audiencias señaladas</w:t>
      </w:r>
      <w:r>
        <w:rPr>
          <w:rFonts w:eastAsia="Calibri" w:cs="Arial"/>
          <w:b w:val="0"/>
          <w:color w:val="auto"/>
          <w:spacing w:val="0"/>
          <w:szCs w:val="24"/>
          <w:lang w:val="es-CR" w:eastAsia="en-US"/>
        </w:rPr>
        <w:t xml:space="preserve">.  </w:t>
      </w:r>
      <w:r w:rsidR="00CE07BF">
        <w:rPr>
          <w:rFonts w:eastAsia="Calibri" w:cs="Arial"/>
          <w:b w:val="0"/>
          <w:color w:val="auto"/>
          <w:spacing w:val="0"/>
          <w:szCs w:val="24"/>
          <w:lang w:val="es-CR" w:eastAsia="en-US"/>
        </w:rPr>
        <w:t>Para completar esta acción en el caso de ser aprobada, la Dirección de Planificación coordinará con ambos despachos para la itineración de expedientes.</w:t>
      </w:r>
    </w:p>
    <w:p w14:paraId="4070CE64" w14:textId="42AAA845" w:rsidR="00E2229F" w:rsidRDefault="00E2229F" w:rsidP="009B71C9">
      <w:pPr>
        <w:pStyle w:val="Ttulo"/>
        <w:spacing w:line="276" w:lineRule="auto"/>
        <w:jc w:val="both"/>
        <w:rPr>
          <w:rFonts w:eastAsia="Calibri" w:cs="Arial"/>
          <w:b w:val="0"/>
          <w:color w:val="auto"/>
          <w:spacing w:val="0"/>
          <w:szCs w:val="24"/>
          <w:lang w:val="es-CR" w:eastAsia="en-US"/>
        </w:rPr>
      </w:pPr>
    </w:p>
    <w:p w14:paraId="28064605" w14:textId="13B8F753" w:rsidR="00E2229F" w:rsidRDefault="00E2229F" w:rsidP="009B71C9">
      <w:pPr>
        <w:pStyle w:val="Ttulo"/>
        <w:spacing w:line="276" w:lineRule="auto"/>
        <w:jc w:val="both"/>
        <w:rPr>
          <w:rFonts w:eastAsia="Calibri" w:cs="Arial"/>
          <w:b w:val="0"/>
          <w:color w:val="auto"/>
          <w:spacing w:val="0"/>
          <w:szCs w:val="24"/>
          <w:lang w:val="es-CR" w:eastAsia="en-US"/>
        </w:rPr>
      </w:pPr>
    </w:p>
    <w:p w14:paraId="39F4E5E6" w14:textId="03246B9F" w:rsidR="00E2229F" w:rsidRDefault="00E2229F" w:rsidP="009B71C9">
      <w:pPr>
        <w:pStyle w:val="Ttulo"/>
        <w:spacing w:line="276" w:lineRule="auto"/>
        <w:jc w:val="both"/>
        <w:rPr>
          <w:rFonts w:eastAsia="Calibri" w:cs="Arial"/>
          <w:b w:val="0"/>
          <w:color w:val="auto"/>
          <w:spacing w:val="0"/>
          <w:szCs w:val="24"/>
          <w:lang w:val="es-CR" w:eastAsia="en-US"/>
        </w:rPr>
      </w:pPr>
    </w:p>
    <w:p w14:paraId="274155AE" w14:textId="1080C06B" w:rsidR="00E2229F" w:rsidRDefault="00E2229F" w:rsidP="009B71C9">
      <w:pPr>
        <w:pStyle w:val="Ttulo"/>
        <w:spacing w:line="276" w:lineRule="auto"/>
        <w:jc w:val="both"/>
        <w:rPr>
          <w:rFonts w:eastAsia="Calibri" w:cs="Arial"/>
          <w:b w:val="0"/>
          <w:color w:val="auto"/>
          <w:spacing w:val="0"/>
          <w:szCs w:val="24"/>
          <w:lang w:val="es-CR" w:eastAsia="en-US"/>
        </w:rPr>
      </w:pPr>
    </w:p>
    <w:p w14:paraId="366288F0" w14:textId="77777777" w:rsidR="00E2229F" w:rsidRPr="001D0C10" w:rsidRDefault="00E2229F" w:rsidP="009B71C9">
      <w:pPr>
        <w:pStyle w:val="Ttulo"/>
        <w:spacing w:line="276" w:lineRule="auto"/>
        <w:jc w:val="both"/>
        <w:rPr>
          <w:rFonts w:eastAsia="Calibri" w:cs="Arial"/>
          <w:b w:val="0"/>
          <w:color w:val="auto"/>
          <w:spacing w:val="0"/>
          <w:szCs w:val="24"/>
          <w:lang w:val="es-CR" w:eastAsia="en-US"/>
        </w:rPr>
      </w:pPr>
    </w:p>
    <w:p w14:paraId="59A2317D" w14:textId="537490D8" w:rsidR="00287F87" w:rsidRDefault="00287F87" w:rsidP="009E73B0">
      <w:pPr>
        <w:pStyle w:val="Ttulo"/>
        <w:spacing w:line="276" w:lineRule="auto"/>
        <w:jc w:val="left"/>
        <w:rPr>
          <w:szCs w:val="24"/>
          <w:lang w:val="es-CR"/>
        </w:rPr>
      </w:pPr>
    </w:p>
    <w:tbl>
      <w:tblPr>
        <w:tblStyle w:val="Tablaconcuadrcula"/>
        <w:tblW w:w="10781" w:type="dxa"/>
        <w:jc w:val="center"/>
        <w:tblLook w:val="04A0" w:firstRow="1" w:lastRow="0" w:firstColumn="1" w:lastColumn="0" w:noHBand="0" w:noVBand="1"/>
      </w:tblPr>
      <w:tblGrid>
        <w:gridCol w:w="1987"/>
        <w:gridCol w:w="3820"/>
        <w:gridCol w:w="1257"/>
        <w:gridCol w:w="2111"/>
        <w:gridCol w:w="1606"/>
      </w:tblGrid>
      <w:tr w:rsidR="007713CD" w:rsidRPr="00225D13" w14:paraId="53A5C6FE" w14:textId="053D8FD5" w:rsidTr="00E576BF">
        <w:trPr>
          <w:jc w:val="center"/>
        </w:trPr>
        <w:tc>
          <w:tcPr>
            <w:tcW w:w="1987" w:type="dxa"/>
            <w:shd w:val="clear" w:color="auto" w:fill="E2EFD9" w:themeFill="accent6" w:themeFillTint="33"/>
            <w:vAlign w:val="center"/>
          </w:tcPr>
          <w:p w14:paraId="09668762" w14:textId="479A5428" w:rsidR="007713CD" w:rsidRPr="009B71C9" w:rsidRDefault="007713CD" w:rsidP="009B71C9">
            <w:pPr>
              <w:spacing w:line="276" w:lineRule="auto"/>
              <w:jc w:val="center"/>
              <w:rPr>
                <w:rFonts w:ascii="Book Antiqua" w:hAnsi="Book Antiqua"/>
                <w:sz w:val="20"/>
                <w:szCs w:val="20"/>
              </w:rPr>
            </w:pPr>
            <w:r w:rsidRPr="009B71C9">
              <w:rPr>
                <w:rFonts w:ascii="Book Antiqua" w:hAnsi="Book Antiqua"/>
                <w:sz w:val="20"/>
                <w:szCs w:val="20"/>
              </w:rPr>
              <w:lastRenderedPageBreak/>
              <w:t>La propuesta no requiere entrada en vigencia de la Ley 9747</w:t>
            </w:r>
          </w:p>
        </w:tc>
        <w:tc>
          <w:tcPr>
            <w:tcW w:w="3820" w:type="dxa"/>
            <w:shd w:val="clear" w:color="auto" w:fill="E2EFD9" w:themeFill="accent6" w:themeFillTint="33"/>
            <w:vAlign w:val="center"/>
          </w:tcPr>
          <w:p w14:paraId="66290588" w14:textId="15AD6AEF" w:rsidR="007713CD" w:rsidRPr="009B71C9" w:rsidRDefault="007713CD" w:rsidP="009B71C9">
            <w:pPr>
              <w:spacing w:line="276" w:lineRule="auto"/>
              <w:jc w:val="both"/>
              <w:rPr>
                <w:rFonts w:ascii="Book Antiqua" w:hAnsi="Book Antiqua"/>
                <w:b/>
                <w:bCs/>
                <w:sz w:val="20"/>
                <w:szCs w:val="20"/>
              </w:rPr>
            </w:pPr>
            <w:r w:rsidRPr="009B71C9">
              <w:rPr>
                <w:rFonts w:ascii="Book Antiqua" w:hAnsi="Book Antiqua"/>
                <w:b/>
                <w:bCs/>
                <w:sz w:val="20"/>
                <w:szCs w:val="20"/>
              </w:rPr>
              <w:t>Competencia material y territorial Juzgado de Familia, de Niñez y Adolescencia</w:t>
            </w:r>
          </w:p>
        </w:tc>
        <w:tc>
          <w:tcPr>
            <w:tcW w:w="1257" w:type="dxa"/>
            <w:shd w:val="clear" w:color="auto" w:fill="E2EFD9" w:themeFill="accent6" w:themeFillTint="33"/>
            <w:vAlign w:val="center"/>
          </w:tcPr>
          <w:p w14:paraId="4F2EFE83" w14:textId="0742F2D6" w:rsidR="007713CD" w:rsidRPr="009B71C9" w:rsidRDefault="007713CD" w:rsidP="009B71C9">
            <w:pPr>
              <w:spacing w:line="276" w:lineRule="auto"/>
              <w:jc w:val="both"/>
              <w:rPr>
                <w:rFonts w:ascii="Book Antiqua" w:hAnsi="Book Antiqua"/>
                <w:b/>
                <w:bCs/>
                <w:sz w:val="20"/>
                <w:szCs w:val="20"/>
              </w:rPr>
            </w:pPr>
            <w:r w:rsidRPr="009B71C9">
              <w:rPr>
                <w:rFonts w:ascii="Book Antiqua" w:hAnsi="Book Antiqua"/>
                <w:b/>
                <w:bCs/>
                <w:sz w:val="20"/>
                <w:szCs w:val="20"/>
              </w:rPr>
              <w:t>Órgano que conoce en alzada</w:t>
            </w:r>
          </w:p>
        </w:tc>
        <w:tc>
          <w:tcPr>
            <w:tcW w:w="2111" w:type="dxa"/>
            <w:shd w:val="clear" w:color="auto" w:fill="E2EFD9" w:themeFill="accent6" w:themeFillTint="33"/>
            <w:vAlign w:val="center"/>
          </w:tcPr>
          <w:p w14:paraId="3D648096" w14:textId="3065DF29" w:rsidR="007713CD" w:rsidRPr="009B71C9" w:rsidRDefault="007713CD" w:rsidP="009B71C9">
            <w:pPr>
              <w:spacing w:line="276" w:lineRule="auto"/>
              <w:jc w:val="both"/>
              <w:rPr>
                <w:rFonts w:ascii="Book Antiqua" w:hAnsi="Book Antiqua"/>
                <w:b/>
                <w:bCs/>
                <w:sz w:val="20"/>
                <w:szCs w:val="20"/>
              </w:rPr>
            </w:pPr>
            <w:r w:rsidRPr="009B71C9">
              <w:rPr>
                <w:rFonts w:ascii="Book Antiqua" w:hAnsi="Book Antiqua"/>
                <w:b/>
                <w:bCs/>
                <w:sz w:val="20"/>
                <w:szCs w:val="20"/>
              </w:rPr>
              <w:t>Competencia material y territorial del Juzgado de Familia de Pérez Zeledón</w:t>
            </w:r>
          </w:p>
        </w:tc>
        <w:tc>
          <w:tcPr>
            <w:tcW w:w="1606" w:type="dxa"/>
            <w:shd w:val="clear" w:color="auto" w:fill="E2EFD9" w:themeFill="accent6" w:themeFillTint="33"/>
            <w:vAlign w:val="center"/>
          </w:tcPr>
          <w:p w14:paraId="25C39CDF" w14:textId="72DDE2CE" w:rsidR="007713CD" w:rsidRPr="009B71C9" w:rsidRDefault="007713CD" w:rsidP="009B71C9">
            <w:pPr>
              <w:spacing w:line="276" w:lineRule="auto"/>
              <w:jc w:val="both"/>
              <w:rPr>
                <w:rFonts w:ascii="Book Antiqua" w:hAnsi="Book Antiqua"/>
                <w:b/>
                <w:bCs/>
                <w:sz w:val="20"/>
                <w:szCs w:val="20"/>
              </w:rPr>
            </w:pPr>
            <w:r w:rsidRPr="009B71C9">
              <w:rPr>
                <w:rFonts w:ascii="Book Antiqua" w:hAnsi="Book Antiqua"/>
                <w:b/>
                <w:bCs/>
                <w:sz w:val="20"/>
                <w:szCs w:val="20"/>
              </w:rPr>
              <w:t>Órgano que conoce en alzada</w:t>
            </w:r>
          </w:p>
        </w:tc>
      </w:tr>
      <w:tr w:rsidR="007713CD" w:rsidRPr="00225D13" w14:paraId="394C052B" w14:textId="5C65DD38" w:rsidTr="00E576BF">
        <w:trPr>
          <w:trHeight w:val="1847"/>
          <w:jc w:val="center"/>
        </w:trPr>
        <w:tc>
          <w:tcPr>
            <w:tcW w:w="1987" w:type="dxa"/>
            <w:vAlign w:val="center"/>
          </w:tcPr>
          <w:p w14:paraId="19CFE993" w14:textId="60555596" w:rsidR="007713CD" w:rsidRPr="009B71C9" w:rsidRDefault="007713CD" w:rsidP="009B71C9">
            <w:pPr>
              <w:spacing w:line="276" w:lineRule="auto"/>
              <w:jc w:val="center"/>
              <w:rPr>
                <w:rFonts w:ascii="Book Antiqua" w:hAnsi="Book Antiqua"/>
                <w:b/>
                <w:bCs/>
              </w:rPr>
            </w:pPr>
            <w:r w:rsidRPr="009B71C9">
              <w:rPr>
                <w:rFonts w:ascii="Book Antiqua" w:hAnsi="Book Antiqua"/>
                <w:b/>
                <w:bCs/>
              </w:rPr>
              <w:t>Actual</w:t>
            </w:r>
          </w:p>
        </w:tc>
        <w:tc>
          <w:tcPr>
            <w:tcW w:w="3820" w:type="dxa"/>
            <w:vAlign w:val="center"/>
          </w:tcPr>
          <w:p w14:paraId="13D54F1B" w14:textId="77777777" w:rsidR="00CE07BF" w:rsidRDefault="007713CD" w:rsidP="00CE07BF">
            <w:pPr>
              <w:spacing w:line="276" w:lineRule="auto"/>
              <w:jc w:val="both"/>
              <w:rPr>
                <w:rFonts w:ascii="Book Antiqua" w:hAnsi="Book Antiqua"/>
              </w:rPr>
            </w:pPr>
            <w:r w:rsidRPr="009B71C9">
              <w:rPr>
                <w:rFonts w:ascii="Book Antiqua" w:hAnsi="Book Antiqua"/>
              </w:rPr>
              <w:t>Provincia de San José</w:t>
            </w:r>
            <w:r w:rsidR="00CE07BF">
              <w:rPr>
                <w:rFonts w:ascii="Book Antiqua" w:hAnsi="Book Antiqua"/>
              </w:rPr>
              <w:t xml:space="preserve">. Además según la circular 131-18 el Juzgado de Familia, Niñez y Adolescencia conoce: </w:t>
            </w:r>
          </w:p>
          <w:p w14:paraId="6C6BFFA5" w14:textId="77777777" w:rsidR="00CE07BF" w:rsidRDefault="00CE07BF" w:rsidP="00CE07BF">
            <w:pPr>
              <w:spacing w:line="276" w:lineRule="auto"/>
              <w:jc w:val="both"/>
              <w:rPr>
                <w:rFonts w:ascii="Book Antiqua" w:hAnsi="Book Antiqua"/>
              </w:rPr>
            </w:pPr>
          </w:p>
          <w:p w14:paraId="32682295" w14:textId="014FDFDB" w:rsidR="00CE07BF" w:rsidRPr="00CE07BF" w:rsidRDefault="00CE07BF" w:rsidP="00CE07BF">
            <w:pPr>
              <w:spacing w:line="276" w:lineRule="auto"/>
              <w:jc w:val="both"/>
              <w:rPr>
                <w:rFonts w:ascii="Book Antiqua" w:hAnsi="Book Antiqua"/>
              </w:rPr>
            </w:pPr>
            <w:r w:rsidRPr="00CE07BF">
              <w:rPr>
                <w:rFonts w:ascii="Book Antiqua" w:hAnsi="Book Antiqua"/>
              </w:rPr>
              <w:t>a) Que el Juzgado de Familia, Niñez y Adolescencia conozca los</w:t>
            </w:r>
          </w:p>
          <w:p w14:paraId="60037F80" w14:textId="77777777" w:rsidR="00CE07BF" w:rsidRPr="00CE07BF" w:rsidRDefault="00CE07BF" w:rsidP="00CE07BF">
            <w:pPr>
              <w:spacing w:line="276" w:lineRule="auto"/>
              <w:jc w:val="both"/>
              <w:rPr>
                <w:rFonts w:ascii="Book Antiqua" w:hAnsi="Book Antiqua"/>
              </w:rPr>
            </w:pPr>
            <w:r w:rsidRPr="00CE07BF">
              <w:rPr>
                <w:rFonts w:ascii="Book Antiqua" w:hAnsi="Book Antiqua"/>
              </w:rPr>
              <w:t>procesos especiales de protección a la niñez y la adolescencia y los que señala el numeral 116 del Código de la Niñez y la</w:t>
            </w:r>
          </w:p>
          <w:p w14:paraId="013F3562" w14:textId="77777777" w:rsidR="00CE07BF" w:rsidRPr="00CE07BF" w:rsidRDefault="00CE07BF" w:rsidP="00CE07BF">
            <w:pPr>
              <w:spacing w:line="276" w:lineRule="auto"/>
              <w:jc w:val="both"/>
              <w:rPr>
                <w:rFonts w:ascii="Book Antiqua" w:hAnsi="Book Antiqua"/>
              </w:rPr>
            </w:pPr>
            <w:r w:rsidRPr="00CE07BF">
              <w:rPr>
                <w:rFonts w:ascii="Book Antiqua" w:hAnsi="Book Antiqua"/>
              </w:rPr>
              <w:t>Adolescencia, las tutelas, los depósitos de personas menores de edad, la declaratoria de abandono, adopción de personas</w:t>
            </w:r>
          </w:p>
          <w:p w14:paraId="70EFA8F2" w14:textId="77777777" w:rsidR="00CE07BF" w:rsidRPr="00CE07BF" w:rsidRDefault="00CE07BF" w:rsidP="00CE07BF">
            <w:pPr>
              <w:spacing w:line="276" w:lineRule="auto"/>
              <w:jc w:val="both"/>
              <w:rPr>
                <w:rFonts w:ascii="Book Antiqua" w:hAnsi="Book Antiqua"/>
              </w:rPr>
            </w:pPr>
            <w:r w:rsidRPr="00CE07BF">
              <w:rPr>
                <w:rFonts w:ascii="Book Antiqua" w:hAnsi="Book Antiqua"/>
              </w:rPr>
              <w:t>menores de edad, la utilidad y necesidad han de depender de si se trata de los intereses de una persona menor de edad o no.</w:t>
            </w:r>
          </w:p>
          <w:p w14:paraId="35313C89" w14:textId="77777777" w:rsidR="00CE07BF" w:rsidRPr="00CE07BF" w:rsidRDefault="00CE07BF" w:rsidP="00CE07BF">
            <w:pPr>
              <w:spacing w:line="276" w:lineRule="auto"/>
              <w:jc w:val="both"/>
              <w:rPr>
                <w:rFonts w:ascii="Book Antiqua" w:hAnsi="Book Antiqua"/>
              </w:rPr>
            </w:pPr>
            <w:r w:rsidRPr="00CE07BF">
              <w:rPr>
                <w:rFonts w:ascii="Book Antiqua" w:hAnsi="Book Antiqua"/>
              </w:rPr>
              <w:t>En cuanto al tema de la patria potestad, si la discusión se da entre los progenitores del niño o adolescente (conflictos de patria</w:t>
            </w:r>
          </w:p>
          <w:p w14:paraId="3CEC1316" w14:textId="77777777" w:rsidR="00CE07BF" w:rsidRPr="00CE07BF" w:rsidRDefault="00CE07BF" w:rsidP="00CE07BF">
            <w:pPr>
              <w:spacing w:line="276" w:lineRule="auto"/>
              <w:jc w:val="both"/>
              <w:rPr>
                <w:rFonts w:ascii="Book Antiqua" w:hAnsi="Book Antiqua"/>
              </w:rPr>
            </w:pPr>
            <w:r w:rsidRPr="00CE07BF">
              <w:rPr>
                <w:rFonts w:ascii="Book Antiqua" w:hAnsi="Book Antiqua"/>
              </w:rPr>
              <w:t>potestad, salidas del país, guarda, crianza y educación, visitas, etcétera) ese asunto debe conocerse por el Juzgado de Familia.</w:t>
            </w:r>
          </w:p>
          <w:p w14:paraId="47A4F920" w14:textId="77777777" w:rsidR="00CE07BF" w:rsidRPr="00CE07BF" w:rsidRDefault="00CE07BF" w:rsidP="00CE07BF">
            <w:pPr>
              <w:spacing w:line="276" w:lineRule="auto"/>
              <w:jc w:val="both"/>
              <w:rPr>
                <w:rFonts w:ascii="Book Antiqua" w:hAnsi="Book Antiqua"/>
              </w:rPr>
            </w:pPr>
            <w:r w:rsidRPr="00CE07BF">
              <w:rPr>
                <w:rFonts w:ascii="Book Antiqua" w:hAnsi="Book Antiqua"/>
              </w:rPr>
              <w:t>Pero si lo que se pide es una protección especial para el niño como serían las suspensiones o extinciones de la patria potestad</w:t>
            </w:r>
          </w:p>
          <w:p w14:paraId="1EF61B11" w14:textId="77777777" w:rsidR="00CE07BF" w:rsidRPr="00CE07BF" w:rsidRDefault="00CE07BF" w:rsidP="00CE07BF">
            <w:pPr>
              <w:spacing w:line="276" w:lineRule="auto"/>
              <w:jc w:val="both"/>
              <w:rPr>
                <w:rFonts w:ascii="Book Antiqua" w:hAnsi="Book Antiqua"/>
              </w:rPr>
            </w:pPr>
            <w:r w:rsidRPr="00CE07BF">
              <w:rPr>
                <w:rFonts w:ascii="Book Antiqua" w:hAnsi="Book Antiqua"/>
              </w:rPr>
              <w:t xml:space="preserve">contra sus padres, no entre ellos, ese asunto debe ser conocido por el </w:t>
            </w:r>
            <w:r w:rsidRPr="00CE07BF">
              <w:rPr>
                <w:rFonts w:ascii="Book Antiqua" w:hAnsi="Book Antiqua"/>
              </w:rPr>
              <w:lastRenderedPageBreak/>
              <w:t>Juzgado de Niñez y la Adolescencia. Tendrá la</w:t>
            </w:r>
          </w:p>
          <w:p w14:paraId="627917DE" w14:textId="77777777" w:rsidR="00CE07BF" w:rsidRPr="00CE07BF" w:rsidRDefault="00CE07BF" w:rsidP="00CE07BF">
            <w:pPr>
              <w:spacing w:line="276" w:lineRule="auto"/>
              <w:jc w:val="both"/>
              <w:rPr>
                <w:rFonts w:ascii="Book Antiqua" w:hAnsi="Book Antiqua"/>
              </w:rPr>
            </w:pPr>
            <w:r w:rsidRPr="00CE07BF">
              <w:rPr>
                <w:rFonts w:ascii="Book Antiqua" w:hAnsi="Book Antiqua"/>
              </w:rPr>
              <w:t>competencia a nivel nacional para conocer las Adopciones Internacionales y los procesos de Restitución Internacional de Personas</w:t>
            </w:r>
          </w:p>
          <w:p w14:paraId="5A957E6E" w14:textId="77777777" w:rsidR="00CE07BF" w:rsidRPr="00CE07BF" w:rsidRDefault="00CE07BF" w:rsidP="00CE07BF">
            <w:pPr>
              <w:spacing w:line="276" w:lineRule="auto"/>
              <w:jc w:val="both"/>
              <w:rPr>
                <w:rFonts w:ascii="Book Antiqua" w:hAnsi="Book Antiqua"/>
              </w:rPr>
            </w:pPr>
            <w:r w:rsidRPr="00CE07BF">
              <w:rPr>
                <w:rFonts w:ascii="Book Antiqua" w:hAnsi="Book Antiqua"/>
              </w:rPr>
              <w:t>Menores de Edad.</w:t>
            </w:r>
          </w:p>
          <w:p w14:paraId="1FBC53F5" w14:textId="1495F1E0" w:rsidR="007713CD" w:rsidRPr="009B71C9" w:rsidRDefault="007713CD" w:rsidP="00CE07BF">
            <w:pPr>
              <w:spacing w:line="276" w:lineRule="auto"/>
              <w:jc w:val="both"/>
              <w:rPr>
                <w:rFonts w:ascii="Book Antiqua" w:hAnsi="Book Antiqua"/>
              </w:rPr>
            </w:pPr>
          </w:p>
        </w:tc>
        <w:tc>
          <w:tcPr>
            <w:tcW w:w="1257" w:type="dxa"/>
            <w:vAlign w:val="center"/>
          </w:tcPr>
          <w:p w14:paraId="2774EC30" w14:textId="137870B9" w:rsidR="007713CD" w:rsidRPr="00225D13" w:rsidRDefault="007713CD" w:rsidP="009B71C9">
            <w:pPr>
              <w:spacing w:line="276" w:lineRule="auto"/>
              <w:jc w:val="both"/>
              <w:rPr>
                <w:rFonts w:ascii="Book Antiqua" w:hAnsi="Book Antiqua"/>
              </w:rPr>
            </w:pPr>
            <w:r w:rsidRPr="00225D13">
              <w:rPr>
                <w:rFonts w:ascii="Book Antiqua" w:hAnsi="Book Antiqua"/>
              </w:rPr>
              <w:lastRenderedPageBreak/>
              <w:t>Tribunal de Familia</w:t>
            </w:r>
          </w:p>
        </w:tc>
        <w:tc>
          <w:tcPr>
            <w:tcW w:w="2111" w:type="dxa"/>
            <w:vAlign w:val="center"/>
          </w:tcPr>
          <w:p w14:paraId="58406413" w14:textId="6D1F3E0D" w:rsidR="007713CD" w:rsidRPr="009B71C9" w:rsidRDefault="007713CD" w:rsidP="009B71C9">
            <w:pPr>
              <w:spacing w:line="276" w:lineRule="auto"/>
              <w:rPr>
                <w:rFonts w:ascii="Book Antiqua" w:hAnsi="Book Antiqua"/>
              </w:rPr>
            </w:pPr>
            <w:r w:rsidRPr="009B71C9">
              <w:rPr>
                <w:rFonts w:ascii="Book Antiqua" w:hAnsi="Book Antiqua"/>
                <w:iCs/>
              </w:rPr>
              <w:t>Abarca el cantón de Pérez Zeledón.</w:t>
            </w:r>
          </w:p>
        </w:tc>
        <w:tc>
          <w:tcPr>
            <w:tcW w:w="1606" w:type="dxa"/>
            <w:vAlign w:val="center"/>
          </w:tcPr>
          <w:p w14:paraId="4AE48EC0" w14:textId="4A7640A9" w:rsidR="007713CD" w:rsidRPr="00225D13" w:rsidRDefault="007713CD" w:rsidP="009B71C9">
            <w:pPr>
              <w:spacing w:line="276" w:lineRule="auto"/>
              <w:jc w:val="both"/>
              <w:rPr>
                <w:rFonts w:ascii="Book Antiqua" w:hAnsi="Book Antiqua"/>
              </w:rPr>
            </w:pPr>
            <w:r w:rsidRPr="00225D13">
              <w:rPr>
                <w:rFonts w:ascii="Book Antiqua" w:hAnsi="Book Antiqua"/>
              </w:rPr>
              <w:t>Tribunal de Familia</w:t>
            </w:r>
          </w:p>
        </w:tc>
      </w:tr>
      <w:tr w:rsidR="007713CD" w:rsidRPr="00225D13" w14:paraId="521677AE" w14:textId="3D453AAF" w:rsidTr="00E576BF">
        <w:trPr>
          <w:jc w:val="center"/>
        </w:trPr>
        <w:tc>
          <w:tcPr>
            <w:tcW w:w="1987" w:type="dxa"/>
            <w:vAlign w:val="center"/>
          </w:tcPr>
          <w:p w14:paraId="1008AF6C" w14:textId="11397C8C" w:rsidR="007713CD" w:rsidRPr="009B71C9" w:rsidRDefault="007713CD" w:rsidP="009B71C9">
            <w:pPr>
              <w:spacing w:line="276" w:lineRule="auto"/>
              <w:jc w:val="center"/>
              <w:rPr>
                <w:rFonts w:ascii="Book Antiqua" w:hAnsi="Book Antiqua"/>
                <w:b/>
                <w:bCs/>
              </w:rPr>
            </w:pPr>
            <w:r w:rsidRPr="009B71C9">
              <w:rPr>
                <w:rFonts w:ascii="Book Antiqua" w:hAnsi="Book Antiqua"/>
                <w:b/>
                <w:bCs/>
              </w:rPr>
              <w:t>Propuesta a partir de la aprobación de este informe por Corte Plena</w:t>
            </w:r>
            <w:r w:rsidR="00A236CE">
              <w:rPr>
                <w:rFonts w:ascii="Book Antiqua" w:hAnsi="Book Antiqua"/>
                <w:b/>
                <w:bCs/>
              </w:rPr>
              <w:t xml:space="preserve">. </w:t>
            </w:r>
          </w:p>
        </w:tc>
        <w:tc>
          <w:tcPr>
            <w:tcW w:w="3820" w:type="dxa"/>
            <w:vAlign w:val="center"/>
          </w:tcPr>
          <w:p w14:paraId="26EB3FC1" w14:textId="2000B456" w:rsidR="007713CD" w:rsidRDefault="00441CAB" w:rsidP="009B71C9">
            <w:pPr>
              <w:spacing w:line="276" w:lineRule="auto"/>
              <w:jc w:val="both"/>
              <w:rPr>
                <w:rFonts w:ascii="Book Antiqua" w:hAnsi="Book Antiqua"/>
              </w:rPr>
            </w:pPr>
            <w:r w:rsidRPr="00441CAB">
              <w:rPr>
                <w:rFonts w:ascii="Book Antiqua" w:hAnsi="Book Antiqua"/>
                <w:b/>
                <w:bCs/>
              </w:rPr>
              <w:t>Juzgado de Niñez y Adolescencia:</w:t>
            </w:r>
            <w:r>
              <w:rPr>
                <w:rFonts w:ascii="Book Antiqua" w:hAnsi="Book Antiqua"/>
              </w:rPr>
              <w:t xml:space="preserve"> </w:t>
            </w:r>
            <w:r w:rsidR="007713CD" w:rsidRPr="009B71C9">
              <w:rPr>
                <w:rFonts w:ascii="Book Antiqua" w:hAnsi="Book Antiqua"/>
              </w:rPr>
              <w:t xml:space="preserve">Asuntos de Niñez y Adolescencia de la </w:t>
            </w:r>
            <w:r w:rsidR="00761307">
              <w:rPr>
                <w:rFonts w:ascii="Book Antiqua" w:hAnsi="Book Antiqua"/>
              </w:rPr>
              <w:t>p</w:t>
            </w:r>
            <w:r w:rsidR="007713CD" w:rsidRPr="009B71C9">
              <w:rPr>
                <w:rFonts w:ascii="Book Antiqua" w:hAnsi="Book Antiqua"/>
              </w:rPr>
              <w:t xml:space="preserve">rovincia de San José </w:t>
            </w:r>
            <w:r w:rsidR="007713CD" w:rsidRPr="00632C16">
              <w:rPr>
                <w:rFonts w:ascii="Book Antiqua" w:hAnsi="Book Antiqua"/>
                <w:b/>
                <w:bCs/>
              </w:rPr>
              <w:t>(excepto el cantón de Pérez Zeledón</w:t>
            </w:r>
            <w:r w:rsidR="007713CD" w:rsidRPr="009B71C9">
              <w:rPr>
                <w:rFonts w:ascii="Book Antiqua" w:hAnsi="Book Antiqua"/>
              </w:rPr>
              <w:t>)</w:t>
            </w:r>
            <w:r w:rsidR="00632C16">
              <w:rPr>
                <w:rFonts w:ascii="Book Antiqua" w:hAnsi="Book Antiqua"/>
              </w:rPr>
              <w:t xml:space="preserve"> donde conocerá hasta el </w:t>
            </w:r>
            <w:r w:rsidR="009C2EDE">
              <w:rPr>
                <w:rFonts w:ascii="Book Antiqua" w:hAnsi="Book Antiqua"/>
              </w:rPr>
              <w:t>30 de setiembre de 2022 lo siguiente:</w:t>
            </w:r>
          </w:p>
          <w:p w14:paraId="632B225D" w14:textId="77777777" w:rsidR="001E064B" w:rsidRDefault="001E064B" w:rsidP="001E064B">
            <w:pPr>
              <w:spacing w:line="276" w:lineRule="auto"/>
              <w:jc w:val="both"/>
              <w:rPr>
                <w:rFonts w:ascii="Book Antiqua" w:hAnsi="Book Antiqua"/>
              </w:rPr>
            </w:pPr>
          </w:p>
          <w:p w14:paraId="0CC44910" w14:textId="08E8B9C3" w:rsidR="001E064B" w:rsidRPr="001E064B" w:rsidRDefault="001E064B" w:rsidP="001E064B">
            <w:pPr>
              <w:spacing w:line="276" w:lineRule="auto"/>
              <w:jc w:val="both"/>
              <w:rPr>
                <w:rFonts w:ascii="Book Antiqua" w:hAnsi="Book Antiqua"/>
              </w:rPr>
            </w:pPr>
            <w:r w:rsidRPr="001E064B">
              <w:rPr>
                <w:rFonts w:ascii="Book Antiqua" w:hAnsi="Book Antiqua"/>
              </w:rPr>
              <w:t>a) Que el Juzgado de Familia, Niñez y Adolescencia conozca los</w:t>
            </w:r>
          </w:p>
          <w:p w14:paraId="613392D3" w14:textId="77777777" w:rsidR="001E064B" w:rsidRPr="001E064B" w:rsidRDefault="001E064B" w:rsidP="001E064B">
            <w:pPr>
              <w:spacing w:line="276" w:lineRule="auto"/>
              <w:jc w:val="both"/>
              <w:rPr>
                <w:rFonts w:ascii="Book Antiqua" w:hAnsi="Book Antiqua"/>
              </w:rPr>
            </w:pPr>
            <w:r w:rsidRPr="001E064B">
              <w:rPr>
                <w:rFonts w:ascii="Book Antiqua" w:hAnsi="Book Antiqua"/>
              </w:rPr>
              <w:t>procesos especiales de protección a la niñez y la adolescencia y los que señala el numeral 116 del Código de la Niñez y la</w:t>
            </w:r>
          </w:p>
          <w:p w14:paraId="12948258" w14:textId="77777777" w:rsidR="001E064B" w:rsidRPr="001E064B" w:rsidRDefault="001E064B" w:rsidP="001E064B">
            <w:pPr>
              <w:spacing w:line="276" w:lineRule="auto"/>
              <w:jc w:val="both"/>
              <w:rPr>
                <w:rFonts w:ascii="Book Antiqua" w:hAnsi="Book Antiqua"/>
              </w:rPr>
            </w:pPr>
            <w:r w:rsidRPr="001E064B">
              <w:rPr>
                <w:rFonts w:ascii="Book Antiqua" w:hAnsi="Book Antiqua"/>
              </w:rPr>
              <w:t>Adolescencia, las tutelas, los depósitos de personas menores de edad, la declaratoria de abandono, adopción de personas</w:t>
            </w:r>
          </w:p>
          <w:p w14:paraId="66592DB4" w14:textId="77777777" w:rsidR="001E064B" w:rsidRPr="001E064B" w:rsidRDefault="001E064B" w:rsidP="001E064B">
            <w:pPr>
              <w:spacing w:line="276" w:lineRule="auto"/>
              <w:jc w:val="both"/>
              <w:rPr>
                <w:rFonts w:ascii="Book Antiqua" w:hAnsi="Book Antiqua"/>
              </w:rPr>
            </w:pPr>
            <w:r w:rsidRPr="001E064B">
              <w:rPr>
                <w:rFonts w:ascii="Book Antiqua" w:hAnsi="Book Antiqua"/>
              </w:rPr>
              <w:t>menores de edad, la utilidad y necesidad han de depender de si se trata de los intereses de una persona menor de edad o no.</w:t>
            </w:r>
          </w:p>
          <w:p w14:paraId="063B3407" w14:textId="77777777" w:rsidR="001E064B" w:rsidRPr="001E064B" w:rsidRDefault="001E064B" w:rsidP="001E064B">
            <w:pPr>
              <w:spacing w:line="276" w:lineRule="auto"/>
              <w:jc w:val="both"/>
              <w:rPr>
                <w:rFonts w:ascii="Book Antiqua" w:hAnsi="Book Antiqua"/>
              </w:rPr>
            </w:pPr>
            <w:r w:rsidRPr="001E064B">
              <w:rPr>
                <w:rFonts w:ascii="Book Antiqua" w:hAnsi="Book Antiqua"/>
              </w:rPr>
              <w:t>En cuanto al tema de la patria potestad, si la discusión se da entre los progenitores del niño o adolescente (conflictos de patria</w:t>
            </w:r>
          </w:p>
          <w:p w14:paraId="284797A8" w14:textId="77777777" w:rsidR="001E064B" w:rsidRPr="001E064B" w:rsidRDefault="001E064B" w:rsidP="001E064B">
            <w:pPr>
              <w:spacing w:line="276" w:lineRule="auto"/>
              <w:jc w:val="both"/>
              <w:rPr>
                <w:rFonts w:ascii="Book Antiqua" w:hAnsi="Book Antiqua"/>
              </w:rPr>
            </w:pPr>
            <w:r w:rsidRPr="001E064B">
              <w:rPr>
                <w:rFonts w:ascii="Book Antiqua" w:hAnsi="Book Antiqua"/>
              </w:rPr>
              <w:t>potestad, salidas del país, guarda, crianza y educación, visitas, etcétera) ese asunto debe conocerse por el Juzgado de Familia.</w:t>
            </w:r>
          </w:p>
          <w:p w14:paraId="5D91DAD3" w14:textId="77777777" w:rsidR="001E064B" w:rsidRPr="001E064B" w:rsidRDefault="001E064B" w:rsidP="001E064B">
            <w:pPr>
              <w:spacing w:line="276" w:lineRule="auto"/>
              <w:jc w:val="both"/>
              <w:rPr>
                <w:rFonts w:ascii="Book Antiqua" w:hAnsi="Book Antiqua"/>
              </w:rPr>
            </w:pPr>
            <w:r w:rsidRPr="001E064B">
              <w:rPr>
                <w:rFonts w:ascii="Book Antiqua" w:hAnsi="Book Antiqua"/>
              </w:rPr>
              <w:lastRenderedPageBreak/>
              <w:t>Pero si lo que se pide es una protección especial para el niño como serían las suspensiones o extinciones de la patria potestad</w:t>
            </w:r>
          </w:p>
          <w:p w14:paraId="3F84C5D7" w14:textId="77777777" w:rsidR="001E064B" w:rsidRPr="001E064B" w:rsidRDefault="001E064B" w:rsidP="001E064B">
            <w:pPr>
              <w:spacing w:line="276" w:lineRule="auto"/>
              <w:jc w:val="both"/>
              <w:rPr>
                <w:rFonts w:ascii="Book Antiqua" w:hAnsi="Book Antiqua"/>
              </w:rPr>
            </w:pPr>
            <w:r w:rsidRPr="001E064B">
              <w:rPr>
                <w:rFonts w:ascii="Book Antiqua" w:hAnsi="Book Antiqua"/>
              </w:rPr>
              <w:t>contra sus padres, no entre ellos, ese asunto debe ser conocido por el Juzgado de Niñez y la Adolescencia. Tendrá la</w:t>
            </w:r>
          </w:p>
          <w:p w14:paraId="63A6A63D" w14:textId="77777777" w:rsidR="001E064B" w:rsidRPr="001E064B" w:rsidRDefault="001E064B" w:rsidP="001E064B">
            <w:pPr>
              <w:spacing w:line="276" w:lineRule="auto"/>
              <w:jc w:val="both"/>
              <w:rPr>
                <w:rFonts w:ascii="Book Antiqua" w:hAnsi="Book Antiqua"/>
              </w:rPr>
            </w:pPr>
            <w:r w:rsidRPr="001E064B">
              <w:rPr>
                <w:rFonts w:ascii="Book Antiqua" w:hAnsi="Book Antiqua"/>
              </w:rPr>
              <w:t>competencia a nivel nacional para conocer las Adopciones Internacionales y los procesos de Restitución Internacional de Personas</w:t>
            </w:r>
          </w:p>
          <w:p w14:paraId="0B4469E6" w14:textId="77777777" w:rsidR="001E064B" w:rsidRPr="001E064B" w:rsidRDefault="001E064B" w:rsidP="001E064B">
            <w:pPr>
              <w:spacing w:line="276" w:lineRule="auto"/>
              <w:jc w:val="both"/>
              <w:rPr>
                <w:rFonts w:ascii="Book Antiqua" w:hAnsi="Book Antiqua"/>
              </w:rPr>
            </w:pPr>
            <w:r w:rsidRPr="001E064B">
              <w:rPr>
                <w:rFonts w:ascii="Book Antiqua" w:hAnsi="Book Antiqua"/>
              </w:rPr>
              <w:t>Menores de Edad.</w:t>
            </w:r>
          </w:p>
          <w:p w14:paraId="5A9F5A12" w14:textId="385DDFFF" w:rsidR="001E064B" w:rsidRPr="001E064B" w:rsidRDefault="001E064B" w:rsidP="001E064B">
            <w:pPr>
              <w:spacing w:line="276" w:lineRule="auto"/>
              <w:jc w:val="both"/>
              <w:rPr>
                <w:rFonts w:ascii="Book Antiqua" w:hAnsi="Book Antiqua"/>
              </w:rPr>
            </w:pPr>
          </w:p>
          <w:p w14:paraId="33FB6175" w14:textId="70E5B789" w:rsidR="001E064B" w:rsidRPr="009C2EDE" w:rsidRDefault="009C2EDE" w:rsidP="001E064B">
            <w:pPr>
              <w:spacing w:line="276" w:lineRule="auto"/>
              <w:jc w:val="both"/>
              <w:rPr>
                <w:rFonts w:ascii="Book Antiqua" w:hAnsi="Book Antiqua"/>
                <w:b/>
                <w:bCs/>
                <w:u w:val="single"/>
              </w:rPr>
            </w:pPr>
            <w:r w:rsidRPr="009C2EDE">
              <w:rPr>
                <w:rFonts w:ascii="Book Antiqua" w:hAnsi="Book Antiqua"/>
                <w:b/>
                <w:bCs/>
                <w:u w:val="single"/>
              </w:rPr>
              <w:t xml:space="preserve">A partir del 1 de octubre de 2022 conocerá además lo dispuesto por la reforma al artículo 106 bis de la Ley Orgánica del Poder Judicial según Ley 9747. </w:t>
            </w:r>
          </w:p>
        </w:tc>
        <w:tc>
          <w:tcPr>
            <w:tcW w:w="1257" w:type="dxa"/>
            <w:vAlign w:val="center"/>
          </w:tcPr>
          <w:p w14:paraId="47E33051" w14:textId="38558C34" w:rsidR="007713CD" w:rsidRPr="00225D13" w:rsidRDefault="007713CD" w:rsidP="009B71C9">
            <w:pPr>
              <w:spacing w:line="276" w:lineRule="auto"/>
              <w:jc w:val="both"/>
              <w:rPr>
                <w:rFonts w:ascii="Book Antiqua" w:hAnsi="Book Antiqua"/>
              </w:rPr>
            </w:pPr>
            <w:r w:rsidRPr="00225D13">
              <w:rPr>
                <w:rFonts w:ascii="Book Antiqua" w:hAnsi="Book Antiqua"/>
              </w:rPr>
              <w:lastRenderedPageBreak/>
              <w:t>Tribunal de Familia</w:t>
            </w:r>
          </w:p>
        </w:tc>
        <w:tc>
          <w:tcPr>
            <w:tcW w:w="2111" w:type="dxa"/>
            <w:vAlign w:val="center"/>
          </w:tcPr>
          <w:p w14:paraId="383E88E4" w14:textId="56A3F50F" w:rsidR="007713CD" w:rsidRPr="009B71C9" w:rsidRDefault="00225D13" w:rsidP="009B71C9">
            <w:pPr>
              <w:spacing w:line="276" w:lineRule="auto"/>
              <w:jc w:val="both"/>
              <w:rPr>
                <w:rFonts w:ascii="Book Antiqua" w:hAnsi="Book Antiqua"/>
              </w:rPr>
            </w:pPr>
            <w:r w:rsidRPr="009B71C9">
              <w:rPr>
                <w:rFonts w:ascii="Book Antiqua" w:hAnsi="Book Antiqua"/>
                <w:iCs/>
              </w:rPr>
              <w:t xml:space="preserve">Asuntos de Familia, Niñez y Adolescencia </w:t>
            </w:r>
            <w:r w:rsidRPr="00225D13">
              <w:rPr>
                <w:rFonts w:ascii="Book Antiqua" w:hAnsi="Book Antiqua"/>
                <w:iCs/>
              </w:rPr>
              <w:t>del cantón</w:t>
            </w:r>
            <w:r w:rsidRPr="009B71C9">
              <w:rPr>
                <w:rFonts w:ascii="Book Antiqua" w:hAnsi="Book Antiqua"/>
                <w:iCs/>
              </w:rPr>
              <w:t xml:space="preserve"> de Pérez Zeledón</w:t>
            </w:r>
            <w:r>
              <w:rPr>
                <w:rFonts w:ascii="Book Antiqua" w:hAnsi="Book Antiqua"/>
                <w:iCs/>
              </w:rPr>
              <w:t>.</w:t>
            </w:r>
          </w:p>
        </w:tc>
        <w:tc>
          <w:tcPr>
            <w:tcW w:w="1606" w:type="dxa"/>
            <w:vAlign w:val="center"/>
          </w:tcPr>
          <w:p w14:paraId="23E92ABC" w14:textId="12A55741" w:rsidR="007713CD" w:rsidRPr="00225D13" w:rsidRDefault="007713CD" w:rsidP="009B71C9">
            <w:pPr>
              <w:spacing w:line="276" w:lineRule="auto"/>
              <w:jc w:val="both"/>
              <w:rPr>
                <w:rFonts w:ascii="Book Antiqua" w:hAnsi="Book Antiqua"/>
              </w:rPr>
            </w:pPr>
            <w:r w:rsidRPr="00225D13">
              <w:rPr>
                <w:rFonts w:ascii="Book Antiqua" w:hAnsi="Book Antiqua"/>
              </w:rPr>
              <w:t>Tribunal de Familia</w:t>
            </w:r>
            <w:r w:rsidR="00225D13" w:rsidRPr="00225D13">
              <w:rPr>
                <w:rFonts w:ascii="Book Antiqua" w:hAnsi="Book Antiqua"/>
              </w:rPr>
              <w:t xml:space="preserve"> </w:t>
            </w:r>
          </w:p>
        </w:tc>
      </w:tr>
    </w:tbl>
    <w:p w14:paraId="39E583F6" w14:textId="59706647" w:rsidR="00CE5E65" w:rsidRDefault="00CE5E65" w:rsidP="009E73B0">
      <w:pPr>
        <w:pStyle w:val="Ttulo"/>
        <w:spacing w:line="276" w:lineRule="auto"/>
        <w:jc w:val="left"/>
        <w:rPr>
          <w:szCs w:val="24"/>
          <w:lang w:val="es-CR"/>
        </w:rPr>
      </w:pPr>
    </w:p>
    <w:p w14:paraId="055D4C31" w14:textId="77777777" w:rsidR="00A7756A" w:rsidRDefault="00CE07BF" w:rsidP="005B1C31">
      <w:pPr>
        <w:pStyle w:val="Ttulo"/>
        <w:spacing w:line="276" w:lineRule="auto"/>
        <w:jc w:val="both"/>
        <w:rPr>
          <w:rFonts w:eastAsiaTheme="minorHAnsi" w:cstheme="minorBidi"/>
          <w:b w:val="0"/>
          <w:color w:val="auto"/>
          <w:spacing w:val="0"/>
          <w:sz w:val="22"/>
          <w:szCs w:val="22"/>
          <w:lang w:val="es-CR" w:eastAsia="en-US"/>
        </w:rPr>
      </w:pPr>
      <w:r w:rsidRPr="00CE07BF">
        <w:rPr>
          <w:rFonts w:eastAsiaTheme="minorHAnsi" w:cstheme="minorBidi"/>
          <w:b w:val="0"/>
          <w:color w:val="auto"/>
          <w:spacing w:val="0"/>
          <w:sz w:val="22"/>
          <w:szCs w:val="22"/>
          <w:lang w:val="es-CR" w:eastAsia="en-US"/>
        </w:rPr>
        <w:t>En el caso de ser aprobada esta recomendación, debe reemplazarse la circular 131-18</w:t>
      </w:r>
      <w:r w:rsidR="001E064B">
        <w:rPr>
          <w:rFonts w:eastAsiaTheme="minorHAnsi" w:cstheme="minorBidi"/>
          <w:b w:val="0"/>
          <w:color w:val="auto"/>
          <w:spacing w:val="0"/>
          <w:sz w:val="22"/>
          <w:szCs w:val="22"/>
          <w:lang w:val="es-CR" w:eastAsia="en-US"/>
        </w:rPr>
        <w:t>.</w:t>
      </w:r>
      <w:r w:rsidR="005B1C31">
        <w:rPr>
          <w:rFonts w:eastAsiaTheme="minorHAnsi" w:cstheme="minorBidi"/>
          <w:b w:val="0"/>
          <w:color w:val="auto"/>
          <w:spacing w:val="0"/>
          <w:sz w:val="22"/>
          <w:szCs w:val="22"/>
          <w:lang w:val="es-CR" w:eastAsia="en-US"/>
        </w:rPr>
        <w:t xml:space="preserve"> </w:t>
      </w:r>
    </w:p>
    <w:p w14:paraId="54D0C178" w14:textId="3DD1EB10" w:rsidR="00CE5E65" w:rsidRDefault="005B13A1" w:rsidP="0062749F">
      <w:pPr>
        <w:pStyle w:val="Ttulo"/>
        <w:spacing w:line="276" w:lineRule="auto"/>
        <w:jc w:val="both"/>
        <w:rPr>
          <w:szCs w:val="24"/>
          <w:lang w:val="es-CR"/>
        </w:rPr>
      </w:pPr>
      <w:r w:rsidRPr="006F6A23">
        <w:rPr>
          <w:rFonts w:eastAsiaTheme="minorHAnsi" w:cstheme="minorBidi"/>
          <w:b w:val="0"/>
          <w:color w:val="auto"/>
          <w:spacing w:val="0"/>
          <w:szCs w:val="24"/>
          <w:lang w:val="es-CR" w:eastAsia="en-US"/>
        </w:rPr>
        <w:t xml:space="preserve">Además conforme a la recomendación </w:t>
      </w:r>
      <w:r w:rsidR="00C94DEF" w:rsidRPr="006F6A23">
        <w:rPr>
          <w:rFonts w:eastAsiaTheme="minorHAnsi" w:cstheme="minorBidi"/>
          <w:b w:val="0"/>
          <w:color w:val="auto"/>
          <w:spacing w:val="0"/>
          <w:szCs w:val="24"/>
          <w:lang w:val="es-CR" w:eastAsia="en-US"/>
        </w:rPr>
        <w:t xml:space="preserve">17.8 </w:t>
      </w:r>
      <w:r w:rsidR="00A7756A" w:rsidRPr="006F6A23">
        <w:rPr>
          <w:rFonts w:eastAsiaTheme="minorHAnsi" w:cstheme="minorBidi"/>
          <w:b w:val="0"/>
          <w:color w:val="auto"/>
          <w:spacing w:val="0"/>
          <w:szCs w:val="24"/>
          <w:lang w:val="es-CR" w:eastAsia="en-US"/>
        </w:rPr>
        <w:t>de este</w:t>
      </w:r>
      <w:r w:rsidR="00C94DEF" w:rsidRPr="006F6A23">
        <w:rPr>
          <w:rFonts w:eastAsiaTheme="minorHAnsi" w:cstheme="minorBidi"/>
          <w:b w:val="0"/>
          <w:color w:val="auto"/>
          <w:spacing w:val="0"/>
          <w:szCs w:val="24"/>
          <w:lang w:val="es-CR" w:eastAsia="en-US"/>
        </w:rPr>
        <w:t xml:space="preserve"> informe,</w:t>
      </w:r>
      <w:r w:rsidRPr="006F6A23">
        <w:rPr>
          <w:rFonts w:eastAsiaTheme="minorHAnsi" w:cstheme="minorBidi"/>
          <w:b w:val="0"/>
          <w:color w:val="auto"/>
          <w:spacing w:val="0"/>
          <w:szCs w:val="24"/>
          <w:lang w:val="es-CR" w:eastAsia="en-US"/>
        </w:rPr>
        <w:t xml:space="preserve"> el nombre</w:t>
      </w:r>
      <w:r w:rsidR="00C94DEF" w:rsidRPr="006F6A23">
        <w:rPr>
          <w:rFonts w:eastAsiaTheme="minorHAnsi" w:cstheme="minorBidi"/>
          <w:b w:val="0"/>
          <w:color w:val="auto"/>
          <w:spacing w:val="0"/>
          <w:szCs w:val="24"/>
          <w:lang w:val="es-CR" w:eastAsia="en-US"/>
        </w:rPr>
        <w:t xml:space="preserve"> del actual Juzgado de Familia, Niñez y Adolescencia (oficina con código presupuestario número</w:t>
      </w:r>
      <w:r w:rsidR="00A7756A" w:rsidRPr="006F6A23">
        <w:rPr>
          <w:rFonts w:eastAsiaTheme="minorHAnsi" w:cstheme="minorBidi"/>
          <w:b w:val="0"/>
          <w:color w:val="auto"/>
          <w:spacing w:val="0"/>
          <w:szCs w:val="24"/>
          <w:lang w:val="es-CR" w:eastAsia="en-US"/>
        </w:rPr>
        <w:t xml:space="preserve"> 613</w:t>
      </w:r>
      <w:r w:rsidR="00C94DEF" w:rsidRPr="006F6A23">
        <w:rPr>
          <w:rFonts w:eastAsiaTheme="minorHAnsi" w:cstheme="minorBidi"/>
          <w:b w:val="0"/>
          <w:color w:val="auto"/>
          <w:spacing w:val="0"/>
          <w:szCs w:val="24"/>
          <w:lang w:val="es-CR" w:eastAsia="en-US"/>
        </w:rPr>
        <w:t>)</w:t>
      </w:r>
      <w:r w:rsidRPr="006F6A23">
        <w:rPr>
          <w:rFonts w:eastAsiaTheme="minorHAnsi" w:cstheme="minorBidi"/>
          <w:b w:val="0"/>
          <w:color w:val="auto"/>
          <w:spacing w:val="0"/>
          <w:szCs w:val="24"/>
          <w:lang w:val="es-CR" w:eastAsia="en-US"/>
        </w:rPr>
        <w:t xml:space="preserve"> cambia a Juzgado de Niñez y Adolescencia</w:t>
      </w:r>
      <w:r w:rsidR="00A7756A" w:rsidRPr="006F6A23">
        <w:rPr>
          <w:rFonts w:eastAsiaTheme="minorHAnsi" w:cstheme="minorBidi"/>
          <w:b w:val="0"/>
          <w:color w:val="auto"/>
          <w:spacing w:val="0"/>
          <w:szCs w:val="24"/>
          <w:lang w:val="es-CR" w:eastAsia="en-US"/>
        </w:rPr>
        <w:t xml:space="preserve"> a partir del 1 de octubre de 2022</w:t>
      </w:r>
      <w:r w:rsidRPr="006F6A23">
        <w:rPr>
          <w:rFonts w:eastAsiaTheme="minorHAnsi" w:cstheme="minorBidi"/>
          <w:b w:val="0"/>
          <w:color w:val="auto"/>
          <w:spacing w:val="0"/>
          <w:szCs w:val="24"/>
          <w:lang w:val="es-CR" w:eastAsia="en-US"/>
        </w:rPr>
        <w:t xml:space="preserve">. </w:t>
      </w:r>
    </w:p>
    <w:p w14:paraId="64381B6C" w14:textId="3E473D0C" w:rsidR="00391C8F" w:rsidRPr="001D0C10" w:rsidRDefault="0047232A" w:rsidP="0090609F">
      <w:pPr>
        <w:pStyle w:val="Ttulo"/>
        <w:numPr>
          <w:ilvl w:val="1"/>
          <w:numId w:val="44"/>
        </w:numPr>
        <w:spacing w:line="276" w:lineRule="auto"/>
        <w:jc w:val="both"/>
        <w:rPr>
          <w:rFonts w:eastAsia="Calibri" w:cs="Arial"/>
          <w:b w:val="0"/>
          <w:color w:val="auto"/>
          <w:spacing w:val="0"/>
          <w:szCs w:val="24"/>
          <w:lang w:val="es-CR" w:eastAsia="en-US"/>
        </w:rPr>
      </w:pPr>
      <w:r w:rsidRPr="009B71C9">
        <w:rPr>
          <w:rFonts w:eastAsia="Calibri" w:cs="Arial"/>
          <w:b w:val="0"/>
          <w:color w:val="auto"/>
          <w:spacing w:val="0"/>
          <w:szCs w:val="24"/>
          <w:lang w:val="es-CR" w:eastAsia="en-US"/>
        </w:rPr>
        <w:t xml:space="preserve">Solicitar a la Comisión de la </w:t>
      </w:r>
      <w:r w:rsidRPr="0047232A">
        <w:rPr>
          <w:rFonts w:eastAsia="Calibri" w:cs="Arial"/>
          <w:b w:val="0"/>
          <w:color w:val="auto"/>
          <w:spacing w:val="0"/>
          <w:szCs w:val="24"/>
          <w:lang w:val="es-CR" w:eastAsia="en-US"/>
        </w:rPr>
        <w:t>Jurisdicción</w:t>
      </w:r>
      <w:r w:rsidRPr="009B71C9">
        <w:rPr>
          <w:rFonts w:eastAsia="Calibri" w:cs="Arial"/>
          <w:b w:val="0"/>
          <w:color w:val="auto"/>
          <w:spacing w:val="0"/>
          <w:szCs w:val="24"/>
          <w:lang w:val="es-CR" w:eastAsia="en-US"/>
        </w:rPr>
        <w:t xml:space="preserve"> de Familia, Dirección Ejecutiva,</w:t>
      </w:r>
      <w:r w:rsidR="006B2621">
        <w:rPr>
          <w:rFonts w:eastAsia="Calibri" w:cs="Arial"/>
          <w:b w:val="0"/>
          <w:color w:val="auto"/>
          <w:spacing w:val="0"/>
          <w:szCs w:val="24"/>
          <w:lang w:val="es-CR" w:eastAsia="en-US"/>
        </w:rPr>
        <w:t xml:space="preserve"> Dirección Jurídica,</w:t>
      </w:r>
      <w:r w:rsidRPr="009B71C9">
        <w:rPr>
          <w:rFonts w:eastAsia="Calibri" w:cs="Arial"/>
          <w:b w:val="0"/>
          <w:color w:val="auto"/>
          <w:spacing w:val="0"/>
          <w:szCs w:val="24"/>
          <w:lang w:val="es-CR" w:eastAsia="en-US"/>
        </w:rPr>
        <w:t xml:space="preserve"> presentar</w:t>
      </w:r>
      <w:r>
        <w:rPr>
          <w:rFonts w:eastAsia="Calibri" w:cs="Arial"/>
          <w:b w:val="0"/>
          <w:color w:val="auto"/>
          <w:spacing w:val="0"/>
          <w:szCs w:val="24"/>
          <w:lang w:val="es-CR" w:eastAsia="en-US"/>
        </w:rPr>
        <w:t xml:space="preserve"> </w:t>
      </w:r>
      <w:r w:rsidR="00566189">
        <w:rPr>
          <w:rFonts w:eastAsia="Calibri" w:cs="Arial"/>
          <w:b w:val="0"/>
          <w:color w:val="auto"/>
          <w:spacing w:val="0"/>
          <w:szCs w:val="24"/>
          <w:lang w:val="es-CR" w:eastAsia="en-US"/>
        </w:rPr>
        <w:t xml:space="preserve">a la mayor brevedad </w:t>
      </w:r>
      <w:r>
        <w:rPr>
          <w:rFonts w:eastAsia="Calibri" w:cs="Arial"/>
          <w:b w:val="0"/>
          <w:color w:val="auto"/>
          <w:spacing w:val="0"/>
          <w:szCs w:val="24"/>
          <w:lang w:val="es-CR" w:eastAsia="en-US"/>
        </w:rPr>
        <w:t>a Corte Plena</w:t>
      </w:r>
      <w:r w:rsidRPr="009B71C9">
        <w:rPr>
          <w:rFonts w:eastAsia="Calibri" w:cs="Arial"/>
          <w:b w:val="0"/>
          <w:color w:val="auto"/>
          <w:spacing w:val="0"/>
          <w:szCs w:val="24"/>
          <w:lang w:val="es-CR" w:eastAsia="en-US"/>
        </w:rPr>
        <w:t xml:space="preserve"> </w:t>
      </w:r>
      <w:r w:rsidR="00566189">
        <w:rPr>
          <w:rFonts w:eastAsia="Calibri" w:cs="Arial"/>
          <w:b w:val="0"/>
          <w:color w:val="auto"/>
          <w:spacing w:val="0"/>
          <w:szCs w:val="24"/>
          <w:lang w:val="es-CR" w:eastAsia="en-US"/>
        </w:rPr>
        <w:t>para aprobación,</w:t>
      </w:r>
      <w:r w:rsidR="001614AA">
        <w:rPr>
          <w:rFonts w:eastAsia="Calibri" w:cs="Arial"/>
          <w:b w:val="0"/>
          <w:color w:val="auto"/>
          <w:spacing w:val="0"/>
          <w:szCs w:val="24"/>
          <w:lang w:val="es-CR" w:eastAsia="en-US"/>
        </w:rPr>
        <w:t xml:space="preserve"> conforme lo aprobado por el Consejo Superior en sesiones </w:t>
      </w:r>
      <w:r w:rsidR="00DA423C" w:rsidRPr="00DA423C">
        <w:rPr>
          <w:rFonts w:eastAsia="Calibri" w:cs="Arial"/>
          <w:b w:val="0"/>
          <w:color w:val="auto"/>
          <w:spacing w:val="0"/>
          <w:szCs w:val="24"/>
          <w:lang w:val="es-CR" w:eastAsia="en-US"/>
        </w:rPr>
        <w:t>119-2020 celebrada el 15 de diciembre de 2020, artículo LXVI</w:t>
      </w:r>
      <w:r w:rsidR="00DA423C">
        <w:rPr>
          <w:rFonts w:eastAsia="Calibri" w:cs="Arial"/>
          <w:b w:val="0"/>
          <w:color w:val="auto"/>
          <w:spacing w:val="0"/>
          <w:szCs w:val="24"/>
          <w:lang w:val="es-CR" w:eastAsia="en-US"/>
        </w:rPr>
        <w:t xml:space="preserve"> y </w:t>
      </w:r>
      <w:r w:rsidR="00DA423C" w:rsidRPr="00DA423C">
        <w:rPr>
          <w:rFonts w:eastAsia="Calibri" w:cs="Arial"/>
          <w:b w:val="0"/>
          <w:color w:val="auto"/>
          <w:spacing w:val="0"/>
          <w:szCs w:val="24"/>
          <w:lang w:val="es-CR" w:eastAsia="en-US"/>
        </w:rPr>
        <w:t xml:space="preserve">79-2021 celebrada el 9 de setiembre de 2021, </w:t>
      </w:r>
      <w:r w:rsidR="007713CD">
        <w:rPr>
          <w:rFonts w:eastAsia="Calibri" w:cs="Arial"/>
          <w:b w:val="0"/>
          <w:color w:val="auto"/>
          <w:spacing w:val="0"/>
          <w:szCs w:val="24"/>
          <w:lang w:val="es-CR" w:eastAsia="en-US"/>
        </w:rPr>
        <w:t>artículo</w:t>
      </w:r>
      <w:r w:rsidR="00DA423C" w:rsidRPr="00DA423C">
        <w:rPr>
          <w:rFonts w:eastAsia="Calibri" w:cs="Arial"/>
          <w:b w:val="0"/>
          <w:color w:val="auto"/>
          <w:spacing w:val="0"/>
          <w:szCs w:val="24"/>
          <w:lang w:val="es-CR" w:eastAsia="en-US"/>
        </w:rPr>
        <w:t xml:space="preserve"> XXXIX</w:t>
      </w:r>
      <w:r w:rsidR="001614AA">
        <w:rPr>
          <w:rFonts w:eastAsia="Calibri" w:cs="Arial"/>
          <w:b w:val="0"/>
          <w:color w:val="auto"/>
          <w:spacing w:val="0"/>
          <w:szCs w:val="24"/>
          <w:lang w:val="es-CR" w:eastAsia="en-US"/>
        </w:rPr>
        <w:t>,</w:t>
      </w:r>
      <w:r w:rsidR="0081043E">
        <w:rPr>
          <w:rFonts w:eastAsia="Calibri" w:cs="Arial"/>
          <w:b w:val="0"/>
          <w:color w:val="auto"/>
          <w:spacing w:val="0"/>
          <w:szCs w:val="24"/>
          <w:lang w:val="es-CR" w:eastAsia="en-US"/>
        </w:rPr>
        <w:t xml:space="preserve"> </w:t>
      </w:r>
      <w:r w:rsidR="00391C8F" w:rsidRPr="001D0C10">
        <w:rPr>
          <w:rFonts w:eastAsia="Calibri" w:cs="Arial"/>
          <w:b w:val="0"/>
          <w:color w:val="auto"/>
          <w:spacing w:val="0"/>
          <w:szCs w:val="24"/>
          <w:lang w:val="es-CR" w:eastAsia="en-US"/>
        </w:rPr>
        <w:t>el reglament</w:t>
      </w:r>
      <w:r w:rsidR="007D60D8">
        <w:rPr>
          <w:rFonts w:eastAsia="Calibri" w:cs="Arial"/>
          <w:b w:val="0"/>
          <w:color w:val="auto"/>
          <w:spacing w:val="0"/>
          <w:szCs w:val="24"/>
          <w:lang w:val="es-CR" w:eastAsia="en-US"/>
        </w:rPr>
        <w:t>o</w:t>
      </w:r>
      <w:r w:rsidR="00391C8F" w:rsidRPr="001D0C10">
        <w:rPr>
          <w:rFonts w:eastAsia="Calibri" w:cs="Arial"/>
          <w:b w:val="0"/>
          <w:color w:val="auto"/>
          <w:spacing w:val="0"/>
          <w:szCs w:val="24"/>
          <w:lang w:val="es-CR" w:eastAsia="en-US"/>
        </w:rPr>
        <w:t xml:space="preserve"> para la </w:t>
      </w:r>
      <w:r w:rsidR="007D60D8" w:rsidRPr="007D60D8">
        <w:rPr>
          <w:rFonts w:eastAsia="Calibri" w:cs="Arial"/>
          <w:b w:val="0"/>
          <w:color w:val="auto"/>
          <w:spacing w:val="0"/>
          <w:szCs w:val="24"/>
          <w:lang w:val="es-CR" w:eastAsia="en-US"/>
        </w:rPr>
        <w:t>operativización</w:t>
      </w:r>
      <w:r w:rsidR="00391C8F" w:rsidRPr="001D0C10">
        <w:rPr>
          <w:rFonts w:eastAsia="Calibri" w:cs="Arial"/>
          <w:b w:val="0"/>
          <w:color w:val="auto"/>
          <w:spacing w:val="0"/>
          <w:szCs w:val="24"/>
          <w:lang w:val="es-CR" w:eastAsia="en-US"/>
        </w:rPr>
        <w:t xml:space="preserve"> del artículo 2</w:t>
      </w:r>
      <w:r w:rsidR="001E064B">
        <w:rPr>
          <w:rFonts w:eastAsia="Calibri" w:cs="Arial"/>
          <w:b w:val="0"/>
          <w:color w:val="auto"/>
          <w:spacing w:val="0"/>
          <w:szCs w:val="24"/>
          <w:lang w:val="es-CR" w:eastAsia="en-US"/>
        </w:rPr>
        <w:t>86</w:t>
      </w:r>
      <w:r w:rsidR="00391C8F" w:rsidRPr="001D0C10">
        <w:rPr>
          <w:rFonts w:eastAsia="Calibri" w:cs="Arial"/>
          <w:b w:val="0"/>
          <w:color w:val="auto"/>
          <w:spacing w:val="0"/>
          <w:szCs w:val="24"/>
          <w:lang w:val="es-CR" w:eastAsia="en-US"/>
        </w:rPr>
        <w:t xml:space="preserve"> de la Ley 9747 que dispone:</w:t>
      </w:r>
    </w:p>
    <w:p w14:paraId="6C4F8306" w14:textId="77777777" w:rsidR="00391C8F" w:rsidRPr="001D0C10" w:rsidRDefault="00391C8F" w:rsidP="001D0C10">
      <w:pPr>
        <w:spacing w:line="276" w:lineRule="auto"/>
        <w:ind w:left="851" w:right="616"/>
        <w:jc w:val="both"/>
        <w:rPr>
          <w:rFonts w:ascii="Book Antiqua" w:hAnsi="Book Antiqua" w:cs="Arial"/>
          <w:i/>
          <w:iCs/>
        </w:rPr>
      </w:pPr>
      <w:r w:rsidRPr="001D0C10">
        <w:rPr>
          <w:rFonts w:ascii="Book Antiqua" w:hAnsi="Book Antiqua" w:cs="Arial"/>
          <w:i/>
          <w:iCs/>
        </w:rPr>
        <w:t>“</w:t>
      </w:r>
      <w:r w:rsidRPr="001D0C10">
        <w:rPr>
          <w:rFonts w:ascii="Book Antiqua" w:hAnsi="Book Antiqua" w:cs="Arial"/>
          <w:b/>
          <w:bCs/>
          <w:i/>
          <w:iCs/>
        </w:rPr>
        <w:t>Artículo 286- Fondo para el pago transitorio de la obligación alimentaria.</w:t>
      </w:r>
      <w:r w:rsidRPr="001D0C10">
        <w:rPr>
          <w:rFonts w:ascii="Book Antiqua" w:hAnsi="Book Antiqua" w:cs="Arial"/>
          <w:i/>
          <w:iCs/>
        </w:rPr>
        <w:t xml:space="preserve"> Se crea el Fondo de Pensiones Alimentarias para cubrir cualquiera de las obligaciones alimentarias que se encuentren pendientes de pago, total o parcialmente, que por </w:t>
      </w:r>
      <w:r w:rsidRPr="001D0C10">
        <w:rPr>
          <w:rFonts w:ascii="Book Antiqua" w:hAnsi="Book Antiqua" w:cs="Arial"/>
          <w:i/>
          <w:iCs/>
        </w:rPr>
        <w:lastRenderedPageBreak/>
        <w:t>razones debidamente justificadas ante el juzgado de pensiones respectivo no hayan podido ser cubiertas por la persona deudora.</w:t>
      </w:r>
    </w:p>
    <w:p w14:paraId="77E75E80" w14:textId="77777777" w:rsidR="00391C8F" w:rsidRPr="001D0C10" w:rsidRDefault="00391C8F" w:rsidP="001D0C10">
      <w:pPr>
        <w:spacing w:line="276" w:lineRule="auto"/>
        <w:ind w:left="851" w:right="616"/>
        <w:jc w:val="both"/>
        <w:rPr>
          <w:rFonts w:ascii="Book Antiqua" w:hAnsi="Book Antiqua" w:cs="Arial"/>
          <w:i/>
          <w:iCs/>
        </w:rPr>
      </w:pPr>
      <w:r w:rsidRPr="001D0C10">
        <w:rPr>
          <w:rFonts w:ascii="Book Antiqua" w:hAnsi="Book Antiqua" w:cs="Arial"/>
          <w:i/>
          <w:iCs/>
        </w:rPr>
        <w:t>Para administrar dicho Fondo, la Corte Suprema de Justicia designará el órgano o departamento competente para tales efectos. Sus recursos provendrán del quince por ciento (15%) de los dineros y los intereses por ellos generados, de los depósitos judiciales en cuentas bancarias, certificados a plazo o cualquier otro producto financiero en cualquier tipo de moneda, que provengan de procesos judiciales concluidos o abandonados, previamente así declarados por la autoridad judicial correspondiente.</w:t>
      </w:r>
    </w:p>
    <w:p w14:paraId="53E66D46" w14:textId="77777777" w:rsidR="00391C8F" w:rsidRPr="001D0C10" w:rsidRDefault="00391C8F" w:rsidP="001D0C10">
      <w:pPr>
        <w:spacing w:line="276" w:lineRule="auto"/>
        <w:ind w:left="851" w:right="616"/>
        <w:jc w:val="both"/>
        <w:rPr>
          <w:rFonts w:ascii="Book Antiqua" w:hAnsi="Book Antiqua" w:cs="Arial"/>
          <w:i/>
          <w:iCs/>
        </w:rPr>
      </w:pPr>
      <w:r w:rsidRPr="001D0C10">
        <w:rPr>
          <w:rFonts w:ascii="Book Antiqua" w:hAnsi="Book Antiqua" w:cs="Arial"/>
          <w:i/>
          <w:iCs/>
        </w:rPr>
        <w:t>El porcentaje indicado en el párrafo anterior deberá aplicarse sobre la totalidad de los recursos existentes al momento de entrar en vigencia la presente ley, y su giro se hará por única vez.</w:t>
      </w:r>
    </w:p>
    <w:p w14:paraId="396220F1" w14:textId="77777777" w:rsidR="00391C8F" w:rsidRPr="001D0C10" w:rsidRDefault="00391C8F" w:rsidP="001D0C10">
      <w:pPr>
        <w:spacing w:line="276" w:lineRule="auto"/>
        <w:ind w:left="851" w:right="616"/>
        <w:jc w:val="both"/>
        <w:rPr>
          <w:rFonts w:ascii="Book Antiqua" w:hAnsi="Book Antiqua" w:cs="Arial"/>
          <w:i/>
          <w:iCs/>
        </w:rPr>
      </w:pPr>
      <w:r w:rsidRPr="001D0C10">
        <w:rPr>
          <w:rFonts w:ascii="Book Antiqua" w:hAnsi="Book Antiqua" w:cs="Arial"/>
          <w:i/>
          <w:iCs/>
        </w:rPr>
        <w:t>Estos recursos serán utilizados como fondos reembolsables para el pago de la obligación alimentaria y podrán ser utilizados por cualquier persona deudora alimentaria que posea un título de propiedad sobre bienes muebles e inmuebles que pueda ser colocado como garantía real. Para los bienes inmuebles se utilizará la valoración efectuada por la municipalidad correspondiente y, en el caso de los bienes muebles, el valor fiscal del Ministerio de Hacienda.</w:t>
      </w:r>
    </w:p>
    <w:p w14:paraId="049698E4" w14:textId="77777777" w:rsidR="00391C8F" w:rsidRPr="001D0C10" w:rsidRDefault="00391C8F" w:rsidP="001D0C10">
      <w:pPr>
        <w:spacing w:after="0" w:line="276" w:lineRule="auto"/>
        <w:ind w:left="851" w:right="616"/>
        <w:jc w:val="both"/>
        <w:rPr>
          <w:rFonts w:ascii="Book Antiqua" w:eastAsia="Calibri" w:hAnsi="Book Antiqua" w:cs="Arial"/>
          <w:i/>
          <w:iCs/>
        </w:rPr>
      </w:pPr>
      <w:r w:rsidRPr="001D0C10">
        <w:rPr>
          <w:rFonts w:ascii="Book Antiqua" w:eastAsia="Calibri" w:hAnsi="Book Antiqua" w:cs="Arial"/>
          <w:i/>
          <w:iCs/>
        </w:rPr>
        <w:t>Los montos que sean desembolsados por el Fondo, a favor de la persona deudora que califique y lo haya solicitado formalmente, devengarán intereses correspondientes a la tasa básica pasiva del Banco Central. En caso de incumplimiento, se seguirá lo dispuesto en la Ley N.º 8624, Ley de Cobro Judicial, de 1 de noviembre de 2007.”.</w:t>
      </w:r>
    </w:p>
    <w:p w14:paraId="5F9B056E" w14:textId="1F18ED81" w:rsidR="006F6A23" w:rsidRPr="0062749F" w:rsidRDefault="006F6A23" w:rsidP="00CB4102">
      <w:pPr>
        <w:pStyle w:val="Prrafodelista"/>
        <w:numPr>
          <w:ilvl w:val="1"/>
          <w:numId w:val="44"/>
        </w:numPr>
        <w:spacing w:after="0" w:line="276" w:lineRule="auto"/>
        <w:jc w:val="both"/>
        <w:rPr>
          <w:rFonts w:ascii="Book Antiqua" w:hAnsi="Book Antiqua"/>
          <w:sz w:val="24"/>
          <w:szCs w:val="24"/>
        </w:rPr>
      </w:pPr>
      <w:r w:rsidRPr="0062749F">
        <w:rPr>
          <w:rFonts w:ascii="Book Antiqua" w:eastAsia="Calibri" w:hAnsi="Book Antiqua" w:cs="Arial"/>
          <w:sz w:val="24"/>
          <w:szCs w:val="24"/>
          <w:lang w:eastAsia="es-CR"/>
        </w:rPr>
        <w:t>A partir de los cambios que se prevén a nivel procesal, que implicaría una disminución en la carga de trabajo del personal técnico y aumento para las personas juzgadoras con la entrada del nuevo Código Procesal de Familia ( reduce la intervención en el trámite de los expedientes que actualmente tienen el personal técnico judicial debido a que, con el sistema por audiencias, muchas de las gestiones actualmente resueltas por medio de resolución interlocutoria se resolverán en la audiencia inicial por la persona juzgadora. Esta situación disminuirá también la cantidad de notificaciones que se realicen, pero con la información disponible a la fecha no se puede estimar esta disminución), autorizar</w:t>
      </w:r>
      <w:r w:rsidR="00FB1631" w:rsidRPr="0062749F">
        <w:rPr>
          <w:rFonts w:ascii="Book Antiqua" w:eastAsia="Calibri" w:hAnsi="Book Antiqua" w:cs="Arial"/>
          <w:sz w:val="24"/>
          <w:szCs w:val="24"/>
          <w:lang w:eastAsia="es-CR"/>
        </w:rPr>
        <w:t xml:space="preserve"> </w:t>
      </w:r>
      <w:r w:rsidRPr="0062749F">
        <w:rPr>
          <w:rFonts w:ascii="Book Antiqua" w:eastAsia="Calibri" w:hAnsi="Book Antiqua" w:cs="Arial"/>
          <w:sz w:val="24"/>
          <w:szCs w:val="24"/>
          <w:lang w:eastAsia="es-CR"/>
        </w:rPr>
        <w:t>que en materia de Familia, Pensiones y Violencia, en primer y segunda instancia, no se saquen concursos</w:t>
      </w:r>
      <w:r w:rsidR="00FB1631" w:rsidRPr="0062749F">
        <w:rPr>
          <w:rFonts w:ascii="Book Antiqua" w:eastAsia="Calibri" w:hAnsi="Book Antiqua" w:cs="Arial"/>
          <w:sz w:val="24"/>
          <w:szCs w:val="24"/>
          <w:lang w:eastAsia="es-CR"/>
        </w:rPr>
        <w:t xml:space="preserve"> sobre plazas vacantes</w:t>
      </w:r>
      <w:r w:rsidRPr="0062749F">
        <w:rPr>
          <w:rFonts w:ascii="Book Antiqua" w:eastAsia="Calibri" w:hAnsi="Book Antiqua" w:cs="Arial"/>
          <w:sz w:val="24"/>
          <w:szCs w:val="24"/>
          <w:lang w:eastAsia="es-CR"/>
        </w:rPr>
        <w:t xml:space="preserve"> para nombrar personas en propiedad, sea juzgador o técnico, o si se nombra, que se haga </w:t>
      </w:r>
      <w:r w:rsidR="00D81461" w:rsidRPr="0062749F">
        <w:rPr>
          <w:rFonts w:ascii="Book Antiqua" w:eastAsia="Calibri" w:hAnsi="Book Antiqua" w:cs="Arial"/>
          <w:sz w:val="24"/>
          <w:szCs w:val="24"/>
          <w:lang w:eastAsia="es-CR"/>
        </w:rPr>
        <w:t>l</w:t>
      </w:r>
      <w:r w:rsidRPr="0062749F">
        <w:rPr>
          <w:rFonts w:ascii="Book Antiqua" w:eastAsia="Calibri" w:hAnsi="Book Antiqua" w:cs="Arial"/>
          <w:sz w:val="24"/>
          <w:szCs w:val="24"/>
          <w:lang w:eastAsia="es-CR"/>
        </w:rPr>
        <w:t xml:space="preserve">a observación de que esas plazas por temas de </w:t>
      </w:r>
      <w:r w:rsidRPr="0062749F">
        <w:rPr>
          <w:rFonts w:ascii="Book Antiqua" w:eastAsia="Calibri" w:hAnsi="Book Antiqua" w:cs="Arial"/>
          <w:sz w:val="24"/>
          <w:szCs w:val="24"/>
          <w:lang w:eastAsia="es-CR"/>
        </w:rPr>
        <w:lastRenderedPageBreak/>
        <w:t>carga de trabajo</w:t>
      </w:r>
      <w:r w:rsidR="00FB1631" w:rsidRPr="0062749F">
        <w:rPr>
          <w:rFonts w:ascii="Book Antiqua" w:eastAsia="Calibri" w:hAnsi="Book Antiqua" w:cs="Arial"/>
          <w:sz w:val="24"/>
          <w:szCs w:val="24"/>
          <w:lang w:eastAsia="es-CR"/>
        </w:rPr>
        <w:t xml:space="preserve">, </w:t>
      </w:r>
      <w:r w:rsidR="0094501A" w:rsidRPr="0062749F">
        <w:rPr>
          <w:rFonts w:ascii="Book Antiqua" w:eastAsia="Calibri" w:hAnsi="Book Antiqua" w:cs="Arial"/>
          <w:sz w:val="24"/>
          <w:szCs w:val="24"/>
          <w:lang w:eastAsia="es-CR"/>
        </w:rPr>
        <w:t>interés institucional, maximización de recursos e incluso por cambios normativos a raíz de la entrada en vigencia de una norma, con criterio técnico esta Dirección se pueden recomendar horarios rotativos, traslados de las plazas a otra oficina, incluso a otra Jurisdicción</w:t>
      </w:r>
      <w:r w:rsidR="00117164" w:rsidRPr="0062749F">
        <w:rPr>
          <w:rFonts w:ascii="Book Antiqua" w:eastAsia="Calibri" w:hAnsi="Book Antiqua" w:cs="Arial"/>
          <w:sz w:val="24"/>
          <w:szCs w:val="24"/>
          <w:lang w:eastAsia="es-CR"/>
        </w:rPr>
        <w:t xml:space="preserve"> (</w:t>
      </w:r>
      <w:r w:rsidR="00D81461" w:rsidRPr="0062749F">
        <w:rPr>
          <w:rFonts w:ascii="Book Antiqua" w:eastAsia="Calibri" w:hAnsi="Book Antiqua" w:cs="Arial"/>
          <w:sz w:val="24"/>
          <w:szCs w:val="24"/>
          <w:lang w:eastAsia="es-CR"/>
        </w:rPr>
        <w:t>pero considerando prioritariamente la Jurisdicción a la que inicialmente pertenece la plaza</w:t>
      </w:r>
      <w:r w:rsidR="00117164" w:rsidRPr="0062749F">
        <w:rPr>
          <w:rFonts w:ascii="Book Antiqua" w:eastAsia="Calibri" w:hAnsi="Book Antiqua" w:cs="Arial"/>
          <w:sz w:val="24"/>
          <w:szCs w:val="24"/>
          <w:lang w:eastAsia="es-CR"/>
        </w:rPr>
        <w:t>) o incluso recomendarse técnicamente la reasignación del puesto por parte de la Dirección de Gestión Humana de resultar necesario conforme a la estructura de la oficina en donde se asigne,</w:t>
      </w:r>
      <w:r w:rsidR="0094501A" w:rsidRPr="0062749F">
        <w:rPr>
          <w:rFonts w:ascii="Book Antiqua" w:eastAsia="Calibri" w:hAnsi="Book Antiqua" w:cs="Arial"/>
          <w:sz w:val="24"/>
          <w:szCs w:val="24"/>
          <w:lang w:eastAsia="es-CR"/>
        </w:rPr>
        <w:t xml:space="preserve"> de conformidad con lo que establezca los órganos competentes y sin que eso se pueda considerar un “</w:t>
      </w:r>
      <w:r w:rsidR="0094501A" w:rsidRPr="0062749F">
        <w:rPr>
          <w:rFonts w:ascii="Book Antiqua" w:eastAsia="Calibri" w:hAnsi="Book Antiqua" w:cs="Arial"/>
          <w:i/>
          <w:iCs/>
          <w:sz w:val="24"/>
          <w:szCs w:val="24"/>
          <w:lang w:eastAsia="es-CR"/>
        </w:rPr>
        <w:t>ius variandi abusivo</w:t>
      </w:r>
      <w:r w:rsidR="0094501A" w:rsidRPr="0062749F">
        <w:rPr>
          <w:rFonts w:ascii="Book Antiqua" w:eastAsia="Calibri" w:hAnsi="Book Antiqua" w:cs="Arial"/>
          <w:sz w:val="24"/>
          <w:szCs w:val="24"/>
          <w:lang w:eastAsia="es-CR"/>
        </w:rPr>
        <w:t>”</w:t>
      </w:r>
      <w:r w:rsidR="00117164" w:rsidRPr="0062749F">
        <w:rPr>
          <w:rFonts w:ascii="Book Antiqua" w:eastAsia="Calibri" w:hAnsi="Book Antiqua" w:cs="Arial"/>
          <w:sz w:val="24"/>
          <w:szCs w:val="24"/>
          <w:lang w:eastAsia="es-CR"/>
        </w:rPr>
        <w:t>.</w:t>
      </w:r>
    </w:p>
    <w:p w14:paraId="22727F67" w14:textId="7D206A4D" w:rsidR="00391C8F" w:rsidRPr="00391C8F" w:rsidRDefault="00391C8F" w:rsidP="0090609F">
      <w:pPr>
        <w:pStyle w:val="Prrafodelista"/>
        <w:numPr>
          <w:ilvl w:val="1"/>
          <w:numId w:val="44"/>
        </w:numPr>
        <w:spacing w:line="276" w:lineRule="auto"/>
        <w:jc w:val="both"/>
        <w:rPr>
          <w:rFonts w:ascii="Book Antiqua" w:hAnsi="Book Antiqua"/>
          <w:sz w:val="24"/>
          <w:szCs w:val="24"/>
        </w:rPr>
      </w:pPr>
      <w:r w:rsidRPr="001D0C10">
        <w:rPr>
          <w:rFonts w:ascii="Book Antiqua" w:hAnsi="Book Antiqua"/>
          <w:sz w:val="24"/>
          <w:szCs w:val="24"/>
        </w:rPr>
        <w:t xml:space="preserve">Valorar tomar como acuerdo que, en adelante, cuando se presente una propuesta de reforma legal por parte del Poder Judicial, o se remita a la Corte en consulta algún proyecto de Ley por parte de la Asamblea Legislativa que implique cambios de competencias, o traslados de una oficina a otra (como en este caso propone la Ley 9747 en donde algunas competencias actuales del Tribunal de Familia se </w:t>
      </w:r>
      <w:r w:rsidR="00324317">
        <w:rPr>
          <w:rFonts w:ascii="Book Antiqua" w:hAnsi="Book Antiqua"/>
          <w:sz w:val="24"/>
          <w:szCs w:val="24"/>
        </w:rPr>
        <w:t>trasladan</w:t>
      </w:r>
      <w:r w:rsidRPr="001D0C10">
        <w:rPr>
          <w:rFonts w:ascii="Book Antiqua" w:hAnsi="Book Antiqua"/>
          <w:sz w:val="24"/>
          <w:szCs w:val="24"/>
        </w:rPr>
        <w:t xml:space="preserve"> a la Sala Segunda) </w:t>
      </w:r>
      <w:r w:rsidRPr="00391C8F">
        <w:rPr>
          <w:rFonts w:ascii="Book Antiqua" w:hAnsi="Book Antiqua"/>
          <w:sz w:val="24"/>
          <w:szCs w:val="24"/>
        </w:rPr>
        <w:t>sea analizado no solo a nivel jurídico por el impacto legal, sino también en las estructuras organizacionales y en la expectativa del cual va a ser la mejoría en los tiempos de respuesta a la persona usuaria, y si las oficinas están en capacidad de atender la nueva carga de trabajo propuesta, incluso si la propuesta es incrementar la carga de trabajo de una Sala de la Corte (en donde no existe posibilidad salvo reforma constitucional de incrementar la capacidad operativa de las plazas de magistratura) cual sería el impacto o desmejora del servicio de aprobar un cambio así.</w:t>
      </w:r>
    </w:p>
    <w:p w14:paraId="18F83BF9" w14:textId="5D943FF6" w:rsidR="00B175D1" w:rsidRDefault="00391C8F" w:rsidP="0062749F">
      <w:pPr>
        <w:spacing w:line="276" w:lineRule="auto"/>
        <w:ind w:left="360"/>
        <w:jc w:val="both"/>
        <w:rPr>
          <w:rFonts w:ascii="Book Antiqua" w:hAnsi="Book Antiqua"/>
          <w:sz w:val="24"/>
          <w:szCs w:val="24"/>
        </w:rPr>
      </w:pPr>
      <w:r>
        <w:rPr>
          <w:rFonts w:ascii="Book Antiqua" w:hAnsi="Book Antiqua"/>
          <w:sz w:val="24"/>
          <w:szCs w:val="24"/>
        </w:rPr>
        <w:t xml:space="preserve">Esta Dirección reitera su preocupación, y no considera adecuado que nuevamente a partir de la aprobación del CPF como ya paso anteriormente con las reformas al Código de Trabajo y al Procesal Civil,  </w:t>
      </w:r>
      <w:r w:rsidRPr="001F5F76">
        <w:rPr>
          <w:rFonts w:ascii="Book Antiqua" w:hAnsi="Book Antiqua"/>
          <w:sz w:val="24"/>
          <w:szCs w:val="24"/>
          <w:u w:val="single"/>
        </w:rPr>
        <w:t>se trasladan nuevas competencias a es</w:t>
      </w:r>
      <w:r>
        <w:rPr>
          <w:rFonts w:ascii="Book Antiqua" w:hAnsi="Book Antiqua"/>
          <w:sz w:val="24"/>
          <w:szCs w:val="24"/>
          <w:u w:val="single"/>
        </w:rPr>
        <w:t>t</w:t>
      </w:r>
      <w:r w:rsidRPr="001F5F76">
        <w:rPr>
          <w:rFonts w:ascii="Book Antiqua" w:hAnsi="Book Antiqua"/>
          <w:sz w:val="24"/>
          <w:szCs w:val="24"/>
          <w:u w:val="single"/>
        </w:rPr>
        <w:t>a Sala</w:t>
      </w:r>
      <w:r>
        <w:rPr>
          <w:rFonts w:ascii="Book Antiqua" w:hAnsi="Book Antiqua"/>
          <w:sz w:val="24"/>
          <w:szCs w:val="24"/>
        </w:rPr>
        <w:t>, incluso la Ley 9747 surge a partir de un anteproyecto impulsado por el mismo Poder Judicial, en donde se están trasladando competencias del Tribunal de Familia con capacidad de asumir incluso nuevas competencias, hacia la Sala Segunda que desde 2017 está saturada</w:t>
      </w:r>
      <w:r w:rsidR="00E213A0">
        <w:rPr>
          <w:rFonts w:ascii="Book Antiqua" w:hAnsi="Book Antiqua"/>
          <w:sz w:val="24"/>
          <w:szCs w:val="24"/>
        </w:rPr>
        <w:t>, desde la aprobación de los nuevos cambios procesales</w:t>
      </w:r>
      <w:r w:rsidR="0062749F">
        <w:rPr>
          <w:rFonts w:ascii="Book Antiqua" w:hAnsi="Book Antiqua"/>
          <w:sz w:val="24"/>
          <w:szCs w:val="24"/>
        </w:rPr>
        <w:t>.</w:t>
      </w:r>
    </w:p>
    <w:p w14:paraId="6CE54D90" w14:textId="0667EEC7" w:rsidR="0047232A" w:rsidRPr="00582BCB" w:rsidRDefault="00B75D17" w:rsidP="006F6E63">
      <w:pPr>
        <w:pStyle w:val="Prrafodelista"/>
        <w:numPr>
          <w:ilvl w:val="1"/>
          <w:numId w:val="44"/>
        </w:numPr>
        <w:spacing w:line="276" w:lineRule="auto"/>
        <w:jc w:val="both"/>
        <w:rPr>
          <w:rFonts w:ascii="Book Antiqua" w:hAnsi="Book Antiqua"/>
          <w:sz w:val="24"/>
          <w:szCs w:val="24"/>
        </w:rPr>
      </w:pPr>
      <w:r w:rsidRPr="00582BCB">
        <w:rPr>
          <w:rFonts w:ascii="Book Antiqua" w:hAnsi="Book Antiqua"/>
          <w:sz w:val="24"/>
          <w:szCs w:val="24"/>
        </w:rPr>
        <w:t>Valorar la necesidad de s</w:t>
      </w:r>
      <w:r w:rsidR="00391C8F" w:rsidRPr="00582BCB">
        <w:rPr>
          <w:rFonts w:ascii="Book Antiqua" w:hAnsi="Book Antiqua"/>
          <w:sz w:val="24"/>
          <w:szCs w:val="24"/>
        </w:rPr>
        <w:t>olicitar de inmediato un estudio de parte de la Dirección Jurídica</w:t>
      </w:r>
      <w:r w:rsidR="00E213A0" w:rsidRPr="00582BCB">
        <w:rPr>
          <w:rFonts w:ascii="Book Antiqua" w:hAnsi="Book Antiqua"/>
          <w:sz w:val="24"/>
          <w:szCs w:val="24"/>
        </w:rPr>
        <w:t xml:space="preserve"> en conjunto con la Comisión Laboral y la Sala Segunda</w:t>
      </w:r>
      <w:r w:rsidR="00391C8F" w:rsidRPr="00582BCB">
        <w:rPr>
          <w:rFonts w:ascii="Book Antiqua" w:hAnsi="Book Antiqua"/>
          <w:sz w:val="24"/>
          <w:szCs w:val="24"/>
        </w:rPr>
        <w:t>,</w:t>
      </w:r>
      <w:r w:rsidRPr="00582BCB">
        <w:rPr>
          <w:rFonts w:ascii="Book Antiqua" w:hAnsi="Book Antiqua"/>
          <w:sz w:val="24"/>
          <w:szCs w:val="24"/>
        </w:rPr>
        <w:t xml:space="preserve"> </w:t>
      </w:r>
      <w:r w:rsidRPr="00582BCB">
        <w:rPr>
          <w:rFonts w:ascii="Book Antiqua" w:hAnsi="Book Antiqua"/>
          <w:sz w:val="24"/>
          <w:szCs w:val="24"/>
        </w:rPr>
        <w:lastRenderedPageBreak/>
        <w:t xml:space="preserve">donde </w:t>
      </w:r>
      <w:r w:rsidR="001E064B" w:rsidRPr="00582BCB">
        <w:rPr>
          <w:rFonts w:ascii="Book Antiqua" w:hAnsi="Book Antiqua"/>
          <w:sz w:val="24"/>
          <w:szCs w:val="24"/>
        </w:rPr>
        <w:t>analicen</w:t>
      </w:r>
      <w:r w:rsidR="00391C8F" w:rsidRPr="00582BCB">
        <w:rPr>
          <w:rFonts w:ascii="Book Antiqua" w:hAnsi="Book Antiqua"/>
          <w:sz w:val="24"/>
          <w:szCs w:val="24"/>
        </w:rPr>
        <w:t xml:space="preserve"> la posibilidad de plantear una reforma legal al CPF, en lo que corresponde a las nuevas competencias que trasladan a la Sala Segunda</w:t>
      </w:r>
      <w:r w:rsidR="0047232A" w:rsidRPr="00582BCB">
        <w:rPr>
          <w:rFonts w:ascii="Book Antiqua" w:hAnsi="Book Antiqua"/>
          <w:sz w:val="24"/>
          <w:szCs w:val="24"/>
        </w:rPr>
        <w:t xml:space="preserve"> para más bien mantenerlas en el Tribunal de Familia,</w:t>
      </w:r>
      <w:r w:rsidR="00391C8F" w:rsidRPr="00582BCB">
        <w:rPr>
          <w:rFonts w:ascii="Book Antiqua" w:hAnsi="Book Antiqua"/>
          <w:sz w:val="24"/>
          <w:szCs w:val="24"/>
        </w:rPr>
        <w:t xml:space="preserve"> así como al artículo 286 del CPF que a esta fecha no cuenta con reglamento para su ejecución, pese a las reiteradas solicitudes de la Dirección de Planificación.</w:t>
      </w:r>
    </w:p>
    <w:p w14:paraId="743C8D0E" w14:textId="2E191F90" w:rsidR="00E71E1B" w:rsidRPr="00582BCB" w:rsidRDefault="00E71E1B" w:rsidP="00552BCD">
      <w:pPr>
        <w:pStyle w:val="Prrafodelista"/>
        <w:numPr>
          <w:ilvl w:val="1"/>
          <w:numId w:val="44"/>
        </w:numPr>
        <w:jc w:val="both"/>
        <w:rPr>
          <w:rFonts w:ascii="Book Antiqua" w:hAnsi="Book Antiqua"/>
          <w:sz w:val="24"/>
          <w:szCs w:val="24"/>
        </w:rPr>
      </w:pPr>
      <w:r w:rsidRPr="00582BCB">
        <w:rPr>
          <w:rFonts w:ascii="Book Antiqua" w:hAnsi="Book Antiqua"/>
          <w:sz w:val="24"/>
          <w:szCs w:val="24"/>
        </w:rPr>
        <w:t xml:space="preserve">Tomar nota de que tal y como se desprende de este informe, los cálculos de costos se realizan considerando las categorías de persona juzgadora existentes actualmente en Familia, Pensiones Alimentarias y Violencia Doméstica. Si la Dirección de Gestión Humana realiza algún estudio que concluya que debe existir alguna modificación en la categoría de las plazas actuales, tal y como sucedió en otras reformas, ese tema no parte de la Ley propiamente, y por ende no lo considera la Dirección de Planificación en este estudio de impacto económico, por lo que de aprobarse en algún momento por el órgano superior pertinente deberán también considerar el impacto económico que ello signifique. </w:t>
      </w:r>
    </w:p>
    <w:p w14:paraId="16E2920F" w14:textId="707C5E64" w:rsidR="007D60D8" w:rsidRDefault="00311AE2" w:rsidP="0090609F">
      <w:pPr>
        <w:pStyle w:val="Prrafodelista"/>
        <w:numPr>
          <w:ilvl w:val="1"/>
          <w:numId w:val="44"/>
        </w:numPr>
        <w:spacing w:line="276" w:lineRule="auto"/>
        <w:jc w:val="both"/>
        <w:rPr>
          <w:rFonts w:ascii="Book Antiqua" w:hAnsi="Book Antiqua"/>
          <w:sz w:val="24"/>
          <w:szCs w:val="24"/>
        </w:rPr>
      </w:pPr>
      <w:r>
        <w:rPr>
          <w:rFonts w:ascii="Book Antiqua" w:hAnsi="Book Antiqua"/>
          <w:sz w:val="24"/>
          <w:szCs w:val="24"/>
        </w:rPr>
        <w:t xml:space="preserve">Valorar </w:t>
      </w:r>
      <w:r w:rsidR="00E538B1">
        <w:rPr>
          <w:rFonts w:ascii="Book Antiqua" w:hAnsi="Book Antiqua"/>
          <w:sz w:val="24"/>
          <w:szCs w:val="24"/>
        </w:rPr>
        <w:t xml:space="preserve">la necesidad de solicitar </w:t>
      </w:r>
      <w:r w:rsidR="00366465">
        <w:rPr>
          <w:rFonts w:ascii="Book Antiqua" w:hAnsi="Book Antiqua"/>
          <w:sz w:val="24"/>
          <w:szCs w:val="24"/>
        </w:rPr>
        <w:t>a la Asamblea Legis</w:t>
      </w:r>
      <w:r>
        <w:rPr>
          <w:rFonts w:ascii="Book Antiqua" w:hAnsi="Book Antiqua"/>
          <w:sz w:val="24"/>
          <w:szCs w:val="24"/>
        </w:rPr>
        <w:t>la</w:t>
      </w:r>
      <w:r w:rsidR="00366465">
        <w:rPr>
          <w:rFonts w:ascii="Book Antiqua" w:hAnsi="Book Antiqua"/>
          <w:sz w:val="24"/>
          <w:szCs w:val="24"/>
        </w:rPr>
        <w:t>tiva</w:t>
      </w:r>
      <w:r w:rsidR="00E538B1">
        <w:rPr>
          <w:rFonts w:ascii="Book Antiqua" w:hAnsi="Book Antiqua"/>
          <w:sz w:val="24"/>
          <w:szCs w:val="24"/>
        </w:rPr>
        <w:t xml:space="preserve"> una ampliación en</w:t>
      </w:r>
      <w:r w:rsidR="00366465">
        <w:rPr>
          <w:rFonts w:ascii="Book Antiqua" w:hAnsi="Book Antiqua"/>
          <w:sz w:val="24"/>
          <w:szCs w:val="24"/>
        </w:rPr>
        <w:t xml:space="preserve"> la</w:t>
      </w:r>
      <w:r>
        <w:rPr>
          <w:rFonts w:ascii="Book Antiqua" w:hAnsi="Book Antiqua"/>
          <w:sz w:val="24"/>
          <w:szCs w:val="24"/>
        </w:rPr>
        <w:t xml:space="preserve"> vacancia de la ley 9747 C</w:t>
      </w:r>
      <w:r w:rsidR="00944854">
        <w:rPr>
          <w:rFonts w:ascii="Book Antiqua" w:hAnsi="Book Antiqua"/>
          <w:sz w:val="24"/>
          <w:szCs w:val="24"/>
        </w:rPr>
        <w:t xml:space="preserve">ódigo </w:t>
      </w:r>
      <w:r>
        <w:rPr>
          <w:rFonts w:ascii="Book Antiqua" w:hAnsi="Book Antiqua"/>
          <w:sz w:val="24"/>
          <w:szCs w:val="24"/>
        </w:rPr>
        <w:t>P</w:t>
      </w:r>
      <w:r w:rsidR="00944854">
        <w:rPr>
          <w:rFonts w:ascii="Book Antiqua" w:hAnsi="Book Antiqua"/>
          <w:sz w:val="24"/>
          <w:szCs w:val="24"/>
        </w:rPr>
        <w:t xml:space="preserve">rocesal </w:t>
      </w:r>
      <w:r>
        <w:rPr>
          <w:rFonts w:ascii="Book Antiqua" w:hAnsi="Book Antiqua"/>
          <w:sz w:val="24"/>
          <w:szCs w:val="24"/>
        </w:rPr>
        <w:t>F</w:t>
      </w:r>
      <w:r w:rsidR="00944854">
        <w:rPr>
          <w:rFonts w:ascii="Book Antiqua" w:hAnsi="Book Antiqua"/>
          <w:sz w:val="24"/>
          <w:szCs w:val="24"/>
        </w:rPr>
        <w:t>amilia,</w:t>
      </w:r>
      <w:r>
        <w:rPr>
          <w:rFonts w:ascii="Book Antiqua" w:hAnsi="Book Antiqua"/>
          <w:sz w:val="24"/>
          <w:szCs w:val="24"/>
        </w:rPr>
        <w:t xml:space="preserve"> hasta que exista contenido económico que permita </w:t>
      </w:r>
      <w:r w:rsidRPr="00311AE2">
        <w:rPr>
          <w:rFonts w:ascii="Book Antiqua" w:hAnsi="Book Antiqua"/>
          <w:sz w:val="24"/>
          <w:szCs w:val="24"/>
        </w:rPr>
        <w:t>la adecuada implementación</w:t>
      </w:r>
      <w:r>
        <w:rPr>
          <w:rFonts w:ascii="Book Antiqua" w:hAnsi="Book Antiqua"/>
          <w:sz w:val="24"/>
          <w:szCs w:val="24"/>
        </w:rPr>
        <w:t xml:space="preserve">, </w:t>
      </w:r>
      <w:r w:rsidR="006E5E2F">
        <w:rPr>
          <w:rFonts w:ascii="Book Antiqua" w:hAnsi="Book Antiqua"/>
          <w:sz w:val="24"/>
          <w:szCs w:val="24"/>
        </w:rPr>
        <w:t>y</w:t>
      </w:r>
      <w:r w:rsidR="001770E2">
        <w:rPr>
          <w:rFonts w:ascii="Book Antiqua" w:hAnsi="Book Antiqua"/>
          <w:sz w:val="24"/>
          <w:szCs w:val="24"/>
        </w:rPr>
        <w:t xml:space="preserve"> </w:t>
      </w:r>
      <w:r w:rsidR="005B55D6">
        <w:rPr>
          <w:rFonts w:ascii="Book Antiqua" w:hAnsi="Book Antiqua"/>
          <w:sz w:val="24"/>
          <w:szCs w:val="24"/>
        </w:rPr>
        <w:t xml:space="preserve">crear plazas nuevas </w:t>
      </w:r>
      <w:r w:rsidR="00024278">
        <w:rPr>
          <w:rFonts w:ascii="Book Antiqua" w:hAnsi="Book Antiqua"/>
          <w:sz w:val="24"/>
          <w:szCs w:val="24"/>
        </w:rPr>
        <w:t>para las oficinas</w:t>
      </w:r>
      <w:r w:rsidR="00616220">
        <w:rPr>
          <w:rFonts w:ascii="Book Antiqua" w:hAnsi="Book Antiqua"/>
          <w:sz w:val="24"/>
          <w:szCs w:val="24"/>
        </w:rPr>
        <w:t xml:space="preserve"> jurisdiccionales así como cualquier otro departamento</w:t>
      </w:r>
      <w:r w:rsidR="00024278">
        <w:rPr>
          <w:rFonts w:ascii="Book Antiqua" w:hAnsi="Book Antiqua"/>
          <w:sz w:val="24"/>
          <w:szCs w:val="24"/>
        </w:rPr>
        <w:t xml:space="preserve"> en las que se detect</w:t>
      </w:r>
      <w:r w:rsidR="00616220">
        <w:rPr>
          <w:rFonts w:ascii="Book Antiqua" w:hAnsi="Book Antiqua"/>
          <w:sz w:val="24"/>
          <w:szCs w:val="24"/>
        </w:rPr>
        <w:t>e</w:t>
      </w:r>
      <w:r w:rsidR="00024278">
        <w:rPr>
          <w:rFonts w:ascii="Book Antiqua" w:hAnsi="Book Antiqua"/>
          <w:sz w:val="24"/>
          <w:szCs w:val="24"/>
        </w:rPr>
        <w:t xml:space="preserve"> la </w:t>
      </w:r>
      <w:r w:rsidR="005B55D6">
        <w:rPr>
          <w:rFonts w:ascii="Book Antiqua" w:hAnsi="Book Antiqua"/>
          <w:sz w:val="24"/>
          <w:szCs w:val="24"/>
        </w:rPr>
        <w:t>necesidad de reforzar con recurso humano</w:t>
      </w:r>
      <w:r w:rsidR="00E71E1B">
        <w:rPr>
          <w:rFonts w:ascii="Book Antiqua" w:hAnsi="Book Antiqua"/>
          <w:sz w:val="24"/>
          <w:szCs w:val="24"/>
        </w:rPr>
        <w:t xml:space="preserve"> así como los costos asociados a este recurso, y los planes de trabajo necesarios para preparar a las jurisdicciones ante el cambio procesal que prevé el CPF</w:t>
      </w:r>
      <w:r w:rsidR="00616220">
        <w:rPr>
          <w:rFonts w:ascii="Book Antiqua" w:hAnsi="Book Antiqua"/>
          <w:sz w:val="24"/>
          <w:szCs w:val="24"/>
        </w:rPr>
        <w:t xml:space="preserve"> </w:t>
      </w:r>
      <w:r w:rsidR="00CB5733">
        <w:rPr>
          <w:rFonts w:ascii="Book Antiqua" w:hAnsi="Book Antiqua"/>
          <w:sz w:val="24"/>
          <w:szCs w:val="24"/>
        </w:rPr>
        <w:t xml:space="preserve">, valorando de forma urgente el beneficio o el perjuicio de crear expectativas de mejoras en el </w:t>
      </w:r>
      <w:r w:rsidR="00E3149C">
        <w:rPr>
          <w:rFonts w:ascii="Book Antiqua" w:hAnsi="Book Antiqua"/>
          <w:sz w:val="24"/>
          <w:szCs w:val="24"/>
        </w:rPr>
        <w:t>servicio por un cambio procesal que no se vislum</w:t>
      </w:r>
      <w:r w:rsidR="005C4D3D">
        <w:rPr>
          <w:rFonts w:ascii="Book Antiqua" w:hAnsi="Book Antiqua"/>
          <w:sz w:val="24"/>
          <w:szCs w:val="24"/>
        </w:rPr>
        <w:t>bra a futuro su impacto en la disminución efectiva de los plazos de respuesta</w:t>
      </w:r>
    </w:p>
    <w:p w14:paraId="255F93CB" w14:textId="77777777" w:rsidR="00650E01" w:rsidRPr="00650E01" w:rsidRDefault="00650E01" w:rsidP="00650E01">
      <w:pPr>
        <w:spacing w:line="276" w:lineRule="auto"/>
        <w:jc w:val="both"/>
        <w:rPr>
          <w:rFonts w:ascii="Book Antiqua" w:hAnsi="Book Antiqua"/>
          <w:sz w:val="24"/>
          <w:szCs w:val="24"/>
        </w:rPr>
      </w:pPr>
    </w:p>
    <w:p w14:paraId="27DBB4E5" w14:textId="6259AFFF" w:rsidR="00650E01" w:rsidRPr="00650E01" w:rsidRDefault="00650E01" w:rsidP="00650E01">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650E01">
        <w:rPr>
          <w:rFonts w:ascii="Book Antiqua" w:eastAsia="MS PGothic" w:hAnsi="Book Antiqua" w:cs="Times New Roman"/>
          <w:b/>
          <w:snapToGrid w:val="0"/>
          <w:sz w:val="24"/>
          <w:szCs w:val="24"/>
          <w:lang w:val="es-ES" w:eastAsia="es-ES"/>
        </w:rPr>
        <w:t>A</w:t>
      </w:r>
      <w:r>
        <w:rPr>
          <w:rFonts w:ascii="Book Antiqua" w:eastAsia="MS PGothic" w:hAnsi="Book Antiqua" w:cs="Times New Roman"/>
          <w:b/>
          <w:snapToGrid w:val="0"/>
          <w:sz w:val="24"/>
          <w:szCs w:val="24"/>
          <w:lang w:val="es-ES" w:eastAsia="es-ES"/>
        </w:rPr>
        <w:t>l Consejo Superior</w:t>
      </w:r>
    </w:p>
    <w:p w14:paraId="66AE9675" w14:textId="77777777" w:rsidR="00650E01" w:rsidRDefault="00650E01" w:rsidP="00650E01">
      <w:pPr>
        <w:pStyle w:val="Prrafodelista"/>
        <w:rPr>
          <w:rFonts w:ascii="Book Antiqua" w:hAnsi="Book Antiqua"/>
          <w:sz w:val="24"/>
          <w:szCs w:val="24"/>
        </w:rPr>
      </w:pPr>
    </w:p>
    <w:p w14:paraId="5EE49FF0" w14:textId="77777777" w:rsidR="00650E01" w:rsidRPr="00650E01" w:rsidRDefault="00650E01" w:rsidP="00650E01">
      <w:pPr>
        <w:pStyle w:val="Prrafodelista"/>
        <w:rPr>
          <w:rFonts w:ascii="Book Antiqua" w:hAnsi="Book Antiqua"/>
          <w:sz w:val="24"/>
          <w:szCs w:val="24"/>
        </w:rPr>
      </w:pPr>
    </w:p>
    <w:p w14:paraId="7A06C4BD" w14:textId="35E7E365" w:rsidR="00224C9C" w:rsidRPr="00582BCB" w:rsidRDefault="00650E01" w:rsidP="0037429E">
      <w:pPr>
        <w:pStyle w:val="Prrafodelista"/>
        <w:numPr>
          <w:ilvl w:val="1"/>
          <w:numId w:val="44"/>
        </w:numPr>
        <w:spacing w:line="276" w:lineRule="auto"/>
        <w:jc w:val="both"/>
        <w:rPr>
          <w:rFonts w:ascii="Book Antiqua" w:hAnsi="Book Antiqua"/>
          <w:sz w:val="24"/>
          <w:szCs w:val="24"/>
        </w:rPr>
      </w:pPr>
      <w:r w:rsidRPr="00582BCB">
        <w:rPr>
          <w:rFonts w:ascii="Book Antiqua" w:hAnsi="Book Antiqua"/>
          <w:sz w:val="24"/>
          <w:szCs w:val="24"/>
        </w:rPr>
        <w:t xml:space="preserve">Aprobar la modificación del nombre del actual Juzgado de Familia, Niñez y Adolescencia </w:t>
      </w:r>
      <w:r w:rsidR="00A7756A" w:rsidRPr="00582BCB">
        <w:rPr>
          <w:rFonts w:ascii="Book Antiqua" w:hAnsi="Book Antiqua"/>
          <w:sz w:val="24"/>
          <w:szCs w:val="24"/>
        </w:rPr>
        <w:t xml:space="preserve">(oficina 673) </w:t>
      </w:r>
      <w:r w:rsidRPr="00582BCB">
        <w:rPr>
          <w:rFonts w:ascii="Book Antiqua" w:hAnsi="Book Antiqua"/>
          <w:sz w:val="24"/>
          <w:szCs w:val="24"/>
        </w:rPr>
        <w:t>a Juzgado de Niñez y Adolescencia, lo anterior</w:t>
      </w:r>
      <w:r w:rsidR="00C94DEF" w:rsidRPr="00582BCB">
        <w:rPr>
          <w:rFonts w:ascii="Book Antiqua" w:hAnsi="Book Antiqua"/>
          <w:sz w:val="24"/>
          <w:szCs w:val="24"/>
        </w:rPr>
        <w:t xml:space="preserve"> a partir del 1 de octubre 2022, </w:t>
      </w:r>
      <w:r w:rsidRPr="00582BCB">
        <w:rPr>
          <w:rFonts w:ascii="Book Antiqua" w:hAnsi="Book Antiqua"/>
          <w:sz w:val="24"/>
          <w:szCs w:val="24"/>
        </w:rPr>
        <w:t xml:space="preserve">conforme a lo ordenado en la Ley 9747 y la reforma al artículo 106 bis de la Ley Orgánica del Poder Judicial. </w:t>
      </w:r>
    </w:p>
    <w:p w14:paraId="4EDA0F20" w14:textId="3D141C1F" w:rsidR="00650E01" w:rsidRPr="00673CDB" w:rsidRDefault="00673CDB" w:rsidP="00673CDB">
      <w:pPr>
        <w:pStyle w:val="Prrafodelista"/>
        <w:numPr>
          <w:ilvl w:val="1"/>
          <w:numId w:val="44"/>
        </w:numPr>
        <w:spacing w:line="276" w:lineRule="auto"/>
        <w:jc w:val="both"/>
        <w:rPr>
          <w:rFonts w:ascii="Book Antiqua" w:hAnsi="Book Antiqua"/>
          <w:sz w:val="24"/>
          <w:szCs w:val="24"/>
        </w:rPr>
      </w:pPr>
      <w:r>
        <w:rPr>
          <w:rFonts w:ascii="Book Antiqua" w:hAnsi="Book Antiqua"/>
          <w:sz w:val="24"/>
          <w:szCs w:val="24"/>
        </w:rPr>
        <w:t>Pese a que e</w:t>
      </w:r>
      <w:r w:rsidR="00650E01" w:rsidRPr="00673CDB">
        <w:rPr>
          <w:rFonts w:ascii="Book Antiqua" w:hAnsi="Book Antiqua"/>
          <w:sz w:val="24"/>
          <w:szCs w:val="24"/>
        </w:rPr>
        <w:t>l cambio por el tema presupuestario se vería reflejado a nivel sistemas hasta 2023</w:t>
      </w:r>
      <w:r>
        <w:rPr>
          <w:rFonts w:ascii="Book Antiqua" w:hAnsi="Book Antiqua"/>
          <w:sz w:val="24"/>
          <w:szCs w:val="24"/>
        </w:rPr>
        <w:t>, s</w:t>
      </w:r>
      <w:r w:rsidRPr="00673CDB">
        <w:rPr>
          <w:rFonts w:ascii="Book Antiqua" w:hAnsi="Book Antiqua"/>
          <w:sz w:val="24"/>
          <w:szCs w:val="24"/>
        </w:rPr>
        <w:t xml:space="preserve">olicitar a la Dirección de Tecnología de la Información </w:t>
      </w:r>
      <w:r w:rsidRPr="00673CDB">
        <w:rPr>
          <w:rFonts w:ascii="Book Antiqua" w:hAnsi="Book Antiqua"/>
          <w:sz w:val="24"/>
          <w:szCs w:val="24"/>
        </w:rPr>
        <w:lastRenderedPageBreak/>
        <w:t xml:space="preserve">que en el de GH en línea el cambio se visualice desde la aprobación de Consejo Superior de esta recomendación para evitar errores de las personas usuarias que confunden esta oficina con un juzgado de Familia de los de San José. </w:t>
      </w:r>
    </w:p>
    <w:p w14:paraId="7BF243B9" w14:textId="77777777" w:rsidR="00287F87" w:rsidRDefault="00287F87" w:rsidP="009E73B0">
      <w:pPr>
        <w:pStyle w:val="Ttulo"/>
        <w:spacing w:line="276" w:lineRule="auto"/>
        <w:jc w:val="left"/>
        <w:rPr>
          <w:szCs w:val="24"/>
          <w:lang w:val="es-CR"/>
        </w:rPr>
      </w:pPr>
    </w:p>
    <w:p w14:paraId="26914595" w14:textId="6239EE40" w:rsidR="003F7A0D" w:rsidRPr="003F7A0D" w:rsidRDefault="003F7A0D" w:rsidP="003F7A0D">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3F7A0D">
        <w:rPr>
          <w:rFonts w:ascii="Book Antiqua" w:eastAsia="MS PGothic" w:hAnsi="Book Antiqua" w:cs="Times New Roman"/>
          <w:b/>
          <w:snapToGrid w:val="0"/>
          <w:sz w:val="24"/>
          <w:szCs w:val="24"/>
          <w:lang w:val="es-ES" w:eastAsia="es-ES"/>
        </w:rPr>
        <w:t>A la Comisión de la Jurisdicción Familia</w:t>
      </w:r>
      <w:r w:rsidR="002A661C">
        <w:rPr>
          <w:rFonts w:ascii="Book Antiqua" w:eastAsia="MS PGothic" w:hAnsi="Book Antiqua" w:cs="Times New Roman"/>
          <w:b/>
          <w:snapToGrid w:val="0"/>
          <w:sz w:val="24"/>
          <w:szCs w:val="24"/>
          <w:lang w:val="es-ES" w:eastAsia="es-ES"/>
        </w:rPr>
        <w:t>,</w:t>
      </w:r>
      <w:r w:rsidRPr="003F7A0D">
        <w:rPr>
          <w:rFonts w:ascii="Book Antiqua" w:eastAsia="MS PGothic" w:hAnsi="Book Antiqua" w:cs="Times New Roman"/>
          <w:b/>
          <w:snapToGrid w:val="0"/>
          <w:sz w:val="24"/>
          <w:szCs w:val="24"/>
          <w:lang w:val="es-ES" w:eastAsia="es-ES"/>
        </w:rPr>
        <w:t xml:space="preserve"> Niñez y Adolescencia</w:t>
      </w:r>
    </w:p>
    <w:p w14:paraId="25BFA28F" w14:textId="77777777" w:rsidR="00373941" w:rsidRPr="001D0C10" w:rsidRDefault="00373941" w:rsidP="001D0C10">
      <w:pPr>
        <w:pStyle w:val="Prrafodelista"/>
        <w:spacing w:after="0" w:line="276" w:lineRule="auto"/>
        <w:ind w:left="1080"/>
        <w:jc w:val="both"/>
        <w:rPr>
          <w:rFonts w:ascii="Book Antiqua" w:eastAsia="Calibri" w:hAnsi="Book Antiqua" w:cs="Arial"/>
          <w:sz w:val="24"/>
          <w:szCs w:val="24"/>
        </w:rPr>
      </w:pPr>
    </w:p>
    <w:p w14:paraId="02954F96" w14:textId="34294869" w:rsidR="0021407B" w:rsidRDefault="0021407B" w:rsidP="0090609F">
      <w:pPr>
        <w:pStyle w:val="Prrafodelista"/>
        <w:numPr>
          <w:ilvl w:val="1"/>
          <w:numId w:val="44"/>
        </w:numPr>
        <w:spacing w:after="0" w:line="276" w:lineRule="auto"/>
        <w:jc w:val="both"/>
        <w:rPr>
          <w:rFonts w:ascii="Book Antiqua" w:eastAsia="Calibri" w:hAnsi="Book Antiqua" w:cs="Arial"/>
          <w:sz w:val="24"/>
          <w:szCs w:val="24"/>
        </w:rPr>
      </w:pPr>
      <w:r w:rsidRPr="0021407B">
        <w:rPr>
          <w:rFonts w:ascii="Book Antiqua" w:eastAsia="Calibri" w:hAnsi="Book Antiqua" w:cs="Arial"/>
          <w:sz w:val="24"/>
          <w:szCs w:val="24"/>
        </w:rPr>
        <w:t xml:space="preserve">La Comisión de la Jurisdicción Familia Niñez y Adolescencia debe velar por el cumplimiento y seguimiento de las recomendaciones planteadas en este informe y la atención </w:t>
      </w:r>
      <w:r w:rsidR="00F35132">
        <w:rPr>
          <w:rFonts w:ascii="Book Antiqua" w:eastAsia="Calibri" w:hAnsi="Book Antiqua" w:cs="Arial"/>
          <w:sz w:val="24"/>
          <w:szCs w:val="24"/>
        </w:rPr>
        <w:t xml:space="preserve">del </w:t>
      </w:r>
      <w:r w:rsidRPr="0021407B">
        <w:rPr>
          <w:rFonts w:ascii="Book Antiqua" w:eastAsia="Calibri" w:hAnsi="Book Antiqua" w:cs="Arial"/>
          <w:sz w:val="24"/>
          <w:szCs w:val="24"/>
        </w:rPr>
        <w:t>seguimiento por parte del CACMFJ para que se mantengan las recomendaciones emitidas a partir del cumplimiento de las acciones solicitadas por de las recomendaciones emitidas por la Contraloría General de la República, las cuales deben quedar documentadas y comunicadas a las partes involucradas.</w:t>
      </w:r>
    </w:p>
    <w:p w14:paraId="3CD20D7E" w14:textId="782967B0" w:rsidR="003F7A0D" w:rsidRPr="001D0C10" w:rsidRDefault="003F7A0D" w:rsidP="0090609F">
      <w:pPr>
        <w:pStyle w:val="Prrafodelista"/>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Deberá </w:t>
      </w:r>
      <w:r w:rsidR="001B05D9">
        <w:rPr>
          <w:rFonts w:ascii="Book Antiqua" w:eastAsia="Calibri" w:hAnsi="Book Antiqua" w:cs="Arial"/>
          <w:sz w:val="24"/>
          <w:szCs w:val="24"/>
        </w:rPr>
        <w:t>velar porque</w:t>
      </w:r>
      <w:r w:rsidR="00373941">
        <w:rPr>
          <w:rFonts w:ascii="Book Antiqua" w:eastAsia="Calibri" w:hAnsi="Book Antiqua" w:cs="Arial"/>
          <w:sz w:val="24"/>
          <w:szCs w:val="24"/>
        </w:rPr>
        <w:t xml:space="preserve"> que se </w:t>
      </w:r>
      <w:r w:rsidRPr="001D0C10">
        <w:rPr>
          <w:rFonts w:ascii="Book Antiqua" w:eastAsia="Calibri" w:hAnsi="Book Antiqua" w:cs="Arial"/>
          <w:sz w:val="24"/>
          <w:szCs w:val="24"/>
        </w:rPr>
        <w:t>brind</w:t>
      </w:r>
      <w:r w:rsidR="00373941">
        <w:rPr>
          <w:rFonts w:ascii="Book Antiqua" w:eastAsia="Calibri" w:hAnsi="Book Antiqua" w:cs="Arial"/>
          <w:sz w:val="24"/>
          <w:szCs w:val="24"/>
        </w:rPr>
        <w:t>e</w:t>
      </w:r>
      <w:r w:rsidRPr="001D0C10">
        <w:rPr>
          <w:rFonts w:ascii="Book Antiqua" w:eastAsia="Calibri" w:hAnsi="Book Antiqua" w:cs="Arial"/>
          <w:sz w:val="24"/>
          <w:szCs w:val="24"/>
        </w:rPr>
        <w:t xml:space="preserve"> seguimiento </w:t>
      </w:r>
      <w:r w:rsidR="001B05D9">
        <w:rPr>
          <w:rFonts w:ascii="Book Antiqua" w:eastAsia="Calibri" w:hAnsi="Book Antiqua" w:cs="Arial"/>
          <w:sz w:val="24"/>
          <w:szCs w:val="24"/>
        </w:rPr>
        <w:t xml:space="preserve">por parte del CACMFJ </w:t>
      </w:r>
      <w:r w:rsidRPr="001D0C10">
        <w:rPr>
          <w:rFonts w:ascii="Book Antiqua" w:eastAsia="Calibri" w:hAnsi="Book Antiqua" w:cs="Arial"/>
          <w:sz w:val="24"/>
          <w:szCs w:val="24"/>
        </w:rPr>
        <w:t xml:space="preserve">a los despachos que atienden materia de Familia y Pensiones Alimentarias que realicen la actualización de la información en los sistemas de información con que cuenta la Institución de forma que las consultas que se realicen brinden información certera. </w:t>
      </w:r>
    </w:p>
    <w:p w14:paraId="3685A9E2" w14:textId="77777777" w:rsidR="003F7A0D" w:rsidRPr="003F7A0D" w:rsidRDefault="003F7A0D" w:rsidP="003F7A0D">
      <w:p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p>
    <w:p w14:paraId="75D15DEC" w14:textId="6E3E138B" w:rsidR="00391C8F" w:rsidRDefault="00185160" w:rsidP="0090609F">
      <w:pPr>
        <w:pStyle w:val="Prrafodelista"/>
        <w:numPr>
          <w:ilvl w:val="1"/>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 xml:space="preserve">Velar </w:t>
      </w:r>
      <w:r w:rsidR="00B6048A">
        <w:rPr>
          <w:rFonts w:ascii="Book Antiqua" w:eastAsia="Calibri" w:hAnsi="Book Antiqua" w:cs="Book Antiqua"/>
          <w:iCs/>
          <w:color w:val="000000"/>
          <w:spacing w:val="-3"/>
          <w:sz w:val="24"/>
          <w:szCs w:val="24"/>
        </w:rPr>
        <w:t>por el</w:t>
      </w:r>
      <w:r w:rsidR="001770E2">
        <w:rPr>
          <w:rFonts w:ascii="Book Antiqua" w:eastAsia="Calibri" w:hAnsi="Book Antiqua" w:cs="Book Antiqua"/>
          <w:iCs/>
          <w:color w:val="000000"/>
          <w:spacing w:val="-3"/>
          <w:sz w:val="24"/>
          <w:szCs w:val="24"/>
        </w:rPr>
        <w:t xml:space="preserve"> </w:t>
      </w:r>
      <w:r w:rsidR="003F7A0D" w:rsidRPr="00373941">
        <w:rPr>
          <w:rFonts w:ascii="Book Antiqua" w:eastAsia="Calibri" w:hAnsi="Book Antiqua" w:cs="Book Antiqua"/>
          <w:iCs/>
          <w:color w:val="000000"/>
          <w:spacing w:val="-3"/>
          <w:sz w:val="24"/>
          <w:szCs w:val="24"/>
        </w:rPr>
        <w:t xml:space="preserve">seguimiento al cumplimiento de </w:t>
      </w:r>
      <w:r w:rsidR="00391C8F">
        <w:rPr>
          <w:rFonts w:ascii="Book Antiqua" w:eastAsia="Calibri" w:hAnsi="Book Antiqua" w:cs="Book Antiqua"/>
          <w:iCs/>
          <w:color w:val="000000"/>
          <w:spacing w:val="-3"/>
          <w:sz w:val="24"/>
          <w:szCs w:val="24"/>
        </w:rPr>
        <w:t xml:space="preserve">las tareas a su cargo en coordinación también con la </w:t>
      </w:r>
      <w:r w:rsidR="00391C8F" w:rsidRPr="00391C8F">
        <w:rPr>
          <w:rFonts w:ascii="Book Antiqua" w:eastAsia="Calibri" w:hAnsi="Book Antiqua" w:cs="Book Antiqua"/>
          <w:iCs/>
          <w:color w:val="000000"/>
          <w:spacing w:val="-3"/>
          <w:sz w:val="24"/>
          <w:szCs w:val="24"/>
        </w:rPr>
        <w:t>Comisión Permanente para el Seguimiento de la Atención y Prevención de la Violencia Intrafamiliar</w:t>
      </w:r>
      <w:r w:rsidR="00391C8F">
        <w:rPr>
          <w:rFonts w:ascii="Book Antiqua" w:eastAsia="Calibri" w:hAnsi="Book Antiqua" w:cs="Book Antiqua"/>
          <w:iCs/>
          <w:color w:val="000000"/>
          <w:spacing w:val="-3"/>
          <w:sz w:val="24"/>
          <w:szCs w:val="24"/>
        </w:rPr>
        <w:t>.</w:t>
      </w:r>
    </w:p>
    <w:p w14:paraId="4557A6CB" w14:textId="5B1FE01D" w:rsidR="00391C8F" w:rsidRPr="001D0C10" w:rsidRDefault="00B6048A" w:rsidP="0090609F">
      <w:pPr>
        <w:pStyle w:val="Prrafodelista"/>
        <w:numPr>
          <w:ilvl w:val="2"/>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Velar por el c</w:t>
      </w:r>
      <w:r w:rsidR="00391C8F" w:rsidRPr="001D0C10">
        <w:rPr>
          <w:rFonts w:ascii="Book Antiqua" w:eastAsia="Calibri" w:hAnsi="Book Antiqua" w:cs="Book Antiqua"/>
          <w:iCs/>
          <w:color w:val="000000"/>
          <w:spacing w:val="-3"/>
          <w:sz w:val="24"/>
          <w:szCs w:val="24"/>
        </w:rPr>
        <w:t xml:space="preserve">umplimiento total de los entregables del proyecto que aún no alcanzan el 100% de avance. </w:t>
      </w:r>
    </w:p>
    <w:tbl>
      <w:tblPr>
        <w:tblW w:w="5000" w:type="pct"/>
        <w:jc w:val="center"/>
        <w:tblCellMar>
          <w:left w:w="0" w:type="dxa"/>
          <w:right w:w="0" w:type="dxa"/>
        </w:tblCellMar>
        <w:tblLook w:val="04A0" w:firstRow="1" w:lastRow="0" w:firstColumn="1" w:lastColumn="0" w:noHBand="0" w:noVBand="1"/>
      </w:tblPr>
      <w:tblGrid>
        <w:gridCol w:w="635"/>
        <w:gridCol w:w="5428"/>
        <w:gridCol w:w="1901"/>
        <w:gridCol w:w="854"/>
      </w:tblGrid>
      <w:tr w:rsidR="00391C8F" w:rsidRPr="00391C8F" w14:paraId="0AF2DAFF" w14:textId="77777777" w:rsidTr="00391C8F">
        <w:trPr>
          <w:trHeight w:val="294"/>
          <w:jc w:val="center"/>
        </w:trPr>
        <w:tc>
          <w:tcPr>
            <w:tcW w:w="360" w:type="pct"/>
            <w:vMerge w:val="restart"/>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1DB48219"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COD</w:t>
            </w:r>
          </w:p>
        </w:tc>
        <w:tc>
          <w:tcPr>
            <w:tcW w:w="3078" w:type="pct"/>
            <w:vMerge w:val="restart"/>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30EFAA9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Productos Entregables</w:t>
            </w:r>
          </w:p>
        </w:tc>
        <w:tc>
          <w:tcPr>
            <w:tcW w:w="1562" w:type="pct"/>
            <w:gridSpan w:val="2"/>
            <w:tcBorders>
              <w:top w:val="dotted" w:sz="8" w:space="0" w:color="000000"/>
              <w:left w:val="dotted" w:sz="8" w:space="0" w:color="000000"/>
              <w:bottom w:val="dotted" w:sz="8" w:space="0" w:color="000000"/>
              <w:right w:val="dotted" w:sz="8" w:space="0" w:color="000000"/>
            </w:tcBorders>
            <w:shd w:val="clear" w:color="auto" w:fill="F2F2F2"/>
            <w:tcMar>
              <w:top w:w="15" w:type="dxa"/>
              <w:left w:w="37" w:type="dxa"/>
              <w:bottom w:w="0" w:type="dxa"/>
              <w:right w:w="37" w:type="dxa"/>
            </w:tcMar>
            <w:vAlign w:val="center"/>
            <w:hideMark/>
          </w:tcPr>
          <w:p w14:paraId="7570FEF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Estado del entregable</w:t>
            </w:r>
          </w:p>
        </w:tc>
      </w:tr>
      <w:tr w:rsidR="00391C8F" w:rsidRPr="00391C8F" w14:paraId="6962BD81" w14:textId="77777777" w:rsidTr="00391C8F">
        <w:trPr>
          <w:trHeight w:val="595"/>
          <w:jc w:val="center"/>
        </w:trPr>
        <w:tc>
          <w:tcPr>
            <w:tcW w:w="360" w:type="pct"/>
            <w:vMerge/>
            <w:tcBorders>
              <w:top w:val="dotted" w:sz="8" w:space="0" w:color="000000"/>
              <w:left w:val="dotted" w:sz="8" w:space="0" w:color="000000"/>
              <w:bottom w:val="dotted" w:sz="8" w:space="0" w:color="000000"/>
              <w:right w:val="dotted" w:sz="8" w:space="0" w:color="000000"/>
            </w:tcBorders>
            <w:vAlign w:val="center"/>
            <w:hideMark/>
          </w:tcPr>
          <w:p w14:paraId="21C82D33"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p>
        </w:tc>
        <w:tc>
          <w:tcPr>
            <w:tcW w:w="3078" w:type="pct"/>
            <w:vMerge/>
            <w:tcBorders>
              <w:top w:val="dotted" w:sz="8" w:space="0" w:color="000000"/>
              <w:left w:val="dotted" w:sz="8" w:space="0" w:color="000000"/>
              <w:bottom w:val="dotted" w:sz="8" w:space="0" w:color="000000"/>
              <w:right w:val="dotted" w:sz="8" w:space="0" w:color="000000"/>
            </w:tcBorders>
            <w:vAlign w:val="center"/>
            <w:hideMark/>
          </w:tcPr>
          <w:p w14:paraId="177AB8B9"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p>
        </w:tc>
        <w:tc>
          <w:tcPr>
            <w:tcW w:w="1078" w:type="pct"/>
            <w:tcBorders>
              <w:top w:val="dotted" w:sz="8" w:space="0" w:color="000000"/>
              <w:left w:val="dotted" w:sz="8" w:space="0" w:color="000000"/>
              <w:bottom w:val="dotted" w:sz="8" w:space="0" w:color="000000"/>
              <w:right w:val="dotted" w:sz="8" w:space="0" w:color="000000"/>
            </w:tcBorders>
            <w:shd w:val="clear" w:color="auto" w:fill="D9E2F3"/>
            <w:tcMar>
              <w:top w:w="15" w:type="dxa"/>
              <w:left w:w="37" w:type="dxa"/>
              <w:bottom w:w="0" w:type="dxa"/>
              <w:right w:w="37" w:type="dxa"/>
            </w:tcMar>
            <w:vAlign w:val="center"/>
            <w:hideMark/>
          </w:tcPr>
          <w:p w14:paraId="5A0D57B7"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Estado</w:t>
            </w:r>
          </w:p>
        </w:tc>
        <w:tc>
          <w:tcPr>
            <w:tcW w:w="484" w:type="pct"/>
            <w:tcBorders>
              <w:top w:val="dotted" w:sz="8" w:space="0" w:color="000000"/>
              <w:left w:val="dotted" w:sz="8" w:space="0" w:color="000000"/>
              <w:bottom w:val="dotted" w:sz="8" w:space="0" w:color="000000"/>
              <w:right w:val="dotted" w:sz="8" w:space="0" w:color="000000"/>
            </w:tcBorders>
            <w:shd w:val="clear" w:color="auto" w:fill="D9E2F3"/>
            <w:tcMar>
              <w:top w:w="15" w:type="dxa"/>
              <w:left w:w="37" w:type="dxa"/>
              <w:bottom w:w="0" w:type="dxa"/>
              <w:right w:w="37" w:type="dxa"/>
            </w:tcMar>
            <w:vAlign w:val="center"/>
            <w:hideMark/>
          </w:tcPr>
          <w:p w14:paraId="4CEADE6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 de avance</w:t>
            </w:r>
          </w:p>
        </w:tc>
      </w:tr>
      <w:tr w:rsidR="00391C8F" w:rsidRPr="00391C8F" w14:paraId="7B68ECB5" w14:textId="77777777" w:rsidTr="00391C8F">
        <w:trPr>
          <w:trHeight w:val="897"/>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C0CDE8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4C17A4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Certificación de implementación de las recomendaciones de la Contraloría General de la República en materia de Familia y Pensiones</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D7D714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06E9492"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18761DA1"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05C7F02"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3.2</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7811C45"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Formatos jurídicos, asociados a cada fase y estado a utilizar con el nuevo CPC</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F266F87"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091603D"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54933D90"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D40C67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3.3.</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90ADE5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Fórmulas estadísticas FA, PA, VD tareas y ubicaciones a utilizar con el CPF</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01003C92"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En proceso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12070C7"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88%</w:t>
            </w:r>
          </w:p>
        </w:tc>
      </w:tr>
      <w:tr w:rsidR="00391C8F" w:rsidRPr="00391C8F" w14:paraId="0625B3A6"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FAD964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lastRenderedPageBreak/>
              <w:t>3.4</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16B5F5D"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con propuesta de Juzgados de asuntos sumarios por Ministerio de Ley</w:t>
            </w:r>
          </w:p>
        </w:tc>
        <w:tc>
          <w:tcPr>
            <w:tcW w:w="1078" w:type="pct"/>
            <w:tcBorders>
              <w:top w:val="dotted" w:sz="8" w:space="0" w:color="000000"/>
              <w:left w:val="dotted" w:sz="8" w:space="0" w:color="000000"/>
              <w:bottom w:val="dotted" w:sz="8" w:space="0" w:color="000000"/>
              <w:right w:val="dotted" w:sz="8" w:space="0" w:color="000000"/>
            </w:tcBorders>
            <w:shd w:val="clear" w:color="auto" w:fill="4F81BD"/>
            <w:tcMar>
              <w:top w:w="15" w:type="dxa"/>
              <w:left w:w="37" w:type="dxa"/>
              <w:bottom w:w="0" w:type="dxa"/>
              <w:right w:w="37" w:type="dxa"/>
            </w:tcMar>
            <w:hideMark/>
          </w:tcPr>
          <w:p w14:paraId="7F363B63"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Pendiente de iniciar</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E91458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0%</w:t>
            </w:r>
          </w:p>
        </w:tc>
      </w:tr>
      <w:tr w:rsidR="00391C8F" w:rsidRPr="00391C8F" w14:paraId="16A2C88D"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F69AC1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3.5</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3FBBE74"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Cambio nombre oficinas de VD a nivel nacional/SIGA PJ y RP</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2BC648B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0E0C037"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0C0D90A9"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34DCFD3"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3.6</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B2AC0C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Emisión directrices oficinas sobre el uso obligatorio de sistemas</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72322DB7"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A10B1C1"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03400FE2" w14:textId="77777777" w:rsidTr="00391C8F">
        <w:trPr>
          <w:trHeight w:val="74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25BCF3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3.7</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729E3F9"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Emisión directrices de readecuación procesos, reglas prácticas y nueva forma de tramitación CPF</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D1BA3B2"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863AE25"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31485F5D"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8E8C893"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3.8</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5637D8D"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Minuta de acuerdo-enlaces con instituciones</w:t>
            </w:r>
          </w:p>
          <w:p w14:paraId="64D4755E"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participes procesos CPF</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5A78D9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7F07A2E"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5012A211"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B1EC5FF"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3.9</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69EB75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de la Implantación de EV y mejoras a nivel de sistemas para CPF</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1ECF14D"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9F20F9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7E7D0C09"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9D0313F"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3.10</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2FE330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de readecuación perfiles y gestión del cambio y evaluación DGH</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0CF75D2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En proceso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8BE101E"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77%</w:t>
            </w:r>
          </w:p>
        </w:tc>
      </w:tr>
      <w:tr w:rsidR="00391C8F" w:rsidRPr="00391C8F" w14:paraId="709BFA1E"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1E43BDDE"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3.11</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7D7A639"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de resultados del plan de descongestionamiento</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17109181"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1AACF9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513E1B94"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FEBEEE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3.12</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9396544"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 xml:space="preserve">Informe Dirección Ejecutiva, diagnóstico de áreas infantiles </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29EECEE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98333E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39CDCBD5" w14:textId="77777777" w:rsidTr="00391C8F">
        <w:trPr>
          <w:trHeight w:val="29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31BBB86"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3.13</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9F5B595"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de la EJ capacitación en CPF</w:t>
            </w:r>
          </w:p>
        </w:tc>
        <w:tc>
          <w:tcPr>
            <w:tcW w:w="1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hideMark/>
          </w:tcPr>
          <w:p w14:paraId="4243EDE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30B4A94"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73484A64" w14:textId="77777777" w:rsidTr="00391C8F">
        <w:trPr>
          <w:trHeight w:val="596"/>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5ADF400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3.14</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41A8964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Campaña de divulgación de los principales cambios (Prensa).</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7B98EE3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En proceso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4F69895"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12%</w:t>
            </w:r>
          </w:p>
        </w:tc>
      </w:tr>
      <w:tr w:rsidR="00391C8F" w:rsidRPr="00391C8F" w14:paraId="7C6CEE6E"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75ADC5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3.15</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33C47CF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Informe Contraloría, afiches y acercamiento CPU</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hideMark/>
          </w:tcPr>
          <w:p w14:paraId="13FB6E92"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En proceso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2FCD9229" w14:textId="35DE33E5" w:rsidR="00391C8F" w:rsidRPr="001D0C10" w:rsidRDefault="000F5376" w:rsidP="00035934">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29</w:t>
            </w:r>
            <w:r w:rsidR="00391C8F" w:rsidRPr="001D0C10">
              <w:rPr>
                <w:rFonts w:ascii="Book Antiqua" w:eastAsia="Calibri" w:hAnsi="Book Antiqua" w:cs="Arial"/>
                <w:color w:val="000000"/>
                <w:sz w:val="18"/>
                <w:szCs w:val="18"/>
                <w:lang w:eastAsia="es-CR"/>
              </w:rPr>
              <w:t>%</w:t>
            </w:r>
          </w:p>
        </w:tc>
      </w:tr>
      <w:tr w:rsidR="00391C8F" w:rsidRPr="00391C8F" w14:paraId="79DC1922"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A03F35C"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3.16</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49C04F0"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Resultado plan descongestionamiento 2021</w:t>
            </w:r>
          </w:p>
        </w:tc>
        <w:tc>
          <w:tcPr>
            <w:tcW w:w="1078" w:type="pct"/>
            <w:tcBorders>
              <w:top w:val="dotted" w:sz="8" w:space="0" w:color="000000"/>
              <w:left w:val="dotted" w:sz="8" w:space="0" w:color="000000"/>
              <w:bottom w:val="dotted" w:sz="8" w:space="0" w:color="000000"/>
              <w:right w:val="dotted" w:sz="8" w:space="0" w:color="000000"/>
            </w:tcBorders>
            <w:shd w:val="clear" w:color="auto" w:fill="FFFFFF"/>
            <w:tcMar>
              <w:top w:w="15" w:type="dxa"/>
              <w:left w:w="37" w:type="dxa"/>
              <w:bottom w:w="0" w:type="dxa"/>
              <w:right w:w="37" w:type="dxa"/>
            </w:tcMar>
            <w:hideMark/>
          </w:tcPr>
          <w:p w14:paraId="7076300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11E136E"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2906624B" w14:textId="77777777" w:rsidTr="00391C8F">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0BBD13B5"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b/>
                <w:bCs/>
                <w:color w:val="000000"/>
                <w:sz w:val="18"/>
                <w:szCs w:val="18"/>
                <w:lang w:eastAsia="es-CR"/>
              </w:rPr>
              <w:t>3.17</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6FA9CA69"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Resultado plan capacitación Escuela Judicial 2021</w:t>
            </w:r>
          </w:p>
        </w:tc>
        <w:tc>
          <w:tcPr>
            <w:tcW w:w="1078" w:type="pct"/>
            <w:tcBorders>
              <w:top w:val="dotted" w:sz="8" w:space="0" w:color="000000"/>
              <w:left w:val="dotted" w:sz="8" w:space="0" w:color="000000"/>
              <w:bottom w:val="dotted" w:sz="8" w:space="0" w:color="000000"/>
              <w:right w:val="dotted" w:sz="8" w:space="0" w:color="000000"/>
            </w:tcBorders>
            <w:shd w:val="clear" w:color="auto" w:fill="FFFFFF"/>
            <w:tcMar>
              <w:top w:w="15" w:type="dxa"/>
              <w:left w:w="37" w:type="dxa"/>
              <w:bottom w:w="0" w:type="dxa"/>
              <w:right w:w="37" w:type="dxa"/>
            </w:tcMar>
            <w:hideMark/>
          </w:tcPr>
          <w:p w14:paraId="5FC71F2B"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Completado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hideMark/>
          </w:tcPr>
          <w:p w14:paraId="7503ACBA" w14:textId="77777777" w:rsidR="00391C8F" w:rsidRPr="001D0C10" w:rsidRDefault="00391C8F" w:rsidP="00035934">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100%</w:t>
            </w:r>
          </w:p>
        </w:tc>
      </w:tr>
      <w:tr w:rsidR="00391C8F" w:rsidRPr="00391C8F" w14:paraId="23BA715B" w14:textId="77777777" w:rsidTr="001D0C10">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451B6B68" w14:textId="003FF393" w:rsidR="00391C8F" w:rsidRPr="00391C8F" w:rsidRDefault="00391C8F" w:rsidP="00391C8F">
            <w:pPr>
              <w:spacing w:after="0" w:line="276" w:lineRule="auto"/>
              <w:contextualSpacing/>
              <w:jc w:val="both"/>
              <w:rPr>
                <w:rFonts w:ascii="Book Antiqua" w:eastAsia="Calibri" w:hAnsi="Book Antiqua" w:cs="Arial"/>
                <w:b/>
                <w:bCs/>
                <w:color w:val="000000"/>
                <w:sz w:val="18"/>
                <w:szCs w:val="18"/>
                <w:lang w:eastAsia="es-CR"/>
              </w:rPr>
            </w:pPr>
            <w:r w:rsidRPr="001F5F76">
              <w:rPr>
                <w:rFonts w:ascii="Book Antiqua" w:eastAsia="Calibri" w:hAnsi="Book Antiqua" w:cs="Arial"/>
                <w:b/>
                <w:bCs/>
                <w:color w:val="000000"/>
                <w:sz w:val="18"/>
                <w:szCs w:val="18"/>
                <w:lang w:eastAsia="es-CR"/>
              </w:rPr>
              <w:t>3.1</w:t>
            </w:r>
            <w:r>
              <w:rPr>
                <w:rFonts w:ascii="Book Antiqua" w:eastAsia="Calibri" w:hAnsi="Book Antiqua" w:cs="Arial"/>
                <w:b/>
                <w:bCs/>
                <w:color w:val="000000"/>
                <w:sz w:val="18"/>
                <w:szCs w:val="18"/>
                <w:lang w:eastAsia="es-CR"/>
              </w:rPr>
              <w:t>8</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47F44A6D" w14:textId="1F6FFFCE"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Resultado plan descongestionamiento Familia 2022</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01D802AE" w14:textId="3CDD36EE"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En progreso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56EB80D6" w14:textId="44C9B7FD"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20%</w:t>
            </w:r>
          </w:p>
        </w:tc>
      </w:tr>
      <w:tr w:rsidR="00391C8F" w:rsidRPr="00391C8F" w14:paraId="029813C4" w14:textId="77777777" w:rsidTr="001D0C10">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6A1E6A4F" w14:textId="463AD5E6" w:rsidR="00391C8F" w:rsidRPr="00391C8F" w:rsidRDefault="00391C8F" w:rsidP="00391C8F">
            <w:pPr>
              <w:spacing w:after="0" w:line="276" w:lineRule="auto"/>
              <w:contextualSpacing/>
              <w:jc w:val="both"/>
              <w:rPr>
                <w:rFonts w:ascii="Book Antiqua" w:eastAsia="Calibri" w:hAnsi="Book Antiqua" w:cs="Arial"/>
                <w:b/>
                <w:bCs/>
                <w:color w:val="000000"/>
                <w:sz w:val="18"/>
                <w:szCs w:val="18"/>
                <w:lang w:eastAsia="es-CR"/>
              </w:rPr>
            </w:pPr>
            <w:r w:rsidRPr="001F5F76">
              <w:rPr>
                <w:rFonts w:ascii="Book Antiqua" w:eastAsia="Calibri" w:hAnsi="Book Antiqua" w:cs="Arial"/>
                <w:b/>
                <w:bCs/>
                <w:color w:val="000000"/>
                <w:sz w:val="18"/>
                <w:szCs w:val="18"/>
                <w:lang w:eastAsia="es-CR"/>
              </w:rPr>
              <w:t>3.1</w:t>
            </w:r>
            <w:r>
              <w:rPr>
                <w:rFonts w:ascii="Book Antiqua" w:eastAsia="Calibri" w:hAnsi="Book Antiqua" w:cs="Arial"/>
                <w:b/>
                <w:bCs/>
                <w:color w:val="000000"/>
                <w:sz w:val="18"/>
                <w:szCs w:val="18"/>
                <w:lang w:eastAsia="es-CR"/>
              </w:rPr>
              <w:t>9</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2BE14293" w14:textId="4B408C58"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Resultado plan descongestionamiento Pensiones Alimentarias 2022</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7BC3CE20" w14:textId="433E39FE"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En progreso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21C7A1D4" w14:textId="2E59CB8E" w:rsidR="00391C8F" w:rsidRPr="00391C8F" w:rsidRDefault="00391C8F" w:rsidP="00391C8F">
            <w:pPr>
              <w:spacing w:after="0" w:line="276" w:lineRule="auto"/>
              <w:contextualSpacing/>
              <w:jc w:val="both"/>
              <w:rPr>
                <w:rFonts w:ascii="Book Antiqua" w:eastAsia="Calibri" w:hAnsi="Book Antiqua" w:cs="Arial"/>
                <w:color w:val="000000"/>
                <w:sz w:val="18"/>
                <w:szCs w:val="18"/>
                <w:lang w:eastAsia="es-CR"/>
              </w:rPr>
            </w:pPr>
            <w:r w:rsidRPr="0018286E">
              <w:rPr>
                <w:rFonts w:ascii="Book Antiqua" w:eastAsia="Calibri" w:hAnsi="Book Antiqua" w:cs="Arial"/>
                <w:color w:val="000000"/>
                <w:sz w:val="18"/>
                <w:szCs w:val="18"/>
                <w:lang w:eastAsia="es-CR"/>
              </w:rPr>
              <w:t>20%</w:t>
            </w:r>
          </w:p>
        </w:tc>
      </w:tr>
      <w:tr w:rsidR="00391C8F" w:rsidRPr="00391C8F" w14:paraId="4DA498BD" w14:textId="77777777" w:rsidTr="001D0C10">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756F3D3B" w14:textId="1D877966" w:rsidR="00391C8F" w:rsidRPr="001F5F76" w:rsidRDefault="00391C8F" w:rsidP="00391C8F">
            <w:pPr>
              <w:spacing w:after="0" w:line="276" w:lineRule="auto"/>
              <w:contextualSpacing/>
              <w:jc w:val="both"/>
              <w:rPr>
                <w:rFonts w:ascii="Book Antiqua" w:eastAsia="Calibri" w:hAnsi="Book Antiqua" w:cs="Arial"/>
                <w:b/>
                <w:bCs/>
                <w:color w:val="000000"/>
                <w:sz w:val="18"/>
                <w:szCs w:val="18"/>
                <w:lang w:eastAsia="es-CR"/>
              </w:rPr>
            </w:pPr>
            <w:r>
              <w:rPr>
                <w:rFonts w:ascii="Book Antiqua" w:eastAsia="Calibri" w:hAnsi="Book Antiqua" w:cs="Arial"/>
                <w:b/>
                <w:bCs/>
                <w:color w:val="000000"/>
                <w:sz w:val="18"/>
                <w:szCs w:val="18"/>
                <w:lang w:eastAsia="es-CR"/>
              </w:rPr>
              <w:t>3.20</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478CFFF6" w14:textId="3AB55764"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sidRPr="001D0C10">
              <w:rPr>
                <w:rFonts w:ascii="Book Antiqua" w:eastAsia="Calibri" w:hAnsi="Book Antiqua" w:cs="Arial"/>
                <w:color w:val="000000"/>
                <w:sz w:val="18"/>
                <w:szCs w:val="18"/>
                <w:lang w:eastAsia="es-CR"/>
              </w:rPr>
              <w:t>Resultado plan capacitación Escuela Judicial 2022</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07446034" w14:textId="2D6B55EB"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En progreso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tcPr>
          <w:p w14:paraId="652B6A94" w14:textId="13F29769"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sidRPr="0018286E">
              <w:rPr>
                <w:rFonts w:ascii="Book Antiqua" w:eastAsia="Calibri" w:hAnsi="Book Antiqua" w:cs="Arial"/>
                <w:color w:val="000000"/>
                <w:sz w:val="18"/>
                <w:szCs w:val="18"/>
                <w:lang w:eastAsia="es-CR"/>
              </w:rPr>
              <w:t>20%</w:t>
            </w:r>
          </w:p>
        </w:tc>
      </w:tr>
      <w:tr w:rsidR="00391C8F" w:rsidRPr="00391C8F" w14:paraId="6C7CCD55" w14:textId="77777777" w:rsidTr="001D0C10">
        <w:trPr>
          <w:trHeight w:val="445"/>
          <w:jc w:val="center"/>
        </w:trPr>
        <w:tc>
          <w:tcPr>
            <w:tcW w:w="360"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74AE3F76" w14:textId="698C0698" w:rsidR="00391C8F" w:rsidRPr="001F5F76" w:rsidRDefault="00391C8F" w:rsidP="00391C8F">
            <w:pPr>
              <w:spacing w:after="0" w:line="276" w:lineRule="auto"/>
              <w:contextualSpacing/>
              <w:jc w:val="both"/>
              <w:rPr>
                <w:rFonts w:ascii="Book Antiqua" w:eastAsia="Calibri" w:hAnsi="Book Antiqua" w:cs="Arial"/>
                <w:b/>
                <w:bCs/>
                <w:color w:val="000000"/>
                <w:sz w:val="18"/>
                <w:szCs w:val="18"/>
                <w:lang w:eastAsia="es-CR"/>
              </w:rPr>
            </w:pPr>
            <w:r>
              <w:rPr>
                <w:rFonts w:ascii="Book Antiqua" w:eastAsia="Calibri" w:hAnsi="Book Antiqua" w:cs="Arial"/>
                <w:b/>
                <w:bCs/>
                <w:color w:val="000000"/>
                <w:sz w:val="18"/>
                <w:szCs w:val="18"/>
                <w:lang w:eastAsia="es-CR"/>
              </w:rPr>
              <w:t>3.21</w:t>
            </w:r>
          </w:p>
        </w:tc>
        <w:tc>
          <w:tcPr>
            <w:tcW w:w="3078"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5BC5797E" w14:textId="35B772A7"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Estandarización materia de VD</w:t>
            </w:r>
          </w:p>
        </w:tc>
        <w:tc>
          <w:tcPr>
            <w:tcW w:w="1078" w:type="pct"/>
            <w:tcBorders>
              <w:top w:val="dotted" w:sz="8" w:space="0" w:color="000000"/>
              <w:left w:val="dotted" w:sz="8" w:space="0" w:color="000000"/>
              <w:bottom w:val="dotted" w:sz="8" w:space="0" w:color="000000"/>
              <w:right w:val="dotted" w:sz="8" w:space="0" w:color="000000"/>
            </w:tcBorders>
            <w:shd w:val="clear" w:color="auto" w:fill="92D050"/>
            <w:tcMar>
              <w:top w:w="15" w:type="dxa"/>
              <w:left w:w="37" w:type="dxa"/>
              <w:bottom w:w="0" w:type="dxa"/>
              <w:right w:w="37" w:type="dxa"/>
            </w:tcMar>
          </w:tcPr>
          <w:p w14:paraId="41D2B8B4" w14:textId="2E49A050"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En progreso</w:t>
            </w:r>
          </w:p>
        </w:tc>
        <w:tc>
          <w:tcPr>
            <w:tcW w:w="484" w:type="pct"/>
            <w:tcBorders>
              <w:top w:val="dotted" w:sz="8" w:space="0" w:color="000000"/>
              <w:left w:val="dotted" w:sz="8" w:space="0" w:color="000000"/>
              <w:bottom w:val="dotted" w:sz="8" w:space="0" w:color="000000"/>
              <w:right w:val="dotted" w:sz="8" w:space="0" w:color="000000"/>
            </w:tcBorders>
            <w:shd w:val="clear" w:color="auto" w:fill="auto"/>
            <w:tcMar>
              <w:top w:w="15" w:type="dxa"/>
              <w:left w:w="37" w:type="dxa"/>
              <w:bottom w:w="0" w:type="dxa"/>
              <w:right w:w="37" w:type="dxa"/>
            </w:tcMar>
            <w:vAlign w:val="center"/>
          </w:tcPr>
          <w:p w14:paraId="4C04BABD" w14:textId="62691A8A" w:rsidR="00391C8F" w:rsidRPr="001F5F76" w:rsidRDefault="00391C8F" w:rsidP="00391C8F">
            <w:pPr>
              <w:spacing w:after="0" w:line="276" w:lineRule="auto"/>
              <w:contextualSpacing/>
              <w:jc w:val="both"/>
              <w:rPr>
                <w:rFonts w:ascii="Book Antiqua" w:eastAsia="Calibri" w:hAnsi="Book Antiqua" w:cs="Arial"/>
                <w:color w:val="000000"/>
                <w:sz w:val="18"/>
                <w:szCs w:val="18"/>
                <w:lang w:eastAsia="es-CR"/>
              </w:rPr>
            </w:pPr>
            <w:r>
              <w:rPr>
                <w:rFonts w:ascii="Book Antiqua" w:eastAsia="Calibri" w:hAnsi="Book Antiqua" w:cs="Arial"/>
                <w:color w:val="000000"/>
                <w:sz w:val="18"/>
                <w:szCs w:val="18"/>
                <w:lang w:eastAsia="es-CR"/>
              </w:rPr>
              <w:t>10%</w:t>
            </w:r>
          </w:p>
        </w:tc>
      </w:tr>
    </w:tbl>
    <w:p w14:paraId="7B437A3B" w14:textId="77777777" w:rsidR="00391C8F" w:rsidRDefault="00391C8F" w:rsidP="001D0C10">
      <w:pPr>
        <w:pStyle w:val="Prrafodelista"/>
        <w:tabs>
          <w:tab w:val="left" w:pos="426"/>
        </w:tabs>
        <w:autoSpaceDE w:val="0"/>
        <w:autoSpaceDN w:val="0"/>
        <w:adjustRightInd w:val="0"/>
        <w:spacing w:after="0" w:line="276" w:lineRule="auto"/>
        <w:ind w:left="1800"/>
        <w:jc w:val="both"/>
        <w:rPr>
          <w:rFonts w:ascii="Book Antiqua" w:eastAsia="Calibri" w:hAnsi="Book Antiqua" w:cs="Book Antiqua"/>
          <w:iCs/>
          <w:color w:val="000000"/>
          <w:spacing w:val="-3"/>
          <w:sz w:val="24"/>
          <w:szCs w:val="24"/>
        </w:rPr>
      </w:pPr>
    </w:p>
    <w:p w14:paraId="40D30A95" w14:textId="268B3407" w:rsidR="003F7A0D" w:rsidRDefault="00391C8F" w:rsidP="001D0C10">
      <w:pPr>
        <w:pStyle w:val="Prrafodelista"/>
        <w:tabs>
          <w:tab w:val="left" w:pos="426"/>
        </w:tabs>
        <w:autoSpaceDE w:val="0"/>
        <w:autoSpaceDN w:val="0"/>
        <w:adjustRightInd w:val="0"/>
        <w:spacing w:after="0" w:line="276" w:lineRule="auto"/>
        <w:ind w:left="1080"/>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 xml:space="preserve"> </w:t>
      </w:r>
    </w:p>
    <w:p w14:paraId="35E10FEE" w14:textId="70E593CC" w:rsidR="00391C8F" w:rsidRDefault="000B2E03" w:rsidP="0090609F">
      <w:pPr>
        <w:pStyle w:val="Prrafodelista"/>
        <w:numPr>
          <w:ilvl w:val="2"/>
          <w:numId w:val="44"/>
        </w:numPr>
        <w:tabs>
          <w:tab w:val="left" w:pos="426"/>
        </w:tabs>
        <w:autoSpaceDE w:val="0"/>
        <w:autoSpaceDN w:val="0"/>
        <w:adjustRightInd w:val="0"/>
        <w:spacing w:after="0" w:line="276" w:lineRule="auto"/>
        <w:jc w:val="both"/>
        <w:rPr>
          <w:rFonts w:ascii="Book Antiqua" w:eastAsia="Calibri" w:hAnsi="Book Antiqua" w:cs="Book Antiqua"/>
          <w:iCs/>
          <w:color w:val="000000"/>
          <w:spacing w:val="-3"/>
          <w:sz w:val="24"/>
          <w:szCs w:val="24"/>
        </w:rPr>
      </w:pPr>
      <w:r>
        <w:rPr>
          <w:rFonts w:ascii="Book Antiqua" w:eastAsia="Calibri" w:hAnsi="Book Antiqua" w:cs="Book Antiqua"/>
          <w:iCs/>
          <w:color w:val="000000"/>
          <w:spacing w:val="-3"/>
          <w:sz w:val="24"/>
          <w:szCs w:val="24"/>
        </w:rPr>
        <w:t>Velar por el c</w:t>
      </w:r>
      <w:r w:rsidR="00391C8F" w:rsidRPr="001F5F76">
        <w:rPr>
          <w:rFonts w:ascii="Book Antiqua" w:eastAsia="Calibri" w:hAnsi="Book Antiqua" w:cs="Book Antiqua"/>
          <w:iCs/>
          <w:color w:val="000000"/>
          <w:spacing w:val="-3"/>
          <w:sz w:val="24"/>
          <w:szCs w:val="24"/>
        </w:rPr>
        <w:t xml:space="preserve">umplimiento total de </w:t>
      </w:r>
      <w:r w:rsidR="00391C8F">
        <w:rPr>
          <w:rFonts w:ascii="Book Antiqua" w:eastAsia="Calibri" w:hAnsi="Book Antiqua" w:cs="Book Antiqua"/>
          <w:iCs/>
          <w:color w:val="000000"/>
          <w:spacing w:val="-3"/>
          <w:sz w:val="24"/>
          <w:szCs w:val="24"/>
        </w:rPr>
        <w:t>las tareas pendientes a su cargo según distintos informes de la Dirección de Planificación:</w:t>
      </w:r>
    </w:p>
    <w:p w14:paraId="47B06572" w14:textId="16B396D3" w:rsidR="00391C8F" w:rsidRDefault="00391C8F" w:rsidP="00391C8F">
      <w:pPr>
        <w:tabs>
          <w:tab w:val="left" w:pos="426"/>
        </w:tabs>
        <w:autoSpaceDE w:val="0"/>
        <w:autoSpaceDN w:val="0"/>
        <w:adjustRightInd w:val="0"/>
        <w:spacing w:after="0" w:line="276" w:lineRule="auto"/>
        <w:ind w:left="360"/>
        <w:jc w:val="both"/>
        <w:rPr>
          <w:rFonts w:ascii="Book Antiqua" w:eastAsia="Calibri" w:hAnsi="Book Antiqua" w:cs="Book Antiqua"/>
          <w:iCs/>
          <w:color w:val="000000"/>
          <w:spacing w:val="-3"/>
          <w:sz w:val="24"/>
          <w:szCs w:val="24"/>
        </w:rPr>
      </w:pPr>
    </w:p>
    <w:p w14:paraId="19D0167E" w14:textId="77777777" w:rsidR="00391C8F" w:rsidRDefault="00391C8F" w:rsidP="00391C8F">
      <w:pPr>
        <w:spacing w:after="0" w:line="276" w:lineRule="auto"/>
        <w:jc w:val="both"/>
        <w:rPr>
          <w:rFonts w:ascii="Book Antiqua" w:eastAsia="Calibri" w:hAnsi="Book Antiqua" w:cs="Arial"/>
          <w:sz w:val="24"/>
          <w:szCs w:val="24"/>
        </w:rPr>
      </w:pPr>
      <w:r w:rsidRPr="00C861E0">
        <w:rPr>
          <w:rFonts w:ascii="Book Antiqua" w:eastAsia="Calibri" w:hAnsi="Book Antiqua" w:cs="Arial"/>
          <w:sz w:val="24"/>
          <w:szCs w:val="24"/>
        </w:rPr>
        <w:t>Conforme a</w:t>
      </w:r>
      <w:r>
        <w:rPr>
          <w:rFonts w:ascii="Book Antiqua" w:eastAsia="Calibri" w:hAnsi="Book Antiqua" w:cs="Arial"/>
          <w:sz w:val="24"/>
          <w:szCs w:val="24"/>
        </w:rPr>
        <w:t>l oficio 1356-PLA-MI-2021 se encuentran pendientes o en progreso las siguientes tareas a cargo de la Comisión:</w:t>
      </w:r>
    </w:p>
    <w:p w14:paraId="5EFB9EDD" w14:textId="77777777" w:rsidR="00391C8F" w:rsidRDefault="00391C8F" w:rsidP="00391C8F">
      <w:pPr>
        <w:spacing w:after="0" w:line="240" w:lineRule="auto"/>
        <w:jc w:val="both"/>
        <w:rPr>
          <w:rFonts w:ascii="Book Antiqua" w:eastAsia="Calibri" w:hAnsi="Book Antiqua" w:cs="Arial"/>
          <w:sz w:val="24"/>
          <w:szCs w:val="24"/>
        </w:rPr>
      </w:pPr>
    </w:p>
    <w:tbl>
      <w:tblPr>
        <w:tblW w:w="11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6"/>
        <w:gridCol w:w="1271"/>
        <w:gridCol w:w="1368"/>
        <w:gridCol w:w="5720"/>
      </w:tblGrid>
      <w:tr w:rsidR="00391C8F" w:rsidRPr="00291E81" w14:paraId="37D0C9C1" w14:textId="77777777" w:rsidTr="00035934">
        <w:trPr>
          <w:jc w:val="center"/>
        </w:trPr>
        <w:tc>
          <w:tcPr>
            <w:tcW w:w="2826" w:type="dxa"/>
            <w:shd w:val="clear" w:color="auto" w:fill="0070C0"/>
            <w:vAlign w:val="center"/>
          </w:tcPr>
          <w:p w14:paraId="760A5BE0" w14:textId="77777777" w:rsidR="00391C8F" w:rsidRPr="00291E81" w:rsidRDefault="00391C8F"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Recomendación informe 389-PLA-RH-MI-2021</w:t>
            </w:r>
          </w:p>
        </w:tc>
        <w:tc>
          <w:tcPr>
            <w:tcW w:w="1271" w:type="dxa"/>
            <w:shd w:val="clear" w:color="auto" w:fill="0070C0"/>
            <w:vAlign w:val="center"/>
          </w:tcPr>
          <w:p w14:paraId="0673872E" w14:textId="77777777" w:rsidR="00391C8F" w:rsidRPr="00291E81" w:rsidRDefault="00391C8F"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Estado</w:t>
            </w:r>
          </w:p>
        </w:tc>
        <w:tc>
          <w:tcPr>
            <w:tcW w:w="1368" w:type="dxa"/>
            <w:shd w:val="clear" w:color="auto" w:fill="0070C0"/>
            <w:vAlign w:val="center"/>
          </w:tcPr>
          <w:p w14:paraId="1915AB48" w14:textId="77777777" w:rsidR="00391C8F" w:rsidRPr="00291E81" w:rsidRDefault="00391C8F"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Plazo</w:t>
            </w:r>
          </w:p>
        </w:tc>
        <w:tc>
          <w:tcPr>
            <w:tcW w:w="5720" w:type="dxa"/>
            <w:shd w:val="clear" w:color="auto" w:fill="0070C0"/>
            <w:vAlign w:val="center"/>
          </w:tcPr>
          <w:p w14:paraId="6F58AC24" w14:textId="77777777" w:rsidR="00391C8F" w:rsidRPr="00291E81" w:rsidRDefault="00391C8F" w:rsidP="00035934">
            <w:pPr>
              <w:pStyle w:val="Prrafodelista"/>
              <w:spacing w:line="276" w:lineRule="auto"/>
              <w:ind w:left="0"/>
              <w:jc w:val="center"/>
              <w:rPr>
                <w:rFonts w:ascii="Book Antiqua" w:hAnsi="Book Antiqua"/>
                <w:b/>
                <w:bCs/>
                <w:i/>
                <w:iCs/>
                <w:sz w:val="20"/>
                <w:szCs w:val="20"/>
              </w:rPr>
            </w:pPr>
            <w:r w:rsidRPr="00291E81">
              <w:rPr>
                <w:rFonts w:ascii="Book Antiqua" w:hAnsi="Book Antiqua"/>
                <w:b/>
                <w:bCs/>
                <w:i/>
                <w:iCs/>
                <w:sz w:val="20"/>
                <w:szCs w:val="20"/>
              </w:rPr>
              <w:t>Observaciones</w:t>
            </w:r>
          </w:p>
        </w:tc>
      </w:tr>
      <w:tr w:rsidR="00391C8F" w:rsidRPr="00291E81" w14:paraId="50CD69A8" w14:textId="77777777" w:rsidTr="00035934">
        <w:trPr>
          <w:jc w:val="center"/>
        </w:trPr>
        <w:tc>
          <w:tcPr>
            <w:tcW w:w="2826" w:type="dxa"/>
            <w:shd w:val="clear" w:color="auto" w:fill="auto"/>
            <w:vAlign w:val="center"/>
          </w:tcPr>
          <w:p w14:paraId="5FD8C182" w14:textId="77777777" w:rsidR="00391C8F" w:rsidRPr="00291E81" w:rsidRDefault="00391C8F" w:rsidP="00035934">
            <w:pPr>
              <w:pStyle w:val="Prrafodelista"/>
              <w:spacing w:line="276" w:lineRule="auto"/>
              <w:ind w:left="0"/>
              <w:jc w:val="both"/>
              <w:rPr>
                <w:rFonts w:ascii="Book Antiqua" w:hAnsi="Book Antiqua"/>
                <w:sz w:val="20"/>
                <w:szCs w:val="20"/>
              </w:rPr>
            </w:pPr>
            <w:r w:rsidRPr="00291E81">
              <w:rPr>
                <w:rFonts w:ascii="Book Antiqua" w:hAnsi="Book Antiqua"/>
                <w:i/>
                <w:iCs/>
                <w:sz w:val="20"/>
                <w:szCs w:val="20"/>
                <w:lang w:eastAsia="es-CR"/>
              </w:rPr>
              <w:t>12.7. Dar seguimiento al cumplimiento de los entregables que se encuentran a su cargo junto con el Juez Gestor en la materia del Centro de Apoyo, Coordinación y Mejoramiento de la Función Jurisdiccional</w:t>
            </w:r>
          </w:p>
        </w:tc>
        <w:tc>
          <w:tcPr>
            <w:tcW w:w="1271" w:type="dxa"/>
            <w:shd w:val="clear" w:color="auto" w:fill="FFD966"/>
            <w:vAlign w:val="center"/>
          </w:tcPr>
          <w:p w14:paraId="1984949C" w14:textId="77777777" w:rsidR="00391C8F" w:rsidRPr="00291E81" w:rsidRDefault="00391C8F"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En progreso</w:t>
            </w:r>
          </w:p>
        </w:tc>
        <w:tc>
          <w:tcPr>
            <w:tcW w:w="1368" w:type="dxa"/>
            <w:shd w:val="clear" w:color="auto" w:fill="auto"/>
            <w:vAlign w:val="center"/>
          </w:tcPr>
          <w:p w14:paraId="0E45EC3B" w14:textId="77777777" w:rsidR="00391C8F" w:rsidRPr="00291E81" w:rsidRDefault="00391C8F" w:rsidP="00035934">
            <w:pPr>
              <w:pStyle w:val="Prrafodelista"/>
              <w:spacing w:line="276" w:lineRule="auto"/>
              <w:ind w:left="0"/>
              <w:jc w:val="center"/>
              <w:rPr>
                <w:rFonts w:ascii="Book Antiqua" w:hAnsi="Book Antiqua"/>
                <w:sz w:val="20"/>
                <w:szCs w:val="20"/>
              </w:rPr>
            </w:pPr>
            <w:r>
              <w:rPr>
                <w:rFonts w:ascii="Book Antiqua" w:hAnsi="Book Antiqua"/>
                <w:sz w:val="20"/>
                <w:szCs w:val="20"/>
              </w:rPr>
              <w:t>Diciembre 2022</w:t>
            </w:r>
          </w:p>
        </w:tc>
        <w:tc>
          <w:tcPr>
            <w:tcW w:w="5720" w:type="dxa"/>
            <w:shd w:val="clear" w:color="auto" w:fill="auto"/>
            <w:vAlign w:val="center"/>
          </w:tcPr>
          <w:p w14:paraId="2B8458D2" w14:textId="77777777" w:rsidR="00391C8F" w:rsidRPr="00C219B9" w:rsidRDefault="00391C8F" w:rsidP="00035934">
            <w:pPr>
              <w:pStyle w:val="Prrafodelista"/>
              <w:spacing w:line="276" w:lineRule="auto"/>
              <w:ind w:left="0"/>
              <w:jc w:val="both"/>
              <w:rPr>
                <w:rFonts w:ascii="Book Antiqua" w:hAnsi="Book Antiqua"/>
                <w:sz w:val="20"/>
                <w:szCs w:val="20"/>
              </w:rPr>
            </w:pPr>
            <w:r w:rsidRPr="00C219B9">
              <w:rPr>
                <w:rFonts w:ascii="Book Antiqua" w:hAnsi="Book Antiqua"/>
                <w:sz w:val="20"/>
                <w:szCs w:val="20"/>
              </w:rPr>
              <w:t xml:space="preserve">El avance del proyecto por entregable se detalló líneas atrás. </w:t>
            </w:r>
          </w:p>
          <w:p w14:paraId="0F502B69" w14:textId="77777777" w:rsidR="00391C8F" w:rsidRDefault="00391C8F" w:rsidP="00035934">
            <w:pPr>
              <w:pStyle w:val="Prrafodelista"/>
              <w:spacing w:line="276" w:lineRule="auto"/>
              <w:ind w:left="0"/>
              <w:jc w:val="both"/>
              <w:rPr>
                <w:rFonts w:ascii="Book Antiqua" w:hAnsi="Book Antiqua"/>
                <w:b/>
                <w:bCs/>
                <w:sz w:val="20"/>
                <w:szCs w:val="20"/>
              </w:rPr>
            </w:pPr>
          </w:p>
          <w:p w14:paraId="119E1AB0" w14:textId="77777777" w:rsidR="00391C8F" w:rsidRDefault="00391C8F" w:rsidP="00035934">
            <w:pPr>
              <w:pStyle w:val="Prrafodelista"/>
              <w:spacing w:line="276" w:lineRule="auto"/>
              <w:ind w:left="0"/>
              <w:jc w:val="both"/>
              <w:rPr>
                <w:rFonts w:ascii="Book Antiqua" w:hAnsi="Book Antiqua"/>
                <w:b/>
                <w:bCs/>
                <w:sz w:val="20"/>
                <w:szCs w:val="20"/>
              </w:rPr>
            </w:pPr>
          </w:p>
          <w:p w14:paraId="7972869C" w14:textId="77777777" w:rsidR="00391C8F" w:rsidRDefault="00391C8F" w:rsidP="00035934">
            <w:pPr>
              <w:pStyle w:val="Prrafodelista"/>
              <w:spacing w:line="276" w:lineRule="auto"/>
              <w:ind w:left="0"/>
              <w:jc w:val="both"/>
              <w:rPr>
                <w:rFonts w:ascii="Book Antiqua" w:hAnsi="Book Antiqua"/>
                <w:b/>
                <w:bCs/>
                <w:sz w:val="20"/>
                <w:szCs w:val="20"/>
              </w:rPr>
            </w:pPr>
          </w:p>
          <w:p w14:paraId="39A3031C" w14:textId="77777777" w:rsidR="00391C8F" w:rsidRDefault="00391C8F" w:rsidP="00035934">
            <w:pPr>
              <w:pStyle w:val="Prrafodelista"/>
              <w:spacing w:line="276" w:lineRule="auto"/>
              <w:ind w:left="0"/>
              <w:jc w:val="both"/>
              <w:rPr>
                <w:rFonts w:ascii="Book Antiqua" w:hAnsi="Book Antiqua"/>
                <w:b/>
                <w:bCs/>
                <w:sz w:val="20"/>
                <w:szCs w:val="20"/>
              </w:rPr>
            </w:pPr>
          </w:p>
          <w:p w14:paraId="3DBB2D80" w14:textId="77777777" w:rsidR="00391C8F" w:rsidRPr="00291E81" w:rsidRDefault="00391C8F" w:rsidP="00035934">
            <w:pPr>
              <w:pStyle w:val="Prrafodelista"/>
              <w:spacing w:line="276" w:lineRule="auto"/>
              <w:ind w:left="0"/>
              <w:jc w:val="both"/>
              <w:rPr>
                <w:rFonts w:ascii="Book Antiqua" w:hAnsi="Book Antiqua"/>
                <w:b/>
                <w:bCs/>
                <w:sz w:val="20"/>
                <w:szCs w:val="20"/>
              </w:rPr>
            </w:pPr>
          </w:p>
        </w:tc>
      </w:tr>
      <w:tr w:rsidR="00391C8F" w:rsidRPr="00291E81" w14:paraId="2373F92A" w14:textId="77777777" w:rsidTr="00035934">
        <w:trPr>
          <w:jc w:val="center"/>
        </w:trPr>
        <w:tc>
          <w:tcPr>
            <w:tcW w:w="2826" w:type="dxa"/>
            <w:shd w:val="clear" w:color="auto" w:fill="auto"/>
            <w:vAlign w:val="center"/>
          </w:tcPr>
          <w:p w14:paraId="735B29EB" w14:textId="77777777" w:rsidR="00391C8F" w:rsidRPr="00291E81" w:rsidRDefault="00391C8F" w:rsidP="00035934">
            <w:pPr>
              <w:spacing w:line="276" w:lineRule="auto"/>
              <w:jc w:val="both"/>
              <w:rPr>
                <w:rFonts w:ascii="Book Antiqua" w:hAnsi="Book Antiqua"/>
                <w:i/>
                <w:iCs/>
                <w:sz w:val="20"/>
                <w:szCs w:val="20"/>
              </w:rPr>
            </w:pPr>
            <w:r w:rsidRPr="00291E81">
              <w:rPr>
                <w:rFonts w:ascii="Book Antiqua" w:hAnsi="Book Antiqua"/>
                <w:i/>
                <w:iCs/>
                <w:sz w:val="20"/>
                <w:szCs w:val="20"/>
              </w:rPr>
              <w:t xml:space="preserve">12.11. Revisar y actualizar junto con el Subproceso de estadística la prioridad a nivel estadístico, que deben de ser categorías exhaustivas y excluyentes. </w:t>
            </w:r>
          </w:p>
        </w:tc>
        <w:tc>
          <w:tcPr>
            <w:tcW w:w="1271" w:type="dxa"/>
            <w:shd w:val="clear" w:color="auto" w:fill="FFD966"/>
            <w:vAlign w:val="center"/>
          </w:tcPr>
          <w:p w14:paraId="0B641F0D" w14:textId="77777777" w:rsidR="00391C8F" w:rsidRPr="00291E81" w:rsidRDefault="00391C8F"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En progreso</w:t>
            </w:r>
          </w:p>
        </w:tc>
        <w:tc>
          <w:tcPr>
            <w:tcW w:w="1368" w:type="dxa"/>
            <w:shd w:val="clear" w:color="auto" w:fill="auto"/>
            <w:vAlign w:val="center"/>
          </w:tcPr>
          <w:p w14:paraId="1B07E0CF" w14:textId="77777777" w:rsidR="00391C8F" w:rsidRPr="00291E81" w:rsidRDefault="00391C8F"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Noviembre 2021</w:t>
            </w:r>
          </w:p>
        </w:tc>
        <w:tc>
          <w:tcPr>
            <w:tcW w:w="5720" w:type="dxa"/>
            <w:shd w:val="clear" w:color="auto" w:fill="auto"/>
            <w:vAlign w:val="center"/>
          </w:tcPr>
          <w:p w14:paraId="184829B0" w14:textId="77777777" w:rsidR="00391C8F" w:rsidRPr="00291E81" w:rsidRDefault="00391C8F"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 xml:space="preserve">De parte del gestor y el Subproceso de Estadística se está actualizando el tema de las nuevas variables en las fórmulas estadísticas con la nueva Ley. Tarea asociada al entregable del proyecto </w:t>
            </w:r>
            <w:r w:rsidRPr="00291E81">
              <w:rPr>
                <w:rFonts w:ascii="Book Antiqua" w:hAnsi="Book Antiqua"/>
                <w:b/>
                <w:bCs/>
                <w:sz w:val="20"/>
                <w:szCs w:val="20"/>
                <w:lang w:eastAsia="es-CR"/>
              </w:rPr>
              <w:t>3.3. Fórmulas estadísticas FA, PA, VD tareas y ubicaciones a utilizar con el CPF</w:t>
            </w:r>
          </w:p>
        </w:tc>
      </w:tr>
      <w:tr w:rsidR="00391C8F" w:rsidRPr="00291E81" w14:paraId="2550A741" w14:textId="77777777" w:rsidTr="00035934">
        <w:trPr>
          <w:jc w:val="center"/>
        </w:trPr>
        <w:tc>
          <w:tcPr>
            <w:tcW w:w="2826" w:type="dxa"/>
            <w:shd w:val="clear" w:color="auto" w:fill="auto"/>
            <w:vAlign w:val="center"/>
          </w:tcPr>
          <w:p w14:paraId="332A8AE3" w14:textId="77777777" w:rsidR="00391C8F" w:rsidRPr="00291E81" w:rsidRDefault="00391C8F" w:rsidP="00035934">
            <w:pPr>
              <w:spacing w:line="276" w:lineRule="auto"/>
              <w:jc w:val="both"/>
              <w:rPr>
                <w:rFonts w:ascii="Book Antiqua" w:hAnsi="Book Antiqua"/>
                <w:i/>
                <w:iCs/>
                <w:sz w:val="20"/>
                <w:szCs w:val="20"/>
              </w:rPr>
            </w:pPr>
            <w:r w:rsidRPr="00291E81">
              <w:rPr>
                <w:rFonts w:ascii="Book Antiqua" w:hAnsi="Book Antiqua"/>
                <w:i/>
                <w:iCs/>
                <w:sz w:val="20"/>
                <w:szCs w:val="20"/>
              </w:rPr>
              <w:t>12.12. Revisar junto con el Juez Gestor, el reporte actual que genera SIGMA de los apremios, para contabilizar la cantidad de solicitud y las que finalmente se emiten, y si aplica o no adicionar la categoría de “conservación de derecho”.</w:t>
            </w:r>
          </w:p>
        </w:tc>
        <w:tc>
          <w:tcPr>
            <w:tcW w:w="1271" w:type="dxa"/>
            <w:shd w:val="clear" w:color="auto" w:fill="auto"/>
            <w:vAlign w:val="center"/>
          </w:tcPr>
          <w:p w14:paraId="021EFD03" w14:textId="77777777" w:rsidR="00391C8F" w:rsidRPr="00291E81" w:rsidRDefault="00391C8F" w:rsidP="00035934">
            <w:pPr>
              <w:pStyle w:val="Prrafodelista"/>
              <w:spacing w:line="276" w:lineRule="auto"/>
              <w:ind w:left="0"/>
              <w:jc w:val="center"/>
              <w:rPr>
                <w:rFonts w:ascii="Book Antiqua" w:hAnsi="Book Antiqua"/>
                <w:sz w:val="20"/>
                <w:szCs w:val="20"/>
              </w:rPr>
            </w:pPr>
            <w:r w:rsidRPr="00291E81">
              <w:rPr>
                <w:rFonts w:ascii="Book Antiqua" w:hAnsi="Book Antiqua"/>
                <w:sz w:val="20"/>
                <w:szCs w:val="20"/>
              </w:rPr>
              <w:t>Suspendido</w:t>
            </w:r>
          </w:p>
        </w:tc>
        <w:tc>
          <w:tcPr>
            <w:tcW w:w="1368" w:type="dxa"/>
            <w:shd w:val="clear" w:color="auto" w:fill="auto"/>
            <w:vAlign w:val="center"/>
          </w:tcPr>
          <w:p w14:paraId="79DD07B2" w14:textId="77777777" w:rsidR="00391C8F" w:rsidRPr="00291E81" w:rsidRDefault="00391C8F" w:rsidP="00035934">
            <w:pPr>
              <w:pStyle w:val="Prrafodelista"/>
              <w:spacing w:line="276" w:lineRule="auto"/>
              <w:ind w:left="0"/>
              <w:jc w:val="center"/>
              <w:rPr>
                <w:rFonts w:ascii="Book Antiqua" w:hAnsi="Book Antiqua"/>
                <w:strike/>
                <w:sz w:val="20"/>
                <w:szCs w:val="20"/>
              </w:rPr>
            </w:pPr>
            <w:r w:rsidRPr="00A77BE6">
              <w:rPr>
                <w:rFonts w:ascii="Book Antiqua" w:hAnsi="Book Antiqua"/>
                <w:strike/>
                <w:sz w:val="20"/>
                <w:szCs w:val="20"/>
              </w:rPr>
              <w:t>Febrero 2021</w:t>
            </w:r>
          </w:p>
        </w:tc>
        <w:tc>
          <w:tcPr>
            <w:tcW w:w="5720" w:type="dxa"/>
            <w:shd w:val="clear" w:color="auto" w:fill="auto"/>
            <w:vAlign w:val="center"/>
          </w:tcPr>
          <w:p w14:paraId="2F7D2CEE" w14:textId="77777777" w:rsidR="00391C8F" w:rsidRPr="00291E81" w:rsidRDefault="00391C8F"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Para poder obtener la información con este detalle se requiere</w:t>
            </w:r>
            <w:r>
              <w:rPr>
                <w:rFonts w:ascii="Book Antiqua" w:hAnsi="Book Antiqua"/>
                <w:sz w:val="20"/>
                <w:szCs w:val="20"/>
              </w:rPr>
              <w:t xml:space="preserve"> </w:t>
            </w:r>
            <w:r w:rsidRPr="00291E81">
              <w:rPr>
                <w:rFonts w:ascii="Book Antiqua" w:hAnsi="Book Antiqua"/>
                <w:sz w:val="20"/>
                <w:szCs w:val="20"/>
              </w:rPr>
              <w:t xml:space="preserve">de mejoras informáticas: </w:t>
            </w:r>
          </w:p>
          <w:p w14:paraId="70317B34" w14:textId="0C0D92B2" w:rsidR="00391C8F" w:rsidRPr="00291E81" w:rsidRDefault="00391C8F"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fldChar w:fldCharType="begin"/>
            </w:r>
            <w:r w:rsidRPr="00291E81">
              <w:rPr>
                <w:rFonts w:ascii="Book Antiqua" w:hAnsi="Book Antiqua"/>
                <w:sz w:val="20"/>
                <w:szCs w:val="20"/>
              </w:rPr>
              <w:instrText xml:space="preserve"> INCLUDEPICTURE  "cid:image006.png@01D7686B.1C192BC0" \* MERGEFORMATINET </w:instrText>
            </w:r>
            <w:r w:rsidRPr="00291E81">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Pr>
                <w:rFonts w:ascii="Book Antiqua" w:hAnsi="Book Antiqua"/>
                <w:sz w:val="20"/>
                <w:szCs w:val="20"/>
              </w:rPr>
              <w:fldChar w:fldCharType="begin"/>
            </w:r>
            <w:r>
              <w:rPr>
                <w:rFonts w:ascii="Book Antiqua" w:hAnsi="Book Antiqua"/>
                <w:sz w:val="20"/>
                <w:szCs w:val="20"/>
              </w:rPr>
              <w:instrText xml:space="preserve"> INCLUDEPICTURE  "cid:image006.png@01D7686B.1C192BC0" \* MERGEFORMATINET </w:instrText>
            </w:r>
            <w:r>
              <w:rPr>
                <w:rFonts w:ascii="Book Antiqua" w:hAnsi="Book Antiqua"/>
                <w:sz w:val="20"/>
                <w:szCs w:val="20"/>
              </w:rPr>
              <w:fldChar w:fldCharType="separate"/>
            </w:r>
            <w:r w:rsidR="0041643F">
              <w:rPr>
                <w:rFonts w:ascii="Book Antiqua" w:hAnsi="Book Antiqua"/>
                <w:sz w:val="20"/>
                <w:szCs w:val="20"/>
              </w:rPr>
              <w:fldChar w:fldCharType="begin"/>
            </w:r>
            <w:r w:rsidR="0041643F">
              <w:rPr>
                <w:rFonts w:ascii="Book Antiqua" w:hAnsi="Book Antiqua"/>
                <w:sz w:val="20"/>
                <w:szCs w:val="20"/>
              </w:rPr>
              <w:instrText xml:space="preserve"> INCLUDEPICTURE  "cid:image006.png@01D7686B.1C192BC0" \* MERGEFORMATINET </w:instrText>
            </w:r>
            <w:r w:rsidR="0041643F">
              <w:rPr>
                <w:rFonts w:ascii="Book Antiqua" w:hAnsi="Book Antiqua"/>
                <w:sz w:val="20"/>
                <w:szCs w:val="20"/>
              </w:rPr>
              <w:fldChar w:fldCharType="separate"/>
            </w:r>
            <w:r w:rsidR="00A01C97">
              <w:rPr>
                <w:rFonts w:ascii="Book Antiqua" w:hAnsi="Book Antiqua"/>
                <w:sz w:val="20"/>
                <w:szCs w:val="20"/>
              </w:rPr>
              <w:fldChar w:fldCharType="begin"/>
            </w:r>
            <w:r w:rsidR="00A01C97">
              <w:rPr>
                <w:rFonts w:ascii="Book Antiqua" w:hAnsi="Book Antiqua"/>
                <w:sz w:val="20"/>
                <w:szCs w:val="20"/>
              </w:rPr>
              <w:instrText xml:space="preserve"> INCLUDEPICTURE  "cid:image006.png@01D7686B.1C192BC0" \* MERGEFORMATINET </w:instrText>
            </w:r>
            <w:r w:rsidR="00A01C97">
              <w:rPr>
                <w:rFonts w:ascii="Book Antiqua" w:hAnsi="Book Antiqua"/>
                <w:sz w:val="20"/>
                <w:szCs w:val="20"/>
              </w:rPr>
              <w:fldChar w:fldCharType="separate"/>
            </w:r>
            <w:r w:rsidR="000B307B">
              <w:rPr>
                <w:rFonts w:ascii="Book Antiqua" w:hAnsi="Book Antiqua"/>
                <w:sz w:val="20"/>
                <w:szCs w:val="20"/>
              </w:rPr>
              <w:fldChar w:fldCharType="begin"/>
            </w:r>
            <w:r w:rsidR="000B307B">
              <w:rPr>
                <w:rFonts w:ascii="Book Antiqua" w:hAnsi="Book Antiqua"/>
                <w:sz w:val="20"/>
                <w:szCs w:val="20"/>
              </w:rPr>
              <w:instrText xml:space="preserve"> INCLUDEPICTURE  "cid:image006.png@01D7686B.1C192BC0" \* MERGEFORMATINET </w:instrText>
            </w:r>
            <w:r w:rsidR="000B307B">
              <w:rPr>
                <w:rFonts w:ascii="Book Antiqua" w:hAnsi="Book Antiqua"/>
                <w:sz w:val="20"/>
                <w:szCs w:val="20"/>
              </w:rPr>
              <w:fldChar w:fldCharType="separate"/>
            </w:r>
            <w:r w:rsidR="000B307B">
              <w:rPr>
                <w:rFonts w:ascii="Book Antiqua" w:hAnsi="Book Antiqua"/>
                <w:sz w:val="20"/>
                <w:szCs w:val="20"/>
              </w:rPr>
              <w:fldChar w:fldCharType="begin"/>
            </w:r>
            <w:r w:rsidR="000B307B">
              <w:rPr>
                <w:rFonts w:ascii="Book Antiqua" w:hAnsi="Book Antiqua"/>
                <w:sz w:val="20"/>
                <w:szCs w:val="20"/>
              </w:rPr>
              <w:instrText xml:space="preserve"> INCLUDEPICTURE  "cid:image006.png@01D7686B.1C192BC0" \* MERGEFORMATINET </w:instrText>
            </w:r>
            <w:r w:rsidR="000B307B">
              <w:rPr>
                <w:rFonts w:ascii="Book Antiqua" w:hAnsi="Book Antiqua"/>
                <w:sz w:val="20"/>
                <w:szCs w:val="20"/>
              </w:rPr>
              <w:fldChar w:fldCharType="separate"/>
            </w:r>
            <w:r w:rsidR="0090609F">
              <w:rPr>
                <w:rFonts w:ascii="Book Antiqua" w:hAnsi="Book Antiqua"/>
                <w:sz w:val="20"/>
                <w:szCs w:val="20"/>
              </w:rPr>
              <w:fldChar w:fldCharType="begin"/>
            </w:r>
            <w:r w:rsidR="0090609F">
              <w:rPr>
                <w:rFonts w:ascii="Book Antiqua" w:hAnsi="Book Antiqua"/>
                <w:sz w:val="20"/>
                <w:szCs w:val="20"/>
              </w:rPr>
              <w:instrText xml:space="preserve"> INCLUDEPICTURE  "cid:image006.png@01D7686B.1C192BC0" \* MERGEFORMATINET </w:instrText>
            </w:r>
            <w:r w:rsidR="0090609F">
              <w:rPr>
                <w:rFonts w:ascii="Book Antiqua" w:hAnsi="Book Antiqua"/>
                <w:sz w:val="20"/>
                <w:szCs w:val="20"/>
              </w:rPr>
              <w:fldChar w:fldCharType="separate"/>
            </w:r>
            <w:r w:rsidR="00035934">
              <w:rPr>
                <w:rFonts w:ascii="Book Antiqua" w:hAnsi="Book Antiqua"/>
                <w:sz w:val="20"/>
                <w:szCs w:val="20"/>
              </w:rPr>
              <w:fldChar w:fldCharType="begin"/>
            </w:r>
            <w:r w:rsidR="00035934">
              <w:rPr>
                <w:rFonts w:ascii="Book Antiqua" w:hAnsi="Book Antiqua"/>
                <w:sz w:val="20"/>
                <w:szCs w:val="20"/>
              </w:rPr>
              <w:instrText xml:space="preserve"> INCLUDEPICTURE  "cid:image006.png@01D7686B.1C192BC0" \* MERGEFORMATINET </w:instrText>
            </w:r>
            <w:r w:rsidR="00035934">
              <w:rPr>
                <w:rFonts w:ascii="Book Antiqua" w:hAnsi="Book Antiqua"/>
                <w:sz w:val="20"/>
                <w:szCs w:val="20"/>
              </w:rPr>
              <w:fldChar w:fldCharType="separate"/>
            </w:r>
            <w:r w:rsidR="004F137B">
              <w:rPr>
                <w:rFonts w:ascii="Book Antiqua" w:hAnsi="Book Antiqua"/>
                <w:sz w:val="20"/>
                <w:szCs w:val="20"/>
              </w:rPr>
              <w:fldChar w:fldCharType="begin"/>
            </w:r>
            <w:r w:rsidR="004F137B">
              <w:rPr>
                <w:rFonts w:ascii="Book Antiqua" w:hAnsi="Book Antiqua"/>
                <w:sz w:val="20"/>
                <w:szCs w:val="20"/>
              </w:rPr>
              <w:instrText xml:space="preserve"> INCLUDEPICTURE  "cid:image006.png@01D7686B.1C192BC0" \* MERGEFORMATINET </w:instrText>
            </w:r>
            <w:r w:rsidR="004F137B">
              <w:rPr>
                <w:rFonts w:ascii="Book Antiqua" w:hAnsi="Book Antiqua"/>
                <w:sz w:val="20"/>
                <w:szCs w:val="20"/>
              </w:rPr>
              <w:fldChar w:fldCharType="separate"/>
            </w:r>
            <w:r w:rsidR="00A30CBC">
              <w:rPr>
                <w:rFonts w:ascii="Book Antiqua" w:hAnsi="Book Antiqua"/>
                <w:sz w:val="20"/>
                <w:szCs w:val="20"/>
              </w:rPr>
              <w:fldChar w:fldCharType="begin"/>
            </w:r>
            <w:r w:rsidR="00A30CBC">
              <w:rPr>
                <w:rFonts w:ascii="Book Antiqua" w:hAnsi="Book Antiqua"/>
                <w:sz w:val="20"/>
                <w:szCs w:val="20"/>
              </w:rPr>
              <w:instrText xml:space="preserve"> INCLUDEPICTURE  "cid:image006.png@01D7686B.1C192BC0" \* MERGEFORMATINET </w:instrText>
            </w:r>
            <w:r w:rsidR="00A30CBC">
              <w:rPr>
                <w:rFonts w:ascii="Book Antiqua" w:hAnsi="Book Antiqua"/>
                <w:sz w:val="20"/>
                <w:szCs w:val="20"/>
              </w:rPr>
              <w:fldChar w:fldCharType="separate"/>
            </w:r>
            <w:r w:rsidR="00DF289E">
              <w:rPr>
                <w:rFonts w:ascii="Book Antiqua" w:hAnsi="Book Antiqua"/>
                <w:sz w:val="20"/>
                <w:szCs w:val="20"/>
              </w:rPr>
              <w:fldChar w:fldCharType="begin"/>
            </w:r>
            <w:r w:rsidR="00DF289E">
              <w:rPr>
                <w:rFonts w:ascii="Book Antiqua" w:hAnsi="Book Antiqua"/>
                <w:sz w:val="20"/>
                <w:szCs w:val="20"/>
              </w:rPr>
              <w:instrText xml:space="preserve"> INCLUDEPICTURE  "cid:image006.png@01D7686B.1C192BC0" \* MERGEFORMATINET </w:instrText>
            </w:r>
            <w:r w:rsidR="00DF289E">
              <w:rPr>
                <w:rFonts w:ascii="Book Antiqua" w:hAnsi="Book Antiqua"/>
                <w:sz w:val="20"/>
                <w:szCs w:val="20"/>
              </w:rPr>
              <w:fldChar w:fldCharType="separate"/>
            </w:r>
            <w:r w:rsidR="009F2359">
              <w:rPr>
                <w:rFonts w:ascii="Book Antiqua" w:hAnsi="Book Antiqua"/>
                <w:sz w:val="20"/>
                <w:szCs w:val="20"/>
              </w:rPr>
              <w:fldChar w:fldCharType="begin"/>
            </w:r>
            <w:r w:rsidR="009F2359">
              <w:rPr>
                <w:rFonts w:ascii="Book Antiqua" w:hAnsi="Book Antiqua"/>
                <w:sz w:val="20"/>
                <w:szCs w:val="20"/>
              </w:rPr>
              <w:instrText xml:space="preserve"> INCLUDEPICTURE  "cid:image006.png@01D7686B.1C192BC0" \* MERGEFORMATINET </w:instrText>
            </w:r>
            <w:r w:rsidR="009F2359">
              <w:rPr>
                <w:rFonts w:ascii="Book Antiqua" w:hAnsi="Book Antiqua"/>
                <w:sz w:val="20"/>
                <w:szCs w:val="20"/>
              </w:rPr>
              <w:fldChar w:fldCharType="end"/>
            </w:r>
            <w:r w:rsidR="00DF289E">
              <w:rPr>
                <w:rFonts w:ascii="Book Antiqua" w:hAnsi="Book Antiqua"/>
                <w:sz w:val="20"/>
                <w:szCs w:val="20"/>
              </w:rPr>
              <w:fldChar w:fldCharType="end"/>
            </w:r>
            <w:r w:rsidR="00A30CBC">
              <w:rPr>
                <w:rFonts w:ascii="Book Antiqua" w:hAnsi="Book Antiqua"/>
                <w:sz w:val="20"/>
                <w:szCs w:val="20"/>
              </w:rPr>
              <w:fldChar w:fldCharType="end"/>
            </w:r>
            <w:r w:rsidR="004F137B">
              <w:rPr>
                <w:rFonts w:ascii="Book Antiqua" w:hAnsi="Book Antiqua"/>
                <w:sz w:val="20"/>
                <w:szCs w:val="20"/>
              </w:rPr>
              <w:fldChar w:fldCharType="end"/>
            </w:r>
            <w:r w:rsidR="00035934">
              <w:rPr>
                <w:rFonts w:ascii="Book Antiqua" w:hAnsi="Book Antiqua"/>
                <w:sz w:val="20"/>
                <w:szCs w:val="20"/>
              </w:rPr>
              <w:fldChar w:fldCharType="end"/>
            </w:r>
            <w:r w:rsidR="0090609F">
              <w:rPr>
                <w:rFonts w:ascii="Book Antiqua" w:hAnsi="Book Antiqua"/>
                <w:sz w:val="20"/>
                <w:szCs w:val="20"/>
              </w:rPr>
              <w:fldChar w:fldCharType="end"/>
            </w:r>
            <w:r w:rsidR="000B307B">
              <w:rPr>
                <w:rFonts w:ascii="Book Antiqua" w:hAnsi="Book Antiqua"/>
                <w:sz w:val="20"/>
                <w:szCs w:val="20"/>
              </w:rPr>
              <w:fldChar w:fldCharType="end"/>
            </w:r>
            <w:r w:rsidR="000B307B">
              <w:rPr>
                <w:rFonts w:ascii="Book Antiqua" w:hAnsi="Book Antiqua"/>
                <w:sz w:val="20"/>
                <w:szCs w:val="20"/>
              </w:rPr>
              <w:fldChar w:fldCharType="end"/>
            </w:r>
            <w:r w:rsidR="00A01C97">
              <w:rPr>
                <w:rFonts w:ascii="Book Antiqua" w:hAnsi="Book Antiqua"/>
                <w:sz w:val="20"/>
                <w:szCs w:val="20"/>
              </w:rPr>
              <w:fldChar w:fldCharType="end"/>
            </w:r>
            <w:r w:rsidR="0041643F">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Pr>
                <w:rFonts w:ascii="Book Antiqua" w:hAnsi="Book Antiqua"/>
                <w:sz w:val="20"/>
                <w:szCs w:val="20"/>
              </w:rPr>
              <w:fldChar w:fldCharType="end"/>
            </w:r>
            <w:r w:rsidRPr="00291E81">
              <w:rPr>
                <w:rFonts w:ascii="Book Antiqua" w:hAnsi="Book Antiqua"/>
                <w:sz w:val="20"/>
                <w:szCs w:val="20"/>
              </w:rPr>
              <w:fldChar w:fldCharType="end"/>
            </w:r>
          </w:p>
          <w:p w14:paraId="35506471" w14:textId="77777777" w:rsidR="00391C8F" w:rsidRPr="00291E81" w:rsidRDefault="00391C8F" w:rsidP="00035934">
            <w:pPr>
              <w:pStyle w:val="Prrafodelista"/>
              <w:spacing w:line="276" w:lineRule="auto"/>
              <w:ind w:left="0"/>
              <w:jc w:val="center"/>
              <w:rPr>
                <w:rFonts w:ascii="Book Antiqua" w:hAnsi="Book Antiqua"/>
                <w:sz w:val="20"/>
                <w:szCs w:val="20"/>
              </w:rPr>
            </w:pPr>
          </w:p>
          <w:p w14:paraId="682A01EA" w14:textId="77777777" w:rsidR="00391C8F" w:rsidRDefault="00391C8F" w:rsidP="00035934">
            <w:pPr>
              <w:pStyle w:val="Prrafodelista"/>
              <w:spacing w:line="276" w:lineRule="auto"/>
              <w:ind w:left="0"/>
              <w:jc w:val="both"/>
              <w:rPr>
                <w:rFonts w:ascii="Book Antiqua" w:hAnsi="Book Antiqua"/>
                <w:sz w:val="20"/>
                <w:szCs w:val="20"/>
              </w:rPr>
            </w:pPr>
            <w:r w:rsidRPr="00291E81">
              <w:rPr>
                <w:rFonts w:ascii="Book Antiqua" w:hAnsi="Book Antiqua"/>
                <w:sz w:val="20"/>
                <w:szCs w:val="20"/>
              </w:rPr>
              <w:t>Según indica doña Vivian Rímola de DTI el 6 de agosto 2021 la solicitud de analizará pero para el nuevo sistema (SIAGPJ).</w:t>
            </w:r>
            <w:r>
              <w:rPr>
                <w:rFonts w:ascii="Book Antiqua" w:hAnsi="Book Antiqua"/>
                <w:sz w:val="20"/>
                <w:szCs w:val="20"/>
              </w:rPr>
              <w:t xml:space="preserve"> El 24 de noviembre 2021 indica doña Vivian que </w:t>
            </w:r>
            <w:r w:rsidRPr="00D2670C">
              <w:rPr>
                <w:rFonts w:ascii="Book Antiqua" w:hAnsi="Book Antiqua"/>
                <w:sz w:val="20"/>
                <w:szCs w:val="20"/>
              </w:rPr>
              <w:t>la mejora está en la lista de pendientes, más no se tiene aún fecha en que se pueda atender, está pendiente la priorización de todas las mejoras solicitadas.</w:t>
            </w:r>
          </w:p>
          <w:p w14:paraId="2E98570F" w14:textId="77777777" w:rsidR="00391C8F" w:rsidRPr="00291E81" w:rsidRDefault="00391C8F" w:rsidP="00035934">
            <w:pPr>
              <w:pStyle w:val="Prrafodelista"/>
              <w:spacing w:line="276" w:lineRule="auto"/>
              <w:ind w:left="0"/>
              <w:jc w:val="both"/>
              <w:rPr>
                <w:rFonts w:ascii="Book Antiqua" w:hAnsi="Book Antiqua"/>
                <w:sz w:val="20"/>
                <w:szCs w:val="20"/>
              </w:rPr>
            </w:pPr>
            <w:r>
              <w:rPr>
                <w:rFonts w:ascii="Book Antiqua" w:hAnsi="Book Antiqua"/>
                <w:sz w:val="20"/>
                <w:szCs w:val="20"/>
              </w:rPr>
              <w:t xml:space="preserve">Doña Fabiola Arancibia de DTI indica el 24 de noviembre de 2021 que </w:t>
            </w:r>
            <w:r w:rsidRPr="00F36BFB">
              <w:rPr>
                <w:rFonts w:ascii="Book Antiqua" w:hAnsi="Book Antiqua"/>
                <w:i/>
                <w:iCs/>
                <w:sz w:val="20"/>
                <w:szCs w:val="20"/>
              </w:rPr>
              <w:t>“El SIAGPJ estaría implantado a nivel nacional en las materias de pensiones, Familia y VD en octubre del 2024”</w:t>
            </w:r>
            <w:r>
              <w:rPr>
                <w:rFonts w:ascii="Book Antiqua" w:hAnsi="Book Antiqua"/>
                <w:i/>
                <w:iCs/>
                <w:sz w:val="20"/>
                <w:szCs w:val="20"/>
              </w:rPr>
              <w:t>.</w:t>
            </w:r>
          </w:p>
        </w:tc>
      </w:tr>
    </w:tbl>
    <w:p w14:paraId="222D230F" w14:textId="77777777" w:rsidR="00391C8F" w:rsidRPr="00C861E0" w:rsidRDefault="00391C8F" w:rsidP="00391C8F">
      <w:pPr>
        <w:spacing w:after="0" w:line="240" w:lineRule="auto"/>
        <w:jc w:val="both"/>
        <w:rPr>
          <w:rFonts w:ascii="Calibri" w:eastAsia="Calibri" w:hAnsi="Calibri" w:cs="Arial"/>
          <w:sz w:val="24"/>
          <w:szCs w:val="24"/>
          <w:lang w:val="es-MX"/>
        </w:rPr>
      </w:pPr>
      <w:r>
        <w:rPr>
          <w:rFonts w:ascii="Book Antiqua" w:eastAsia="Calibri" w:hAnsi="Book Antiqua" w:cs="Arial"/>
          <w:sz w:val="24"/>
          <w:szCs w:val="24"/>
        </w:rPr>
        <w:t xml:space="preserve"> </w:t>
      </w:r>
    </w:p>
    <w:p w14:paraId="38A6C400" w14:textId="5E80A704" w:rsidR="00391C8F" w:rsidRDefault="00391C8F" w:rsidP="00391C8F">
      <w:pPr>
        <w:pStyle w:val="Ttulo"/>
        <w:spacing w:line="276" w:lineRule="auto"/>
        <w:jc w:val="both"/>
        <w:rPr>
          <w:szCs w:val="24"/>
          <w:lang w:val="es-CR"/>
        </w:rPr>
      </w:pPr>
    </w:p>
    <w:tbl>
      <w:tblPr>
        <w:tblW w:w="11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06"/>
        <w:gridCol w:w="2472"/>
        <w:gridCol w:w="1379"/>
        <w:gridCol w:w="1180"/>
        <w:gridCol w:w="5074"/>
      </w:tblGrid>
      <w:tr w:rsidR="00391C8F" w:rsidRPr="004E7EEE" w14:paraId="697C2974" w14:textId="77777777" w:rsidTr="00035934">
        <w:trPr>
          <w:trHeight w:val="529"/>
          <w:jc w:val="center"/>
        </w:trPr>
        <w:tc>
          <w:tcPr>
            <w:tcW w:w="1506" w:type="dxa"/>
            <w:shd w:val="clear" w:color="auto" w:fill="4F81BD"/>
            <w:tcMar>
              <w:top w:w="15" w:type="dxa"/>
              <w:left w:w="25" w:type="dxa"/>
              <w:bottom w:w="0" w:type="dxa"/>
              <w:right w:w="25" w:type="dxa"/>
            </w:tcMar>
            <w:vAlign w:val="center"/>
            <w:hideMark/>
          </w:tcPr>
          <w:p w14:paraId="2CAEE2E8" w14:textId="77777777" w:rsidR="00391C8F" w:rsidRPr="004E7EEE" w:rsidRDefault="00391C8F" w:rsidP="00035934">
            <w:pPr>
              <w:jc w:val="center"/>
              <w:rPr>
                <w:rFonts w:ascii="Book Antiqua" w:hAnsi="Book Antiqua"/>
                <w:sz w:val="20"/>
                <w:szCs w:val="20"/>
              </w:rPr>
            </w:pPr>
            <w:r w:rsidRPr="004E7EEE">
              <w:rPr>
                <w:rFonts w:ascii="Book Antiqua" w:hAnsi="Book Antiqua"/>
                <w:b/>
                <w:bCs/>
                <w:sz w:val="20"/>
                <w:szCs w:val="20"/>
              </w:rPr>
              <w:t>Tarea incluida en el oficio 1091-PLA-EV-2020</w:t>
            </w:r>
          </w:p>
        </w:tc>
        <w:tc>
          <w:tcPr>
            <w:tcW w:w="2472" w:type="dxa"/>
            <w:shd w:val="clear" w:color="auto" w:fill="4F81BD"/>
            <w:tcMar>
              <w:top w:w="15" w:type="dxa"/>
              <w:left w:w="25" w:type="dxa"/>
              <w:bottom w:w="0" w:type="dxa"/>
              <w:right w:w="25" w:type="dxa"/>
            </w:tcMar>
            <w:vAlign w:val="center"/>
            <w:hideMark/>
          </w:tcPr>
          <w:p w14:paraId="4C43BBDE" w14:textId="77777777" w:rsidR="00391C8F" w:rsidRPr="004E7EEE" w:rsidRDefault="00391C8F" w:rsidP="00035934">
            <w:pPr>
              <w:jc w:val="center"/>
              <w:rPr>
                <w:rFonts w:ascii="Book Antiqua" w:hAnsi="Book Antiqua"/>
                <w:sz w:val="20"/>
                <w:szCs w:val="20"/>
              </w:rPr>
            </w:pPr>
            <w:r w:rsidRPr="004E7EEE">
              <w:rPr>
                <w:rFonts w:ascii="Book Antiqua" w:hAnsi="Book Antiqua"/>
                <w:b/>
                <w:bCs/>
                <w:color w:val="000000"/>
                <w:sz w:val="20"/>
                <w:szCs w:val="20"/>
              </w:rPr>
              <w:t>Detalle</w:t>
            </w:r>
          </w:p>
        </w:tc>
        <w:tc>
          <w:tcPr>
            <w:tcW w:w="1379" w:type="dxa"/>
            <w:shd w:val="clear" w:color="auto" w:fill="4F81BD"/>
            <w:tcMar>
              <w:top w:w="15" w:type="dxa"/>
              <w:left w:w="25" w:type="dxa"/>
              <w:bottom w:w="0" w:type="dxa"/>
              <w:right w:w="25" w:type="dxa"/>
            </w:tcMar>
            <w:vAlign w:val="center"/>
            <w:hideMark/>
          </w:tcPr>
          <w:p w14:paraId="5D8B0877" w14:textId="77777777" w:rsidR="00391C8F" w:rsidRPr="004E7EEE" w:rsidRDefault="00391C8F" w:rsidP="00035934">
            <w:pPr>
              <w:jc w:val="center"/>
              <w:rPr>
                <w:rFonts w:ascii="Book Antiqua" w:hAnsi="Book Antiqua"/>
                <w:sz w:val="20"/>
                <w:szCs w:val="20"/>
              </w:rPr>
            </w:pPr>
            <w:r w:rsidRPr="004E7EEE">
              <w:rPr>
                <w:rFonts w:ascii="Book Antiqua" w:hAnsi="Book Antiqua"/>
                <w:b/>
                <w:bCs/>
                <w:color w:val="000000"/>
                <w:sz w:val="20"/>
                <w:szCs w:val="20"/>
              </w:rPr>
              <w:t>Estado</w:t>
            </w:r>
          </w:p>
        </w:tc>
        <w:tc>
          <w:tcPr>
            <w:tcW w:w="1180" w:type="dxa"/>
            <w:shd w:val="clear" w:color="auto" w:fill="4F81BD"/>
            <w:tcMar>
              <w:top w:w="15" w:type="dxa"/>
              <w:left w:w="25" w:type="dxa"/>
              <w:bottom w:w="0" w:type="dxa"/>
              <w:right w:w="25" w:type="dxa"/>
            </w:tcMar>
            <w:vAlign w:val="center"/>
            <w:hideMark/>
          </w:tcPr>
          <w:p w14:paraId="39D0AEBF" w14:textId="77777777" w:rsidR="00391C8F" w:rsidRPr="004E7EEE" w:rsidRDefault="00391C8F" w:rsidP="00035934">
            <w:pPr>
              <w:jc w:val="center"/>
              <w:rPr>
                <w:rFonts w:ascii="Book Antiqua" w:hAnsi="Book Antiqua"/>
                <w:sz w:val="20"/>
                <w:szCs w:val="20"/>
              </w:rPr>
            </w:pPr>
            <w:r w:rsidRPr="004E7EEE">
              <w:rPr>
                <w:rFonts w:ascii="Book Antiqua" w:hAnsi="Book Antiqua"/>
                <w:b/>
                <w:bCs/>
                <w:color w:val="000000"/>
                <w:sz w:val="20"/>
                <w:szCs w:val="20"/>
              </w:rPr>
              <w:t>Plazo</w:t>
            </w:r>
          </w:p>
        </w:tc>
        <w:tc>
          <w:tcPr>
            <w:tcW w:w="5074" w:type="dxa"/>
            <w:shd w:val="clear" w:color="auto" w:fill="4F81BD"/>
            <w:tcMar>
              <w:top w:w="15" w:type="dxa"/>
              <w:left w:w="25" w:type="dxa"/>
              <w:bottom w:w="0" w:type="dxa"/>
              <w:right w:w="25" w:type="dxa"/>
            </w:tcMar>
            <w:vAlign w:val="center"/>
            <w:hideMark/>
          </w:tcPr>
          <w:p w14:paraId="15CCB659" w14:textId="77777777" w:rsidR="00391C8F" w:rsidRPr="004E7EEE" w:rsidRDefault="00391C8F" w:rsidP="00035934">
            <w:pPr>
              <w:jc w:val="center"/>
              <w:rPr>
                <w:rFonts w:ascii="Book Antiqua" w:hAnsi="Book Antiqua"/>
                <w:sz w:val="20"/>
                <w:szCs w:val="20"/>
              </w:rPr>
            </w:pPr>
            <w:r w:rsidRPr="004E7EEE">
              <w:rPr>
                <w:rFonts w:ascii="Book Antiqua" w:hAnsi="Book Antiqua"/>
                <w:sz w:val="20"/>
                <w:szCs w:val="20"/>
              </w:rPr>
              <w:t>Observaciones</w:t>
            </w:r>
          </w:p>
        </w:tc>
      </w:tr>
      <w:tr w:rsidR="00391C8F" w:rsidRPr="004E7EEE" w14:paraId="53412EB2" w14:textId="77777777" w:rsidTr="00035934">
        <w:trPr>
          <w:trHeight w:val="1474"/>
          <w:jc w:val="center"/>
        </w:trPr>
        <w:tc>
          <w:tcPr>
            <w:tcW w:w="1506" w:type="dxa"/>
            <w:vMerge w:val="restart"/>
            <w:shd w:val="clear" w:color="auto" w:fill="auto"/>
            <w:tcMar>
              <w:top w:w="15" w:type="dxa"/>
              <w:left w:w="25" w:type="dxa"/>
              <w:bottom w:w="0" w:type="dxa"/>
              <w:right w:w="25" w:type="dxa"/>
            </w:tcMar>
            <w:vAlign w:val="center"/>
            <w:hideMark/>
          </w:tcPr>
          <w:p w14:paraId="5B4F3F06" w14:textId="77777777" w:rsidR="00391C8F" w:rsidRPr="004E7EEE" w:rsidRDefault="00391C8F" w:rsidP="00035934">
            <w:pPr>
              <w:jc w:val="both"/>
              <w:rPr>
                <w:rFonts w:ascii="Book Antiqua" w:hAnsi="Book Antiqua"/>
                <w:sz w:val="20"/>
                <w:szCs w:val="20"/>
              </w:rPr>
            </w:pPr>
            <w:r w:rsidRPr="004E7EEE">
              <w:rPr>
                <w:rFonts w:ascii="Book Antiqua" w:hAnsi="Book Antiqua"/>
                <w:b/>
                <w:bCs/>
                <w:color w:val="000000"/>
                <w:sz w:val="20"/>
                <w:szCs w:val="20"/>
              </w:rPr>
              <w:t xml:space="preserve">Diseño de los </w:t>
            </w:r>
            <w:r w:rsidRPr="004E7EEE">
              <w:rPr>
                <w:rFonts w:ascii="Book Antiqua" w:hAnsi="Book Antiqua"/>
                <w:b/>
                <w:bCs/>
                <w:color w:val="000000"/>
                <w:sz w:val="20"/>
                <w:szCs w:val="20"/>
                <w:u w:val="single"/>
              </w:rPr>
              <w:t>nuevos</w:t>
            </w:r>
            <w:r w:rsidRPr="004E7EEE">
              <w:rPr>
                <w:rFonts w:ascii="Book Antiqua" w:hAnsi="Book Antiqua"/>
                <w:b/>
                <w:bCs/>
                <w:color w:val="000000"/>
                <w:sz w:val="20"/>
                <w:szCs w:val="20"/>
              </w:rPr>
              <w:t xml:space="preserve"> formatos jurídicos (machotes).</w:t>
            </w:r>
          </w:p>
        </w:tc>
        <w:tc>
          <w:tcPr>
            <w:tcW w:w="2472" w:type="dxa"/>
            <w:vMerge w:val="restart"/>
            <w:shd w:val="clear" w:color="auto" w:fill="auto"/>
            <w:tcMar>
              <w:top w:w="15" w:type="dxa"/>
              <w:left w:w="25" w:type="dxa"/>
              <w:bottom w:w="0" w:type="dxa"/>
              <w:right w:w="25" w:type="dxa"/>
            </w:tcMar>
            <w:vAlign w:val="center"/>
            <w:hideMark/>
          </w:tcPr>
          <w:p w14:paraId="0A31BB00"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 xml:space="preserve">Los </w:t>
            </w:r>
            <w:r w:rsidRPr="004E7EEE">
              <w:rPr>
                <w:rFonts w:ascii="Book Antiqua" w:hAnsi="Book Antiqua"/>
                <w:color w:val="000000"/>
                <w:sz w:val="20"/>
                <w:szCs w:val="20"/>
                <w:u w:val="single"/>
              </w:rPr>
              <w:t>nuevos</w:t>
            </w:r>
            <w:r w:rsidRPr="004E7EEE">
              <w:rPr>
                <w:rFonts w:ascii="Book Antiqua" w:hAnsi="Book Antiqua"/>
                <w:color w:val="000000"/>
                <w:sz w:val="20"/>
                <w:szCs w:val="20"/>
              </w:rPr>
              <w:t xml:space="preserve"> formatos jurídicos, con la indicación además de cuales están asociados a cambios de fase o estados para las materias </w:t>
            </w:r>
            <w:r w:rsidRPr="004E7EEE">
              <w:rPr>
                <w:rFonts w:ascii="Book Antiqua" w:hAnsi="Book Antiqua"/>
                <w:color w:val="000000"/>
                <w:sz w:val="20"/>
                <w:szCs w:val="20"/>
              </w:rPr>
              <w:lastRenderedPageBreak/>
              <w:t>de Familia, Pensiones Alimentarias y Violencia Doméstica.</w:t>
            </w:r>
          </w:p>
        </w:tc>
        <w:tc>
          <w:tcPr>
            <w:tcW w:w="1379" w:type="dxa"/>
            <w:shd w:val="clear" w:color="auto" w:fill="92D050"/>
            <w:tcMar>
              <w:top w:w="15" w:type="dxa"/>
              <w:left w:w="25" w:type="dxa"/>
              <w:bottom w:w="0" w:type="dxa"/>
              <w:right w:w="25" w:type="dxa"/>
            </w:tcMar>
            <w:vAlign w:val="center"/>
            <w:hideMark/>
          </w:tcPr>
          <w:p w14:paraId="30DF9F1B"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lastRenderedPageBreak/>
              <w:t>Elaboración de los formatos:</w:t>
            </w:r>
          </w:p>
          <w:p w14:paraId="0DE799D1" w14:textId="77777777" w:rsidR="00391C8F" w:rsidRPr="004E7EEE" w:rsidRDefault="00391C8F" w:rsidP="00035934">
            <w:pPr>
              <w:jc w:val="center"/>
              <w:rPr>
                <w:rFonts w:ascii="Book Antiqua" w:hAnsi="Book Antiqua"/>
                <w:sz w:val="20"/>
                <w:szCs w:val="20"/>
              </w:rPr>
            </w:pPr>
            <w:r w:rsidRPr="004E7EEE">
              <w:rPr>
                <w:rFonts w:ascii="Book Antiqua" w:hAnsi="Book Antiqua"/>
                <w:sz w:val="20"/>
                <w:szCs w:val="20"/>
              </w:rPr>
              <w:t>Listo</w:t>
            </w:r>
          </w:p>
        </w:tc>
        <w:tc>
          <w:tcPr>
            <w:tcW w:w="1180" w:type="dxa"/>
            <w:shd w:val="clear" w:color="auto" w:fill="auto"/>
            <w:tcMar>
              <w:top w:w="15" w:type="dxa"/>
              <w:left w:w="25" w:type="dxa"/>
              <w:bottom w:w="0" w:type="dxa"/>
              <w:right w:w="25" w:type="dxa"/>
            </w:tcMar>
            <w:vAlign w:val="center"/>
            <w:hideMark/>
          </w:tcPr>
          <w:p w14:paraId="09049396" w14:textId="77777777" w:rsidR="00391C8F" w:rsidRPr="004E7EEE" w:rsidRDefault="00391C8F" w:rsidP="00035934">
            <w:pPr>
              <w:rPr>
                <w:rFonts w:ascii="Book Antiqua" w:hAnsi="Book Antiqua"/>
                <w:sz w:val="20"/>
                <w:szCs w:val="20"/>
              </w:rPr>
            </w:pPr>
            <w:r w:rsidRPr="004E7EEE">
              <w:rPr>
                <w:rFonts w:ascii="Book Antiqua" w:hAnsi="Book Antiqua"/>
                <w:color w:val="000000"/>
                <w:sz w:val="20"/>
                <w:szCs w:val="20"/>
              </w:rPr>
              <w:t> Noviembre 2020</w:t>
            </w:r>
          </w:p>
        </w:tc>
        <w:tc>
          <w:tcPr>
            <w:tcW w:w="5074" w:type="dxa"/>
            <w:shd w:val="clear" w:color="auto" w:fill="auto"/>
            <w:tcMar>
              <w:top w:w="15" w:type="dxa"/>
              <w:left w:w="25" w:type="dxa"/>
              <w:bottom w:w="0" w:type="dxa"/>
              <w:right w:w="25" w:type="dxa"/>
            </w:tcMar>
            <w:vAlign w:val="center"/>
            <w:hideMark/>
          </w:tcPr>
          <w:p w14:paraId="0F9E9EDD" w14:textId="77777777" w:rsidR="00391C8F" w:rsidRPr="004E7EEE" w:rsidRDefault="00391C8F" w:rsidP="00035934">
            <w:pPr>
              <w:rPr>
                <w:rFonts w:ascii="Book Antiqua" w:hAnsi="Book Antiqua"/>
                <w:sz w:val="20"/>
                <w:szCs w:val="20"/>
              </w:rPr>
            </w:pPr>
          </w:p>
        </w:tc>
      </w:tr>
      <w:tr w:rsidR="00391C8F" w:rsidRPr="004E7EEE" w14:paraId="4B143FF9" w14:textId="77777777" w:rsidTr="00035934">
        <w:trPr>
          <w:trHeight w:val="1473"/>
          <w:jc w:val="center"/>
        </w:trPr>
        <w:tc>
          <w:tcPr>
            <w:tcW w:w="1506" w:type="dxa"/>
            <w:vMerge/>
            <w:shd w:val="clear" w:color="auto" w:fill="auto"/>
            <w:tcMar>
              <w:top w:w="15" w:type="dxa"/>
              <w:left w:w="25" w:type="dxa"/>
              <w:bottom w:w="0" w:type="dxa"/>
              <w:right w:w="25" w:type="dxa"/>
            </w:tcMar>
            <w:vAlign w:val="center"/>
          </w:tcPr>
          <w:p w14:paraId="06A9352A" w14:textId="77777777" w:rsidR="00391C8F" w:rsidRPr="004E7EEE" w:rsidRDefault="00391C8F"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24693F36" w14:textId="77777777" w:rsidR="00391C8F" w:rsidRPr="004E7EEE" w:rsidRDefault="00391C8F" w:rsidP="00035934">
            <w:pPr>
              <w:rPr>
                <w:rFonts w:ascii="Book Antiqua" w:hAnsi="Book Antiqua"/>
                <w:color w:val="000000"/>
                <w:sz w:val="20"/>
                <w:szCs w:val="20"/>
              </w:rPr>
            </w:pPr>
          </w:p>
        </w:tc>
        <w:tc>
          <w:tcPr>
            <w:tcW w:w="1379" w:type="dxa"/>
            <w:shd w:val="clear" w:color="auto" w:fill="92D050"/>
            <w:tcMar>
              <w:top w:w="15" w:type="dxa"/>
              <w:left w:w="25" w:type="dxa"/>
              <w:bottom w:w="0" w:type="dxa"/>
              <w:right w:w="25" w:type="dxa"/>
            </w:tcMar>
            <w:vAlign w:val="center"/>
          </w:tcPr>
          <w:p w14:paraId="74AAC1DF"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t>Aprobación por parte de la Comisión formatos y comunicación a DTI:</w:t>
            </w:r>
          </w:p>
          <w:p w14:paraId="55DC7E3F"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t>Listo</w:t>
            </w:r>
          </w:p>
        </w:tc>
        <w:tc>
          <w:tcPr>
            <w:tcW w:w="1180" w:type="dxa"/>
            <w:shd w:val="clear" w:color="auto" w:fill="auto"/>
            <w:tcMar>
              <w:top w:w="15" w:type="dxa"/>
              <w:left w:w="25" w:type="dxa"/>
              <w:bottom w:w="0" w:type="dxa"/>
              <w:right w:w="25" w:type="dxa"/>
            </w:tcMar>
            <w:vAlign w:val="center"/>
          </w:tcPr>
          <w:p w14:paraId="06E42902" w14:textId="77777777" w:rsidR="00391C8F" w:rsidRPr="004E7EEE" w:rsidRDefault="00391C8F" w:rsidP="00035934">
            <w:pPr>
              <w:rPr>
                <w:rFonts w:ascii="Book Antiqua" w:hAnsi="Book Antiqua"/>
                <w:color w:val="000000"/>
                <w:sz w:val="20"/>
                <w:szCs w:val="20"/>
              </w:rPr>
            </w:pPr>
            <w:r w:rsidRPr="004E7EEE">
              <w:rPr>
                <w:rFonts w:ascii="Book Antiqua" w:hAnsi="Book Antiqua"/>
                <w:color w:val="000000"/>
                <w:sz w:val="20"/>
                <w:szCs w:val="20"/>
              </w:rPr>
              <w:t>Julio 2021</w:t>
            </w:r>
          </w:p>
        </w:tc>
        <w:tc>
          <w:tcPr>
            <w:tcW w:w="5074" w:type="dxa"/>
            <w:shd w:val="clear" w:color="auto" w:fill="auto"/>
            <w:tcMar>
              <w:top w:w="15" w:type="dxa"/>
              <w:left w:w="25" w:type="dxa"/>
              <w:bottom w:w="0" w:type="dxa"/>
              <w:right w:w="25" w:type="dxa"/>
            </w:tcMar>
            <w:vAlign w:val="center"/>
          </w:tcPr>
          <w:p w14:paraId="7A05D756" w14:textId="77777777" w:rsidR="00391C8F" w:rsidRPr="004E7EEE" w:rsidRDefault="00391C8F" w:rsidP="00035934">
            <w:pPr>
              <w:jc w:val="both"/>
              <w:rPr>
                <w:rFonts w:ascii="Book Antiqua" w:hAnsi="Book Antiqua"/>
                <w:sz w:val="20"/>
                <w:szCs w:val="20"/>
              </w:rPr>
            </w:pPr>
            <w:r w:rsidRPr="004E7EEE">
              <w:rPr>
                <w:rFonts w:ascii="Book Antiqua" w:hAnsi="Book Antiqua"/>
                <w:sz w:val="20"/>
                <w:szCs w:val="20"/>
              </w:rPr>
              <w:t xml:space="preserve">El CACMFJ comunicó los formatos ya aprobados por la Comisión, a Normalización de DTI el 29 de abril de 2021 para que procedan con la inclusión en el sistema. </w:t>
            </w:r>
          </w:p>
          <w:p w14:paraId="4D23057D" w14:textId="77777777" w:rsidR="00391C8F" w:rsidRPr="004E7EEE" w:rsidRDefault="00391C8F" w:rsidP="00035934">
            <w:pPr>
              <w:jc w:val="both"/>
              <w:rPr>
                <w:rFonts w:ascii="Book Antiqua" w:hAnsi="Book Antiqua"/>
                <w:i/>
                <w:iCs/>
                <w:sz w:val="20"/>
                <w:szCs w:val="20"/>
              </w:rPr>
            </w:pPr>
            <w:r w:rsidRPr="004E7EEE">
              <w:rPr>
                <w:rFonts w:ascii="Book Antiqua" w:hAnsi="Book Antiqua"/>
                <w:sz w:val="20"/>
                <w:szCs w:val="20"/>
              </w:rPr>
              <w:t xml:space="preserve">Doña Fabiola de DTI indica el 24 de noviembre 2021 que: </w:t>
            </w:r>
            <w:r w:rsidRPr="004E7EEE">
              <w:rPr>
                <w:rFonts w:ascii="Book Antiqua" w:hAnsi="Book Antiqua"/>
                <w:i/>
                <w:iCs/>
                <w:sz w:val="20"/>
                <w:szCs w:val="20"/>
              </w:rPr>
              <w:t>“se inició la configuración de los modelos de la materia de Familia y Pensiones Alimentarias, las 514 plantillas se están configurando en Libre Office para el SIAGPJ y luego se pasarán a plantillas de Pedidor (creación de variables y demás).</w:t>
            </w:r>
          </w:p>
          <w:p w14:paraId="53966101" w14:textId="77777777" w:rsidR="00391C8F" w:rsidRPr="004E7EEE" w:rsidRDefault="00391C8F" w:rsidP="00035934">
            <w:pPr>
              <w:jc w:val="both"/>
              <w:rPr>
                <w:rFonts w:ascii="Book Antiqua" w:hAnsi="Book Antiqua"/>
                <w:sz w:val="20"/>
                <w:szCs w:val="20"/>
              </w:rPr>
            </w:pPr>
            <w:r w:rsidRPr="004E7EEE">
              <w:rPr>
                <w:rFonts w:ascii="Book Antiqua" w:hAnsi="Book Antiqua"/>
                <w:i/>
                <w:iCs/>
                <w:sz w:val="20"/>
                <w:szCs w:val="20"/>
              </w:rPr>
              <w:t>Al día de hoy se encuentran 29 modelos completamente configurados, 49 en proceso de inclusión de las variables y se espera que al 17 de diciembre se hayan configurado al menos 120 modelos más.”</w:t>
            </w:r>
          </w:p>
        </w:tc>
      </w:tr>
      <w:tr w:rsidR="00391C8F" w:rsidRPr="004E7EEE" w14:paraId="788B0809" w14:textId="77777777" w:rsidTr="00035934">
        <w:trPr>
          <w:trHeight w:val="1473"/>
          <w:jc w:val="center"/>
        </w:trPr>
        <w:tc>
          <w:tcPr>
            <w:tcW w:w="1506" w:type="dxa"/>
            <w:vMerge/>
            <w:shd w:val="clear" w:color="auto" w:fill="auto"/>
            <w:tcMar>
              <w:top w:w="15" w:type="dxa"/>
              <w:left w:w="25" w:type="dxa"/>
              <w:bottom w:w="0" w:type="dxa"/>
              <w:right w:w="25" w:type="dxa"/>
            </w:tcMar>
            <w:vAlign w:val="center"/>
          </w:tcPr>
          <w:p w14:paraId="62E720C7" w14:textId="77777777" w:rsidR="00391C8F" w:rsidRPr="004E7EEE" w:rsidRDefault="00391C8F"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57E14CA8" w14:textId="77777777" w:rsidR="00391C8F" w:rsidRPr="004E7EEE" w:rsidRDefault="00391C8F" w:rsidP="00035934">
            <w:pPr>
              <w:rPr>
                <w:rFonts w:ascii="Book Antiqua" w:hAnsi="Book Antiqua"/>
                <w:color w:val="000000"/>
                <w:sz w:val="20"/>
                <w:szCs w:val="20"/>
              </w:rPr>
            </w:pPr>
          </w:p>
        </w:tc>
        <w:tc>
          <w:tcPr>
            <w:tcW w:w="1379" w:type="dxa"/>
            <w:shd w:val="clear" w:color="auto" w:fill="C00000"/>
            <w:tcMar>
              <w:top w:w="15" w:type="dxa"/>
              <w:left w:w="25" w:type="dxa"/>
              <w:bottom w:w="0" w:type="dxa"/>
              <w:right w:w="25" w:type="dxa"/>
            </w:tcMar>
            <w:vAlign w:val="center"/>
          </w:tcPr>
          <w:p w14:paraId="7946A51D"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t>Solicitar al CS emisión de circular: pendiente</w:t>
            </w:r>
          </w:p>
        </w:tc>
        <w:tc>
          <w:tcPr>
            <w:tcW w:w="1180" w:type="dxa"/>
            <w:shd w:val="clear" w:color="auto" w:fill="auto"/>
            <w:tcMar>
              <w:top w:w="15" w:type="dxa"/>
              <w:left w:w="25" w:type="dxa"/>
              <w:bottom w:w="0" w:type="dxa"/>
              <w:right w:w="25" w:type="dxa"/>
            </w:tcMar>
            <w:vAlign w:val="center"/>
          </w:tcPr>
          <w:p w14:paraId="263952CE" w14:textId="77777777" w:rsidR="00391C8F" w:rsidRPr="004E7EEE" w:rsidRDefault="00391C8F" w:rsidP="00035934">
            <w:pPr>
              <w:rPr>
                <w:rFonts w:ascii="Book Antiqua" w:hAnsi="Book Antiqua"/>
                <w:color w:val="000000"/>
                <w:sz w:val="20"/>
                <w:szCs w:val="20"/>
              </w:rPr>
            </w:pPr>
            <w:r w:rsidRPr="004E7EEE">
              <w:rPr>
                <w:rFonts w:ascii="Book Antiqua" w:hAnsi="Book Antiqua"/>
                <w:color w:val="000000"/>
                <w:sz w:val="20"/>
                <w:szCs w:val="20"/>
              </w:rPr>
              <w:t>Julio 2022</w:t>
            </w:r>
          </w:p>
        </w:tc>
        <w:tc>
          <w:tcPr>
            <w:tcW w:w="5074" w:type="dxa"/>
            <w:shd w:val="clear" w:color="auto" w:fill="auto"/>
            <w:tcMar>
              <w:top w:w="15" w:type="dxa"/>
              <w:left w:w="25" w:type="dxa"/>
              <w:bottom w:w="0" w:type="dxa"/>
              <w:right w:w="25" w:type="dxa"/>
            </w:tcMar>
            <w:vAlign w:val="center"/>
          </w:tcPr>
          <w:p w14:paraId="002A79B0" w14:textId="77777777" w:rsidR="00391C8F" w:rsidRPr="004E7EEE" w:rsidRDefault="00391C8F" w:rsidP="00035934">
            <w:pPr>
              <w:jc w:val="both"/>
              <w:rPr>
                <w:rFonts w:ascii="Book Antiqua" w:hAnsi="Book Antiqua"/>
                <w:sz w:val="20"/>
                <w:szCs w:val="20"/>
              </w:rPr>
            </w:pPr>
            <w:r w:rsidRPr="004E7EEE">
              <w:rPr>
                <w:rFonts w:ascii="Book Antiqua" w:hAnsi="Book Antiqua"/>
                <w:sz w:val="20"/>
                <w:szCs w:val="20"/>
              </w:rPr>
              <w:t>La comunicación debe hacerse previo a la entrada en vigencia del CPF. Dejando sin efecto la circular 98-2021</w:t>
            </w:r>
          </w:p>
        </w:tc>
      </w:tr>
      <w:tr w:rsidR="00391C8F" w:rsidRPr="004E7EEE" w14:paraId="5729980A" w14:textId="77777777" w:rsidTr="00035934">
        <w:trPr>
          <w:trHeight w:val="4170"/>
          <w:jc w:val="center"/>
        </w:trPr>
        <w:tc>
          <w:tcPr>
            <w:tcW w:w="1506" w:type="dxa"/>
            <w:vMerge w:val="restart"/>
            <w:shd w:val="clear" w:color="auto" w:fill="auto"/>
            <w:tcMar>
              <w:top w:w="15" w:type="dxa"/>
              <w:left w:w="25" w:type="dxa"/>
              <w:bottom w:w="0" w:type="dxa"/>
              <w:right w:w="25" w:type="dxa"/>
            </w:tcMar>
            <w:vAlign w:val="center"/>
          </w:tcPr>
          <w:p w14:paraId="08C03CD5" w14:textId="77777777" w:rsidR="00391C8F" w:rsidRPr="004E7EEE" w:rsidRDefault="00391C8F" w:rsidP="00035934">
            <w:pPr>
              <w:jc w:val="both"/>
              <w:rPr>
                <w:rFonts w:ascii="Book Antiqua" w:hAnsi="Book Antiqua"/>
                <w:b/>
                <w:bCs/>
                <w:color w:val="000000"/>
                <w:sz w:val="20"/>
                <w:szCs w:val="20"/>
              </w:rPr>
            </w:pPr>
            <w:r w:rsidRPr="004E7EEE">
              <w:rPr>
                <w:rFonts w:ascii="Book Antiqua" w:hAnsi="Book Antiqua"/>
                <w:b/>
                <w:bCs/>
                <w:color w:val="000000"/>
                <w:sz w:val="20"/>
                <w:szCs w:val="20"/>
              </w:rPr>
              <w:t>Emitir circular.</w:t>
            </w:r>
          </w:p>
        </w:tc>
        <w:tc>
          <w:tcPr>
            <w:tcW w:w="2472" w:type="dxa"/>
            <w:vMerge w:val="restart"/>
            <w:shd w:val="clear" w:color="auto" w:fill="auto"/>
            <w:tcMar>
              <w:top w:w="15" w:type="dxa"/>
              <w:left w:w="25" w:type="dxa"/>
              <w:bottom w:w="0" w:type="dxa"/>
              <w:right w:w="25" w:type="dxa"/>
            </w:tcMar>
            <w:vAlign w:val="center"/>
          </w:tcPr>
          <w:p w14:paraId="51EA671C" w14:textId="77777777" w:rsidR="00391C8F" w:rsidRPr="004E7EEE" w:rsidRDefault="00391C8F" w:rsidP="00035934">
            <w:pPr>
              <w:jc w:val="both"/>
              <w:rPr>
                <w:rFonts w:ascii="Book Antiqua" w:hAnsi="Book Antiqua"/>
                <w:color w:val="000000"/>
                <w:sz w:val="20"/>
                <w:szCs w:val="20"/>
              </w:rPr>
            </w:pPr>
            <w:r w:rsidRPr="004E7EEE">
              <w:rPr>
                <w:rFonts w:ascii="Book Antiqua" w:hAnsi="Book Antiqua"/>
                <w:color w:val="000000"/>
                <w:sz w:val="20"/>
                <w:szCs w:val="20"/>
              </w:rPr>
              <w:t>Elaborar una circular con las directrices en la materia de Familia, de forma inmediata para el actual código y luego para el Código Procesal de Familia, similar al realizado por el equipo Civil en la Circular 113-18“Cambios administrativos y operativos que se deberán implementar al entrar en vigencia el nuevo Código Procesal Civil”.  Readecuación de los procesos, voto automático, entre otros. Podría incluir aspectos contemplados en el cronograma del proyecto (reglas prácticas, procedimiento grabación audiencias orales).</w:t>
            </w:r>
          </w:p>
        </w:tc>
        <w:tc>
          <w:tcPr>
            <w:tcW w:w="1379" w:type="dxa"/>
            <w:shd w:val="clear" w:color="auto" w:fill="92D050"/>
            <w:tcMar>
              <w:top w:w="15" w:type="dxa"/>
              <w:left w:w="25" w:type="dxa"/>
              <w:bottom w:w="0" w:type="dxa"/>
              <w:right w:w="25" w:type="dxa"/>
            </w:tcMar>
            <w:vAlign w:val="center"/>
          </w:tcPr>
          <w:p w14:paraId="28826BB3"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t>La elaboración del formato de circular: listo</w:t>
            </w:r>
          </w:p>
        </w:tc>
        <w:tc>
          <w:tcPr>
            <w:tcW w:w="1180" w:type="dxa"/>
            <w:shd w:val="clear" w:color="auto" w:fill="auto"/>
            <w:tcMar>
              <w:top w:w="15" w:type="dxa"/>
              <w:left w:w="25" w:type="dxa"/>
              <w:bottom w:w="0" w:type="dxa"/>
              <w:right w:w="25" w:type="dxa"/>
            </w:tcMar>
            <w:vAlign w:val="center"/>
          </w:tcPr>
          <w:p w14:paraId="2E6A734B" w14:textId="77777777" w:rsidR="00391C8F" w:rsidRPr="004E7EEE" w:rsidRDefault="00391C8F" w:rsidP="00035934">
            <w:pPr>
              <w:rPr>
                <w:rFonts w:ascii="Book Antiqua" w:hAnsi="Book Antiqua"/>
                <w:color w:val="000000"/>
                <w:sz w:val="20"/>
                <w:szCs w:val="20"/>
              </w:rPr>
            </w:pPr>
            <w:r w:rsidRPr="004E7EEE">
              <w:rPr>
                <w:rFonts w:ascii="Book Antiqua" w:hAnsi="Book Antiqua"/>
                <w:color w:val="000000"/>
                <w:sz w:val="20"/>
                <w:szCs w:val="20"/>
              </w:rPr>
              <w:t>Noviembre 2020</w:t>
            </w:r>
          </w:p>
        </w:tc>
        <w:tc>
          <w:tcPr>
            <w:tcW w:w="5074" w:type="dxa"/>
            <w:shd w:val="clear" w:color="auto" w:fill="auto"/>
            <w:tcMar>
              <w:top w:w="15" w:type="dxa"/>
              <w:left w:w="25" w:type="dxa"/>
              <w:bottom w:w="0" w:type="dxa"/>
              <w:right w:w="25" w:type="dxa"/>
            </w:tcMar>
            <w:vAlign w:val="center"/>
          </w:tcPr>
          <w:p w14:paraId="44D5BFBD" w14:textId="77777777" w:rsidR="00391C8F" w:rsidRPr="004E7EEE" w:rsidRDefault="00391C8F" w:rsidP="00035934">
            <w:pPr>
              <w:jc w:val="both"/>
              <w:rPr>
                <w:rFonts w:ascii="Book Antiqua" w:hAnsi="Book Antiqua"/>
                <w:color w:val="000000"/>
                <w:sz w:val="20"/>
                <w:szCs w:val="20"/>
              </w:rPr>
            </w:pPr>
            <w:r w:rsidRPr="004E7EEE">
              <w:rPr>
                <w:rFonts w:ascii="Book Antiqua" w:hAnsi="Book Antiqua"/>
                <w:color w:val="000000"/>
                <w:sz w:val="20"/>
                <w:szCs w:val="20"/>
              </w:rPr>
              <w:t>Comisión de Familia. Plaza asignada a esta labor inicia PCGS el 16-10-2020, acuerdo CS sesión 91-10, artículo XXIV.</w:t>
            </w:r>
          </w:p>
        </w:tc>
      </w:tr>
      <w:tr w:rsidR="00391C8F" w:rsidRPr="004E7EEE" w14:paraId="5383ED8E" w14:textId="77777777" w:rsidTr="00035934">
        <w:trPr>
          <w:trHeight w:val="2427"/>
          <w:jc w:val="center"/>
        </w:trPr>
        <w:tc>
          <w:tcPr>
            <w:tcW w:w="1506" w:type="dxa"/>
            <w:vMerge/>
            <w:shd w:val="clear" w:color="auto" w:fill="auto"/>
            <w:tcMar>
              <w:top w:w="15" w:type="dxa"/>
              <w:left w:w="25" w:type="dxa"/>
              <w:bottom w:w="0" w:type="dxa"/>
              <w:right w:w="25" w:type="dxa"/>
            </w:tcMar>
            <w:vAlign w:val="center"/>
          </w:tcPr>
          <w:p w14:paraId="71BAA46D" w14:textId="77777777" w:rsidR="00391C8F" w:rsidRPr="004E7EEE" w:rsidRDefault="00391C8F" w:rsidP="00035934">
            <w:pPr>
              <w:rPr>
                <w:rFonts w:ascii="Book Antiqua" w:hAnsi="Book Antiqua"/>
                <w:b/>
                <w:bCs/>
                <w:color w:val="000000"/>
                <w:sz w:val="20"/>
                <w:szCs w:val="20"/>
              </w:rPr>
            </w:pPr>
          </w:p>
        </w:tc>
        <w:tc>
          <w:tcPr>
            <w:tcW w:w="2472" w:type="dxa"/>
            <w:vMerge/>
            <w:shd w:val="clear" w:color="auto" w:fill="auto"/>
            <w:tcMar>
              <w:top w:w="15" w:type="dxa"/>
              <w:left w:w="25" w:type="dxa"/>
              <w:bottom w:w="0" w:type="dxa"/>
              <w:right w:w="25" w:type="dxa"/>
            </w:tcMar>
            <w:vAlign w:val="center"/>
          </w:tcPr>
          <w:p w14:paraId="2042DFE9" w14:textId="77777777" w:rsidR="00391C8F" w:rsidRPr="004E7EEE" w:rsidRDefault="00391C8F" w:rsidP="00035934">
            <w:pPr>
              <w:rPr>
                <w:rFonts w:ascii="Book Antiqua" w:hAnsi="Book Antiqua"/>
                <w:color w:val="000000"/>
                <w:sz w:val="20"/>
                <w:szCs w:val="20"/>
              </w:rPr>
            </w:pPr>
          </w:p>
        </w:tc>
        <w:tc>
          <w:tcPr>
            <w:tcW w:w="1379" w:type="dxa"/>
            <w:shd w:val="clear" w:color="auto" w:fill="C00000"/>
            <w:tcMar>
              <w:top w:w="15" w:type="dxa"/>
              <w:left w:w="25" w:type="dxa"/>
              <w:bottom w:w="0" w:type="dxa"/>
              <w:right w:w="25" w:type="dxa"/>
            </w:tcMar>
            <w:vAlign w:val="center"/>
          </w:tcPr>
          <w:p w14:paraId="4094C04A" w14:textId="77777777" w:rsidR="00391C8F" w:rsidRPr="004E7EEE" w:rsidRDefault="00391C8F" w:rsidP="00035934">
            <w:pPr>
              <w:jc w:val="center"/>
              <w:rPr>
                <w:rFonts w:ascii="Book Antiqua" w:hAnsi="Book Antiqua"/>
                <w:color w:val="000000"/>
                <w:sz w:val="20"/>
                <w:szCs w:val="20"/>
              </w:rPr>
            </w:pPr>
            <w:r w:rsidRPr="004E7EEE">
              <w:rPr>
                <w:rFonts w:ascii="Book Antiqua" w:hAnsi="Book Antiqua"/>
                <w:color w:val="000000"/>
                <w:sz w:val="20"/>
                <w:szCs w:val="20"/>
              </w:rPr>
              <w:t>Aprobación por parte de la Comisión y remisión a Corte Plena para aprobación y comunicación: Pendiente</w:t>
            </w:r>
          </w:p>
        </w:tc>
        <w:tc>
          <w:tcPr>
            <w:tcW w:w="1180" w:type="dxa"/>
            <w:shd w:val="clear" w:color="auto" w:fill="auto"/>
            <w:tcMar>
              <w:top w:w="15" w:type="dxa"/>
              <w:left w:w="25" w:type="dxa"/>
              <w:bottom w:w="0" w:type="dxa"/>
              <w:right w:w="25" w:type="dxa"/>
            </w:tcMar>
            <w:vAlign w:val="center"/>
          </w:tcPr>
          <w:p w14:paraId="25A1BE23" w14:textId="77777777" w:rsidR="00391C8F" w:rsidRPr="004E7EEE" w:rsidRDefault="00391C8F" w:rsidP="00035934">
            <w:pPr>
              <w:rPr>
                <w:rFonts w:ascii="Book Antiqua" w:hAnsi="Book Antiqua"/>
                <w:color w:val="000000"/>
                <w:sz w:val="20"/>
                <w:szCs w:val="20"/>
              </w:rPr>
            </w:pPr>
            <w:r w:rsidRPr="004E7EEE">
              <w:rPr>
                <w:rFonts w:ascii="Book Antiqua" w:hAnsi="Book Antiqua"/>
                <w:color w:val="000000"/>
                <w:sz w:val="20"/>
                <w:szCs w:val="20"/>
              </w:rPr>
              <w:t>Julio 2021</w:t>
            </w:r>
          </w:p>
        </w:tc>
        <w:tc>
          <w:tcPr>
            <w:tcW w:w="5074" w:type="dxa"/>
            <w:shd w:val="clear" w:color="auto" w:fill="auto"/>
            <w:tcMar>
              <w:top w:w="15" w:type="dxa"/>
              <w:left w:w="25" w:type="dxa"/>
              <w:bottom w:w="0" w:type="dxa"/>
              <w:right w:w="25" w:type="dxa"/>
            </w:tcMar>
            <w:vAlign w:val="center"/>
          </w:tcPr>
          <w:p w14:paraId="490803BB" w14:textId="77777777" w:rsidR="00391C8F" w:rsidRPr="004E7EEE" w:rsidRDefault="00391C8F" w:rsidP="00035934">
            <w:pPr>
              <w:jc w:val="both"/>
              <w:rPr>
                <w:rFonts w:ascii="Book Antiqua" w:hAnsi="Book Antiqua"/>
                <w:color w:val="000000"/>
                <w:sz w:val="20"/>
                <w:szCs w:val="20"/>
              </w:rPr>
            </w:pPr>
            <w:r w:rsidRPr="004E7EEE">
              <w:rPr>
                <w:rFonts w:ascii="Book Antiqua" w:hAnsi="Book Antiqua"/>
                <w:color w:val="000000"/>
                <w:sz w:val="20"/>
                <w:szCs w:val="20"/>
              </w:rPr>
              <w:t xml:space="preserve">Se </w:t>
            </w:r>
            <w:r w:rsidRPr="00742967">
              <w:rPr>
                <w:rFonts w:ascii="Book Antiqua" w:hAnsi="Book Antiqua"/>
                <w:color w:val="000000"/>
                <w:sz w:val="20"/>
                <w:szCs w:val="20"/>
              </w:rPr>
              <w:t>consultó a la Licda. Lucía Víquez del CACMFJ el 24-11-2021.  sobre el avance e indica que el tema esta pendiente de verse en Comisión. Informa que la circular requiere unos ajustes que está realizando el Juez Gestor y que finiquitaría hoy mismo</w:t>
            </w:r>
            <w:r w:rsidRPr="004E7EEE">
              <w:rPr>
                <w:rFonts w:ascii="Book Antiqua" w:hAnsi="Book Antiqua"/>
                <w:color w:val="000000"/>
                <w:sz w:val="20"/>
                <w:szCs w:val="20"/>
              </w:rPr>
              <w:t xml:space="preserve">. </w:t>
            </w:r>
          </w:p>
        </w:tc>
      </w:tr>
      <w:tr w:rsidR="00391C8F" w:rsidRPr="004E7EEE" w14:paraId="55869BC8" w14:textId="77777777" w:rsidTr="00035934">
        <w:trPr>
          <w:trHeight w:val="602"/>
          <w:jc w:val="center"/>
        </w:trPr>
        <w:tc>
          <w:tcPr>
            <w:tcW w:w="11611" w:type="dxa"/>
            <w:gridSpan w:val="5"/>
            <w:shd w:val="clear" w:color="auto" w:fill="DBDBDB"/>
            <w:tcMar>
              <w:top w:w="15" w:type="dxa"/>
              <w:left w:w="25" w:type="dxa"/>
              <w:bottom w:w="0" w:type="dxa"/>
              <w:right w:w="25" w:type="dxa"/>
            </w:tcMar>
            <w:vAlign w:val="center"/>
          </w:tcPr>
          <w:p w14:paraId="073D4B83" w14:textId="77777777" w:rsidR="00391C8F" w:rsidRPr="004E7EEE" w:rsidRDefault="00391C8F" w:rsidP="00035934">
            <w:pPr>
              <w:jc w:val="center"/>
              <w:rPr>
                <w:rFonts w:ascii="Book Antiqua" w:hAnsi="Book Antiqua"/>
                <w:sz w:val="20"/>
                <w:szCs w:val="20"/>
              </w:rPr>
            </w:pPr>
            <w:r w:rsidRPr="004E7EEE">
              <w:rPr>
                <w:rFonts w:ascii="Book Antiqua" w:hAnsi="Book Antiqua"/>
                <w:b/>
                <w:bCs/>
                <w:sz w:val="20"/>
                <w:szCs w:val="20"/>
              </w:rPr>
              <w:lastRenderedPageBreak/>
              <w:t>Tarea</w:t>
            </w:r>
            <w:r w:rsidRPr="004E7EEE">
              <w:rPr>
                <w:rFonts w:ascii="Book Antiqua" w:hAnsi="Book Antiqua"/>
                <w:b/>
                <w:bCs/>
                <w:color w:val="000000"/>
                <w:sz w:val="20"/>
                <w:szCs w:val="20"/>
              </w:rPr>
              <w:t xml:space="preserve"> solicitada en el oficio 1678-PLA-EV-2020</w:t>
            </w:r>
          </w:p>
        </w:tc>
      </w:tr>
      <w:tr w:rsidR="00391C8F" w:rsidRPr="004E7EEE" w14:paraId="58A1068D" w14:textId="77777777" w:rsidTr="00035934">
        <w:trPr>
          <w:trHeight w:val="888"/>
          <w:jc w:val="center"/>
        </w:trPr>
        <w:tc>
          <w:tcPr>
            <w:tcW w:w="1506" w:type="dxa"/>
            <w:shd w:val="clear" w:color="auto" w:fill="auto"/>
            <w:tcMar>
              <w:top w:w="15" w:type="dxa"/>
              <w:left w:w="25" w:type="dxa"/>
              <w:bottom w:w="0" w:type="dxa"/>
              <w:right w:w="25" w:type="dxa"/>
            </w:tcMar>
            <w:vAlign w:val="center"/>
          </w:tcPr>
          <w:p w14:paraId="28133487" w14:textId="77777777" w:rsidR="00391C8F" w:rsidRPr="004E7EEE" w:rsidRDefault="00391C8F" w:rsidP="00035934">
            <w:pPr>
              <w:jc w:val="both"/>
              <w:rPr>
                <w:rFonts w:ascii="Book Antiqua" w:hAnsi="Book Antiqua"/>
                <w:sz w:val="20"/>
                <w:szCs w:val="20"/>
              </w:rPr>
            </w:pPr>
            <w:r w:rsidRPr="004E7EEE">
              <w:rPr>
                <w:rFonts w:ascii="Book Antiqua" w:hAnsi="Book Antiqua"/>
                <w:b/>
                <w:bCs/>
                <w:color w:val="000000"/>
                <w:sz w:val="20"/>
                <w:szCs w:val="20"/>
              </w:rPr>
              <w:t>Definición fecha inicio actualización de los asuntos nuevos EV y SOAP (mamá como representante y menores como beneficiarios).</w:t>
            </w:r>
          </w:p>
          <w:p w14:paraId="03D2F5F7" w14:textId="77777777" w:rsidR="00391C8F" w:rsidRPr="004E7EEE" w:rsidRDefault="00391C8F" w:rsidP="00035934">
            <w:pPr>
              <w:jc w:val="both"/>
              <w:rPr>
                <w:rFonts w:ascii="Book Antiqua" w:hAnsi="Book Antiqua"/>
                <w:b/>
                <w:bCs/>
                <w:color w:val="000000"/>
                <w:sz w:val="20"/>
                <w:szCs w:val="20"/>
              </w:rPr>
            </w:pPr>
            <w:r w:rsidRPr="004E7EEE">
              <w:rPr>
                <w:rFonts w:ascii="Book Antiqua" w:hAnsi="Book Antiqua"/>
                <w:b/>
                <w:bCs/>
                <w:color w:val="000000"/>
                <w:sz w:val="20"/>
                <w:szCs w:val="20"/>
              </w:rPr>
              <w:t>Definición fecha inicio actualización de los asuntos en circulante EV y SOAP (mamá como represéntate y menores como beneficiarios).</w:t>
            </w:r>
          </w:p>
        </w:tc>
        <w:tc>
          <w:tcPr>
            <w:tcW w:w="2472" w:type="dxa"/>
            <w:shd w:val="clear" w:color="auto" w:fill="auto"/>
            <w:tcMar>
              <w:top w:w="15" w:type="dxa"/>
              <w:left w:w="25" w:type="dxa"/>
              <w:bottom w:w="0" w:type="dxa"/>
              <w:right w:w="25" w:type="dxa"/>
            </w:tcMar>
            <w:vAlign w:val="center"/>
          </w:tcPr>
          <w:p w14:paraId="4F32ACD1"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Los jueces de PA solicitaron esta definición por escrito por parte de la Comisión.</w:t>
            </w:r>
          </w:p>
          <w:p w14:paraId="661CAE95"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 </w:t>
            </w:r>
          </w:p>
          <w:p w14:paraId="7562701A"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Acuerdo 6 de la reunión de seguimiento del 5 de octubre de 2020:</w:t>
            </w:r>
          </w:p>
          <w:p w14:paraId="5C739DD0"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 </w:t>
            </w:r>
          </w:p>
          <w:p w14:paraId="5A7A24E1" w14:textId="77777777" w:rsidR="00391C8F" w:rsidRPr="004E7EEE" w:rsidRDefault="00391C8F" w:rsidP="00035934">
            <w:pPr>
              <w:jc w:val="both"/>
              <w:rPr>
                <w:rFonts w:ascii="Book Antiqua" w:hAnsi="Book Antiqua"/>
                <w:sz w:val="20"/>
                <w:szCs w:val="20"/>
              </w:rPr>
            </w:pPr>
            <w:r w:rsidRPr="004E7EEE">
              <w:rPr>
                <w:rFonts w:ascii="Book Antiqua" w:hAnsi="Book Antiqua"/>
                <w:color w:val="000000"/>
                <w:sz w:val="20"/>
                <w:szCs w:val="20"/>
              </w:rPr>
              <w:t xml:space="preserve">“6.No se incluye en el inventario por acuerdo de la Comisión de Familia del 1 de octubre de 2020 la actualización de los intervinientes (parte actora, beneficiarios y representante legal) por disposición de la Comisión debido al trabajo que implica esta actualización en el sistema de gestión y en el SOAP y el plazo de menos de 2 meses para finalizar el inventario conforme al cronograma de atención de las recomendaciones de la Contraloría General de la República, pero si deben verificar que todas las partes estén incorporadas.  Está pendiente él envió del acuerdo de la Comisión, pero se debe acordar la fecha de inicio para que se comience a corregir la información en los sistemas de los asuntos en circulante (don Cristian recomienda que no se reserve a un </w:t>
            </w:r>
            <w:r w:rsidRPr="004E7EEE">
              <w:rPr>
                <w:rFonts w:ascii="Book Antiqua" w:hAnsi="Book Antiqua"/>
                <w:color w:val="000000"/>
                <w:sz w:val="20"/>
                <w:szCs w:val="20"/>
              </w:rPr>
              <w:lastRenderedPageBreak/>
              <w:t>próximo inventario, sino que se estructure un plan de trabajo para que inicien antes las oficinas, y no de forma simultánea a un inventario). Y también que se defina y se comunique el acuerdo de la Comisión sobre la fecha a partir de la cual debe empezar a ingresar los intervinientes de los casos nuevos en la forma correcta (beneficiarios, representante legal, parte actora).  Se solicita a don Cristian definir a la brevedad estos puntos con la Comisión”.</w:t>
            </w:r>
          </w:p>
        </w:tc>
        <w:tc>
          <w:tcPr>
            <w:tcW w:w="1379" w:type="dxa"/>
            <w:shd w:val="clear" w:color="auto" w:fill="FFC000"/>
            <w:tcMar>
              <w:top w:w="15" w:type="dxa"/>
              <w:left w:w="25" w:type="dxa"/>
              <w:bottom w:w="0" w:type="dxa"/>
              <w:right w:w="25" w:type="dxa"/>
            </w:tcMar>
            <w:vAlign w:val="center"/>
          </w:tcPr>
          <w:p w14:paraId="1AE5B04B" w14:textId="77777777" w:rsidR="00391C8F" w:rsidRPr="004E7EEE" w:rsidRDefault="00391C8F" w:rsidP="00035934">
            <w:pPr>
              <w:jc w:val="center"/>
              <w:rPr>
                <w:rFonts w:ascii="Book Antiqua" w:hAnsi="Book Antiqua"/>
                <w:sz w:val="20"/>
                <w:szCs w:val="20"/>
              </w:rPr>
            </w:pPr>
            <w:r w:rsidRPr="004E7EEE">
              <w:rPr>
                <w:rFonts w:ascii="Book Antiqua" w:hAnsi="Book Antiqua"/>
                <w:sz w:val="20"/>
                <w:szCs w:val="20"/>
              </w:rPr>
              <w:lastRenderedPageBreak/>
              <w:t>Suspendido</w:t>
            </w:r>
          </w:p>
        </w:tc>
        <w:tc>
          <w:tcPr>
            <w:tcW w:w="1180" w:type="dxa"/>
            <w:shd w:val="clear" w:color="auto" w:fill="auto"/>
            <w:tcMar>
              <w:top w:w="15" w:type="dxa"/>
              <w:left w:w="25" w:type="dxa"/>
              <w:bottom w:w="0" w:type="dxa"/>
              <w:right w:w="25" w:type="dxa"/>
            </w:tcMar>
            <w:vAlign w:val="center"/>
          </w:tcPr>
          <w:p w14:paraId="78A8FDF1" w14:textId="77777777" w:rsidR="00391C8F" w:rsidRPr="004E7EEE" w:rsidRDefault="00391C8F" w:rsidP="00035934">
            <w:pPr>
              <w:rPr>
                <w:rFonts w:ascii="Book Antiqua" w:hAnsi="Book Antiqua"/>
                <w:color w:val="000000"/>
                <w:sz w:val="20"/>
                <w:szCs w:val="20"/>
              </w:rPr>
            </w:pPr>
            <w:r w:rsidRPr="004E7EEE">
              <w:rPr>
                <w:rFonts w:ascii="Book Antiqua" w:hAnsi="Book Antiqua"/>
                <w:sz w:val="20"/>
                <w:szCs w:val="20"/>
              </w:rPr>
              <w:t xml:space="preserve">  </w:t>
            </w:r>
            <w:r w:rsidRPr="004E7EEE">
              <w:rPr>
                <w:rFonts w:ascii="Book Antiqua" w:hAnsi="Book Antiqua"/>
                <w:strike/>
                <w:sz w:val="20"/>
                <w:szCs w:val="20"/>
              </w:rPr>
              <w:t>Enero 2022</w:t>
            </w:r>
          </w:p>
        </w:tc>
        <w:tc>
          <w:tcPr>
            <w:tcW w:w="5074" w:type="dxa"/>
            <w:shd w:val="clear" w:color="auto" w:fill="auto"/>
            <w:tcMar>
              <w:top w:w="15" w:type="dxa"/>
              <w:left w:w="25" w:type="dxa"/>
              <w:bottom w:w="0" w:type="dxa"/>
              <w:right w:w="25" w:type="dxa"/>
            </w:tcMar>
            <w:vAlign w:val="center"/>
          </w:tcPr>
          <w:p w14:paraId="0622F872" w14:textId="77777777" w:rsidR="00391C8F" w:rsidRPr="004E7EEE" w:rsidRDefault="00391C8F" w:rsidP="00035934">
            <w:pPr>
              <w:jc w:val="both"/>
              <w:rPr>
                <w:rFonts w:ascii="Book Antiqua" w:hAnsi="Book Antiqua"/>
                <w:sz w:val="20"/>
                <w:szCs w:val="20"/>
              </w:rPr>
            </w:pPr>
            <w:r w:rsidRPr="004E7EEE">
              <w:rPr>
                <w:rFonts w:ascii="Book Antiqua" w:hAnsi="Book Antiqua"/>
                <w:sz w:val="20"/>
                <w:szCs w:val="20"/>
              </w:rPr>
              <w:t xml:space="preserve">Según indica doña Fabiola Arancibia de DTI el 26 de octubre 2021: </w:t>
            </w:r>
            <w:r w:rsidRPr="004E7EEE">
              <w:rPr>
                <w:rFonts w:ascii="Book Antiqua" w:hAnsi="Book Antiqua" w:cs="Segoe UI"/>
                <w:sz w:val="20"/>
                <w:szCs w:val="20"/>
              </w:rPr>
              <w:t>la mejora se está desarrollando para SIAGPJ (nuevo sistema), Gestión en línea y aplicación móvil que es donde se recibe la mayor cantidad de solicitudes de apremio. Indica que el SIAGPJ la mejora ya se encuentra en proceso de pruebas.</w:t>
            </w:r>
          </w:p>
          <w:p w14:paraId="06A1E47D" w14:textId="77777777" w:rsidR="00391C8F" w:rsidRPr="004E7EEE" w:rsidRDefault="00391C8F" w:rsidP="00035934">
            <w:pPr>
              <w:jc w:val="both"/>
              <w:rPr>
                <w:rFonts w:ascii="Book Antiqua" w:hAnsi="Book Antiqua"/>
                <w:sz w:val="20"/>
                <w:szCs w:val="20"/>
              </w:rPr>
            </w:pPr>
          </w:p>
          <w:p w14:paraId="0BC7564C" w14:textId="77777777" w:rsidR="00391C8F" w:rsidRPr="004E7EEE" w:rsidRDefault="00391C8F" w:rsidP="00035934">
            <w:pPr>
              <w:jc w:val="both"/>
              <w:rPr>
                <w:rFonts w:ascii="Book Antiqua" w:hAnsi="Book Antiqua"/>
                <w:sz w:val="20"/>
                <w:szCs w:val="20"/>
              </w:rPr>
            </w:pPr>
            <w:r w:rsidRPr="004E7EEE">
              <w:rPr>
                <w:rFonts w:ascii="Book Antiqua" w:hAnsi="Book Antiqua"/>
                <w:sz w:val="20"/>
                <w:szCs w:val="20"/>
              </w:rPr>
              <w:t>Doña Vivian Rímola de DTI indica el 24 de noviembre d 2021 que las mejoras en SIAGPJ, estarían para finales de diciembre 2021 y la de Gestión en Línea para finales de enero 2022.</w:t>
            </w:r>
          </w:p>
          <w:p w14:paraId="79464EA3" w14:textId="77777777" w:rsidR="00391C8F" w:rsidRPr="004E7EEE" w:rsidRDefault="00391C8F" w:rsidP="00035934">
            <w:pPr>
              <w:jc w:val="both"/>
              <w:rPr>
                <w:rFonts w:ascii="Book Antiqua" w:hAnsi="Book Antiqua"/>
                <w:sz w:val="20"/>
                <w:szCs w:val="20"/>
              </w:rPr>
            </w:pPr>
          </w:p>
          <w:p w14:paraId="1943C9CA" w14:textId="77777777" w:rsidR="00391C8F" w:rsidRPr="004E7EEE" w:rsidRDefault="00391C8F" w:rsidP="009B71C9">
            <w:pPr>
              <w:jc w:val="both"/>
              <w:rPr>
                <w:rFonts w:ascii="Book Antiqua" w:hAnsi="Book Antiqua"/>
                <w:sz w:val="20"/>
                <w:szCs w:val="20"/>
              </w:rPr>
            </w:pPr>
            <w:r w:rsidRPr="004E7EEE">
              <w:rPr>
                <w:rFonts w:ascii="Book Antiqua" w:hAnsi="Book Antiqua"/>
                <w:sz w:val="20"/>
                <w:szCs w:val="20"/>
              </w:rPr>
              <w:t xml:space="preserve">Doña Fabiola Arancibia de DTI indica el 24 de noviembre de 2021 que </w:t>
            </w:r>
            <w:r w:rsidRPr="004E7EEE">
              <w:rPr>
                <w:rFonts w:ascii="Book Antiqua" w:hAnsi="Book Antiqua"/>
                <w:i/>
                <w:iCs/>
                <w:sz w:val="20"/>
                <w:szCs w:val="20"/>
              </w:rPr>
              <w:t>“El SIAGPJ estaría implantado a nivel nacional en las materias de pensiones, Familia y VD en octubre del 2024”.</w:t>
            </w:r>
          </w:p>
        </w:tc>
      </w:tr>
    </w:tbl>
    <w:p w14:paraId="72B345EC" w14:textId="2231496B" w:rsidR="00391C8F" w:rsidRPr="001D0C10" w:rsidRDefault="00391C8F" w:rsidP="0090609F">
      <w:pPr>
        <w:pStyle w:val="Ttulo"/>
        <w:numPr>
          <w:ilvl w:val="2"/>
          <w:numId w:val="44"/>
        </w:numPr>
        <w:spacing w:line="276" w:lineRule="auto"/>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Emitir pronunciamiento y coordinar con los entes que corresponda la reglamentación del artículo 286 del CPF, según se detalló el apartado “</w:t>
      </w:r>
      <w:r w:rsidRPr="001D0C10">
        <w:rPr>
          <w:rFonts w:eastAsia="Calibri" w:cs="Arial"/>
          <w:b w:val="0"/>
          <w:i/>
          <w:iCs/>
          <w:color w:val="auto"/>
          <w:spacing w:val="0"/>
          <w:szCs w:val="24"/>
          <w:lang w:val="es-CR" w:eastAsia="en-US"/>
        </w:rPr>
        <w:t>4, sobre las principales implicaciones del CPF- Fondo para el pago transitorio de la obligación alimentaria”.</w:t>
      </w:r>
      <w:r w:rsidRPr="001D0C10">
        <w:rPr>
          <w:rFonts w:eastAsia="Calibri" w:cs="Arial"/>
          <w:b w:val="0"/>
          <w:color w:val="auto"/>
          <w:spacing w:val="0"/>
          <w:szCs w:val="24"/>
          <w:lang w:val="es-CR" w:eastAsia="en-US"/>
        </w:rPr>
        <w:t xml:space="preserve"> </w:t>
      </w:r>
    </w:p>
    <w:p w14:paraId="02ADCBDC" w14:textId="77777777" w:rsidR="00391C8F" w:rsidRPr="001D0C10" w:rsidRDefault="00391C8F" w:rsidP="001D0C10">
      <w:pPr>
        <w:tabs>
          <w:tab w:val="left" w:pos="426"/>
        </w:tabs>
        <w:autoSpaceDE w:val="0"/>
        <w:autoSpaceDN w:val="0"/>
        <w:adjustRightInd w:val="0"/>
        <w:spacing w:after="0" w:line="276" w:lineRule="auto"/>
        <w:ind w:left="360"/>
        <w:jc w:val="both"/>
        <w:rPr>
          <w:rFonts w:ascii="Book Antiqua" w:eastAsia="Calibri" w:hAnsi="Book Antiqua" w:cs="Book Antiqua"/>
          <w:iCs/>
          <w:color w:val="000000"/>
          <w:spacing w:val="-3"/>
          <w:sz w:val="24"/>
          <w:szCs w:val="24"/>
        </w:rPr>
      </w:pPr>
    </w:p>
    <w:p w14:paraId="0836EBBB" w14:textId="77777777" w:rsidR="00290085" w:rsidRPr="00290085" w:rsidRDefault="00290085" w:rsidP="00290085">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290085">
        <w:rPr>
          <w:rFonts w:ascii="Book Antiqua" w:eastAsia="MS PGothic" w:hAnsi="Book Antiqua" w:cs="Times New Roman"/>
          <w:b/>
          <w:snapToGrid w:val="0"/>
          <w:sz w:val="24"/>
          <w:szCs w:val="24"/>
          <w:lang w:val="es-ES" w:eastAsia="es-ES"/>
        </w:rPr>
        <w:t xml:space="preserve">A la </w:t>
      </w:r>
      <w:bookmarkStart w:id="73" w:name="_Hlk65240192"/>
      <w:r w:rsidRPr="00290085">
        <w:rPr>
          <w:rFonts w:ascii="Book Antiqua" w:eastAsia="MS PGothic" w:hAnsi="Book Antiqua" w:cs="Times New Roman"/>
          <w:b/>
          <w:snapToGrid w:val="0"/>
          <w:sz w:val="24"/>
          <w:szCs w:val="24"/>
          <w:lang w:val="es-ES" w:eastAsia="es-ES"/>
        </w:rPr>
        <w:t>Comisión Permanente para el Seguimiento de la Atención y Prevención de la Violencia Intrafamiliar</w:t>
      </w:r>
      <w:bookmarkEnd w:id="73"/>
    </w:p>
    <w:p w14:paraId="6C0A701F" w14:textId="677C3E9C" w:rsidR="003F7A0D" w:rsidRDefault="003F7A0D" w:rsidP="009E73B0">
      <w:pPr>
        <w:pStyle w:val="Ttulo"/>
        <w:spacing w:line="276" w:lineRule="auto"/>
        <w:jc w:val="left"/>
        <w:rPr>
          <w:szCs w:val="24"/>
          <w:lang w:val="es-CR"/>
        </w:rPr>
      </w:pPr>
    </w:p>
    <w:p w14:paraId="48C4146B" w14:textId="3BFF363F" w:rsidR="00AE6FDF" w:rsidRPr="001D0C10" w:rsidRDefault="00AE6FDF" w:rsidP="0090609F">
      <w:pPr>
        <w:pStyle w:val="Prrafodelista"/>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Deberá </w:t>
      </w:r>
      <w:r w:rsidR="001B05D9">
        <w:rPr>
          <w:rFonts w:ascii="Book Antiqua" w:eastAsia="Calibri" w:hAnsi="Book Antiqua" w:cs="Arial"/>
          <w:sz w:val="24"/>
          <w:szCs w:val="24"/>
        </w:rPr>
        <w:t>velar</w:t>
      </w:r>
      <w:r w:rsidR="00CB56CB">
        <w:rPr>
          <w:rFonts w:ascii="Book Antiqua" w:eastAsia="Calibri" w:hAnsi="Book Antiqua" w:cs="Arial"/>
          <w:sz w:val="24"/>
          <w:szCs w:val="24"/>
        </w:rPr>
        <w:t xml:space="preserve"> e impulsar que </w:t>
      </w:r>
      <w:r w:rsidR="001B05D9">
        <w:rPr>
          <w:rFonts w:ascii="Book Antiqua" w:eastAsia="Calibri" w:hAnsi="Book Antiqua" w:cs="Arial"/>
          <w:sz w:val="24"/>
          <w:szCs w:val="24"/>
        </w:rPr>
        <w:t xml:space="preserve">  </w:t>
      </w:r>
      <w:r w:rsidRPr="001D0C10">
        <w:rPr>
          <w:rFonts w:ascii="Book Antiqua" w:eastAsia="Calibri" w:hAnsi="Book Antiqua" w:cs="Arial"/>
          <w:sz w:val="24"/>
          <w:szCs w:val="24"/>
        </w:rPr>
        <w:t xml:space="preserve">los despachos que atienden materia de Violencia Doméstica realicen la actualización de la información en los sistemas de información con que cuenta la Institución de forma que las consultas que se realicen brinden información certera así mismo que se </w:t>
      </w:r>
      <w:r w:rsidR="00B6213D" w:rsidRPr="001D0C10">
        <w:rPr>
          <w:rFonts w:ascii="Book Antiqua" w:eastAsia="Calibri" w:hAnsi="Book Antiqua" w:cs="Arial"/>
          <w:sz w:val="24"/>
          <w:szCs w:val="24"/>
        </w:rPr>
        <w:t>dé</w:t>
      </w:r>
      <w:r w:rsidRPr="001D0C10">
        <w:rPr>
          <w:rFonts w:ascii="Book Antiqua" w:eastAsia="Calibri" w:hAnsi="Book Antiqua" w:cs="Arial"/>
          <w:sz w:val="24"/>
          <w:szCs w:val="24"/>
        </w:rPr>
        <w:t xml:space="preserve"> cumplimiento a las recomendaciones emitidas en este informe</w:t>
      </w:r>
      <w:r w:rsidR="00B6213D" w:rsidRPr="001D0C10">
        <w:rPr>
          <w:rFonts w:ascii="Book Antiqua" w:eastAsia="Calibri" w:hAnsi="Book Antiqua" w:cs="Arial"/>
          <w:sz w:val="24"/>
          <w:szCs w:val="24"/>
        </w:rPr>
        <w:t xml:space="preserve"> y a</w:t>
      </w:r>
      <w:r w:rsidR="000F5376">
        <w:rPr>
          <w:rFonts w:ascii="Book Antiqua" w:eastAsia="Calibri" w:hAnsi="Book Antiqua" w:cs="Arial"/>
          <w:sz w:val="24"/>
          <w:szCs w:val="24"/>
        </w:rPr>
        <w:t xml:space="preserve"> </w:t>
      </w:r>
      <w:r w:rsidR="00B6213D" w:rsidRPr="001D0C10">
        <w:rPr>
          <w:rFonts w:ascii="Book Antiqua" w:eastAsia="Calibri" w:hAnsi="Book Antiqua" w:cs="Arial"/>
          <w:sz w:val="24"/>
          <w:szCs w:val="24"/>
        </w:rPr>
        <w:t xml:space="preserve">las diferentes recomendaciones dadas por la </w:t>
      </w:r>
      <w:r w:rsidR="000F5376">
        <w:rPr>
          <w:rFonts w:ascii="Book Antiqua" w:eastAsia="Calibri" w:hAnsi="Book Antiqua" w:cs="Arial"/>
          <w:sz w:val="24"/>
          <w:szCs w:val="24"/>
        </w:rPr>
        <w:t>C</w:t>
      </w:r>
      <w:r w:rsidR="00B6213D" w:rsidRPr="001D0C10">
        <w:rPr>
          <w:rFonts w:ascii="Book Antiqua" w:eastAsia="Calibri" w:hAnsi="Book Antiqua" w:cs="Arial"/>
          <w:sz w:val="24"/>
          <w:szCs w:val="24"/>
        </w:rPr>
        <w:t>omisión</w:t>
      </w:r>
      <w:r w:rsidR="000F5376">
        <w:rPr>
          <w:rFonts w:ascii="Book Antiqua" w:eastAsia="Calibri" w:hAnsi="Book Antiqua" w:cs="Arial"/>
          <w:sz w:val="24"/>
          <w:szCs w:val="24"/>
        </w:rPr>
        <w:t>, definición del Modelo de Oficina</w:t>
      </w:r>
      <w:r w:rsidR="00B6213D" w:rsidRPr="001D0C10">
        <w:rPr>
          <w:rFonts w:ascii="Book Antiqua" w:eastAsia="Calibri" w:hAnsi="Book Antiqua" w:cs="Arial"/>
          <w:sz w:val="24"/>
          <w:szCs w:val="24"/>
        </w:rPr>
        <w:t xml:space="preserve"> y documentadas a través de dist</w:t>
      </w:r>
      <w:r w:rsidR="004B17CE" w:rsidRPr="001D0C10">
        <w:rPr>
          <w:rFonts w:ascii="Book Antiqua" w:eastAsia="Calibri" w:hAnsi="Book Antiqua" w:cs="Arial"/>
          <w:sz w:val="24"/>
          <w:szCs w:val="24"/>
        </w:rPr>
        <w:t>i</w:t>
      </w:r>
      <w:r w:rsidR="00B6213D" w:rsidRPr="001D0C10">
        <w:rPr>
          <w:rFonts w:ascii="Book Antiqua" w:eastAsia="Calibri" w:hAnsi="Book Antiqua" w:cs="Arial"/>
          <w:sz w:val="24"/>
          <w:szCs w:val="24"/>
        </w:rPr>
        <w:t xml:space="preserve">ntas circulares. </w:t>
      </w:r>
    </w:p>
    <w:p w14:paraId="25502690" w14:textId="0010978C" w:rsidR="00AE6FDF" w:rsidRDefault="00AE6FDF" w:rsidP="00AE6FDF">
      <w:pPr>
        <w:spacing w:after="0" w:line="276" w:lineRule="auto"/>
        <w:jc w:val="both"/>
        <w:rPr>
          <w:rFonts w:ascii="Book Antiqua" w:eastAsia="Calibri" w:hAnsi="Book Antiqua" w:cs="Arial"/>
          <w:sz w:val="24"/>
          <w:szCs w:val="24"/>
        </w:rPr>
      </w:pPr>
    </w:p>
    <w:p w14:paraId="2DC75031" w14:textId="77777777" w:rsidR="00220CA5" w:rsidRPr="00BA3314" w:rsidRDefault="00220CA5"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221-2021 </w:t>
      </w:r>
      <w:r w:rsidRPr="00BA3314">
        <w:rPr>
          <w:rFonts w:ascii="Book Antiqua" w:hAnsi="Book Antiqua"/>
          <w:i/>
          <w:iCs/>
          <w:sz w:val="24"/>
          <w:szCs w:val="24"/>
          <w:lang w:val="es-ES"/>
        </w:rPr>
        <w:t>“Deber de solicitar autorización al Consejo Superior para realizar una modificación en la configuración del reparto”.</w:t>
      </w:r>
    </w:p>
    <w:p w14:paraId="525C33A1" w14:textId="4801391E" w:rsidR="00220CA5" w:rsidRPr="00BA3314" w:rsidRDefault="00220CA5"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lastRenderedPageBreak/>
        <w:t>Circular 267-2021 “</w:t>
      </w:r>
      <w:r w:rsidRPr="00BA3314">
        <w:rPr>
          <w:rFonts w:ascii="Book Antiqua" w:hAnsi="Book Antiqua"/>
          <w:i/>
          <w:iCs/>
          <w:sz w:val="24"/>
          <w:szCs w:val="24"/>
          <w:lang w:val="es-ES"/>
        </w:rPr>
        <w:t>Obligación de cumplir con la corrección de inconsistenci</w:t>
      </w:r>
      <w:r w:rsidR="001146C5">
        <w:rPr>
          <w:rFonts w:ascii="Book Antiqua" w:hAnsi="Book Antiqua"/>
          <w:i/>
          <w:iCs/>
          <w:sz w:val="24"/>
          <w:szCs w:val="24"/>
          <w:lang w:val="es-ES"/>
        </w:rPr>
        <w:t>a</w:t>
      </w:r>
      <w:r w:rsidRPr="00BA3314">
        <w:rPr>
          <w:rFonts w:ascii="Book Antiqua" w:hAnsi="Book Antiqua"/>
          <w:i/>
          <w:iCs/>
          <w:sz w:val="24"/>
          <w:szCs w:val="24"/>
          <w:lang w:val="es-ES"/>
        </w:rPr>
        <w:t>s - aplicar el régimen disciplinario por su incumplimiento</w:t>
      </w:r>
      <w:r w:rsidRPr="00BA3314">
        <w:rPr>
          <w:rFonts w:ascii="Book Antiqua" w:hAnsi="Book Antiqua"/>
          <w:sz w:val="24"/>
          <w:szCs w:val="24"/>
          <w:lang w:val="es-ES"/>
        </w:rPr>
        <w:t>”.</w:t>
      </w:r>
    </w:p>
    <w:p w14:paraId="36357A6F" w14:textId="77777777" w:rsidR="00220CA5" w:rsidRPr="00BA3314" w:rsidRDefault="00220CA5" w:rsidP="0090609F">
      <w:pPr>
        <w:pStyle w:val="Prrafodelista"/>
        <w:numPr>
          <w:ilvl w:val="0"/>
          <w:numId w:val="15"/>
        </w:numPr>
        <w:spacing w:line="276" w:lineRule="auto"/>
        <w:jc w:val="both"/>
        <w:rPr>
          <w:rFonts w:ascii="Book Antiqua" w:hAnsi="Book Antiqua"/>
          <w:i/>
          <w:iCs/>
          <w:sz w:val="24"/>
          <w:szCs w:val="24"/>
          <w:lang w:val="es-ES"/>
        </w:rPr>
      </w:pPr>
      <w:r w:rsidRPr="00BA3314">
        <w:rPr>
          <w:rFonts w:ascii="Book Antiqua" w:hAnsi="Book Antiqua"/>
          <w:sz w:val="24"/>
          <w:szCs w:val="24"/>
          <w:lang w:val="es-ES"/>
        </w:rPr>
        <w:t xml:space="preserve">Circular 110-20 </w:t>
      </w:r>
      <w:r w:rsidRPr="00BA3314">
        <w:rPr>
          <w:rFonts w:ascii="Book Antiqua" w:hAnsi="Book Antiqua"/>
          <w:i/>
          <w:iCs/>
          <w:sz w:val="24"/>
          <w:szCs w:val="24"/>
          <w:lang w:val="es-ES"/>
        </w:rPr>
        <w:t>“Reiterar la Circular N 60-99 relacionado con las Reglas prácticas para facilitar la aplicación efectiva de la Ley contra la violencia doméstica”.</w:t>
      </w:r>
    </w:p>
    <w:p w14:paraId="3CA6D116" w14:textId="77777777" w:rsidR="00220CA5" w:rsidRPr="00BA3314" w:rsidRDefault="00220CA5"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234-2021 </w:t>
      </w:r>
      <w:r w:rsidRPr="00BA3314">
        <w:rPr>
          <w:rFonts w:ascii="Book Antiqua" w:hAnsi="Book Antiqua"/>
          <w:i/>
          <w:iCs/>
          <w:sz w:val="24"/>
          <w:szCs w:val="24"/>
          <w:lang w:val="es-ES"/>
        </w:rPr>
        <w:t>“Que es sen</w:t>
      </w:r>
      <w:r>
        <w:rPr>
          <w:rFonts w:ascii="Book Antiqua" w:hAnsi="Book Antiqua"/>
          <w:i/>
          <w:iCs/>
          <w:sz w:val="24"/>
          <w:szCs w:val="24"/>
          <w:lang w:val="es-ES"/>
        </w:rPr>
        <w:t>t</w:t>
      </w:r>
      <w:r w:rsidRPr="00BA3314">
        <w:rPr>
          <w:rFonts w:ascii="Book Antiqua" w:hAnsi="Book Antiqua"/>
          <w:i/>
          <w:iCs/>
          <w:sz w:val="24"/>
          <w:szCs w:val="24"/>
          <w:lang w:val="es-ES"/>
        </w:rPr>
        <w:t>encia en materia de Violencia Doméstica uso y seguimiento a la información registrada en el reporte de pase a fallo”.</w:t>
      </w:r>
    </w:p>
    <w:p w14:paraId="66B00DE2" w14:textId="04ACBC19" w:rsidR="00220CA5" w:rsidRPr="001D0C10" w:rsidRDefault="00220CA5"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266-2021 </w:t>
      </w:r>
      <w:r w:rsidRPr="00BA3314">
        <w:rPr>
          <w:rFonts w:ascii="Book Antiqua" w:hAnsi="Book Antiqua"/>
          <w:i/>
          <w:iCs/>
          <w:sz w:val="24"/>
          <w:szCs w:val="24"/>
          <w:lang w:val="es-ES"/>
        </w:rPr>
        <w:t>“Deber de notificar personalmente el auto que otorga medidas la Circular No. 50-2021 específicamente en el punto 1.3”.</w:t>
      </w:r>
    </w:p>
    <w:p w14:paraId="71B8C3CD" w14:textId="7C957507" w:rsidR="00220CA5" w:rsidRPr="00BA3314" w:rsidRDefault="00220CA5" w:rsidP="0090609F">
      <w:pPr>
        <w:pStyle w:val="Prrafodelista"/>
        <w:numPr>
          <w:ilvl w:val="0"/>
          <w:numId w:val="15"/>
        </w:numPr>
        <w:spacing w:line="276" w:lineRule="auto"/>
        <w:jc w:val="both"/>
        <w:rPr>
          <w:rFonts w:ascii="Book Antiqua" w:hAnsi="Book Antiqua"/>
          <w:sz w:val="24"/>
          <w:szCs w:val="24"/>
          <w:lang w:val="es-ES"/>
        </w:rPr>
      </w:pPr>
      <w:r w:rsidRPr="00220CA5">
        <w:rPr>
          <w:rFonts w:ascii="Book Antiqua" w:hAnsi="Book Antiqua"/>
          <w:sz w:val="24"/>
          <w:szCs w:val="24"/>
          <w:lang w:val="es-ES"/>
        </w:rPr>
        <w:t>Próximamente se publicará una circular para mejorar la atención procesos CLAIS o de riesgo de muerte, así como para delimitar las fases en los procesos contra la Violencia Doméstica</w:t>
      </w:r>
      <w:r>
        <w:rPr>
          <w:rFonts w:ascii="Book Antiqua" w:hAnsi="Book Antiqua"/>
          <w:sz w:val="24"/>
          <w:szCs w:val="24"/>
          <w:lang w:val="es-ES"/>
        </w:rPr>
        <w:t>.</w:t>
      </w:r>
    </w:p>
    <w:p w14:paraId="17928930" w14:textId="77777777" w:rsidR="00220CA5" w:rsidRPr="00AE6FDF" w:rsidRDefault="00220CA5" w:rsidP="00AE6FDF">
      <w:pPr>
        <w:spacing w:after="0" w:line="276" w:lineRule="auto"/>
        <w:jc w:val="both"/>
        <w:rPr>
          <w:rFonts w:ascii="Book Antiqua" w:eastAsia="Calibri" w:hAnsi="Book Antiqua" w:cs="Arial"/>
          <w:sz w:val="24"/>
          <w:szCs w:val="24"/>
        </w:rPr>
      </w:pPr>
    </w:p>
    <w:p w14:paraId="51FF8036" w14:textId="77777777" w:rsidR="00237BDA" w:rsidRPr="00237BDA" w:rsidRDefault="00237BDA" w:rsidP="00237BDA">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237BDA">
        <w:rPr>
          <w:rFonts w:ascii="Book Antiqua" w:eastAsia="MS PGothic" w:hAnsi="Book Antiqua" w:cs="Times New Roman"/>
          <w:b/>
          <w:snapToGrid w:val="0"/>
          <w:sz w:val="24"/>
          <w:szCs w:val="24"/>
          <w:lang w:val="es-ES" w:eastAsia="es-ES"/>
        </w:rPr>
        <w:t>A la Dirección de Gestión Humana</w:t>
      </w:r>
    </w:p>
    <w:p w14:paraId="2854A30A" w14:textId="0D1499F7" w:rsidR="00237BDA" w:rsidRDefault="00237BDA" w:rsidP="009E73B0">
      <w:pPr>
        <w:pStyle w:val="Ttulo"/>
        <w:spacing w:line="276" w:lineRule="auto"/>
        <w:jc w:val="left"/>
        <w:rPr>
          <w:szCs w:val="24"/>
          <w:lang w:val="es-CR"/>
        </w:rPr>
      </w:pPr>
    </w:p>
    <w:p w14:paraId="7970928B" w14:textId="472F7B0D" w:rsidR="00237BDA" w:rsidRDefault="00237BDA" w:rsidP="0090609F">
      <w:pPr>
        <w:pStyle w:val="Prrafodelista"/>
        <w:widowControl w:val="0"/>
        <w:numPr>
          <w:ilvl w:val="1"/>
          <w:numId w:val="44"/>
        </w:numPr>
        <w:spacing w:after="0" w:line="276" w:lineRule="auto"/>
        <w:jc w:val="both"/>
        <w:rPr>
          <w:rFonts w:ascii="Book Antiqua" w:eastAsia="Calibri" w:hAnsi="Book Antiqua" w:cs="Arial"/>
          <w:sz w:val="24"/>
          <w:szCs w:val="24"/>
          <w:lang w:eastAsia="es-CR"/>
        </w:rPr>
      </w:pPr>
      <w:r w:rsidRPr="001D0C10">
        <w:rPr>
          <w:rFonts w:ascii="Book Antiqua" w:eastAsia="Calibri" w:hAnsi="Book Antiqua" w:cs="Arial"/>
          <w:sz w:val="24"/>
          <w:szCs w:val="24"/>
        </w:rPr>
        <w:t>Dar cumplimiento a sus tareas dentro del Proyecto 1374-CF-P01</w:t>
      </w:r>
      <w:r w:rsidRPr="001D0C10">
        <w:rPr>
          <w:rFonts w:ascii="Book Antiqua" w:eastAsia="Calibri" w:hAnsi="Book Antiqua" w:cs="Arial"/>
          <w:i/>
          <w:iCs/>
          <w:sz w:val="24"/>
          <w:szCs w:val="24"/>
        </w:rPr>
        <w:t xml:space="preserve"> “Implementación del Código Procesal de Familia” </w:t>
      </w:r>
      <w:r w:rsidRPr="001D0C10">
        <w:rPr>
          <w:rFonts w:ascii="Book Antiqua" w:eastAsia="Calibri" w:hAnsi="Book Antiqua" w:cs="Arial"/>
          <w:sz w:val="24"/>
          <w:szCs w:val="24"/>
          <w:lang w:eastAsia="es-CR"/>
        </w:rPr>
        <w:t xml:space="preserve">y remitir el entregable correspondiente conforme al cronograma y metodología de proyectos institucional en coordinación con el Juez Gestor en la materia y la Comisión de Familia, Niñez y Adolescencia. </w:t>
      </w:r>
    </w:p>
    <w:p w14:paraId="137F0230" w14:textId="77777777" w:rsidR="000F5376" w:rsidRPr="001D0C10" w:rsidRDefault="000F5376" w:rsidP="001D0C10">
      <w:pPr>
        <w:pStyle w:val="Prrafodelista"/>
        <w:widowControl w:val="0"/>
        <w:spacing w:after="0" w:line="276" w:lineRule="auto"/>
        <w:ind w:left="1080"/>
        <w:jc w:val="both"/>
        <w:rPr>
          <w:rFonts w:ascii="Book Antiqua" w:eastAsia="Calibri" w:hAnsi="Book Antiqua" w:cs="Arial"/>
          <w:sz w:val="24"/>
          <w:szCs w:val="24"/>
          <w:lang w:eastAsia="es-CR"/>
        </w:rPr>
      </w:pPr>
    </w:p>
    <w:tbl>
      <w:tblPr>
        <w:tblW w:w="0" w:type="auto"/>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3376"/>
        <w:gridCol w:w="1117"/>
        <w:gridCol w:w="1355"/>
        <w:gridCol w:w="1292"/>
        <w:gridCol w:w="1688"/>
      </w:tblGrid>
      <w:tr w:rsidR="00B601AA" w:rsidRPr="00B601AA" w14:paraId="193B6FA3"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41159A7"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Nombre de tarea</w:t>
            </w:r>
          </w:p>
        </w:tc>
        <w:tc>
          <w:tcPr>
            <w:tcW w:w="111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8A923F9"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Duración</w:t>
            </w:r>
          </w:p>
        </w:tc>
        <w:tc>
          <w:tcPr>
            <w:tcW w:w="135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BD5EC2A"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Comienzo</w:t>
            </w:r>
          </w:p>
        </w:tc>
        <w:tc>
          <w:tcPr>
            <w:tcW w:w="129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8D1BF87"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Fin</w:t>
            </w:r>
          </w:p>
        </w:tc>
        <w:tc>
          <w:tcPr>
            <w:tcW w:w="1688"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1AD87B2"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 completado</w:t>
            </w:r>
          </w:p>
        </w:tc>
      </w:tr>
      <w:tr w:rsidR="00B601AA" w:rsidRPr="00B601AA" w14:paraId="1C3EC808"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368DFE"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3.10. Informe de readecuación perfiles y gestión del cambio y evaluación DGH</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F21193"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603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993F79"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lun 13/1/20</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24BD3B"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mié 6/7/22</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A7C43B8"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77%</w:t>
            </w:r>
          </w:p>
        </w:tc>
      </w:tr>
      <w:tr w:rsidR="00B601AA" w:rsidRPr="00B601AA" w14:paraId="6D90DD4B"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8C9ABF"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Diseño de Perfiles </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1961EF"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441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CEF1C8"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13/1/20</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1E44F9"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sáb 30/10/21</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248CA96"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100%</w:t>
            </w:r>
          </w:p>
        </w:tc>
      </w:tr>
      <w:tr w:rsidR="00B601AA" w:rsidRPr="00B601AA" w14:paraId="3A733103"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866960"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Preparación para el cambio</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856DB3"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100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CE6675"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13/4/20</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3D8F1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31/8/20</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A63CB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100%</w:t>
            </w:r>
          </w:p>
        </w:tc>
      </w:tr>
      <w:tr w:rsidR="00B601AA" w:rsidRPr="00B601AA" w14:paraId="5A810235"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2C0A57"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Diseño de estrategia de abordaje de Ambiente Laboral</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95AC08"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30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F595A2"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1/11/21</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7A42D0"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mar 14/12/21</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621308"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3%</w:t>
            </w:r>
          </w:p>
        </w:tc>
      </w:tr>
      <w:tr w:rsidR="00B601AA" w:rsidRPr="00B601AA" w14:paraId="6955E3B5"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3E7F1A"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Actualización de temario y elaboración del material de evaluación</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9EC5BC"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283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14AD77"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10/5/21</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4F84D9"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mié 6/7/22</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A851C6"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33%</w:t>
            </w:r>
          </w:p>
        </w:tc>
      </w:tr>
      <w:tr w:rsidR="00B601AA" w:rsidRPr="00B601AA" w14:paraId="4385EE70" w14:textId="77777777" w:rsidTr="00B601AA">
        <w:tc>
          <w:tcPr>
            <w:tcW w:w="33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0D7B3C"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Capacitación Virtual (Capacítate)</w:t>
            </w:r>
          </w:p>
        </w:tc>
        <w:tc>
          <w:tcPr>
            <w:tcW w:w="111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33D7686"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95 días</w:t>
            </w:r>
          </w:p>
        </w:tc>
        <w:tc>
          <w:tcPr>
            <w:tcW w:w="135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F8E8B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24/8/20</w:t>
            </w:r>
          </w:p>
        </w:tc>
        <w:tc>
          <w:tcPr>
            <w:tcW w:w="129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03AB5D"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jue 21/1/21</w:t>
            </w:r>
          </w:p>
        </w:tc>
        <w:tc>
          <w:tcPr>
            <w:tcW w:w="168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D1D93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100%</w:t>
            </w:r>
          </w:p>
        </w:tc>
      </w:tr>
    </w:tbl>
    <w:p w14:paraId="21F08DF4" w14:textId="7D2C1E46" w:rsidR="00237BDA" w:rsidRDefault="00237BDA" w:rsidP="009E73B0">
      <w:pPr>
        <w:pStyle w:val="Ttulo"/>
        <w:spacing w:line="276" w:lineRule="auto"/>
        <w:jc w:val="left"/>
        <w:rPr>
          <w:szCs w:val="24"/>
          <w:lang w:val="es-CR"/>
        </w:rPr>
      </w:pPr>
    </w:p>
    <w:p w14:paraId="20926163" w14:textId="77777777" w:rsidR="00E2229F" w:rsidRDefault="00E2229F" w:rsidP="009E73B0">
      <w:pPr>
        <w:pStyle w:val="Ttulo"/>
        <w:spacing w:line="276" w:lineRule="auto"/>
        <w:jc w:val="left"/>
        <w:rPr>
          <w:szCs w:val="24"/>
          <w:lang w:val="es-CR"/>
        </w:rPr>
      </w:pPr>
    </w:p>
    <w:p w14:paraId="3004D9A1" w14:textId="77777777" w:rsidR="00483946" w:rsidRPr="00483946" w:rsidRDefault="00483946" w:rsidP="00483946">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483946">
        <w:rPr>
          <w:rFonts w:ascii="Book Antiqua" w:eastAsia="MS PGothic" w:hAnsi="Book Antiqua" w:cs="Times New Roman"/>
          <w:b/>
          <w:snapToGrid w:val="0"/>
          <w:sz w:val="24"/>
          <w:szCs w:val="24"/>
          <w:lang w:val="es-ES" w:eastAsia="es-ES"/>
        </w:rPr>
        <w:lastRenderedPageBreak/>
        <w:t>A las Contralorías de Servicios a nivel nacional</w:t>
      </w:r>
    </w:p>
    <w:p w14:paraId="61D91F1A" w14:textId="77777777" w:rsidR="000F5376" w:rsidRDefault="000F5376" w:rsidP="00C31C5A">
      <w:pPr>
        <w:widowControl w:val="0"/>
        <w:spacing w:after="0" w:line="276" w:lineRule="auto"/>
        <w:jc w:val="both"/>
        <w:rPr>
          <w:rFonts w:ascii="Book Antiqua" w:eastAsia="Calibri" w:hAnsi="Book Antiqua" w:cs="Arial"/>
          <w:sz w:val="24"/>
          <w:szCs w:val="24"/>
          <w:lang w:eastAsia="es-CR"/>
        </w:rPr>
      </w:pPr>
    </w:p>
    <w:p w14:paraId="42588300" w14:textId="05B0F1F9" w:rsidR="00C31C5A" w:rsidRPr="001D0C10" w:rsidRDefault="00C31C5A" w:rsidP="0090609F">
      <w:pPr>
        <w:pStyle w:val="Prrafodelista"/>
        <w:widowControl w:val="0"/>
        <w:numPr>
          <w:ilvl w:val="1"/>
          <w:numId w:val="44"/>
        </w:numPr>
        <w:spacing w:after="0" w:line="276" w:lineRule="auto"/>
        <w:jc w:val="both"/>
        <w:rPr>
          <w:rFonts w:ascii="Book Antiqua" w:eastAsia="Calibri" w:hAnsi="Book Antiqua" w:cs="Arial"/>
          <w:sz w:val="24"/>
          <w:szCs w:val="24"/>
          <w:lang w:eastAsia="es-CR"/>
        </w:rPr>
      </w:pPr>
      <w:r w:rsidRPr="001D0C10">
        <w:rPr>
          <w:rFonts w:ascii="Book Antiqua" w:eastAsia="Calibri" w:hAnsi="Book Antiqua" w:cs="Arial"/>
          <w:sz w:val="24"/>
          <w:szCs w:val="24"/>
          <w:lang w:eastAsia="es-CR"/>
        </w:rPr>
        <w:t xml:space="preserve">Dar cumplimiento a su tarea dentro del Proyecto 1374-CF-P01 </w:t>
      </w:r>
      <w:r w:rsidRPr="001D0C10">
        <w:rPr>
          <w:rFonts w:ascii="Book Antiqua" w:eastAsia="Calibri" w:hAnsi="Book Antiqua" w:cs="Arial"/>
          <w:i/>
          <w:iCs/>
          <w:sz w:val="24"/>
          <w:szCs w:val="24"/>
          <w:lang w:eastAsia="es-CR"/>
        </w:rPr>
        <w:t>“Implementación del Código Procesal de Familia</w:t>
      </w:r>
      <w:r w:rsidRPr="001D0C10">
        <w:rPr>
          <w:rFonts w:ascii="Book Antiqua" w:eastAsia="Calibri" w:hAnsi="Book Antiqua" w:cs="Arial"/>
          <w:sz w:val="24"/>
          <w:szCs w:val="24"/>
          <w:lang w:eastAsia="es-CR"/>
        </w:rPr>
        <w:t>” y remitir el entregable correspondiente conforme al cronograma y metodología de proyectos institucional en coordinación con el Juez Gestor en la materia y la Comisión de Familia, Niñez y Adolescencia.</w:t>
      </w:r>
    </w:p>
    <w:p w14:paraId="3E2B23D1" w14:textId="1809E0D2" w:rsidR="00F21E27" w:rsidRDefault="00F21E27" w:rsidP="00C31C5A">
      <w:pPr>
        <w:widowControl w:val="0"/>
        <w:spacing w:after="0" w:line="276" w:lineRule="auto"/>
        <w:jc w:val="both"/>
        <w:rPr>
          <w:rFonts w:ascii="Book Antiqua" w:eastAsia="Calibri" w:hAnsi="Book Antiqua" w:cs="Arial"/>
          <w:sz w:val="24"/>
          <w:szCs w:val="24"/>
          <w:lang w:eastAsia="es-CR"/>
        </w:rPr>
      </w:pPr>
    </w:p>
    <w:tbl>
      <w:tblPr>
        <w:tblW w:w="0" w:type="auto"/>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3453"/>
        <w:gridCol w:w="1128"/>
        <w:gridCol w:w="1371"/>
        <w:gridCol w:w="1166"/>
        <w:gridCol w:w="1710"/>
      </w:tblGrid>
      <w:tr w:rsidR="00B601AA" w:rsidRPr="00B601AA" w14:paraId="704F2A42" w14:textId="77777777" w:rsidTr="00B601AA">
        <w:tc>
          <w:tcPr>
            <w:tcW w:w="3453"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7C3F917"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Nombre de tarea</w:t>
            </w:r>
          </w:p>
        </w:tc>
        <w:tc>
          <w:tcPr>
            <w:tcW w:w="1128"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437BB0D"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Duración</w:t>
            </w:r>
          </w:p>
        </w:tc>
        <w:tc>
          <w:tcPr>
            <w:tcW w:w="1371"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90FB772"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Comienzo</w:t>
            </w:r>
          </w:p>
        </w:tc>
        <w:tc>
          <w:tcPr>
            <w:tcW w:w="1166"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AFD3C19"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Fin</w:t>
            </w:r>
          </w:p>
        </w:tc>
        <w:tc>
          <w:tcPr>
            <w:tcW w:w="171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FF760F4" w14:textId="77777777" w:rsidR="00B601AA" w:rsidRPr="00B601AA" w:rsidRDefault="00B601AA" w:rsidP="00B601AA">
            <w:pPr>
              <w:spacing w:after="0" w:line="240" w:lineRule="auto"/>
              <w:rPr>
                <w:rFonts w:ascii="Segoe UI" w:eastAsia="Times New Roman" w:hAnsi="Segoe UI" w:cs="Segoe UI"/>
                <w:sz w:val="18"/>
                <w:szCs w:val="18"/>
                <w:lang w:eastAsia="es-CR"/>
              </w:rPr>
            </w:pPr>
            <w:r w:rsidRPr="00B601AA">
              <w:rPr>
                <w:rFonts w:ascii="Segoe UI" w:eastAsia="Times New Roman" w:hAnsi="Segoe UI" w:cs="Segoe UI"/>
                <w:color w:val="363636"/>
                <w:sz w:val="18"/>
                <w:szCs w:val="18"/>
                <w:shd w:val="clear" w:color="auto" w:fill="DFE3E8"/>
                <w:lang w:eastAsia="es-CR"/>
              </w:rPr>
              <w:t>% completado</w:t>
            </w:r>
          </w:p>
        </w:tc>
      </w:tr>
      <w:tr w:rsidR="00B601AA" w:rsidRPr="00B601AA" w14:paraId="09217BD8" w14:textId="77777777" w:rsidTr="00B601AA">
        <w:tc>
          <w:tcPr>
            <w:tcW w:w="345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1519F8"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3.15. Informe Contraloría, afiches y acercamiento CPU</w:t>
            </w:r>
          </w:p>
        </w:tc>
        <w:tc>
          <w:tcPr>
            <w:tcW w:w="112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91F976"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219 días</w:t>
            </w:r>
          </w:p>
        </w:tc>
        <w:tc>
          <w:tcPr>
            <w:tcW w:w="137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71C10D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lun 4/10/21</w:t>
            </w:r>
          </w:p>
        </w:tc>
        <w:tc>
          <w:tcPr>
            <w:tcW w:w="116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BDD973"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vie 2/9/22</w:t>
            </w:r>
          </w:p>
        </w:tc>
        <w:tc>
          <w:tcPr>
            <w:tcW w:w="171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4BDB1B"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b/>
                <w:bCs/>
                <w:color w:val="000000"/>
                <w:lang w:eastAsia="es-CR"/>
              </w:rPr>
              <w:t>29%</w:t>
            </w:r>
          </w:p>
        </w:tc>
      </w:tr>
      <w:tr w:rsidR="00B601AA" w:rsidRPr="00B601AA" w14:paraId="48E45B6F" w14:textId="77777777" w:rsidTr="00B601AA">
        <w:tc>
          <w:tcPr>
            <w:tcW w:w="345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98C98F"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Diagnóstico previo</w:t>
            </w:r>
          </w:p>
        </w:tc>
        <w:tc>
          <w:tcPr>
            <w:tcW w:w="112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7966B6"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117 días</w:t>
            </w:r>
          </w:p>
        </w:tc>
        <w:tc>
          <w:tcPr>
            <w:tcW w:w="137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66464F"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4/10/21</w:t>
            </w:r>
          </w:p>
        </w:tc>
        <w:tc>
          <w:tcPr>
            <w:tcW w:w="116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EA417A4"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vie 1/4/22</w:t>
            </w:r>
          </w:p>
        </w:tc>
        <w:tc>
          <w:tcPr>
            <w:tcW w:w="171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2BF1B3"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50%</w:t>
            </w:r>
          </w:p>
        </w:tc>
      </w:tr>
      <w:tr w:rsidR="00B601AA" w:rsidRPr="00B601AA" w14:paraId="64C6376F" w14:textId="77777777" w:rsidTr="00B601AA">
        <w:tc>
          <w:tcPr>
            <w:tcW w:w="345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949174"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 xml:space="preserve">   Encuestas, acercamiento Personal Usuarios</w:t>
            </w:r>
          </w:p>
        </w:tc>
        <w:tc>
          <w:tcPr>
            <w:tcW w:w="112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9D1112"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86 días</w:t>
            </w:r>
          </w:p>
        </w:tc>
        <w:tc>
          <w:tcPr>
            <w:tcW w:w="137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A491D1"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lun 2/5/22</w:t>
            </w:r>
          </w:p>
        </w:tc>
        <w:tc>
          <w:tcPr>
            <w:tcW w:w="116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7AD433"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vie 2/9/22</w:t>
            </w:r>
          </w:p>
        </w:tc>
        <w:tc>
          <w:tcPr>
            <w:tcW w:w="171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2B50C4" w14:textId="77777777" w:rsidR="00B601AA" w:rsidRPr="00B601AA" w:rsidRDefault="00B601AA" w:rsidP="00B601AA">
            <w:pPr>
              <w:spacing w:after="0" w:line="240" w:lineRule="auto"/>
              <w:rPr>
                <w:rFonts w:ascii="Calibri" w:eastAsia="Times New Roman" w:hAnsi="Calibri" w:cs="Calibri"/>
                <w:lang w:eastAsia="es-CR"/>
              </w:rPr>
            </w:pPr>
            <w:r w:rsidRPr="00B601AA">
              <w:rPr>
                <w:rFonts w:ascii="Calibri" w:eastAsia="Times New Roman" w:hAnsi="Calibri" w:cs="Calibri"/>
                <w:color w:val="000000"/>
                <w:lang w:eastAsia="es-CR"/>
              </w:rPr>
              <w:t>0%</w:t>
            </w:r>
          </w:p>
        </w:tc>
      </w:tr>
    </w:tbl>
    <w:p w14:paraId="08F613EA" w14:textId="77777777" w:rsidR="00F21E27" w:rsidRPr="00C31C5A" w:rsidRDefault="00F21E27" w:rsidP="00C31C5A">
      <w:pPr>
        <w:widowControl w:val="0"/>
        <w:spacing w:after="0" w:line="276" w:lineRule="auto"/>
        <w:jc w:val="both"/>
        <w:rPr>
          <w:rFonts w:ascii="Book Antiqua" w:eastAsia="Calibri" w:hAnsi="Book Antiqua" w:cs="Arial"/>
          <w:sz w:val="24"/>
          <w:szCs w:val="24"/>
          <w:lang w:eastAsia="es-CR"/>
        </w:rPr>
      </w:pPr>
    </w:p>
    <w:p w14:paraId="58A680F3" w14:textId="77777777" w:rsidR="00C31C5A" w:rsidRPr="00C31C5A" w:rsidRDefault="00C31C5A" w:rsidP="00C31C5A">
      <w:pPr>
        <w:widowControl w:val="0"/>
        <w:spacing w:after="0" w:line="276" w:lineRule="auto"/>
        <w:jc w:val="both"/>
        <w:rPr>
          <w:rFonts w:ascii="Book Antiqua" w:eastAsia="Calibri" w:hAnsi="Book Antiqua" w:cs="Arial"/>
          <w:sz w:val="24"/>
          <w:szCs w:val="24"/>
        </w:rPr>
      </w:pPr>
    </w:p>
    <w:p w14:paraId="4CBC5AC2" w14:textId="6CE134AA" w:rsidR="00494EB9" w:rsidRPr="00494EB9" w:rsidRDefault="00494EB9" w:rsidP="00494EB9">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494EB9">
        <w:rPr>
          <w:rFonts w:ascii="Book Antiqua" w:eastAsia="MS PGothic" w:hAnsi="Book Antiqua" w:cs="Times New Roman"/>
          <w:b/>
          <w:snapToGrid w:val="0"/>
          <w:sz w:val="24"/>
          <w:szCs w:val="24"/>
          <w:lang w:val="es-ES" w:eastAsia="es-ES"/>
        </w:rPr>
        <w:t xml:space="preserve">A la Dirección de Tecnología de la Información y </w:t>
      </w:r>
      <w:r w:rsidR="00582BCB">
        <w:rPr>
          <w:rFonts w:ascii="Book Antiqua" w:eastAsia="MS PGothic" w:hAnsi="Book Antiqua" w:cs="Times New Roman"/>
          <w:b/>
          <w:snapToGrid w:val="0"/>
          <w:sz w:val="24"/>
          <w:szCs w:val="24"/>
          <w:lang w:val="es-ES" w:eastAsia="es-ES"/>
        </w:rPr>
        <w:t>Comunicaciones, así como</w:t>
      </w:r>
      <w:r w:rsidRPr="00494EB9">
        <w:rPr>
          <w:rFonts w:ascii="Book Antiqua" w:eastAsia="MS PGothic" w:hAnsi="Book Antiqua" w:cs="Times New Roman"/>
          <w:b/>
          <w:snapToGrid w:val="0"/>
          <w:sz w:val="24"/>
          <w:szCs w:val="24"/>
          <w:lang w:val="es-ES" w:eastAsia="es-ES"/>
        </w:rPr>
        <w:t xml:space="preserve"> </w:t>
      </w:r>
      <w:r w:rsidR="00582BCB">
        <w:rPr>
          <w:rFonts w:ascii="Book Antiqua" w:eastAsia="MS PGothic" w:hAnsi="Book Antiqua" w:cs="Times New Roman"/>
          <w:b/>
          <w:snapToGrid w:val="0"/>
          <w:sz w:val="24"/>
          <w:szCs w:val="24"/>
          <w:lang w:val="es-ES" w:eastAsia="es-ES"/>
        </w:rPr>
        <w:t xml:space="preserve">sus </w:t>
      </w:r>
      <w:r w:rsidRPr="00494EB9">
        <w:rPr>
          <w:rFonts w:ascii="Book Antiqua" w:eastAsia="MS PGothic" w:hAnsi="Book Antiqua" w:cs="Times New Roman"/>
          <w:b/>
          <w:snapToGrid w:val="0"/>
          <w:sz w:val="24"/>
          <w:szCs w:val="24"/>
          <w:lang w:val="es-ES" w:eastAsia="es-ES"/>
        </w:rPr>
        <w:t>sedes Regionales a nivel nacional</w:t>
      </w:r>
    </w:p>
    <w:p w14:paraId="224FC9F7" w14:textId="77777777" w:rsidR="00494EB9" w:rsidRPr="00494EB9" w:rsidRDefault="00494EB9" w:rsidP="00494EB9">
      <w:pPr>
        <w:spacing w:after="0" w:line="276" w:lineRule="auto"/>
        <w:jc w:val="both"/>
        <w:rPr>
          <w:rFonts w:ascii="Book Antiqua" w:eastAsia="Calibri" w:hAnsi="Book Antiqua" w:cs="Arial"/>
          <w:sz w:val="24"/>
          <w:szCs w:val="24"/>
        </w:rPr>
      </w:pPr>
    </w:p>
    <w:p w14:paraId="2DBA28D0" w14:textId="2BCC9FEF" w:rsidR="000F5376" w:rsidRPr="00582BCB" w:rsidRDefault="00494EB9" w:rsidP="00582BCB">
      <w:pPr>
        <w:pStyle w:val="Prrafodelista"/>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Realizar con carácter urgente la mejora en el reparto por procedimiento, de forma que se puedan excluir los asuntos reentrados del rol de reparto conforme al </w:t>
      </w:r>
      <w:bookmarkStart w:id="74" w:name="_Hlk97524805"/>
      <w:r w:rsidRPr="001D0C10">
        <w:rPr>
          <w:rFonts w:ascii="Book Antiqua" w:eastAsia="Calibri" w:hAnsi="Book Antiqua" w:cs="Arial"/>
          <w:sz w:val="24"/>
          <w:szCs w:val="24"/>
        </w:rPr>
        <w:t xml:space="preserve">requerimiento realizado el 15 de diciembre 2020 (ver </w:t>
      </w:r>
      <w:r w:rsidRPr="001D0C10">
        <w:rPr>
          <w:rFonts w:ascii="Book Antiqua" w:eastAsia="Calibri" w:hAnsi="Book Antiqua" w:cs="Arial"/>
          <w:b/>
          <w:bCs/>
          <w:i/>
          <w:iCs/>
          <w:sz w:val="24"/>
          <w:szCs w:val="24"/>
        </w:rPr>
        <w:t xml:space="preserve">anexo </w:t>
      </w:r>
      <w:r w:rsidR="001146C5" w:rsidRPr="001D0C10">
        <w:rPr>
          <w:rFonts w:ascii="Book Antiqua" w:eastAsia="Calibri" w:hAnsi="Book Antiqua" w:cs="Arial"/>
          <w:b/>
          <w:bCs/>
          <w:i/>
          <w:iCs/>
          <w:sz w:val="24"/>
          <w:szCs w:val="24"/>
        </w:rPr>
        <w:t>4</w:t>
      </w:r>
      <w:r w:rsidRPr="001D0C10">
        <w:rPr>
          <w:rFonts w:ascii="Book Antiqua" w:eastAsia="Calibri" w:hAnsi="Book Antiqua" w:cs="Arial"/>
          <w:sz w:val="24"/>
          <w:szCs w:val="24"/>
        </w:rPr>
        <w:t xml:space="preserve">). </w:t>
      </w:r>
      <w:bookmarkEnd w:id="74"/>
      <w:r w:rsidRPr="001D0C10">
        <w:rPr>
          <w:rFonts w:ascii="Book Antiqua" w:eastAsia="Calibri" w:hAnsi="Book Antiqua" w:cs="Arial"/>
          <w:sz w:val="24"/>
          <w:szCs w:val="24"/>
        </w:rPr>
        <w:t>Una vez validado su uso, proceder a la implementación de este tipo de reparto en la Jurisdicción de Familia, Pensiones y Violencia Doméstica a nivel nacional.</w:t>
      </w:r>
    </w:p>
    <w:p w14:paraId="36F7CC5A" w14:textId="1A3A22FB" w:rsidR="00494EB9" w:rsidRPr="001D0C10" w:rsidRDefault="00494EB9" w:rsidP="0090609F">
      <w:pPr>
        <w:pStyle w:val="Prrafodelista"/>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Realizar con carácter de urgente, la mejora solicitada mediante reporte GIS RF-1009915-3-118986 de forma que se pueda cruzar la información entre la clase de asunto y el resultado de las resoluciones, a fin de lograr obtener directamente del SIGMA la cantidad de resoluciones de aprobación o improbación de divorcios por mutuo consentimiento y poder incluirlo así en la matriz.  </w:t>
      </w:r>
      <w:r w:rsidR="001146C5" w:rsidRPr="001D0C10">
        <w:rPr>
          <w:rFonts w:ascii="Book Antiqua" w:eastAsia="Calibri" w:hAnsi="Book Antiqua" w:cs="Arial"/>
          <w:sz w:val="24"/>
          <w:szCs w:val="24"/>
        </w:rPr>
        <w:t>De manera</w:t>
      </w:r>
      <w:r w:rsidRPr="001D0C10">
        <w:rPr>
          <w:rFonts w:ascii="Book Antiqua" w:eastAsia="Calibri" w:hAnsi="Book Antiqua" w:cs="Arial"/>
          <w:sz w:val="24"/>
          <w:szCs w:val="24"/>
        </w:rPr>
        <w:t xml:space="preserve"> temporal y hasta tanto este lista la mejora, se definió con el Juez Gestor que sean las personas técnicas judiciales quiénes hagan el pase a fallo de estos expedientes, de manera que se registre así en el libro de pase a fallo y puedan contabilizarse desde ahí. La comunicación de la medida temporal a las oficinas está a cargo del Juez Gestor.</w:t>
      </w:r>
    </w:p>
    <w:p w14:paraId="311055F3" w14:textId="779A287F" w:rsidR="00494EB9" w:rsidRPr="001D0C10" w:rsidRDefault="000F5376" w:rsidP="0090609F">
      <w:pPr>
        <w:pStyle w:val="Prrafodelista"/>
        <w:numPr>
          <w:ilvl w:val="1"/>
          <w:numId w:val="44"/>
        </w:numPr>
        <w:tabs>
          <w:tab w:val="left" w:pos="426"/>
        </w:tabs>
        <w:autoSpaceDE w:val="0"/>
        <w:autoSpaceDN w:val="0"/>
        <w:adjustRightInd w:val="0"/>
        <w:spacing w:after="0" w:line="276" w:lineRule="auto"/>
        <w:jc w:val="both"/>
        <w:rPr>
          <w:rFonts w:ascii="Book Antiqua" w:eastAsia="Calibri" w:hAnsi="Book Antiqua" w:cs="Arial"/>
          <w:sz w:val="24"/>
          <w:szCs w:val="24"/>
        </w:rPr>
      </w:pPr>
      <w:r>
        <w:rPr>
          <w:rFonts w:ascii="Book Antiqua" w:eastAsia="Calibri" w:hAnsi="Book Antiqua" w:cs="Arial"/>
          <w:sz w:val="24"/>
          <w:szCs w:val="24"/>
        </w:rPr>
        <w:lastRenderedPageBreak/>
        <w:t>R</w:t>
      </w:r>
      <w:r w:rsidR="00494EB9" w:rsidRPr="001D0C10">
        <w:rPr>
          <w:rFonts w:ascii="Book Antiqua" w:eastAsia="Calibri" w:hAnsi="Book Antiqua" w:cs="Arial"/>
          <w:sz w:val="24"/>
          <w:szCs w:val="24"/>
        </w:rPr>
        <w:t xml:space="preserve">ealizar con carácter urgente, mejora en el sistema SIGA PJ que amplié la cantidad de caracteres para incluir los nombres correctos de las oficinas, incluidos los nuevos nombres de las oficinas competentes en Violencia Doméstica y Protección Cautelar, requerimiento presentado por la misma Comisión de Familia, Niñez y Adolescencia en la sesión del primero de diciembre </w:t>
      </w:r>
      <w:r w:rsidR="00117E77" w:rsidRPr="001D0C10">
        <w:rPr>
          <w:rFonts w:ascii="Book Antiqua" w:eastAsia="Calibri" w:hAnsi="Book Antiqua" w:cs="Arial"/>
          <w:sz w:val="24"/>
          <w:szCs w:val="24"/>
        </w:rPr>
        <w:t>2021</w:t>
      </w:r>
      <w:r w:rsidR="00494EB9" w:rsidRPr="001D0C10">
        <w:rPr>
          <w:rFonts w:ascii="Book Antiqua" w:eastAsia="Calibri" w:hAnsi="Book Antiqua" w:cs="Arial"/>
          <w:sz w:val="24"/>
          <w:szCs w:val="24"/>
        </w:rPr>
        <w:t>, artículo III y mediante oficio 124-PLA-PP-MI-2021.</w:t>
      </w:r>
    </w:p>
    <w:p w14:paraId="4309A0DE" w14:textId="77777777" w:rsidR="00483946" w:rsidRPr="001B17C7" w:rsidRDefault="00483946" w:rsidP="001B17C7">
      <w:pPr>
        <w:pStyle w:val="Ttulo"/>
        <w:spacing w:line="276" w:lineRule="auto"/>
        <w:jc w:val="both"/>
        <w:rPr>
          <w:szCs w:val="24"/>
          <w:lang w:val="es-CR"/>
        </w:rPr>
      </w:pPr>
    </w:p>
    <w:p w14:paraId="13887073" w14:textId="062E102F" w:rsidR="003F7A0D" w:rsidRDefault="001B17C7" w:rsidP="001D0C10">
      <w:pPr>
        <w:keepNext/>
        <w:widowControl w:val="0"/>
        <w:shd w:val="clear" w:color="auto" w:fill="B6DDE8"/>
        <w:autoSpaceDN w:val="0"/>
        <w:adjustRightInd w:val="0"/>
        <w:spacing w:after="0" w:line="276" w:lineRule="auto"/>
        <w:jc w:val="both"/>
        <w:outlineLvl w:val="1"/>
      </w:pPr>
      <w:r w:rsidRPr="001B17C7">
        <w:rPr>
          <w:rFonts w:ascii="Book Antiqua" w:eastAsia="MS PGothic" w:hAnsi="Book Antiqua" w:cs="Times New Roman"/>
          <w:b/>
          <w:snapToGrid w:val="0"/>
          <w:sz w:val="24"/>
          <w:szCs w:val="24"/>
          <w:lang w:val="es-ES" w:eastAsia="es-ES"/>
        </w:rPr>
        <w:t>A las Administraciones Regionales a nivel nacional</w:t>
      </w:r>
    </w:p>
    <w:p w14:paraId="754822B1" w14:textId="77777777" w:rsidR="00220CA5" w:rsidRDefault="00220CA5" w:rsidP="001B17C7">
      <w:pPr>
        <w:spacing w:after="0" w:line="276" w:lineRule="auto"/>
        <w:jc w:val="both"/>
        <w:rPr>
          <w:rFonts w:ascii="Book Antiqua" w:eastAsia="Calibri" w:hAnsi="Book Antiqua" w:cs="Arial"/>
          <w:sz w:val="24"/>
          <w:szCs w:val="24"/>
        </w:rPr>
      </w:pPr>
    </w:p>
    <w:p w14:paraId="3D4545BC" w14:textId="68C0D401" w:rsidR="001B17C7" w:rsidRPr="001D0C10" w:rsidRDefault="001B17C7" w:rsidP="0090609F">
      <w:pPr>
        <w:pStyle w:val="Prrafodelista"/>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Dar cumplimiento a lo establecido en el “</w:t>
      </w:r>
      <w:r w:rsidRPr="001D0C10">
        <w:rPr>
          <w:rFonts w:ascii="Book Antiqua" w:eastAsia="Calibri" w:hAnsi="Book Antiqua" w:cs="Arial"/>
          <w:i/>
          <w:iCs/>
          <w:sz w:val="24"/>
          <w:szCs w:val="24"/>
        </w:rPr>
        <w:t>Reglamento sobre Expediente Electrónico ante el Poder Judicial”,</w:t>
      </w:r>
      <w:r w:rsidRPr="001D0C10">
        <w:rPr>
          <w:rFonts w:ascii="Book Antiqua" w:eastAsia="Calibri" w:hAnsi="Book Antiqua" w:cs="Arial"/>
          <w:sz w:val="24"/>
          <w:szCs w:val="24"/>
        </w:rPr>
        <w:t xml:space="preserve"> circular 139-11, cita artículo 5 y otros referidos al tema que enfatiza a la política de cero papel y Capítulo III en relación con las “</w:t>
      </w:r>
      <w:r w:rsidRPr="001D0C10">
        <w:rPr>
          <w:rFonts w:ascii="Book Antiqua" w:eastAsia="Calibri" w:hAnsi="Book Antiqua" w:cs="Arial"/>
          <w:i/>
          <w:iCs/>
          <w:sz w:val="24"/>
          <w:szCs w:val="24"/>
        </w:rPr>
        <w:t>Gestiones de partes en procesos ante el Poder Judicial por medios electrónicos, informáticos, telemáticos o semejantes”;</w:t>
      </w:r>
      <w:r w:rsidRPr="001D0C10">
        <w:rPr>
          <w:rFonts w:ascii="Book Antiqua" w:eastAsia="Calibri" w:hAnsi="Book Antiqua" w:cs="Arial"/>
          <w:sz w:val="24"/>
          <w:szCs w:val="24"/>
        </w:rPr>
        <w:t xml:space="preserve"> cuando se trate de despachos judiciales de trámite electrónico.</w:t>
      </w:r>
    </w:p>
    <w:p w14:paraId="5DD0A6AB" w14:textId="6B3AFCC6" w:rsidR="001B17C7" w:rsidRDefault="00B601AA" w:rsidP="0090609F">
      <w:pPr>
        <w:pStyle w:val="Ttulo"/>
        <w:numPr>
          <w:ilvl w:val="1"/>
          <w:numId w:val="44"/>
        </w:numPr>
        <w:spacing w:line="276" w:lineRule="auto"/>
        <w:jc w:val="left"/>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 xml:space="preserve">Dar cumplimiento a lo dispuesto en las circulares 61 y 79-2021, cuando las plazas supernumerarias den apoyo a juzgados que utilicen el </w:t>
      </w:r>
      <w:r w:rsidRPr="00B601AA">
        <w:rPr>
          <w:rFonts w:eastAsia="Calibri" w:cs="Arial"/>
          <w:b w:val="0"/>
          <w:color w:val="auto"/>
          <w:spacing w:val="0"/>
          <w:szCs w:val="24"/>
          <w:lang w:val="es-CR" w:eastAsia="en-US"/>
        </w:rPr>
        <w:t>módulo</w:t>
      </w:r>
      <w:r w:rsidRPr="001D0C10">
        <w:rPr>
          <w:rFonts w:eastAsia="Calibri" w:cs="Arial"/>
          <w:b w:val="0"/>
          <w:color w:val="auto"/>
          <w:spacing w:val="0"/>
          <w:szCs w:val="24"/>
          <w:lang w:val="es-CR" w:eastAsia="en-US"/>
        </w:rPr>
        <w:t xml:space="preserve"> de pase a fallo del Escritorio Virtual por tareas. </w:t>
      </w:r>
    </w:p>
    <w:p w14:paraId="7B7B4108" w14:textId="77777777" w:rsidR="00220CA5" w:rsidRPr="001D0C10" w:rsidRDefault="00220CA5" w:rsidP="009E73B0">
      <w:pPr>
        <w:pStyle w:val="Ttulo"/>
        <w:spacing w:line="276" w:lineRule="auto"/>
        <w:jc w:val="left"/>
        <w:rPr>
          <w:rFonts w:eastAsia="Calibri" w:cs="Arial"/>
          <w:b w:val="0"/>
          <w:color w:val="auto"/>
          <w:spacing w:val="0"/>
          <w:szCs w:val="24"/>
          <w:lang w:val="es-CR" w:eastAsia="en-US"/>
        </w:rPr>
      </w:pPr>
    </w:p>
    <w:p w14:paraId="1FA08BAA" w14:textId="77777777" w:rsidR="001B17C7" w:rsidRPr="001B17C7" w:rsidRDefault="001B17C7" w:rsidP="001B17C7">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1B17C7">
        <w:rPr>
          <w:rFonts w:ascii="Book Antiqua" w:eastAsia="MS PGothic" w:hAnsi="Book Antiqua" w:cs="Times New Roman"/>
          <w:b/>
          <w:snapToGrid w:val="0"/>
          <w:sz w:val="24"/>
          <w:szCs w:val="24"/>
          <w:lang w:val="es-ES" w:eastAsia="es-ES"/>
        </w:rPr>
        <w:t>A los Consejos de Administración a nivel nacional</w:t>
      </w:r>
    </w:p>
    <w:p w14:paraId="0B8C4786" w14:textId="4770072E" w:rsidR="001B17C7" w:rsidRDefault="001B17C7" w:rsidP="009E73B0">
      <w:pPr>
        <w:pStyle w:val="Ttulo"/>
        <w:spacing w:line="276" w:lineRule="auto"/>
        <w:jc w:val="left"/>
        <w:rPr>
          <w:szCs w:val="24"/>
          <w:lang w:val="es-CR"/>
        </w:rPr>
      </w:pPr>
    </w:p>
    <w:p w14:paraId="13358FC8" w14:textId="21310061" w:rsidR="001B17C7" w:rsidRPr="001D0C10" w:rsidRDefault="001B17C7"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 Conocerán los resultados del seguimiento y tomarán las medidas de apoyo requeridas para darle sostenibilidad al proceso, según sus competencias.</w:t>
      </w:r>
    </w:p>
    <w:p w14:paraId="2235F072" w14:textId="4656A776" w:rsidR="001B17C7" w:rsidRPr="001D0C10" w:rsidRDefault="001B17C7"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Se le reiteran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 Lo anterior conforme al acuerdo del Consejo Superior en sesión 82-2020 celebrada el 20 de agosto del 2020, artículo XLI.</w:t>
      </w:r>
    </w:p>
    <w:p w14:paraId="2FD04954" w14:textId="3176AC24" w:rsidR="001B17C7" w:rsidRDefault="001B17C7" w:rsidP="009E73B0">
      <w:pPr>
        <w:pStyle w:val="Ttulo"/>
        <w:spacing w:line="276" w:lineRule="auto"/>
        <w:jc w:val="left"/>
        <w:rPr>
          <w:szCs w:val="24"/>
          <w:lang w:val="es-CR"/>
        </w:rPr>
      </w:pPr>
    </w:p>
    <w:p w14:paraId="263B5356" w14:textId="77777777" w:rsidR="001B17C7" w:rsidRPr="001B17C7" w:rsidRDefault="001B17C7" w:rsidP="001B17C7">
      <w:pPr>
        <w:keepNext/>
        <w:widowControl w:val="0"/>
        <w:shd w:val="clear" w:color="auto" w:fill="B6DDE8"/>
        <w:autoSpaceDN w:val="0"/>
        <w:adjustRightInd w:val="0"/>
        <w:spacing w:after="0" w:line="276" w:lineRule="auto"/>
        <w:jc w:val="both"/>
        <w:outlineLvl w:val="1"/>
        <w:rPr>
          <w:rFonts w:ascii="Book Antiqua" w:eastAsia="MS PGothic" w:hAnsi="Book Antiqua" w:cs="Times New Roman"/>
          <w:b/>
          <w:snapToGrid w:val="0"/>
          <w:sz w:val="24"/>
          <w:szCs w:val="24"/>
          <w:lang w:val="es-ES" w:eastAsia="es-ES"/>
        </w:rPr>
      </w:pPr>
      <w:r w:rsidRPr="001B17C7">
        <w:rPr>
          <w:rFonts w:ascii="Book Antiqua" w:eastAsia="MS PGothic" w:hAnsi="Book Antiqua" w:cs="Times New Roman"/>
          <w:b/>
          <w:snapToGrid w:val="0"/>
          <w:sz w:val="24"/>
          <w:szCs w:val="24"/>
          <w:lang w:val="es-ES" w:eastAsia="es-ES"/>
        </w:rPr>
        <w:lastRenderedPageBreak/>
        <w:t>A los Juzgados competentes en materia de Familia a nivel nacional</w:t>
      </w:r>
    </w:p>
    <w:p w14:paraId="30B6AC88" w14:textId="795D6BBD" w:rsidR="001B17C7" w:rsidRDefault="001B17C7" w:rsidP="009E73B0">
      <w:pPr>
        <w:pStyle w:val="Ttulo"/>
        <w:spacing w:line="276" w:lineRule="auto"/>
        <w:jc w:val="left"/>
        <w:rPr>
          <w:szCs w:val="24"/>
          <w:lang w:val="es-CR"/>
        </w:rPr>
      </w:pPr>
    </w:p>
    <w:p w14:paraId="2268C25E" w14:textId="44E1CEB1" w:rsidR="001B17C7" w:rsidRPr="001D0C10" w:rsidRDefault="001B17C7"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Mantener actualizada la información de la Agenda Cronos, por lo que las personas juzgadoras serán las responsables de incluir el resultado de la audiencia y las personas técnicas judiciales encargadas de los expedientes deben de realizar los señalamientos; en acatamiento de las directrices institucionales, principalmente a las circulares 47-14, 261-14-17 y 15-17 de la Secretaría General de la Corte</w:t>
      </w:r>
      <w:r w:rsidR="00873D85" w:rsidRPr="001D0C10">
        <w:rPr>
          <w:rFonts w:ascii="Book Antiqua" w:eastAsia="Calibri" w:hAnsi="Book Antiqua" w:cs="Arial"/>
          <w:sz w:val="24"/>
          <w:szCs w:val="24"/>
        </w:rPr>
        <w:t>.</w:t>
      </w:r>
    </w:p>
    <w:p w14:paraId="0A88BC43" w14:textId="66D066A8" w:rsidR="001B17C7" w:rsidRPr="001D0C10" w:rsidRDefault="001B17C7"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Realizar las depuraciones de expedientes (con más de seis meses sin movimiento), mínimo dos veces al año; ya que la inactivación contribuye con la disminución del circulante en los Despachos. </w:t>
      </w:r>
    </w:p>
    <w:p w14:paraId="4E81EA26" w14:textId="2A33070A" w:rsidR="001B17C7" w:rsidRPr="001D0C10" w:rsidRDefault="001B17C7"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Realizar de forma trimestral la generación reporte en SIGMA de duraciones y revisar aquellos asuntos que superen la duración según criterio experto. Tomar las medidas necesarias para atender los asuntos si corresponde a causas propias de la oficina</w:t>
      </w:r>
      <w:r w:rsidR="008700B4" w:rsidRPr="001D0C10">
        <w:rPr>
          <w:rFonts w:ascii="Book Antiqua" w:eastAsia="Calibri" w:hAnsi="Book Antiqua" w:cs="Arial"/>
          <w:sz w:val="24"/>
          <w:szCs w:val="24"/>
        </w:rPr>
        <w:t>, circular 96-2021</w:t>
      </w:r>
      <w:r w:rsidR="001B05D9">
        <w:rPr>
          <w:rFonts w:ascii="Book Antiqua" w:eastAsia="Calibri" w:hAnsi="Book Antiqua" w:cs="Arial"/>
          <w:sz w:val="24"/>
          <w:szCs w:val="24"/>
        </w:rPr>
        <w:t xml:space="preserve"> y 213-2021</w:t>
      </w:r>
      <w:r w:rsidR="0041657C" w:rsidRPr="001D0C10">
        <w:rPr>
          <w:rFonts w:ascii="Book Antiqua" w:eastAsia="Calibri" w:hAnsi="Book Antiqua" w:cs="Arial"/>
          <w:sz w:val="24"/>
          <w:szCs w:val="24"/>
        </w:rPr>
        <w:t xml:space="preserve"> </w:t>
      </w:r>
      <w:r w:rsidR="0041657C" w:rsidRPr="001D0C10">
        <w:rPr>
          <w:rFonts w:ascii="Book Antiqua" w:eastAsia="Calibri" w:hAnsi="Book Antiqua" w:cs="Arial"/>
          <w:i/>
          <w:iCs/>
          <w:sz w:val="24"/>
          <w:szCs w:val="24"/>
          <w:shd w:val="clear" w:color="auto" w:fill="FFFFFF" w:themeFill="background1"/>
        </w:rPr>
        <w:t>Creación de un reporte informático denominado “Duración del circulante activo”</w:t>
      </w:r>
      <w:r w:rsidR="000C0F0F" w:rsidRPr="001D0C10">
        <w:rPr>
          <w:rFonts w:ascii="Book Antiqua" w:eastAsia="Calibri" w:hAnsi="Book Antiqua" w:cs="Arial"/>
          <w:sz w:val="24"/>
          <w:szCs w:val="24"/>
          <w:shd w:val="clear" w:color="auto" w:fill="FFFFFF" w:themeFill="background1"/>
        </w:rPr>
        <w:t>.</w:t>
      </w:r>
      <w:r w:rsidR="008700B4" w:rsidRPr="001D0C10">
        <w:rPr>
          <w:rFonts w:ascii="Book Antiqua" w:eastAsia="Calibri" w:hAnsi="Book Antiqua" w:cs="Arial"/>
          <w:sz w:val="24"/>
          <w:szCs w:val="24"/>
        </w:rPr>
        <w:t xml:space="preserve"> </w:t>
      </w:r>
    </w:p>
    <w:p w14:paraId="0FFB2DD2" w14:textId="77777777" w:rsidR="001B17C7" w:rsidRDefault="001B17C7" w:rsidP="009E73B0">
      <w:pPr>
        <w:pStyle w:val="Ttulo"/>
        <w:spacing w:line="276" w:lineRule="auto"/>
        <w:jc w:val="left"/>
        <w:rPr>
          <w:szCs w:val="24"/>
          <w:lang w:val="es-CR"/>
        </w:rPr>
      </w:pPr>
    </w:p>
    <w:p w14:paraId="087F63EF" w14:textId="6BD8D640" w:rsidR="003F7A0D" w:rsidRDefault="001B17C7" w:rsidP="001B17C7">
      <w:pPr>
        <w:pStyle w:val="Ttulo"/>
        <w:spacing w:line="276" w:lineRule="auto"/>
        <w:rPr>
          <w:szCs w:val="24"/>
          <w:lang w:val="es-CR"/>
        </w:rPr>
      </w:pPr>
      <w:r w:rsidRPr="001B17C7">
        <w:rPr>
          <w:rFonts w:eastAsia="Calibri" w:cs="Arial"/>
          <w:b w:val="0"/>
          <w:noProof/>
          <w:color w:val="auto"/>
          <w:spacing w:val="0"/>
          <w:sz w:val="22"/>
          <w:szCs w:val="22"/>
          <w:lang w:val="es-CR" w:eastAsia="en-US"/>
        </w:rPr>
        <w:drawing>
          <wp:inline distT="0" distB="0" distL="0" distR="0" wp14:anchorId="78A0336F" wp14:editId="6691D0BB">
            <wp:extent cx="3594296" cy="790498"/>
            <wp:effectExtent l="0" t="0" r="6350" b="0"/>
            <wp:docPr id="1263269088" name="Imagen 126326908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69088" name="Imagen 1263269088" descr="Tabla&#10;&#10;Descripción generada automáticamente"/>
                    <pic:cNvPicPr>
                      <a:picLocks noChangeAspect="1" noChangeArrowheads="1"/>
                    </pic:cNvPicPr>
                  </pic:nvPicPr>
                  <pic:blipFill rotWithShape="1">
                    <a:blip r:embed="rId77">
                      <a:extLst>
                        <a:ext uri="{28A0092B-C50C-407E-A947-70E740481C1C}">
                          <a14:useLocalDpi xmlns:a14="http://schemas.microsoft.com/office/drawing/2010/main" val="0"/>
                        </a:ext>
                      </a:extLst>
                    </a:blip>
                    <a:srcRect l="1209" t="7359" r="1141" b="27223"/>
                    <a:stretch/>
                  </pic:blipFill>
                  <pic:spPr bwMode="auto">
                    <a:xfrm>
                      <a:off x="0" y="0"/>
                      <a:ext cx="3616914" cy="795473"/>
                    </a:xfrm>
                    <a:prstGeom prst="rect">
                      <a:avLst/>
                    </a:prstGeom>
                    <a:noFill/>
                    <a:ln>
                      <a:noFill/>
                    </a:ln>
                    <a:extLst>
                      <a:ext uri="{53640926-AAD7-44D8-BBD7-CCE9431645EC}">
                        <a14:shadowObscured xmlns:a14="http://schemas.microsoft.com/office/drawing/2010/main"/>
                      </a:ext>
                    </a:extLst>
                  </pic:spPr>
                </pic:pic>
              </a:graphicData>
            </a:graphic>
          </wp:inline>
        </w:drawing>
      </w:r>
    </w:p>
    <w:p w14:paraId="44CDC63F" w14:textId="253B459E" w:rsidR="003F7A0D" w:rsidRDefault="003F7A0D" w:rsidP="009E73B0">
      <w:pPr>
        <w:pStyle w:val="Ttulo"/>
        <w:spacing w:line="276" w:lineRule="auto"/>
        <w:jc w:val="left"/>
        <w:rPr>
          <w:szCs w:val="24"/>
          <w:lang w:val="es-CR"/>
        </w:rPr>
      </w:pPr>
    </w:p>
    <w:p w14:paraId="45CD2AD9" w14:textId="41574A39" w:rsidR="000F5376" w:rsidRPr="00022ED0" w:rsidRDefault="00032565"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032565">
        <w:rPr>
          <w:rFonts w:ascii="Book Antiqua" w:eastAsia="Calibri" w:hAnsi="Book Antiqua" w:cs="Arial"/>
          <w:sz w:val="24"/>
          <w:szCs w:val="24"/>
        </w:rPr>
        <w:t>Verificar que la información incluida en los expedientes sea la correcta, que se actualice la información de la fase, tarea, ubicación, estado; entre otras, ya que es insumo para la toma de decisiones, por lo que debe ser confiable.</w:t>
      </w:r>
    </w:p>
    <w:p w14:paraId="13E13A9E" w14:textId="6B42EAF4" w:rsidR="000F5376" w:rsidRPr="00022ED0" w:rsidRDefault="00032565"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032565">
        <w:rPr>
          <w:rFonts w:ascii="Book Antiqua" w:eastAsia="Calibri" w:hAnsi="Book Antiqua" w:cs="Arial"/>
          <w:sz w:val="24"/>
          <w:szCs w:val="24"/>
        </w:rPr>
        <w:t>Revisar el Banco de Buenas Prácticas con el fin de valorar la idoneidad y replicar en los Despachos las que correspondan con el fin de mejorar la gestión de sus labores con las experiencias de otras oficinas.</w:t>
      </w:r>
    </w:p>
    <w:p w14:paraId="1FEED471" w14:textId="365C8226" w:rsidR="000F5376" w:rsidRPr="00022ED0" w:rsidRDefault="00032565"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032565">
        <w:rPr>
          <w:rFonts w:ascii="Book Antiqua" w:eastAsia="Calibri" w:hAnsi="Book Antiqua" w:cs="Arial"/>
          <w:sz w:val="24"/>
          <w:szCs w:val="24"/>
        </w:rPr>
        <w:t xml:space="preserve">Dar cumplimiento a las circulares 87-15, 159-15, 27 y 28-16, 160-16, 89-18, 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w:t>
      </w:r>
      <w:r w:rsidRPr="00032565">
        <w:rPr>
          <w:rFonts w:ascii="Book Antiqua" w:eastAsia="Calibri" w:hAnsi="Book Antiqua" w:cs="Arial"/>
          <w:sz w:val="24"/>
          <w:szCs w:val="24"/>
        </w:rPr>
        <w:lastRenderedPageBreak/>
        <w:t>que realiza la Institución, que buscan aumentar la eficiencia del Juzgado, optimizar la utilización de la tecnología, reducir los tiempos de trabajo y generar información vital para la toma de decisiones a nivel del despacho y gerencial.</w:t>
      </w:r>
    </w:p>
    <w:p w14:paraId="1C74C4A7" w14:textId="3F77CA6C" w:rsidR="000F5376" w:rsidRPr="00022ED0" w:rsidRDefault="00032565"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032565">
        <w:rPr>
          <w:rFonts w:ascii="Book Antiqua" w:eastAsia="Calibri" w:hAnsi="Book Antiqua" w:cs="Arial"/>
          <w:sz w:val="24"/>
          <w:szCs w:val="24"/>
        </w:rPr>
        <w:t>Actualizar la información dentro del Sistema de Gestión de Despachos Judiciales de las variables sociodemográficas de los distintos intervinientes en los procesos, con el objetivo de que sea información útil y necesaria para el análisis de mejoras en el servicio que se presta a las personas usuarias.</w:t>
      </w:r>
    </w:p>
    <w:p w14:paraId="4A6FD7C6" w14:textId="5FC261AA" w:rsidR="00A56408" w:rsidRPr="00022ED0"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022ED0">
        <w:rPr>
          <w:rFonts w:ascii="Book Antiqua" w:eastAsia="Calibri" w:hAnsi="Book Antiqua" w:cs="Arial"/>
          <w:sz w:val="24"/>
          <w:szCs w:val="24"/>
        </w:rPr>
        <w:t>Se reitera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14:paraId="29E97CEC" w14:textId="3AF927DA" w:rsidR="00A56408" w:rsidRPr="001D0C10" w:rsidRDefault="00B601AA" w:rsidP="0090609F">
      <w:pPr>
        <w:pStyle w:val="Ttulo"/>
        <w:numPr>
          <w:ilvl w:val="1"/>
          <w:numId w:val="44"/>
        </w:numPr>
        <w:spacing w:line="276" w:lineRule="auto"/>
        <w:jc w:val="both"/>
        <w:rPr>
          <w:rFonts w:eastAsia="Calibri" w:cs="Arial"/>
          <w:b w:val="0"/>
          <w:color w:val="auto"/>
          <w:spacing w:val="0"/>
          <w:szCs w:val="24"/>
          <w:lang w:val="es-CR" w:eastAsia="en-US"/>
        </w:rPr>
      </w:pPr>
      <w:r w:rsidRPr="001D0C10">
        <w:rPr>
          <w:rFonts w:eastAsia="Calibri" w:cs="Arial"/>
          <w:b w:val="0"/>
          <w:color w:val="auto"/>
          <w:spacing w:val="0"/>
          <w:szCs w:val="24"/>
          <w:lang w:val="es-CR" w:eastAsia="en-US"/>
        </w:rPr>
        <w:t xml:space="preserve">Dar </w:t>
      </w:r>
      <w:r w:rsidR="00E01AA0" w:rsidRPr="001D0C10">
        <w:rPr>
          <w:rFonts w:eastAsia="Calibri" w:cs="Arial"/>
          <w:b w:val="0"/>
          <w:color w:val="auto"/>
          <w:spacing w:val="0"/>
          <w:szCs w:val="24"/>
          <w:lang w:val="es-CR" w:eastAsia="en-US"/>
        </w:rPr>
        <w:t>cumplimiento a la</w:t>
      </w:r>
      <w:r w:rsidRPr="001D0C10">
        <w:rPr>
          <w:rFonts w:eastAsia="Calibri" w:cs="Arial"/>
          <w:b w:val="0"/>
          <w:color w:val="auto"/>
          <w:spacing w:val="0"/>
          <w:szCs w:val="24"/>
          <w:lang w:val="es-CR" w:eastAsia="en-US"/>
        </w:rPr>
        <w:t xml:space="preserve"> </w:t>
      </w:r>
      <w:r w:rsidRPr="00D145C6">
        <w:rPr>
          <w:rFonts w:eastAsia="Calibri" w:cs="Arial"/>
          <w:b w:val="0"/>
          <w:color w:val="auto"/>
          <w:spacing w:val="0"/>
          <w:szCs w:val="24"/>
          <w:lang w:val="es-CR" w:eastAsia="en-US"/>
        </w:rPr>
        <w:t>circula</w:t>
      </w:r>
      <w:r w:rsidR="00FC1F3A" w:rsidRPr="00D145C6">
        <w:rPr>
          <w:rFonts w:eastAsia="Calibri" w:cs="Arial"/>
          <w:b w:val="0"/>
          <w:color w:val="auto"/>
          <w:spacing w:val="0"/>
          <w:szCs w:val="24"/>
          <w:lang w:val="es-CR" w:eastAsia="en-US"/>
        </w:rPr>
        <w:t>r</w:t>
      </w:r>
      <w:r w:rsidRPr="00D145C6">
        <w:rPr>
          <w:rFonts w:eastAsia="Calibri" w:cs="Arial"/>
          <w:b w:val="0"/>
          <w:color w:val="auto"/>
          <w:spacing w:val="0"/>
          <w:szCs w:val="24"/>
          <w:lang w:val="es-CR" w:eastAsia="en-US"/>
        </w:rPr>
        <w:t xml:space="preserve"> </w:t>
      </w:r>
      <w:r w:rsidR="00E01AA0" w:rsidRPr="00D145C6">
        <w:rPr>
          <w:rFonts w:eastAsia="Calibri" w:cs="Arial"/>
          <w:b w:val="0"/>
          <w:color w:val="auto"/>
          <w:spacing w:val="0"/>
          <w:szCs w:val="24"/>
          <w:lang w:val="es-CR" w:eastAsia="en-US"/>
        </w:rPr>
        <w:t xml:space="preserve">relacionada con el </w:t>
      </w:r>
      <w:r w:rsidR="00740C10" w:rsidRPr="00D145C6">
        <w:rPr>
          <w:rFonts w:eastAsia="Calibri" w:cs="Arial"/>
          <w:b w:val="0"/>
          <w:color w:val="auto"/>
          <w:spacing w:val="0"/>
          <w:szCs w:val="24"/>
          <w:lang w:val="es-CR" w:eastAsia="en-US"/>
        </w:rPr>
        <w:t>régimen</w:t>
      </w:r>
      <w:r w:rsidRPr="001D0C10">
        <w:rPr>
          <w:rFonts w:eastAsia="Calibri" w:cs="Arial"/>
          <w:b w:val="0"/>
          <w:color w:val="auto"/>
          <w:spacing w:val="0"/>
          <w:szCs w:val="24"/>
          <w:lang w:val="es-CR" w:eastAsia="en-US"/>
        </w:rPr>
        <w:t xml:space="preserve"> disc</w:t>
      </w:r>
      <w:r w:rsidR="00E01AA0" w:rsidRPr="001D0C10">
        <w:rPr>
          <w:rFonts w:eastAsia="Calibri" w:cs="Arial"/>
          <w:b w:val="0"/>
          <w:color w:val="auto"/>
          <w:spacing w:val="0"/>
          <w:szCs w:val="24"/>
          <w:lang w:val="es-CR" w:eastAsia="en-US"/>
        </w:rPr>
        <w:t>ip</w:t>
      </w:r>
      <w:r w:rsidRPr="001D0C10">
        <w:rPr>
          <w:rFonts w:eastAsia="Calibri" w:cs="Arial"/>
          <w:b w:val="0"/>
          <w:color w:val="auto"/>
          <w:spacing w:val="0"/>
          <w:szCs w:val="24"/>
          <w:lang w:val="es-CR" w:eastAsia="en-US"/>
        </w:rPr>
        <w:t>l</w:t>
      </w:r>
      <w:r w:rsidR="00E01AA0" w:rsidRPr="001D0C10">
        <w:rPr>
          <w:rFonts w:eastAsia="Calibri" w:cs="Arial"/>
          <w:b w:val="0"/>
          <w:color w:val="auto"/>
          <w:spacing w:val="0"/>
          <w:szCs w:val="24"/>
          <w:lang w:val="es-CR" w:eastAsia="en-US"/>
        </w:rPr>
        <w:t>i</w:t>
      </w:r>
      <w:r w:rsidRPr="001D0C10">
        <w:rPr>
          <w:rFonts w:eastAsia="Calibri" w:cs="Arial"/>
          <w:b w:val="0"/>
          <w:color w:val="auto"/>
          <w:spacing w:val="0"/>
          <w:szCs w:val="24"/>
          <w:lang w:val="es-CR" w:eastAsia="en-US"/>
        </w:rPr>
        <w:t>nario</w:t>
      </w:r>
      <w:r w:rsidR="00E01AA0" w:rsidRPr="001D0C10">
        <w:rPr>
          <w:rFonts w:eastAsia="Calibri" w:cs="Arial"/>
          <w:b w:val="0"/>
          <w:color w:val="auto"/>
          <w:spacing w:val="0"/>
          <w:szCs w:val="24"/>
          <w:lang w:val="es-CR" w:eastAsia="en-US"/>
        </w:rPr>
        <w:t xml:space="preserve"> </w:t>
      </w:r>
      <w:bookmarkStart w:id="75" w:name="_Hlk97885411"/>
      <w:r w:rsidR="00FC1F3A">
        <w:rPr>
          <w:rFonts w:eastAsia="Calibri" w:cs="Arial"/>
          <w:b w:val="0"/>
          <w:color w:val="auto"/>
          <w:spacing w:val="0"/>
          <w:szCs w:val="24"/>
          <w:lang w:val="es-CR" w:eastAsia="en-US"/>
        </w:rPr>
        <w:t>1</w:t>
      </w:r>
      <w:r w:rsidR="00740C10" w:rsidRPr="001D0C10">
        <w:rPr>
          <w:rFonts w:eastAsia="Calibri" w:cs="Arial"/>
          <w:b w:val="0"/>
          <w:color w:val="auto"/>
          <w:spacing w:val="0"/>
          <w:szCs w:val="24"/>
          <w:lang w:val="es-CR" w:eastAsia="en-US"/>
        </w:rPr>
        <w:t>7</w:t>
      </w:r>
      <w:r w:rsidR="00FC1F3A">
        <w:rPr>
          <w:rFonts w:eastAsia="Calibri" w:cs="Arial"/>
          <w:b w:val="0"/>
          <w:color w:val="auto"/>
          <w:spacing w:val="0"/>
          <w:szCs w:val="24"/>
          <w:lang w:val="es-CR" w:eastAsia="en-US"/>
        </w:rPr>
        <w:t>0-</w:t>
      </w:r>
      <w:r w:rsidR="00740C10" w:rsidRPr="001D0C10">
        <w:rPr>
          <w:rFonts w:eastAsia="Calibri" w:cs="Arial"/>
          <w:b w:val="0"/>
          <w:color w:val="auto"/>
          <w:spacing w:val="0"/>
          <w:szCs w:val="24"/>
          <w:lang w:val="es-CR" w:eastAsia="en-US"/>
        </w:rPr>
        <w:t>2021</w:t>
      </w:r>
      <w:r w:rsidR="00FC1F3A">
        <w:rPr>
          <w:rFonts w:eastAsia="Calibri" w:cs="Arial"/>
          <w:b w:val="0"/>
          <w:color w:val="auto"/>
          <w:spacing w:val="0"/>
          <w:szCs w:val="24"/>
          <w:lang w:val="es-CR" w:eastAsia="en-US"/>
        </w:rPr>
        <w:t xml:space="preserve"> </w:t>
      </w:r>
      <w:r w:rsidR="00FC1F3A" w:rsidRPr="001D0C10">
        <w:rPr>
          <w:rFonts w:eastAsia="Calibri" w:cs="Arial"/>
          <w:b w:val="0"/>
          <w:i/>
          <w:iCs/>
          <w:color w:val="auto"/>
          <w:spacing w:val="0"/>
          <w:szCs w:val="24"/>
          <w:lang w:val="es-CR" w:eastAsia="en-US"/>
        </w:rPr>
        <w:t>Obligación de cumplir con la corrección de inconsistencias de manera permanente, cumplimiento de circulares y actualización de los controles implementados bajo apercibimiento de aplicar el régimen disciplinario por su incumplimiento</w:t>
      </w:r>
      <w:bookmarkEnd w:id="75"/>
      <w:r w:rsidR="00740C10" w:rsidRPr="001D0C10">
        <w:rPr>
          <w:rFonts w:eastAsia="Calibri" w:cs="Arial"/>
          <w:b w:val="0"/>
          <w:color w:val="auto"/>
          <w:spacing w:val="0"/>
          <w:szCs w:val="24"/>
          <w:lang w:val="es-CR" w:eastAsia="en-US"/>
        </w:rPr>
        <w:t>.</w:t>
      </w:r>
      <w:r w:rsidR="00E01AA0" w:rsidRPr="001D0C10">
        <w:rPr>
          <w:rFonts w:eastAsia="Calibri" w:cs="Arial"/>
          <w:b w:val="0"/>
          <w:color w:val="auto"/>
          <w:spacing w:val="0"/>
          <w:szCs w:val="24"/>
          <w:lang w:val="es-CR" w:eastAsia="en-US"/>
        </w:rPr>
        <w:t xml:space="preserve"> </w:t>
      </w:r>
    </w:p>
    <w:p w14:paraId="7EB5AB57" w14:textId="77777777" w:rsidR="00B601AA" w:rsidRDefault="00B601AA" w:rsidP="009E73B0">
      <w:pPr>
        <w:pStyle w:val="Ttulo"/>
        <w:spacing w:line="276" w:lineRule="auto"/>
        <w:jc w:val="left"/>
        <w:rPr>
          <w:szCs w:val="24"/>
          <w:lang w:val="es-CR"/>
        </w:rPr>
      </w:pPr>
    </w:p>
    <w:p w14:paraId="3C7C2BCE" w14:textId="77777777" w:rsidR="00A56408" w:rsidRPr="00A56408" w:rsidRDefault="00A56408" w:rsidP="00A56408">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napToGrid w:val="0"/>
          <w:sz w:val="24"/>
          <w:szCs w:val="24"/>
          <w:lang w:val="es-ES" w:eastAsia="es-ES"/>
        </w:rPr>
      </w:pPr>
      <w:r w:rsidRPr="00A56408">
        <w:rPr>
          <w:rFonts w:ascii="Book Antiqua" w:eastAsia="MS PGothic" w:hAnsi="Book Antiqua" w:cs="Times New Roman"/>
          <w:b/>
          <w:snapToGrid w:val="0"/>
          <w:sz w:val="24"/>
          <w:szCs w:val="24"/>
          <w:lang w:val="es-ES" w:eastAsia="es-ES"/>
        </w:rPr>
        <w:t>A los Juzgados que atienden materia de Pensiones Alimentarias a nivel nacional</w:t>
      </w:r>
    </w:p>
    <w:p w14:paraId="053A8A30" w14:textId="70DDFAF8" w:rsidR="003F7A0D" w:rsidRDefault="003F7A0D" w:rsidP="009E73B0">
      <w:pPr>
        <w:pStyle w:val="Ttulo"/>
        <w:spacing w:line="276" w:lineRule="auto"/>
        <w:jc w:val="left"/>
        <w:rPr>
          <w:szCs w:val="24"/>
          <w:lang w:val="es-CR"/>
        </w:rPr>
      </w:pPr>
    </w:p>
    <w:p w14:paraId="4721DF9E" w14:textId="47EA3B09" w:rsidR="00A56408" w:rsidRP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 xml:space="preserve">Dar cumplimiento a las circulares 87-15, 159-15, 27 y 28-16, 160-16, 89-18, 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w:t>
      </w:r>
      <w:r w:rsidRPr="00A56408">
        <w:rPr>
          <w:rFonts w:ascii="Book Antiqua" w:eastAsia="Calibri" w:hAnsi="Book Antiqua" w:cs="Arial"/>
          <w:sz w:val="24"/>
          <w:szCs w:val="24"/>
        </w:rPr>
        <w:lastRenderedPageBreak/>
        <w:t>generar información vital para la toma de decisiones a nivel del despacho y gerencial.</w:t>
      </w:r>
    </w:p>
    <w:p w14:paraId="1D139531" w14:textId="79916071" w:rsidR="00A56408" w:rsidRP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Actualizar la información dentro del Sistema de Gestión de Despachos Judiciales de las variables sociodemográficas de los distintos intervinientes en los procesos, con el objetivo de que se</w:t>
      </w:r>
      <w:r w:rsidR="001C0CC9">
        <w:rPr>
          <w:rFonts w:ascii="Book Antiqua" w:eastAsia="Calibri" w:hAnsi="Book Antiqua" w:cs="Arial"/>
          <w:sz w:val="24"/>
          <w:szCs w:val="24"/>
        </w:rPr>
        <w:t>a</w:t>
      </w:r>
      <w:r w:rsidRPr="00A56408">
        <w:rPr>
          <w:rFonts w:ascii="Book Antiqua" w:eastAsia="Calibri" w:hAnsi="Book Antiqua" w:cs="Arial"/>
          <w:sz w:val="24"/>
          <w:szCs w:val="24"/>
        </w:rPr>
        <w:t xml:space="preserve"> información útil y necesaria para el análisis de mejoras en el servicio que se presta a las personas usuarias.</w:t>
      </w:r>
    </w:p>
    <w:p w14:paraId="0EF1F914" w14:textId="6A16E375" w:rsid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7127CC">
        <w:rPr>
          <w:rFonts w:ascii="Book Antiqua" w:eastAsia="Calibri" w:hAnsi="Book Antiqua" w:cs="Arial"/>
          <w:sz w:val="24"/>
          <w:szCs w:val="24"/>
        </w:rPr>
        <w:t>Se reitera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14:paraId="7333A6C3" w14:textId="50D033ED" w:rsidR="006C3F71" w:rsidRPr="00582BCB" w:rsidRDefault="006C3F71"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D0C10">
        <w:rPr>
          <w:rFonts w:ascii="Book Antiqua" w:eastAsia="Calibri" w:hAnsi="Book Antiqua" w:cs="Arial"/>
          <w:sz w:val="24"/>
          <w:szCs w:val="24"/>
        </w:rPr>
        <w:t xml:space="preserve">Dar </w:t>
      </w:r>
      <w:r w:rsidR="00C95A75" w:rsidRPr="001D0C10">
        <w:rPr>
          <w:rFonts w:ascii="Book Antiqua" w:eastAsia="Calibri" w:hAnsi="Book Antiqua" w:cs="Arial"/>
          <w:sz w:val="24"/>
          <w:szCs w:val="24"/>
        </w:rPr>
        <w:t>cumplimiento a la</w:t>
      </w:r>
      <w:r w:rsidRPr="001D0C10">
        <w:rPr>
          <w:rFonts w:ascii="Book Antiqua" w:eastAsia="Calibri" w:hAnsi="Book Antiqua" w:cs="Arial"/>
          <w:sz w:val="24"/>
          <w:szCs w:val="24"/>
        </w:rPr>
        <w:t xml:space="preserve"> circula</w:t>
      </w:r>
      <w:r w:rsidR="00FC1F3A" w:rsidRPr="001D0C10">
        <w:rPr>
          <w:rFonts w:ascii="Book Antiqua" w:eastAsia="Calibri" w:hAnsi="Book Antiqua" w:cs="Arial"/>
          <w:sz w:val="24"/>
          <w:szCs w:val="24"/>
        </w:rPr>
        <w:t>r</w:t>
      </w:r>
      <w:r w:rsidRPr="001D0C10">
        <w:rPr>
          <w:rFonts w:ascii="Book Antiqua" w:eastAsia="Calibri" w:hAnsi="Book Antiqua" w:cs="Arial"/>
          <w:sz w:val="24"/>
          <w:szCs w:val="24"/>
        </w:rPr>
        <w:t xml:space="preserve"> </w:t>
      </w:r>
      <w:r w:rsidR="00FC1F3A" w:rsidRPr="001D0C10">
        <w:rPr>
          <w:rFonts w:ascii="Book Antiqua" w:eastAsia="Calibri" w:hAnsi="Book Antiqua" w:cs="Arial"/>
          <w:sz w:val="24"/>
          <w:szCs w:val="24"/>
        </w:rPr>
        <w:t xml:space="preserve">170-2021 </w:t>
      </w:r>
      <w:r w:rsidR="00695AC8" w:rsidRPr="00582BCB">
        <w:rPr>
          <w:rFonts w:ascii="Book Antiqua" w:eastAsia="Calibri" w:hAnsi="Book Antiqua" w:cs="Arial"/>
          <w:i/>
          <w:iCs/>
          <w:sz w:val="24"/>
          <w:szCs w:val="24"/>
        </w:rPr>
        <w:t>“</w:t>
      </w:r>
      <w:r w:rsidR="00FC1F3A" w:rsidRPr="00582BCB">
        <w:rPr>
          <w:rFonts w:ascii="Book Antiqua" w:eastAsia="Calibri" w:hAnsi="Book Antiqua" w:cs="Arial"/>
          <w:i/>
          <w:iCs/>
          <w:sz w:val="24"/>
          <w:szCs w:val="24"/>
        </w:rPr>
        <w:t>Obligación de cumplir con la corrección de inconsistencias de manera permanente, cumplimiento de circulares y actualización de los controles implementados bajo apercibimiento de aplicar el régimen disciplinario por su incumplimiento</w:t>
      </w:r>
      <w:r w:rsidR="00695AC8" w:rsidRPr="00582BCB">
        <w:rPr>
          <w:rFonts w:ascii="Book Antiqua" w:eastAsia="Calibri" w:hAnsi="Book Antiqua" w:cs="Arial"/>
          <w:i/>
          <w:iCs/>
          <w:sz w:val="24"/>
          <w:szCs w:val="24"/>
        </w:rPr>
        <w:t>”</w:t>
      </w:r>
      <w:r w:rsidR="004411E1" w:rsidRPr="00582BCB">
        <w:rPr>
          <w:rFonts w:ascii="Book Antiqua" w:eastAsia="Calibri" w:hAnsi="Book Antiqua" w:cs="Arial"/>
          <w:i/>
          <w:iCs/>
          <w:sz w:val="24"/>
          <w:szCs w:val="24"/>
        </w:rPr>
        <w:t>.</w:t>
      </w:r>
    </w:p>
    <w:p w14:paraId="07BEC2FC" w14:textId="18BAC193" w:rsidR="006C3F71" w:rsidRDefault="006C3F71"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B17C7">
        <w:rPr>
          <w:rFonts w:ascii="Book Antiqua" w:eastAsia="Calibri" w:hAnsi="Book Antiqua" w:cs="Arial"/>
          <w:sz w:val="24"/>
          <w:szCs w:val="24"/>
        </w:rPr>
        <w:t xml:space="preserve">Realizar de forma trimestral la generación reporte en SIGMA de duraciones y revisar aquellos asuntos que superen la duración según criterio experto. Tomar las medidas necesarias para atender los asuntos si corresponde a causas propias de la oficina. </w:t>
      </w:r>
      <w:r w:rsidRPr="001D0C10">
        <w:rPr>
          <w:rFonts w:ascii="Book Antiqua" w:eastAsia="Calibri" w:hAnsi="Book Antiqua" w:cs="Arial"/>
          <w:sz w:val="24"/>
          <w:szCs w:val="24"/>
        </w:rPr>
        <w:t xml:space="preserve">Circular </w:t>
      </w:r>
      <w:r w:rsidR="0041657C" w:rsidRPr="001D0C10">
        <w:rPr>
          <w:rFonts w:ascii="Book Antiqua" w:eastAsia="Calibri" w:hAnsi="Book Antiqua" w:cs="Arial"/>
          <w:sz w:val="24"/>
          <w:szCs w:val="24"/>
        </w:rPr>
        <w:t xml:space="preserve">96-2021 </w:t>
      </w:r>
      <w:r w:rsidR="00695AC8">
        <w:rPr>
          <w:rFonts w:ascii="Book Antiqua" w:eastAsia="Calibri" w:hAnsi="Book Antiqua" w:cs="Arial"/>
          <w:sz w:val="24"/>
          <w:szCs w:val="24"/>
        </w:rPr>
        <w:t xml:space="preserve">y 213-21 </w:t>
      </w:r>
      <w:r w:rsidR="0041657C" w:rsidRPr="001D0C10">
        <w:rPr>
          <w:rFonts w:ascii="Book Antiqua" w:eastAsia="Calibri" w:hAnsi="Book Antiqua" w:cs="Arial"/>
          <w:sz w:val="24"/>
          <w:szCs w:val="24"/>
        </w:rPr>
        <w:t>Creación de un reporte informático denominado “Duración del circulante activo”.</w:t>
      </w:r>
    </w:p>
    <w:p w14:paraId="4FA0E717" w14:textId="77777777" w:rsidR="00E2229F" w:rsidRPr="001B17C7" w:rsidRDefault="00E2229F" w:rsidP="00E2229F">
      <w:pPr>
        <w:pStyle w:val="Prrafodelista"/>
        <w:widowControl w:val="0"/>
        <w:spacing w:after="0" w:line="276" w:lineRule="auto"/>
        <w:jc w:val="both"/>
        <w:rPr>
          <w:rFonts w:ascii="Book Antiqua" w:eastAsia="Calibri" w:hAnsi="Book Antiqua" w:cs="Arial"/>
          <w:sz w:val="24"/>
          <w:szCs w:val="24"/>
        </w:rPr>
      </w:pPr>
    </w:p>
    <w:p w14:paraId="7BF10A66" w14:textId="6E330C27" w:rsidR="00192EFC" w:rsidRDefault="00FF33C0" w:rsidP="00FF33C0">
      <w:pPr>
        <w:pStyle w:val="Ttulo"/>
        <w:spacing w:line="276" w:lineRule="auto"/>
        <w:rPr>
          <w:rFonts w:eastAsia="Calibri" w:cs="Arial"/>
          <w:b w:val="0"/>
          <w:color w:val="auto"/>
          <w:spacing w:val="0"/>
          <w:szCs w:val="24"/>
          <w:lang w:val="es-CR" w:eastAsia="en-US"/>
        </w:rPr>
      </w:pPr>
      <w:r w:rsidRPr="00FF33C0">
        <w:rPr>
          <w:noProof/>
        </w:rPr>
        <w:drawing>
          <wp:inline distT="0" distB="0" distL="0" distR="0" wp14:anchorId="3830DD27" wp14:editId="76534A24">
            <wp:extent cx="4432300" cy="996950"/>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32300" cy="996950"/>
                    </a:xfrm>
                    <a:prstGeom prst="rect">
                      <a:avLst/>
                    </a:prstGeom>
                    <a:noFill/>
                    <a:ln>
                      <a:noFill/>
                    </a:ln>
                  </pic:spPr>
                </pic:pic>
              </a:graphicData>
            </a:graphic>
          </wp:inline>
        </w:drawing>
      </w:r>
    </w:p>
    <w:p w14:paraId="37661CC5" w14:textId="2AAED37B" w:rsidR="00FF33C0" w:rsidRDefault="00FF33C0" w:rsidP="009B71C9">
      <w:pPr>
        <w:pStyle w:val="Ttulo"/>
        <w:spacing w:line="276" w:lineRule="auto"/>
        <w:rPr>
          <w:rFonts w:eastAsia="Calibri" w:cs="Arial"/>
          <w:b w:val="0"/>
          <w:color w:val="auto"/>
          <w:spacing w:val="0"/>
          <w:szCs w:val="24"/>
          <w:lang w:val="es-CR" w:eastAsia="en-US"/>
        </w:rPr>
      </w:pPr>
    </w:p>
    <w:p w14:paraId="0FF3D839" w14:textId="77777777" w:rsidR="00E2229F" w:rsidRDefault="00E2229F" w:rsidP="009B71C9">
      <w:pPr>
        <w:pStyle w:val="Ttulo"/>
        <w:spacing w:line="276" w:lineRule="auto"/>
        <w:rPr>
          <w:rFonts w:eastAsia="Calibri" w:cs="Arial"/>
          <w:b w:val="0"/>
          <w:color w:val="auto"/>
          <w:spacing w:val="0"/>
          <w:szCs w:val="24"/>
          <w:lang w:val="es-CR" w:eastAsia="en-US"/>
        </w:rPr>
      </w:pPr>
    </w:p>
    <w:p w14:paraId="78B3D22F" w14:textId="77777777" w:rsidR="00A56408" w:rsidRPr="00A56408" w:rsidRDefault="00A56408" w:rsidP="00A56408">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napToGrid w:val="0"/>
          <w:sz w:val="24"/>
          <w:szCs w:val="24"/>
          <w:lang w:val="es-ES" w:eastAsia="es-ES"/>
        </w:rPr>
      </w:pPr>
      <w:r w:rsidRPr="00A56408">
        <w:rPr>
          <w:rFonts w:ascii="Book Antiqua" w:eastAsia="MS PGothic" w:hAnsi="Book Antiqua" w:cs="Times New Roman"/>
          <w:b/>
          <w:snapToGrid w:val="0"/>
          <w:sz w:val="24"/>
          <w:szCs w:val="24"/>
          <w:lang w:val="es-ES" w:eastAsia="es-ES"/>
        </w:rPr>
        <w:lastRenderedPageBreak/>
        <w:t>A los Juzgados que atienden materia de Violencia Doméstica a nivel nacional</w:t>
      </w:r>
    </w:p>
    <w:p w14:paraId="0BE3D5CC" w14:textId="37616317" w:rsidR="00A56408" w:rsidRDefault="00A56408" w:rsidP="00A56408">
      <w:pPr>
        <w:pStyle w:val="Ttulo"/>
        <w:spacing w:line="276" w:lineRule="auto"/>
        <w:jc w:val="left"/>
        <w:rPr>
          <w:szCs w:val="24"/>
          <w:lang w:val="es-CR"/>
        </w:rPr>
      </w:pPr>
    </w:p>
    <w:p w14:paraId="241AF5A1" w14:textId="1AE71A31" w:rsidR="00A56408" w:rsidRP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Dar cumplimiento a las circulares 87-15, 159-15, 27 y 28-16, 160-16, 89-18, 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7E56A6B4" w14:textId="2639019F" w:rsid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 xml:space="preserve">Apoyados en el proceso de inventarios y en la actualización diaria que se le debe realizar a cada uno de los expedientes durante la tramitación, realizar la actualización de las fases de los expedientes de forma que se genere información verás sobre la carga de trabajo de cada una de las oficinas; actividad que debe ser sostenida en el tiempo para próximos ejercicios presupuestarios. </w:t>
      </w:r>
    </w:p>
    <w:p w14:paraId="5D4642F2" w14:textId="15B1316C" w:rsidR="00A56408" w:rsidRPr="00A56408" w:rsidRDefault="00A56408"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Actualizar la información dentro del Sistema de Gestión de Despachos Judiciales de las variables sociodemográficas de los distintos intervinientes en los procesos, con el objetivo de que se</w:t>
      </w:r>
      <w:r w:rsidR="001C0CC9">
        <w:rPr>
          <w:rFonts w:ascii="Book Antiqua" w:eastAsia="Calibri" w:hAnsi="Book Antiqua" w:cs="Arial"/>
          <w:sz w:val="24"/>
          <w:szCs w:val="24"/>
        </w:rPr>
        <w:t>a</w:t>
      </w:r>
      <w:r w:rsidRPr="00A56408">
        <w:rPr>
          <w:rFonts w:ascii="Book Antiqua" w:eastAsia="Calibri" w:hAnsi="Book Antiqua" w:cs="Arial"/>
          <w:sz w:val="24"/>
          <w:szCs w:val="24"/>
        </w:rPr>
        <w:t xml:space="preserve"> información útil y necesaria para el análisis de mejoras en el servicio que se presta a las personas usuarias.</w:t>
      </w:r>
    </w:p>
    <w:p w14:paraId="132C7FE5" w14:textId="25AB95D9" w:rsidR="00A56408" w:rsidRPr="00582BCB" w:rsidRDefault="00A56408" w:rsidP="00A56408">
      <w:pPr>
        <w:pStyle w:val="Prrafodelista"/>
        <w:widowControl w:val="0"/>
        <w:numPr>
          <w:ilvl w:val="1"/>
          <w:numId w:val="44"/>
        </w:numPr>
        <w:spacing w:after="0" w:line="276" w:lineRule="auto"/>
        <w:jc w:val="both"/>
        <w:rPr>
          <w:rFonts w:ascii="Book Antiqua" w:eastAsia="Calibri" w:hAnsi="Book Antiqua" w:cs="Arial"/>
          <w:sz w:val="24"/>
          <w:szCs w:val="24"/>
        </w:rPr>
      </w:pPr>
      <w:r w:rsidRPr="00A56408">
        <w:rPr>
          <w:rFonts w:ascii="Book Antiqua" w:eastAsia="Calibri" w:hAnsi="Book Antiqua" w:cs="Arial"/>
          <w:sz w:val="24"/>
          <w:szCs w:val="24"/>
        </w:rPr>
        <w:t>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conforme al acuerdo del Consejo Superior en sesión 82-2020 celebrada el 20 de agosto del 2020, artículo XLI.</w:t>
      </w:r>
    </w:p>
    <w:p w14:paraId="13FE2B0D" w14:textId="53941536" w:rsidR="006C3F71" w:rsidRDefault="00EE50B2" w:rsidP="0090609F">
      <w:pPr>
        <w:pStyle w:val="Prrafodelista"/>
        <w:widowControl w:val="0"/>
        <w:numPr>
          <w:ilvl w:val="1"/>
          <w:numId w:val="44"/>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Dar cumplimiento a las circulares de la Secretaría de la Corte</w:t>
      </w:r>
      <w:r w:rsidR="005F40B3">
        <w:rPr>
          <w:rFonts w:ascii="Book Antiqua" w:eastAsia="Calibri" w:hAnsi="Book Antiqua" w:cs="Arial"/>
          <w:sz w:val="24"/>
          <w:szCs w:val="24"/>
        </w:rPr>
        <w:t xml:space="preserve"> ligadas a las recomendaciones de la Contraloría General de la República y gestionadas a partir del proyecto de implementación del Código Procesal de Familia</w:t>
      </w:r>
      <w:r>
        <w:rPr>
          <w:rFonts w:ascii="Book Antiqua" w:eastAsia="Calibri" w:hAnsi="Book Antiqua" w:cs="Arial"/>
          <w:sz w:val="24"/>
          <w:szCs w:val="24"/>
        </w:rPr>
        <w:t>:</w:t>
      </w:r>
    </w:p>
    <w:p w14:paraId="0ECB2A28" w14:textId="7F8B36C2" w:rsidR="006C3F71" w:rsidRDefault="006C3F71" w:rsidP="00A56408">
      <w:pPr>
        <w:spacing w:after="0" w:line="276" w:lineRule="auto"/>
        <w:jc w:val="both"/>
        <w:rPr>
          <w:rFonts w:ascii="Book Antiqua" w:eastAsia="Calibri" w:hAnsi="Book Antiqua" w:cs="Arial"/>
          <w:sz w:val="24"/>
          <w:szCs w:val="24"/>
        </w:rPr>
      </w:pPr>
    </w:p>
    <w:p w14:paraId="5548867F" w14:textId="77777777" w:rsidR="00F51023" w:rsidRPr="00BA3314" w:rsidRDefault="00F51023"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221-2021 </w:t>
      </w:r>
      <w:r w:rsidRPr="00BA3314">
        <w:rPr>
          <w:rFonts w:ascii="Book Antiqua" w:hAnsi="Book Antiqua"/>
          <w:i/>
          <w:iCs/>
          <w:sz w:val="24"/>
          <w:szCs w:val="24"/>
          <w:lang w:val="es-ES"/>
        </w:rPr>
        <w:t>“Deber de solicitar autorización al Consejo Superior para realizar una modificación en la configuración del reparto”.</w:t>
      </w:r>
    </w:p>
    <w:p w14:paraId="5A5CA627" w14:textId="7009D455" w:rsidR="00F51023" w:rsidRPr="00BA3314" w:rsidRDefault="00F51023"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Circular 267-2021 “</w:t>
      </w:r>
      <w:r w:rsidRPr="00BA3314">
        <w:rPr>
          <w:rFonts w:ascii="Book Antiqua" w:hAnsi="Book Antiqua"/>
          <w:i/>
          <w:iCs/>
          <w:sz w:val="24"/>
          <w:szCs w:val="24"/>
          <w:lang w:val="es-ES"/>
        </w:rPr>
        <w:t xml:space="preserve">Obligación de cumplir con la corrección de </w:t>
      </w:r>
      <w:r w:rsidR="00F472C9" w:rsidRPr="00BA3314">
        <w:rPr>
          <w:rFonts w:ascii="Book Antiqua" w:hAnsi="Book Antiqua"/>
          <w:i/>
          <w:iCs/>
          <w:sz w:val="24"/>
          <w:szCs w:val="24"/>
          <w:lang w:val="es-ES"/>
        </w:rPr>
        <w:t>inconsistencia</w:t>
      </w:r>
      <w:r w:rsidRPr="00BA3314">
        <w:rPr>
          <w:rFonts w:ascii="Book Antiqua" w:hAnsi="Book Antiqua"/>
          <w:i/>
          <w:iCs/>
          <w:sz w:val="24"/>
          <w:szCs w:val="24"/>
          <w:lang w:val="es-ES"/>
        </w:rPr>
        <w:t>s aplicar el régimen disciplinario por su incumplimiento</w:t>
      </w:r>
      <w:r w:rsidRPr="00BA3314">
        <w:rPr>
          <w:rFonts w:ascii="Book Antiqua" w:hAnsi="Book Antiqua"/>
          <w:sz w:val="24"/>
          <w:szCs w:val="24"/>
          <w:lang w:val="es-ES"/>
        </w:rPr>
        <w:t>”.</w:t>
      </w:r>
    </w:p>
    <w:p w14:paraId="2F5F1537" w14:textId="77777777" w:rsidR="00F51023" w:rsidRPr="00BA3314" w:rsidRDefault="00F51023" w:rsidP="0090609F">
      <w:pPr>
        <w:pStyle w:val="Prrafodelista"/>
        <w:numPr>
          <w:ilvl w:val="0"/>
          <w:numId w:val="15"/>
        </w:numPr>
        <w:spacing w:line="276" w:lineRule="auto"/>
        <w:jc w:val="both"/>
        <w:rPr>
          <w:rFonts w:ascii="Book Antiqua" w:hAnsi="Book Antiqua"/>
          <w:i/>
          <w:iCs/>
          <w:sz w:val="24"/>
          <w:szCs w:val="24"/>
          <w:lang w:val="es-ES"/>
        </w:rPr>
      </w:pPr>
      <w:r w:rsidRPr="00BA3314">
        <w:rPr>
          <w:rFonts w:ascii="Book Antiqua" w:hAnsi="Book Antiqua"/>
          <w:sz w:val="24"/>
          <w:szCs w:val="24"/>
          <w:lang w:val="es-ES"/>
        </w:rPr>
        <w:t xml:space="preserve">Circular 110-20 </w:t>
      </w:r>
      <w:r w:rsidRPr="00BA3314">
        <w:rPr>
          <w:rFonts w:ascii="Book Antiqua" w:hAnsi="Book Antiqua"/>
          <w:i/>
          <w:iCs/>
          <w:sz w:val="24"/>
          <w:szCs w:val="24"/>
          <w:lang w:val="es-ES"/>
        </w:rPr>
        <w:t>“Reiterar la Circular N 60-99 relacionado con las Reglas prácticas para facilitar la aplicación efectiva de la Ley contra la violencia doméstica”.</w:t>
      </w:r>
    </w:p>
    <w:p w14:paraId="6DBD99CC" w14:textId="77777777" w:rsidR="00F51023" w:rsidRPr="00BA3314" w:rsidRDefault="00F51023"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234-2021 </w:t>
      </w:r>
      <w:r w:rsidRPr="00BA3314">
        <w:rPr>
          <w:rFonts w:ascii="Book Antiqua" w:hAnsi="Book Antiqua"/>
          <w:i/>
          <w:iCs/>
          <w:sz w:val="24"/>
          <w:szCs w:val="24"/>
          <w:lang w:val="es-ES"/>
        </w:rPr>
        <w:t>“Que es sen</w:t>
      </w:r>
      <w:r>
        <w:rPr>
          <w:rFonts w:ascii="Book Antiqua" w:hAnsi="Book Antiqua"/>
          <w:i/>
          <w:iCs/>
          <w:sz w:val="24"/>
          <w:szCs w:val="24"/>
          <w:lang w:val="es-ES"/>
        </w:rPr>
        <w:t>t</w:t>
      </w:r>
      <w:r w:rsidRPr="00BA3314">
        <w:rPr>
          <w:rFonts w:ascii="Book Antiqua" w:hAnsi="Book Antiqua"/>
          <w:i/>
          <w:iCs/>
          <w:sz w:val="24"/>
          <w:szCs w:val="24"/>
          <w:lang w:val="es-ES"/>
        </w:rPr>
        <w:t>encia en materia de Violencia Doméstica uso y seguimiento a la información registrada en el reporte de pase a fallo”.</w:t>
      </w:r>
    </w:p>
    <w:p w14:paraId="1DC21781" w14:textId="37383B1C" w:rsidR="00F51023" w:rsidRPr="001D0C10" w:rsidRDefault="00F51023" w:rsidP="0090609F">
      <w:pPr>
        <w:pStyle w:val="Prrafodelista"/>
        <w:numPr>
          <w:ilvl w:val="0"/>
          <w:numId w:val="15"/>
        </w:numPr>
        <w:spacing w:line="276" w:lineRule="auto"/>
        <w:jc w:val="both"/>
        <w:rPr>
          <w:rFonts w:ascii="Book Antiqua" w:hAnsi="Book Antiqua"/>
          <w:sz w:val="24"/>
          <w:szCs w:val="24"/>
          <w:lang w:val="es-ES"/>
        </w:rPr>
      </w:pPr>
      <w:r w:rsidRPr="00BA3314">
        <w:rPr>
          <w:rFonts w:ascii="Book Antiqua" w:hAnsi="Book Antiqua"/>
          <w:sz w:val="24"/>
          <w:szCs w:val="24"/>
          <w:lang w:val="es-ES"/>
        </w:rPr>
        <w:t xml:space="preserve">Circular 266-2021 </w:t>
      </w:r>
      <w:r w:rsidRPr="00BA3314">
        <w:rPr>
          <w:rFonts w:ascii="Book Antiqua" w:hAnsi="Book Antiqua"/>
          <w:i/>
          <w:iCs/>
          <w:sz w:val="24"/>
          <w:szCs w:val="24"/>
          <w:lang w:val="es-ES"/>
        </w:rPr>
        <w:t>“Deber de notificar personalmente el auto que otorga medidas la Circular No. 50-2021 específicamente en el punto 1.3”.</w:t>
      </w:r>
    </w:p>
    <w:p w14:paraId="1AC0A5E4" w14:textId="6FAD9E83" w:rsidR="00F51023" w:rsidRPr="00582BCB" w:rsidRDefault="00F51023" w:rsidP="00582BCB">
      <w:pPr>
        <w:pStyle w:val="Prrafodelista"/>
        <w:numPr>
          <w:ilvl w:val="0"/>
          <w:numId w:val="15"/>
        </w:numPr>
        <w:spacing w:line="276" w:lineRule="auto"/>
        <w:jc w:val="both"/>
        <w:rPr>
          <w:rFonts w:ascii="Book Antiqua" w:hAnsi="Book Antiqua"/>
          <w:sz w:val="24"/>
          <w:szCs w:val="24"/>
          <w:lang w:val="es-ES"/>
        </w:rPr>
      </w:pPr>
      <w:r w:rsidRPr="00F51023">
        <w:rPr>
          <w:rFonts w:ascii="Book Antiqua" w:hAnsi="Book Antiqua"/>
          <w:sz w:val="24"/>
          <w:szCs w:val="24"/>
          <w:lang w:val="es-ES"/>
        </w:rPr>
        <w:t>Próximamente se publicará una circular para mejorar la atención procesos CLAIS o de riesgo de muerte, así como para delimitar las fases en los procesos contra la Violencia Doméstica</w:t>
      </w:r>
      <w:r>
        <w:rPr>
          <w:rFonts w:ascii="Book Antiqua" w:hAnsi="Book Antiqua"/>
          <w:sz w:val="24"/>
          <w:szCs w:val="24"/>
          <w:lang w:val="es-ES"/>
        </w:rPr>
        <w:t>.</w:t>
      </w:r>
    </w:p>
    <w:p w14:paraId="42055E9B" w14:textId="25FEA2FC" w:rsidR="006C3F71" w:rsidRDefault="006C3F71" w:rsidP="0090609F">
      <w:pPr>
        <w:pStyle w:val="Prrafodelista"/>
        <w:widowControl w:val="0"/>
        <w:numPr>
          <w:ilvl w:val="1"/>
          <w:numId w:val="44"/>
        </w:numPr>
        <w:spacing w:after="0" w:line="276" w:lineRule="auto"/>
        <w:jc w:val="both"/>
        <w:rPr>
          <w:rFonts w:ascii="Book Antiqua" w:eastAsia="Calibri" w:hAnsi="Book Antiqua" w:cs="Arial"/>
          <w:sz w:val="24"/>
          <w:szCs w:val="24"/>
        </w:rPr>
      </w:pPr>
      <w:r>
        <w:rPr>
          <w:rFonts w:ascii="Book Antiqua" w:eastAsia="Calibri" w:hAnsi="Book Antiqua" w:cs="Arial"/>
          <w:sz w:val="24"/>
          <w:szCs w:val="24"/>
        </w:rPr>
        <w:t>Utilizar periódicamente, al menos cada 3 meses, la mejora (mejora de inactivos) en el sistema que le</w:t>
      </w:r>
      <w:r w:rsidR="00EB5190">
        <w:rPr>
          <w:rFonts w:ascii="Book Antiqua" w:eastAsia="Calibri" w:hAnsi="Book Antiqua" w:cs="Arial"/>
          <w:sz w:val="24"/>
          <w:szCs w:val="24"/>
        </w:rPr>
        <w:t xml:space="preserve">s </w:t>
      </w:r>
      <w:r>
        <w:rPr>
          <w:rFonts w:ascii="Book Antiqua" w:eastAsia="Calibri" w:hAnsi="Book Antiqua" w:cs="Arial"/>
          <w:sz w:val="24"/>
          <w:szCs w:val="24"/>
        </w:rPr>
        <w:t xml:space="preserve">permite revisar los </w:t>
      </w:r>
      <w:r w:rsidR="00EB5190">
        <w:rPr>
          <w:rFonts w:ascii="Book Antiqua" w:eastAsia="Calibri" w:hAnsi="Book Antiqua" w:cs="Arial"/>
          <w:sz w:val="24"/>
          <w:szCs w:val="24"/>
        </w:rPr>
        <w:t>expedientes</w:t>
      </w:r>
      <w:r>
        <w:rPr>
          <w:rFonts w:ascii="Book Antiqua" w:eastAsia="Calibri" w:hAnsi="Book Antiqua" w:cs="Arial"/>
          <w:sz w:val="24"/>
          <w:szCs w:val="24"/>
        </w:rPr>
        <w:t xml:space="preserve"> con 3 meses sin movimiento</w:t>
      </w:r>
      <w:r w:rsidR="00EB5190">
        <w:rPr>
          <w:rFonts w:ascii="Book Antiqua" w:eastAsia="Calibri" w:hAnsi="Book Antiqua" w:cs="Arial"/>
          <w:sz w:val="24"/>
          <w:szCs w:val="24"/>
        </w:rPr>
        <w:t>.</w:t>
      </w:r>
      <w:r>
        <w:rPr>
          <w:rFonts w:ascii="Book Antiqua" w:eastAsia="Calibri" w:hAnsi="Book Antiqua" w:cs="Arial"/>
          <w:sz w:val="24"/>
          <w:szCs w:val="24"/>
        </w:rPr>
        <w:t xml:space="preserve"> </w:t>
      </w:r>
    </w:p>
    <w:p w14:paraId="2F267231" w14:textId="7C6E7567" w:rsidR="006C3F71" w:rsidRDefault="006C3F71" w:rsidP="00A56408">
      <w:pPr>
        <w:spacing w:after="0" w:line="276" w:lineRule="auto"/>
        <w:jc w:val="both"/>
        <w:rPr>
          <w:rFonts w:ascii="Book Antiqua" w:eastAsia="Calibri" w:hAnsi="Book Antiqua" w:cs="Arial"/>
          <w:sz w:val="24"/>
          <w:szCs w:val="24"/>
        </w:rPr>
      </w:pPr>
    </w:p>
    <w:p w14:paraId="349AE7DB" w14:textId="77777777" w:rsidR="009357A3" w:rsidRPr="00A56408" w:rsidRDefault="009357A3" w:rsidP="00A56408">
      <w:pPr>
        <w:spacing w:after="0" w:line="276" w:lineRule="auto"/>
        <w:jc w:val="both"/>
        <w:rPr>
          <w:rFonts w:ascii="Book Antiqua" w:eastAsia="Calibri" w:hAnsi="Book Antiqua" w:cs="Arial"/>
          <w:sz w:val="24"/>
          <w:szCs w:val="24"/>
        </w:rPr>
      </w:pPr>
    </w:p>
    <w:p w14:paraId="72951816" w14:textId="77777777" w:rsidR="001C0CC9" w:rsidRPr="001C0CC9" w:rsidRDefault="001C0CC9" w:rsidP="001C0CC9">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napToGrid w:val="0"/>
          <w:sz w:val="24"/>
          <w:szCs w:val="24"/>
          <w:lang w:val="es-ES" w:eastAsia="es-ES"/>
        </w:rPr>
      </w:pPr>
      <w:r w:rsidRPr="001C0CC9">
        <w:rPr>
          <w:rFonts w:ascii="Book Antiqua" w:eastAsia="MS PGothic" w:hAnsi="Book Antiqua" w:cs="Times New Roman"/>
          <w:b/>
          <w:snapToGrid w:val="0"/>
          <w:sz w:val="24"/>
          <w:szCs w:val="24"/>
          <w:lang w:val="es-ES" w:eastAsia="es-ES"/>
        </w:rPr>
        <w:t xml:space="preserve">A la Centro de Apoyo, Coordinación y Mejoramiento de Función Jurisdiccional </w:t>
      </w:r>
    </w:p>
    <w:p w14:paraId="2E2342BF" w14:textId="47F203CE" w:rsidR="00A56408" w:rsidRDefault="00A56408" w:rsidP="00A56408">
      <w:pPr>
        <w:pStyle w:val="Ttulo"/>
        <w:spacing w:line="276" w:lineRule="auto"/>
        <w:jc w:val="left"/>
        <w:rPr>
          <w:szCs w:val="24"/>
          <w:lang w:val="es-CR"/>
        </w:rPr>
      </w:pPr>
    </w:p>
    <w:p w14:paraId="7048D8C6" w14:textId="5FAAA3DC" w:rsidR="001C0CC9" w:rsidRPr="00907FC9" w:rsidRDefault="001C0CC9" w:rsidP="007E37ED">
      <w:pPr>
        <w:pStyle w:val="Prrafodelista"/>
        <w:widowControl w:val="0"/>
        <w:numPr>
          <w:ilvl w:val="1"/>
          <w:numId w:val="44"/>
        </w:numPr>
        <w:spacing w:after="0" w:line="276" w:lineRule="auto"/>
        <w:jc w:val="both"/>
        <w:rPr>
          <w:rFonts w:ascii="Book Antiqua" w:eastAsia="Calibri" w:hAnsi="Book Antiqua" w:cs="Arial"/>
          <w:sz w:val="24"/>
          <w:szCs w:val="24"/>
        </w:rPr>
      </w:pPr>
      <w:r w:rsidRPr="00907FC9">
        <w:rPr>
          <w:rFonts w:ascii="Book Antiqua" w:eastAsia="Calibri" w:hAnsi="Book Antiqua" w:cs="Arial"/>
          <w:sz w:val="24"/>
          <w:szCs w:val="24"/>
        </w:rPr>
        <w:t>El Centro de Apoyo, Coordinación y Mejoramiento de la Función Jurisdiccional deberá velar por el cumplimiento y seguimiento de las recomendaciones planteadas en este informe, las cuales deben quedar documentadas y comunicadas a las partes involucradas</w:t>
      </w:r>
      <w:r w:rsidR="00907FC9" w:rsidRPr="00907FC9">
        <w:rPr>
          <w:rFonts w:ascii="Book Antiqua" w:eastAsia="Calibri" w:hAnsi="Book Antiqua" w:cs="Arial"/>
          <w:sz w:val="24"/>
          <w:szCs w:val="24"/>
        </w:rPr>
        <w:t>.</w:t>
      </w:r>
    </w:p>
    <w:p w14:paraId="65909772" w14:textId="77DBBA21" w:rsidR="001C0CC9" w:rsidRPr="00541173" w:rsidRDefault="001C0CC9" w:rsidP="001C0CC9">
      <w:pPr>
        <w:pStyle w:val="Prrafodelista"/>
        <w:widowControl w:val="0"/>
        <w:numPr>
          <w:ilvl w:val="1"/>
          <w:numId w:val="44"/>
        </w:numPr>
        <w:spacing w:after="0" w:line="276" w:lineRule="auto"/>
        <w:jc w:val="both"/>
        <w:rPr>
          <w:rFonts w:ascii="Book Antiqua" w:eastAsia="Calibri" w:hAnsi="Book Antiqua" w:cs="Arial"/>
          <w:sz w:val="24"/>
          <w:szCs w:val="24"/>
        </w:rPr>
      </w:pPr>
      <w:r w:rsidRPr="001C0CC9">
        <w:rPr>
          <w:rFonts w:ascii="Book Antiqua" w:eastAsia="Calibri" w:hAnsi="Book Antiqua" w:cs="Arial"/>
          <w:sz w:val="24"/>
          <w:szCs w:val="24"/>
        </w:rPr>
        <w:t>E</w:t>
      </w:r>
      <w:r>
        <w:rPr>
          <w:rFonts w:ascii="Book Antiqua" w:eastAsia="Calibri" w:hAnsi="Book Antiqua" w:cs="Arial"/>
          <w:sz w:val="24"/>
          <w:szCs w:val="24"/>
        </w:rPr>
        <w:t>l</w:t>
      </w:r>
      <w:r w:rsidRPr="001C0CC9">
        <w:rPr>
          <w:rFonts w:ascii="Book Antiqua" w:eastAsia="Calibri" w:hAnsi="Book Antiqua" w:cs="Arial"/>
          <w:sz w:val="24"/>
          <w:szCs w:val="24"/>
        </w:rPr>
        <w:t xml:space="preserve"> Centro de Apoyo, Coordinación y Mejoramiento </w:t>
      </w:r>
      <w:r>
        <w:rPr>
          <w:rFonts w:ascii="Book Antiqua" w:eastAsia="Calibri" w:hAnsi="Book Antiqua" w:cs="Arial"/>
          <w:sz w:val="24"/>
          <w:szCs w:val="24"/>
        </w:rPr>
        <w:t>de</w:t>
      </w:r>
      <w:r w:rsidRPr="001C0CC9">
        <w:rPr>
          <w:rFonts w:ascii="Book Antiqua" w:eastAsia="Calibri" w:hAnsi="Book Antiqua" w:cs="Arial"/>
          <w:sz w:val="24"/>
          <w:szCs w:val="24"/>
        </w:rPr>
        <w:t xml:space="preserve"> la Función Jurisdiccional deberá velar por el cumplimiento de las cuotas del personal juzgador establecidos en los Planes de Descongestionamiento que se diseñen en materia de Familia, de forma que se brinde seguimiento adecuado y se permita identificar las necesidades de modificaciones pertinentes; a la vez deberá realizar el seguimiento de la cantidad de sentencias dictadas por las personas juzgadoras de la Jurisdicción de Familia de forma que sea insumo para la definición de la orientación de la colaboración que se pueda brindar. Dicho Centro tendrá que informar de forma bimensual el seguimiento </w:t>
      </w:r>
      <w:r w:rsidRPr="001C0CC9">
        <w:rPr>
          <w:rFonts w:ascii="Book Antiqua" w:eastAsia="Calibri" w:hAnsi="Book Antiqua" w:cs="Arial"/>
          <w:sz w:val="24"/>
          <w:szCs w:val="24"/>
        </w:rPr>
        <w:lastRenderedPageBreak/>
        <w:t xml:space="preserve">realizado, lo cual no va en detrimento de tener que realizar alguna revisión adicional en caso de que el ente Técnico lo solicite. </w:t>
      </w:r>
    </w:p>
    <w:p w14:paraId="770ED2DE" w14:textId="7D1B67A8" w:rsidR="001C0CC9" w:rsidRPr="001C0CC9" w:rsidRDefault="001C0CC9"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C0CC9">
        <w:rPr>
          <w:rFonts w:ascii="Book Antiqua" w:eastAsia="Calibri" w:hAnsi="Book Antiqua" w:cs="Arial"/>
          <w:sz w:val="24"/>
          <w:szCs w:val="24"/>
        </w:rPr>
        <w:t>El Centro de Apoyo, junto con la figura del Juez Gestor en la materia deben dar seguimiento al cumplimiento de las tareas asociadas el Proyecto 1374-CF-P01</w:t>
      </w:r>
      <w:r w:rsidRPr="001D0C10">
        <w:rPr>
          <w:rFonts w:ascii="Book Antiqua" w:eastAsia="Calibri" w:hAnsi="Book Antiqua" w:cs="Arial"/>
          <w:sz w:val="24"/>
          <w:szCs w:val="24"/>
        </w:rPr>
        <w:t xml:space="preserve"> “</w:t>
      </w:r>
      <w:r w:rsidRPr="009B71C9">
        <w:rPr>
          <w:rFonts w:ascii="Book Antiqua" w:eastAsia="Calibri" w:hAnsi="Book Antiqua" w:cs="Arial"/>
          <w:i/>
          <w:iCs/>
          <w:sz w:val="24"/>
          <w:szCs w:val="24"/>
        </w:rPr>
        <w:t>Implementación del Código Procesal de Familia</w:t>
      </w:r>
      <w:r w:rsidRPr="001D0C10">
        <w:rPr>
          <w:rFonts w:ascii="Book Antiqua" w:eastAsia="Calibri" w:hAnsi="Book Antiqua" w:cs="Arial"/>
          <w:sz w:val="24"/>
          <w:szCs w:val="24"/>
        </w:rPr>
        <w:t xml:space="preserve">”, </w:t>
      </w:r>
      <w:r w:rsidRPr="001C0CC9">
        <w:rPr>
          <w:rFonts w:ascii="Book Antiqua" w:eastAsia="Calibri" w:hAnsi="Book Antiqua" w:cs="Arial"/>
          <w:sz w:val="24"/>
          <w:szCs w:val="24"/>
        </w:rPr>
        <w:t>principalmente en cuanto a los entregables que son de su responsabilidad junto con la Comisión de Familia, Niñez y Adolescencia.</w:t>
      </w:r>
      <w:r w:rsidRPr="001C0CC9" w:rsidDel="003656ED">
        <w:rPr>
          <w:rFonts w:ascii="Book Antiqua" w:eastAsia="Calibri" w:hAnsi="Book Antiqua" w:cs="Arial"/>
          <w:sz w:val="24"/>
          <w:szCs w:val="24"/>
        </w:rPr>
        <w:t xml:space="preserve"> </w:t>
      </w:r>
    </w:p>
    <w:p w14:paraId="2A88DA9E" w14:textId="2442805F" w:rsidR="001C0CC9" w:rsidRDefault="001C0CC9" w:rsidP="00A56408">
      <w:pPr>
        <w:pStyle w:val="Ttulo"/>
        <w:spacing w:line="276" w:lineRule="auto"/>
        <w:jc w:val="left"/>
        <w:rPr>
          <w:szCs w:val="24"/>
          <w:lang w:val="es-CR"/>
        </w:rPr>
      </w:pPr>
    </w:p>
    <w:p w14:paraId="68B9DA27" w14:textId="77777777" w:rsidR="001C0CC9" w:rsidRPr="001C0CC9" w:rsidRDefault="001C0CC9" w:rsidP="001C0CC9">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napToGrid w:val="0"/>
          <w:sz w:val="24"/>
          <w:szCs w:val="24"/>
          <w:lang w:val="es-ES" w:eastAsia="es-ES"/>
        </w:rPr>
      </w:pPr>
      <w:r w:rsidRPr="001C0CC9">
        <w:rPr>
          <w:rFonts w:ascii="Book Antiqua" w:eastAsia="MS PGothic" w:hAnsi="Book Antiqua" w:cs="Times New Roman"/>
          <w:b/>
          <w:snapToGrid w:val="0"/>
          <w:sz w:val="24"/>
          <w:szCs w:val="24"/>
          <w:lang w:val="es-ES" w:eastAsia="es-ES"/>
        </w:rPr>
        <w:t>Departamento de Prensa y Comunicación</w:t>
      </w:r>
    </w:p>
    <w:p w14:paraId="2FEEBE17" w14:textId="42C4A401" w:rsidR="001C0CC9" w:rsidRDefault="001C0CC9" w:rsidP="00A56408">
      <w:pPr>
        <w:pStyle w:val="Ttulo"/>
        <w:spacing w:line="276" w:lineRule="auto"/>
        <w:jc w:val="left"/>
        <w:rPr>
          <w:szCs w:val="24"/>
          <w:lang w:val="es-CR"/>
        </w:rPr>
      </w:pPr>
    </w:p>
    <w:p w14:paraId="548EC984" w14:textId="4380840A" w:rsidR="001C0CC9" w:rsidRDefault="001C0CC9"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1C0CC9">
        <w:rPr>
          <w:rFonts w:ascii="Book Antiqua" w:eastAsia="Calibri" w:hAnsi="Book Antiqua" w:cs="Arial"/>
          <w:sz w:val="24"/>
          <w:szCs w:val="24"/>
        </w:rPr>
        <w:t>Dar cumplimiento a sus tareas dentro del Proyecto 1374-CF-P01</w:t>
      </w:r>
      <w:r w:rsidRPr="001D0C10">
        <w:rPr>
          <w:rFonts w:ascii="Book Antiqua" w:eastAsia="Calibri" w:hAnsi="Book Antiqua" w:cs="Arial"/>
          <w:sz w:val="24"/>
          <w:szCs w:val="24"/>
        </w:rPr>
        <w:t xml:space="preserve"> “</w:t>
      </w:r>
      <w:r w:rsidRPr="009B71C9">
        <w:rPr>
          <w:rFonts w:ascii="Book Antiqua" w:eastAsia="Calibri" w:hAnsi="Book Antiqua" w:cs="Arial"/>
          <w:i/>
          <w:iCs/>
          <w:sz w:val="24"/>
          <w:szCs w:val="24"/>
        </w:rPr>
        <w:t>Implementación del Código Procesal de Familia</w:t>
      </w:r>
      <w:r w:rsidRPr="001D0C10">
        <w:rPr>
          <w:rFonts w:ascii="Book Antiqua" w:eastAsia="Calibri" w:hAnsi="Book Antiqua" w:cs="Arial"/>
          <w:sz w:val="24"/>
          <w:szCs w:val="24"/>
        </w:rPr>
        <w:t xml:space="preserve">” </w:t>
      </w:r>
      <w:r w:rsidRPr="001C0CC9">
        <w:rPr>
          <w:rFonts w:ascii="Book Antiqua" w:eastAsia="Calibri" w:hAnsi="Book Antiqua" w:cs="Arial"/>
          <w:sz w:val="24"/>
          <w:szCs w:val="24"/>
        </w:rPr>
        <w:t xml:space="preserve">y remitir el entregable correspondiente conforme al cronograma y metodología de proyectos institucional en coordinación con el Juez Gestor en la materia y la Comisión de Familia, Niñez y Adolescencia. </w:t>
      </w:r>
    </w:p>
    <w:p w14:paraId="34565DCF" w14:textId="71D53C18" w:rsidR="00541173" w:rsidRDefault="00541173" w:rsidP="00541173">
      <w:pPr>
        <w:widowControl w:val="0"/>
        <w:spacing w:after="0" w:line="276" w:lineRule="auto"/>
        <w:jc w:val="both"/>
        <w:rPr>
          <w:rFonts w:ascii="Book Antiqua" w:eastAsia="Calibri" w:hAnsi="Book Antiqua" w:cs="Arial"/>
          <w:sz w:val="24"/>
          <w:szCs w:val="24"/>
        </w:rPr>
      </w:pPr>
    </w:p>
    <w:p w14:paraId="1C6F58B6" w14:textId="77777777" w:rsidR="00541173" w:rsidRPr="00541173" w:rsidRDefault="00541173" w:rsidP="00541173">
      <w:pPr>
        <w:widowControl w:val="0"/>
        <w:spacing w:after="0" w:line="276" w:lineRule="auto"/>
        <w:jc w:val="both"/>
        <w:rPr>
          <w:rFonts w:ascii="Book Antiqua" w:eastAsia="Calibri" w:hAnsi="Book Antiqua" w:cs="Arial"/>
          <w:sz w:val="24"/>
          <w:szCs w:val="24"/>
        </w:rPr>
      </w:pPr>
    </w:p>
    <w:p w14:paraId="4D209883" w14:textId="77777777" w:rsidR="00EE50B2" w:rsidRPr="001C0CC9" w:rsidRDefault="00EE50B2" w:rsidP="001D0C10">
      <w:pPr>
        <w:pStyle w:val="Prrafodelista"/>
        <w:widowControl w:val="0"/>
        <w:spacing w:after="0" w:line="276" w:lineRule="auto"/>
        <w:ind w:left="1080"/>
        <w:jc w:val="both"/>
        <w:rPr>
          <w:rFonts w:ascii="Book Antiqua" w:eastAsia="Calibri" w:hAnsi="Book Antiqua" w:cs="Arial"/>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0" w:type="dxa"/>
          <w:left w:w="10" w:type="dxa"/>
          <w:bottom w:w="10" w:type="dxa"/>
          <w:right w:w="10" w:type="dxa"/>
        </w:tblCellMar>
        <w:tblLook w:val="04A0" w:firstRow="1" w:lastRow="0" w:firstColumn="1" w:lastColumn="0" w:noHBand="0" w:noVBand="1"/>
      </w:tblPr>
      <w:tblGrid>
        <w:gridCol w:w="3381"/>
        <w:gridCol w:w="1113"/>
        <w:gridCol w:w="1350"/>
        <w:gridCol w:w="1302"/>
        <w:gridCol w:w="1682"/>
      </w:tblGrid>
      <w:tr w:rsidR="004E2FAD" w:rsidRPr="004E2FAD" w14:paraId="679A9101"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69D2003" w14:textId="77777777" w:rsidR="004E2FAD" w:rsidRPr="004E2FAD" w:rsidRDefault="004E2FAD" w:rsidP="004E2FAD">
            <w:pPr>
              <w:spacing w:after="0" w:line="240" w:lineRule="auto"/>
              <w:rPr>
                <w:rFonts w:ascii="Segoe UI" w:eastAsia="Times New Roman" w:hAnsi="Segoe UI" w:cs="Segoe UI"/>
                <w:sz w:val="18"/>
                <w:szCs w:val="18"/>
                <w:lang w:eastAsia="es-CR"/>
              </w:rPr>
            </w:pPr>
            <w:r w:rsidRPr="004E2FAD">
              <w:rPr>
                <w:rFonts w:ascii="Segoe UI" w:eastAsia="Times New Roman" w:hAnsi="Segoe UI" w:cs="Segoe UI"/>
                <w:color w:val="363636"/>
                <w:sz w:val="18"/>
                <w:szCs w:val="18"/>
                <w:shd w:val="clear" w:color="auto" w:fill="DFE3E8"/>
                <w:lang w:eastAsia="es-CR"/>
              </w:rPr>
              <w:t>Nombre de tarea</w:t>
            </w:r>
          </w:p>
        </w:tc>
        <w:tc>
          <w:tcPr>
            <w:tcW w:w="1113"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4E1B961" w14:textId="77777777" w:rsidR="004E2FAD" w:rsidRPr="004E2FAD" w:rsidRDefault="004E2FAD" w:rsidP="004E2FAD">
            <w:pPr>
              <w:spacing w:after="0" w:line="240" w:lineRule="auto"/>
              <w:rPr>
                <w:rFonts w:ascii="Segoe UI" w:eastAsia="Times New Roman" w:hAnsi="Segoe UI" w:cs="Segoe UI"/>
                <w:sz w:val="18"/>
                <w:szCs w:val="18"/>
                <w:lang w:eastAsia="es-CR"/>
              </w:rPr>
            </w:pPr>
            <w:r w:rsidRPr="004E2FAD">
              <w:rPr>
                <w:rFonts w:ascii="Segoe UI" w:eastAsia="Times New Roman" w:hAnsi="Segoe UI" w:cs="Segoe UI"/>
                <w:color w:val="363636"/>
                <w:sz w:val="18"/>
                <w:szCs w:val="18"/>
                <w:shd w:val="clear" w:color="auto" w:fill="DFE3E8"/>
                <w:lang w:eastAsia="es-CR"/>
              </w:rPr>
              <w:t>Duración</w:t>
            </w:r>
          </w:p>
        </w:tc>
        <w:tc>
          <w:tcPr>
            <w:tcW w:w="135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291911B" w14:textId="77777777" w:rsidR="004E2FAD" w:rsidRPr="004E2FAD" w:rsidRDefault="004E2FAD" w:rsidP="004E2FAD">
            <w:pPr>
              <w:spacing w:after="0" w:line="240" w:lineRule="auto"/>
              <w:rPr>
                <w:rFonts w:ascii="Segoe UI" w:eastAsia="Times New Roman" w:hAnsi="Segoe UI" w:cs="Segoe UI"/>
                <w:sz w:val="18"/>
                <w:szCs w:val="18"/>
                <w:lang w:eastAsia="es-CR"/>
              </w:rPr>
            </w:pPr>
            <w:r w:rsidRPr="004E2FAD">
              <w:rPr>
                <w:rFonts w:ascii="Segoe UI" w:eastAsia="Times New Roman" w:hAnsi="Segoe UI" w:cs="Segoe UI"/>
                <w:color w:val="363636"/>
                <w:sz w:val="18"/>
                <w:szCs w:val="18"/>
                <w:shd w:val="clear" w:color="auto" w:fill="DFE3E8"/>
                <w:lang w:eastAsia="es-CR"/>
              </w:rPr>
              <w:t>Comienzo</w:t>
            </w:r>
          </w:p>
        </w:tc>
        <w:tc>
          <w:tcPr>
            <w:tcW w:w="130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578B4F7" w14:textId="77777777" w:rsidR="004E2FAD" w:rsidRPr="004E2FAD" w:rsidRDefault="004E2FAD" w:rsidP="004E2FAD">
            <w:pPr>
              <w:spacing w:after="0" w:line="240" w:lineRule="auto"/>
              <w:rPr>
                <w:rFonts w:ascii="Segoe UI" w:eastAsia="Times New Roman" w:hAnsi="Segoe UI" w:cs="Segoe UI"/>
                <w:sz w:val="18"/>
                <w:szCs w:val="18"/>
                <w:lang w:eastAsia="es-CR"/>
              </w:rPr>
            </w:pPr>
            <w:r w:rsidRPr="004E2FAD">
              <w:rPr>
                <w:rFonts w:ascii="Segoe UI" w:eastAsia="Times New Roman" w:hAnsi="Segoe UI" w:cs="Segoe UI"/>
                <w:color w:val="363636"/>
                <w:sz w:val="18"/>
                <w:szCs w:val="18"/>
                <w:shd w:val="clear" w:color="auto" w:fill="DFE3E8"/>
                <w:lang w:eastAsia="es-CR"/>
              </w:rPr>
              <w:t>Fin</w:t>
            </w:r>
          </w:p>
        </w:tc>
        <w:tc>
          <w:tcPr>
            <w:tcW w:w="168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2C340D3" w14:textId="77777777" w:rsidR="004E2FAD" w:rsidRPr="004E2FAD" w:rsidRDefault="004E2FAD" w:rsidP="004E2FAD">
            <w:pPr>
              <w:spacing w:after="0" w:line="240" w:lineRule="auto"/>
              <w:rPr>
                <w:rFonts w:ascii="Segoe UI" w:eastAsia="Times New Roman" w:hAnsi="Segoe UI" w:cs="Segoe UI"/>
                <w:sz w:val="18"/>
                <w:szCs w:val="18"/>
                <w:lang w:eastAsia="es-CR"/>
              </w:rPr>
            </w:pPr>
            <w:r w:rsidRPr="004E2FAD">
              <w:rPr>
                <w:rFonts w:ascii="Segoe UI" w:eastAsia="Times New Roman" w:hAnsi="Segoe UI" w:cs="Segoe UI"/>
                <w:color w:val="363636"/>
                <w:sz w:val="18"/>
                <w:szCs w:val="18"/>
                <w:shd w:val="clear" w:color="auto" w:fill="DFE3E8"/>
                <w:lang w:eastAsia="es-CR"/>
              </w:rPr>
              <w:t>% completado</w:t>
            </w:r>
          </w:p>
        </w:tc>
      </w:tr>
      <w:tr w:rsidR="004E2FAD" w:rsidRPr="004E2FAD" w14:paraId="634BA75D"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B9AF9A"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b/>
                <w:bCs/>
                <w:color w:val="000000"/>
                <w:lang w:eastAsia="es-CR"/>
              </w:rPr>
              <w:t>3.14. Campaña de divulgación de los principales cambios (Prensa).</w:t>
            </w:r>
          </w:p>
        </w:tc>
        <w:tc>
          <w:tcPr>
            <w:tcW w:w="111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192716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b/>
                <w:bCs/>
                <w:color w:val="000000"/>
                <w:lang w:eastAsia="es-CR"/>
              </w:rPr>
              <w:t>486 días</w:t>
            </w:r>
          </w:p>
        </w:tc>
        <w:tc>
          <w:tcPr>
            <w:tcW w:w="135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162B33"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b/>
                <w:bCs/>
                <w:color w:val="000000"/>
                <w:lang w:eastAsia="es-CR"/>
              </w:rPr>
              <w:t>jue 1/10/20</w:t>
            </w:r>
          </w:p>
        </w:tc>
        <w:tc>
          <w:tcPr>
            <w:tcW w:w="13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84441A"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b/>
                <w:bCs/>
                <w:color w:val="000000"/>
                <w:lang w:eastAsia="es-CR"/>
              </w:rPr>
              <w:t>lun 10/10/22</w:t>
            </w:r>
          </w:p>
        </w:tc>
        <w:tc>
          <w:tcPr>
            <w:tcW w:w="16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35996C"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b/>
                <w:bCs/>
                <w:color w:val="000000"/>
                <w:lang w:eastAsia="es-CR"/>
              </w:rPr>
              <w:t>12%</w:t>
            </w:r>
          </w:p>
        </w:tc>
      </w:tr>
      <w:tr w:rsidR="004E2FAD" w:rsidRPr="004E2FAD" w14:paraId="3090FB41"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8608089"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 xml:space="preserve">   Comunicación de los cambios a partir de la entrada en vigencia del Código Procesal de Familia</w:t>
            </w:r>
          </w:p>
        </w:tc>
        <w:tc>
          <w:tcPr>
            <w:tcW w:w="111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2FFB3C"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95 días</w:t>
            </w:r>
          </w:p>
        </w:tc>
        <w:tc>
          <w:tcPr>
            <w:tcW w:w="135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C6031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lun 17/1/22</w:t>
            </w:r>
          </w:p>
        </w:tc>
        <w:tc>
          <w:tcPr>
            <w:tcW w:w="13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7252F7"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lun 6/6/22</w:t>
            </w:r>
          </w:p>
        </w:tc>
        <w:tc>
          <w:tcPr>
            <w:tcW w:w="16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E5A8FF"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0%</w:t>
            </w:r>
          </w:p>
        </w:tc>
      </w:tr>
      <w:tr w:rsidR="004E2FAD" w:rsidRPr="004E2FAD" w14:paraId="3BA6E6ED"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03C46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 xml:space="preserve">   Impresión de ejemplares del Código</w:t>
            </w:r>
          </w:p>
        </w:tc>
        <w:tc>
          <w:tcPr>
            <w:tcW w:w="111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93854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17 días</w:t>
            </w:r>
          </w:p>
        </w:tc>
        <w:tc>
          <w:tcPr>
            <w:tcW w:w="135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6DD6E8"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jue 1/10/20</w:t>
            </w:r>
          </w:p>
        </w:tc>
        <w:tc>
          <w:tcPr>
            <w:tcW w:w="13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ADA4664"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mar 27/10/20</w:t>
            </w:r>
          </w:p>
        </w:tc>
        <w:tc>
          <w:tcPr>
            <w:tcW w:w="16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CB4871"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100%</w:t>
            </w:r>
          </w:p>
        </w:tc>
      </w:tr>
      <w:tr w:rsidR="004E2FAD" w:rsidRPr="004E2FAD" w14:paraId="078BB9CA"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F5DDB4"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 xml:space="preserve">   Desplegables e impresión de afiches</w:t>
            </w:r>
          </w:p>
        </w:tc>
        <w:tc>
          <w:tcPr>
            <w:tcW w:w="111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47006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22 días</w:t>
            </w:r>
          </w:p>
        </w:tc>
        <w:tc>
          <w:tcPr>
            <w:tcW w:w="135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E86515"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lun 4/7/22</w:t>
            </w:r>
          </w:p>
        </w:tc>
        <w:tc>
          <w:tcPr>
            <w:tcW w:w="13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7AD0C2"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vie 5/8/22</w:t>
            </w:r>
          </w:p>
        </w:tc>
        <w:tc>
          <w:tcPr>
            <w:tcW w:w="16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A7A5AD"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0%</w:t>
            </w:r>
          </w:p>
        </w:tc>
      </w:tr>
      <w:tr w:rsidR="004E2FAD" w:rsidRPr="004E2FAD" w14:paraId="126BFCC3" w14:textId="77777777" w:rsidTr="004E2FAD">
        <w:tc>
          <w:tcPr>
            <w:tcW w:w="338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6328FE"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 xml:space="preserve">   Realización de eventos y protocolo</w:t>
            </w:r>
          </w:p>
        </w:tc>
        <w:tc>
          <w:tcPr>
            <w:tcW w:w="1113"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284AFF"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5 días</w:t>
            </w:r>
          </w:p>
        </w:tc>
        <w:tc>
          <w:tcPr>
            <w:tcW w:w="135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D217B8"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lun 3/10/22</w:t>
            </w:r>
          </w:p>
        </w:tc>
        <w:tc>
          <w:tcPr>
            <w:tcW w:w="130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E4A3B9"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lun 10/10/22</w:t>
            </w:r>
          </w:p>
        </w:tc>
        <w:tc>
          <w:tcPr>
            <w:tcW w:w="16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699452" w14:textId="77777777" w:rsidR="004E2FAD" w:rsidRPr="004E2FAD" w:rsidRDefault="004E2FAD" w:rsidP="004E2FAD">
            <w:pPr>
              <w:spacing w:after="0" w:line="240" w:lineRule="auto"/>
              <w:rPr>
                <w:rFonts w:ascii="Calibri" w:eastAsia="Times New Roman" w:hAnsi="Calibri" w:cs="Calibri"/>
                <w:lang w:eastAsia="es-CR"/>
              </w:rPr>
            </w:pPr>
            <w:r w:rsidRPr="004E2FAD">
              <w:rPr>
                <w:rFonts w:ascii="Calibri" w:eastAsia="Times New Roman" w:hAnsi="Calibri" w:cs="Calibri"/>
                <w:color w:val="000000"/>
                <w:lang w:eastAsia="es-CR"/>
              </w:rPr>
              <w:t>0%</w:t>
            </w:r>
          </w:p>
        </w:tc>
      </w:tr>
    </w:tbl>
    <w:p w14:paraId="788AE78B" w14:textId="77777777" w:rsidR="00541173" w:rsidRPr="00541173" w:rsidRDefault="00541173" w:rsidP="00541173">
      <w:pPr>
        <w:spacing w:after="0" w:line="276" w:lineRule="auto"/>
        <w:jc w:val="both"/>
        <w:rPr>
          <w:rFonts w:ascii="Book Antiqua" w:eastAsia="Calibri" w:hAnsi="Book Antiqua" w:cs="Arial"/>
          <w:b/>
          <w:bCs/>
          <w:sz w:val="24"/>
          <w:szCs w:val="24"/>
        </w:rPr>
      </w:pPr>
    </w:p>
    <w:p w14:paraId="0769FD6F" w14:textId="77777777" w:rsidR="00541173" w:rsidRPr="00541173" w:rsidRDefault="00541173" w:rsidP="00541173">
      <w:pPr>
        <w:spacing w:after="0" w:line="276" w:lineRule="auto"/>
        <w:jc w:val="both"/>
        <w:rPr>
          <w:rFonts w:ascii="Book Antiqua" w:eastAsia="Calibri" w:hAnsi="Book Antiqua" w:cs="Arial"/>
          <w:b/>
          <w:bCs/>
          <w:sz w:val="24"/>
          <w:szCs w:val="24"/>
        </w:rPr>
      </w:pPr>
    </w:p>
    <w:p w14:paraId="63189FCE" w14:textId="03E1C5B2" w:rsidR="00990A1B" w:rsidRPr="00990A1B" w:rsidRDefault="00990A1B" w:rsidP="00990A1B">
      <w:pPr>
        <w:keepNext/>
        <w:widowControl w:val="0"/>
        <w:shd w:val="clear" w:color="auto" w:fill="B6DDE8"/>
        <w:autoSpaceDN w:val="0"/>
        <w:adjustRightInd w:val="0"/>
        <w:spacing w:after="0" w:line="276" w:lineRule="auto"/>
        <w:ind w:left="720" w:hanging="720"/>
        <w:jc w:val="both"/>
        <w:outlineLvl w:val="1"/>
        <w:rPr>
          <w:rFonts w:ascii="Book Antiqua" w:eastAsia="MS PGothic" w:hAnsi="Book Antiqua" w:cs="Times New Roman"/>
          <w:b/>
          <w:sz w:val="24"/>
          <w:szCs w:val="24"/>
          <w:lang w:val="es-ES" w:eastAsia="es-ES"/>
        </w:rPr>
      </w:pPr>
      <w:r w:rsidRPr="00990A1B">
        <w:rPr>
          <w:rFonts w:ascii="Book Antiqua" w:eastAsia="MS PGothic" w:hAnsi="Book Antiqua" w:cs="Times New Roman"/>
          <w:b/>
          <w:sz w:val="24"/>
          <w:szCs w:val="24"/>
          <w:lang w:val="es-ES" w:eastAsia="es-ES"/>
        </w:rPr>
        <w:t>Al Departamento de Trabajo Social y Psicología</w:t>
      </w:r>
    </w:p>
    <w:p w14:paraId="54F53F39" w14:textId="3AD93461" w:rsidR="00990A1B" w:rsidRDefault="00990A1B" w:rsidP="009E73B0">
      <w:pPr>
        <w:pStyle w:val="Ttulo"/>
        <w:spacing w:line="276" w:lineRule="auto"/>
        <w:jc w:val="left"/>
        <w:rPr>
          <w:szCs w:val="24"/>
          <w:lang w:val="es-CR"/>
        </w:rPr>
      </w:pPr>
    </w:p>
    <w:p w14:paraId="16B8459D" w14:textId="11DBD4FA" w:rsidR="00990A1B" w:rsidRPr="00990A1B" w:rsidRDefault="00990A1B" w:rsidP="0090609F">
      <w:pPr>
        <w:pStyle w:val="Prrafodelista"/>
        <w:widowControl w:val="0"/>
        <w:numPr>
          <w:ilvl w:val="1"/>
          <w:numId w:val="44"/>
        </w:numPr>
        <w:spacing w:after="0" w:line="276" w:lineRule="auto"/>
        <w:jc w:val="both"/>
        <w:rPr>
          <w:rFonts w:ascii="Book Antiqua" w:eastAsia="Calibri" w:hAnsi="Book Antiqua" w:cs="Arial"/>
          <w:sz w:val="24"/>
          <w:szCs w:val="24"/>
        </w:rPr>
      </w:pPr>
      <w:r w:rsidRPr="00990A1B">
        <w:rPr>
          <w:rFonts w:ascii="Book Antiqua" w:eastAsia="Calibri" w:hAnsi="Book Antiqua" w:cs="Arial"/>
          <w:sz w:val="24"/>
          <w:szCs w:val="24"/>
        </w:rPr>
        <w:t xml:space="preserve">Diseñar los planes de trabajo de manera que identifiquen a nivel nacional las pericias que puedan llevar a cabo mediante la contratación de peritos y hagan uso del presupuesto disponible con el fin de reducir los plazos de entrega de </w:t>
      </w:r>
      <w:r w:rsidRPr="00990A1B">
        <w:rPr>
          <w:rFonts w:ascii="Book Antiqua" w:eastAsia="Calibri" w:hAnsi="Book Antiqua" w:cs="Arial"/>
          <w:sz w:val="24"/>
          <w:szCs w:val="24"/>
        </w:rPr>
        <w:lastRenderedPageBreak/>
        <w:t xml:space="preserve">las pericias solicitadas por los Juzgados de Familia </w:t>
      </w:r>
      <w:r w:rsidR="004E2FAD">
        <w:rPr>
          <w:rFonts w:ascii="Book Antiqua" w:eastAsia="Calibri" w:hAnsi="Book Antiqua" w:cs="Arial"/>
          <w:sz w:val="24"/>
          <w:szCs w:val="24"/>
        </w:rPr>
        <w:t xml:space="preserve">y Juzgados de Violencia </w:t>
      </w:r>
      <w:r w:rsidRPr="00990A1B">
        <w:rPr>
          <w:rFonts w:ascii="Book Antiqua" w:eastAsia="Calibri" w:hAnsi="Book Antiqua" w:cs="Arial"/>
          <w:sz w:val="24"/>
          <w:szCs w:val="24"/>
        </w:rPr>
        <w:t>a nivel nacional.</w:t>
      </w:r>
      <w:r w:rsidR="004E2FAD">
        <w:rPr>
          <w:rFonts w:ascii="Book Antiqua" w:eastAsia="Calibri" w:hAnsi="Book Antiqua" w:cs="Arial"/>
          <w:sz w:val="24"/>
          <w:szCs w:val="24"/>
        </w:rPr>
        <w:t xml:space="preserve"> </w:t>
      </w:r>
      <w:r w:rsidR="004E2FAD" w:rsidRPr="00B46A92">
        <w:rPr>
          <w:rFonts w:ascii="Book Antiqua" w:eastAsia="Calibri" w:hAnsi="Book Antiqua" w:cs="Arial"/>
          <w:sz w:val="24"/>
          <w:szCs w:val="24"/>
        </w:rPr>
        <w:t>Una vez aprobado el presupuesto (</w:t>
      </w:r>
      <w:r w:rsidR="009357A3" w:rsidRPr="001D0C10">
        <w:rPr>
          <w:rFonts w:ascii="Book Antiqua" w:eastAsia="Calibri" w:hAnsi="Book Antiqua" w:cs="Arial"/>
          <w:sz w:val="24"/>
          <w:szCs w:val="24"/>
        </w:rPr>
        <w:t>noviembre</w:t>
      </w:r>
      <w:r w:rsidR="004E2FAD" w:rsidRPr="00B46A92">
        <w:rPr>
          <w:rFonts w:ascii="Book Antiqua" w:eastAsia="Calibri" w:hAnsi="Book Antiqua" w:cs="Arial"/>
          <w:sz w:val="24"/>
          <w:szCs w:val="24"/>
        </w:rPr>
        <w:t xml:space="preserve"> 2022), proceder a coordinar lo correspondiente que asegure la ejecución del presupuesto asignado y la mejoría en los plazos de entrega de las pericias</w:t>
      </w:r>
      <w:r w:rsidR="009F3813">
        <w:rPr>
          <w:rFonts w:ascii="Book Antiqua" w:eastAsia="Calibri" w:hAnsi="Book Antiqua" w:cs="Arial"/>
          <w:sz w:val="24"/>
          <w:szCs w:val="24"/>
        </w:rPr>
        <w:t xml:space="preserve">, ya que se visualiza que actualmente los tiempos de respuesta del Departamento de Trabajo Social y Psicología, son los que provocan </w:t>
      </w:r>
      <w:r w:rsidR="00A628C8">
        <w:rPr>
          <w:rFonts w:ascii="Book Antiqua" w:eastAsia="Calibri" w:hAnsi="Book Antiqua" w:cs="Arial"/>
          <w:sz w:val="24"/>
          <w:szCs w:val="24"/>
        </w:rPr>
        <w:t>el mayor cuello de botella y lentitud para la definición de los expedientes judiciales</w:t>
      </w:r>
      <w:r w:rsidR="00726AF6">
        <w:rPr>
          <w:rFonts w:ascii="Book Antiqua" w:eastAsia="Calibri" w:hAnsi="Book Antiqua" w:cs="Arial"/>
          <w:sz w:val="24"/>
          <w:szCs w:val="24"/>
        </w:rPr>
        <w:t>, en la materia de familia</w:t>
      </w:r>
      <w:r w:rsidRPr="00990A1B">
        <w:rPr>
          <w:rFonts w:ascii="Book Antiqua" w:eastAsia="Calibri" w:hAnsi="Book Antiqua" w:cs="Arial"/>
          <w:sz w:val="24"/>
          <w:szCs w:val="24"/>
        </w:rPr>
        <w:t xml:space="preserve"> </w:t>
      </w:r>
    </w:p>
    <w:p w14:paraId="7AC9F02A" w14:textId="77777777" w:rsidR="007538E9" w:rsidRPr="003E0D53" w:rsidRDefault="007538E9" w:rsidP="009E73B0">
      <w:pPr>
        <w:spacing w:line="276" w:lineRule="auto"/>
        <w:rPr>
          <w:rFonts w:ascii="Book Antiqua" w:hAnsi="Book Antiqua"/>
          <w:sz w:val="24"/>
          <w:szCs w:val="24"/>
          <w:lang w:eastAsia="es-CR"/>
        </w:rPr>
      </w:pPr>
    </w:p>
    <w:p w14:paraId="1AD4E705" w14:textId="47BEE476" w:rsidR="00976F97" w:rsidRPr="00770255" w:rsidRDefault="00923948" w:rsidP="0090609F">
      <w:pPr>
        <w:pStyle w:val="Ttulo1"/>
        <w:numPr>
          <w:ilvl w:val="0"/>
          <w:numId w:val="44"/>
        </w:numPr>
        <w:spacing w:line="276" w:lineRule="auto"/>
        <w:rPr>
          <w:lang w:eastAsia="es-CR"/>
        </w:rPr>
      </w:pPr>
      <w:bookmarkStart w:id="76" w:name="_Hlk97225201"/>
      <w:r>
        <w:rPr>
          <w:lang w:eastAsia="es-CR"/>
        </w:rPr>
        <w:t>Anexos</w:t>
      </w:r>
    </w:p>
    <w:tbl>
      <w:tblPr>
        <w:tblW w:w="962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896"/>
        <w:gridCol w:w="3893"/>
        <w:gridCol w:w="3835"/>
      </w:tblGrid>
      <w:tr w:rsidR="00976F97" w:rsidRPr="00015673" w14:paraId="1AD4E709" w14:textId="77777777" w:rsidTr="00F927FD">
        <w:trPr>
          <w:trHeight w:val="335"/>
          <w:tblHeader/>
          <w:jc w:val="center"/>
        </w:trPr>
        <w:tc>
          <w:tcPr>
            <w:tcW w:w="0" w:type="auto"/>
            <w:shd w:val="clear" w:color="auto" w:fill="002060"/>
            <w:noWrap/>
            <w:vAlign w:val="center"/>
            <w:hideMark/>
          </w:tcPr>
          <w:bookmarkEnd w:id="76"/>
          <w:p w14:paraId="1AD4E706" w14:textId="2FA9BE29" w:rsidR="00976F97" w:rsidRPr="003E0D53" w:rsidRDefault="00976F97" w:rsidP="009E73B0">
            <w:pPr>
              <w:spacing w:after="0" w:line="276" w:lineRule="auto"/>
              <w:jc w:val="center"/>
              <w:rPr>
                <w:rFonts w:ascii="Book Antiqua" w:hAnsi="Book Antiqua"/>
                <w:b/>
                <w:bCs/>
                <w:color w:val="FFFFFF" w:themeColor="background1"/>
                <w:sz w:val="20"/>
                <w:szCs w:val="20"/>
                <w:lang w:eastAsia="es-CR"/>
              </w:rPr>
            </w:pPr>
            <w:r w:rsidRPr="003E0D53">
              <w:rPr>
                <w:rFonts w:ascii="Book Antiqua" w:hAnsi="Book Antiqua"/>
                <w:b/>
                <w:bCs/>
                <w:color w:val="FFFFFF" w:themeColor="background1"/>
                <w:sz w:val="20"/>
                <w:szCs w:val="20"/>
                <w:lang w:eastAsia="es-CR"/>
              </w:rPr>
              <w:t>A</w:t>
            </w:r>
            <w:r w:rsidR="00923948" w:rsidRPr="003E0D53">
              <w:rPr>
                <w:rFonts w:ascii="Book Antiqua" w:hAnsi="Book Antiqua"/>
                <w:b/>
                <w:bCs/>
                <w:color w:val="FFFFFF" w:themeColor="background1"/>
                <w:sz w:val="20"/>
                <w:szCs w:val="20"/>
                <w:lang w:eastAsia="es-CR"/>
              </w:rPr>
              <w:t>nexo</w:t>
            </w:r>
          </w:p>
        </w:tc>
        <w:tc>
          <w:tcPr>
            <w:tcW w:w="3893" w:type="dxa"/>
            <w:shd w:val="clear" w:color="auto" w:fill="002060"/>
            <w:noWrap/>
            <w:vAlign w:val="center"/>
            <w:hideMark/>
          </w:tcPr>
          <w:p w14:paraId="1AD4E707" w14:textId="77777777" w:rsidR="00976F97" w:rsidRPr="003E0D53" w:rsidRDefault="00976F97" w:rsidP="009E73B0">
            <w:pPr>
              <w:spacing w:after="0" w:line="276" w:lineRule="auto"/>
              <w:jc w:val="center"/>
              <w:rPr>
                <w:rFonts w:ascii="Book Antiqua" w:hAnsi="Book Antiqua"/>
                <w:b/>
                <w:bCs/>
                <w:color w:val="FFFFFF" w:themeColor="background1"/>
                <w:sz w:val="20"/>
                <w:szCs w:val="20"/>
                <w:lang w:eastAsia="es-CR"/>
              </w:rPr>
            </w:pPr>
            <w:r w:rsidRPr="003E0D53">
              <w:rPr>
                <w:rFonts w:ascii="Book Antiqua" w:hAnsi="Book Antiqua"/>
                <w:b/>
                <w:bCs/>
                <w:color w:val="FFFFFF" w:themeColor="background1"/>
                <w:sz w:val="20"/>
                <w:szCs w:val="20"/>
                <w:lang w:eastAsia="es-CR"/>
              </w:rPr>
              <w:t>Nombre</w:t>
            </w:r>
          </w:p>
        </w:tc>
        <w:tc>
          <w:tcPr>
            <w:tcW w:w="3835" w:type="dxa"/>
            <w:shd w:val="clear" w:color="auto" w:fill="002060"/>
            <w:noWrap/>
            <w:vAlign w:val="center"/>
            <w:hideMark/>
          </w:tcPr>
          <w:p w14:paraId="1AD4E708" w14:textId="77777777" w:rsidR="00976F97" w:rsidRPr="003E0D53" w:rsidRDefault="00976F97" w:rsidP="009E73B0">
            <w:pPr>
              <w:spacing w:after="0" w:line="276" w:lineRule="auto"/>
              <w:jc w:val="center"/>
              <w:rPr>
                <w:rFonts w:ascii="Book Antiqua" w:hAnsi="Book Antiqua"/>
                <w:b/>
                <w:bCs/>
                <w:color w:val="FFFFFF" w:themeColor="background1"/>
                <w:sz w:val="20"/>
                <w:szCs w:val="20"/>
                <w:lang w:eastAsia="es-CR"/>
              </w:rPr>
            </w:pPr>
            <w:r w:rsidRPr="003E0D53">
              <w:rPr>
                <w:rFonts w:ascii="Book Antiqua" w:hAnsi="Book Antiqua"/>
                <w:b/>
                <w:bCs/>
                <w:color w:val="FFFFFF" w:themeColor="background1"/>
                <w:sz w:val="20"/>
                <w:szCs w:val="20"/>
                <w:lang w:eastAsia="es-CR"/>
              </w:rPr>
              <w:t>Documento</w:t>
            </w:r>
          </w:p>
        </w:tc>
      </w:tr>
      <w:tr w:rsidR="00C737A5" w:rsidRPr="00015673" w14:paraId="1AD4E711" w14:textId="77777777" w:rsidTr="009B71C9">
        <w:trPr>
          <w:trHeight w:val="1675"/>
          <w:jc w:val="center"/>
        </w:trPr>
        <w:tc>
          <w:tcPr>
            <w:tcW w:w="0" w:type="auto"/>
            <w:shd w:val="clear" w:color="auto" w:fill="FFFFFF" w:themeFill="background1"/>
            <w:noWrap/>
            <w:vAlign w:val="center"/>
            <w:hideMark/>
          </w:tcPr>
          <w:p w14:paraId="1AD4E70E" w14:textId="7CB6E626" w:rsidR="00C737A5" w:rsidRPr="006B14A6" w:rsidRDefault="0036551E" w:rsidP="009E73B0">
            <w:pPr>
              <w:spacing w:after="0" w:line="276" w:lineRule="auto"/>
              <w:jc w:val="center"/>
              <w:rPr>
                <w:rFonts w:ascii="Book Antiqua" w:eastAsia="Calibri" w:hAnsi="Book Antiqua" w:cs="Arial"/>
              </w:rPr>
            </w:pPr>
            <w:r w:rsidRPr="006B14A6">
              <w:rPr>
                <w:rFonts w:ascii="Book Antiqua" w:eastAsia="Calibri" w:hAnsi="Book Antiqua" w:cs="Arial"/>
              </w:rPr>
              <w:t xml:space="preserve">Anexo </w:t>
            </w:r>
            <w:r w:rsidR="00926179" w:rsidRPr="006B14A6">
              <w:rPr>
                <w:rFonts w:ascii="Book Antiqua" w:eastAsia="Calibri" w:hAnsi="Book Antiqua" w:cs="Arial"/>
              </w:rPr>
              <w:t>1</w:t>
            </w:r>
          </w:p>
        </w:tc>
        <w:tc>
          <w:tcPr>
            <w:tcW w:w="3893" w:type="dxa"/>
            <w:shd w:val="clear" w:color="auto" w:fill="FFFFFF" w:themeFill="background1"/>
            <w:vAlign w:val="center"/>
          </w:tcPr>
          <w:p w14:paraId="1AD4E70F" w14:textId="2BD73A93" w:rsidR="00C737A5" w:rsidRPr="003E0D53" w:rsidRDefault="000B3FC7" w:rsidP="00153198">
            <w:pPr>
              <w:spacing w:line="276" w:lineRule="auto"/>
              <w:jc w:val="both"/>
              <w:rPr>
                <w:rFonts w:ascii="Book Antiqua" w:hAnsi="Book Antiqua"/>
                <w:sz w:val="20"/>
                <w:szCs w:val="20"/>
              </w:rPr>
            </w:pPr>
            <w:r w:rsidRPr="0036551E">
              <w:rPr>
                <w:rFonts w:ascii="Book Antiqua" w:eastAsia="Calibri" w:hAnsi="Book Antiqua" w:cs="Arial"/>
              </w:rPr>
              <w:t>Diagramas de procesos materia Familia.</w:t>
            </w:r>
          </w:p>
        </w:tc>
        <w:bookmarkStart w:id="77" w:name="_MON_1708156085"/>
        <w:bookmarkEnd w:id="77"/>
        <w:tc>
          <w:tcPr>
            <w:tcW w:w="3835" w:type="dxa"/>
            <w:shd w:val="clear" w:color="auto" w:fill="FFFFFF" w:themeFill="background1"/>
            <w:noWrap/>
            <w:vAlign w:val="center"/>
          </w:tcPr>
          <w:p w14:paraId="1AD4E710" w14:textId="459BFE61" w:rsidR="005D6BD8" w:rsidRPr="003E0D53" w:rsidRDefault="005D6BD8" w:rsidP="003D7459">
            <w:pPr>
              <w:spacing w:line="276" w:lineRule="auto"/>
              <w:jc w:val="center"/>
              <w:rPr>
                <w:rFonts w:ascii="Book Antiqua" w:hAnsi="Book Antiqua"/>
                <w:sz w:val="20"/>
                <w:szCs w:val="20"/>
              </w:rPr>
            </w:pPr>
            <w:r>
              <w:rPr>
                <w:rFonts w:ascii="Book Antiqua" w:hAnsi="Book Antiqua"/>
                <w:sz w:val="20"/>
                <w:szCs w:val="20"/>
              </w:rPr>
              <w:object w:dxaOrig="1508" w:dyaOrig="984" w14:anchorId="3C2A80CD">
                <v:shape id="_x0000_i1046" type="#_x0000_t75" style="width:77.5pt;height:56pt" o:ole="">
                  <v:imagedata r:id="rId79" o:title=""/>
                </v:shape>
                <o:OLEObject Type="Embed" ProgID="Excel.Sheet.12" ShapeID="_x0000_i1046" DrawAspect="Icon" ObjectID="_1718086590" r:id="rId80"/>
              </w:object>
            </w:r>
          </w:p>
        </w:tc>
      </w:tr>
      <w:tr w:rsidR="000B3FC7" w:rsidRPr="00015673" w14:paraId="05003F3F" w14:textId="77777777" w:rsidTr="003E0D53">
        <w:trPr>
          <w:trHeight w:val="335"/>
          <w:jc w:val="center"/>
        </w:trPr>
        <w:tc>
          <w:tcPr>
            <w:tcW w:w="0" w:type="auto"/>
            <w:shd w:val="clear" w:color="auto" w:fill="auto"/>
            <w:noWrap/>
            <w:vAlign w:val="center"/>
          </w:tcPr>
          <w:p w14:paraId="79CB0D5D" w14:textId="01DAC9C7" w:rsidR="000B3FC7" w:rsidRPr="006B14A6" w:rsidRDefault="000B3FC7" w:rsidP="000B3FC7">
            <w:pPr>
              <w:spacing w:after="0" w:line="276" w:lineRule="auto"/>
              <w:jc w:val="center"/>
              <w:rPr>
                <w:rFonts w:ascii="Book Antiqua" w:eastAsia="Calibri" w:hAnsi="Book Antiqua" w:cs="Arial"/>
              </w:rPr>
            </w:pPr>
            <w:r w:rsidRPr="006B14A6">
              <w:rPr>
                <w:rFonts w:ascii="Book Antiqua" w:eastAsia="Calibri" w:hAnsi="Book Antiqua" w:cs="Arial"/>
              </w:rPr>
              <w:t>Anexo 2</w:t>
            </w:r>
          </w:p>
        </w:tc>
        <w:tc>
          <w:tcPr>
            <w:tcW w:w="3893" w:type="dxa"/>
            <w:shd w:val="clear" w:color="auto" w:fill="auto"/>
            <w:vAlign w:val="center"/>
          </w:tcPr>
          <w:p w14:paraId="7DCCA457" w14:textId="270EFDD8" w:rsidR="000B3FC7" w:rsidRPr="003E0D53" w:rsidRDefault="000B3FC7" w:rsidP="000B3FC7">
            <w:pPr>
              <w:spacing w:line="276" w:lineRule="auto"/>
              <w:jc w:val="both"/>
              <w:rPr>
                <w:rFonts w:ascii="Book Antiqua" w:hAnsi="Book Antiqua"/>
                <w:sz w:val="20"/>
                <w:szCs w:val="20"/>
              </w:rPr>
            </w:pPr>
            <w:r w:rsidRPr="0036551E">
              <w:rPr>
                <w:rFonts w:ascii="Book Antiqua" w:eastAsia="Calibri" w:hAnsi="Book Antiqua" w:cs="Arial"/>
              </w:rPr>
              <w:t>Diagramas de proceso materia Familia desarrollado por La Comisión de la Jurisdicción Familia Niñez y Adolescencia.</w:t>
            </w:r>
          </w:p>
        </w:tc>
        <w:tc>
          <w:tcPr>
            <w:tcW w:w="3835" w:type="dxa"/>
            <w:shd w:val="clear" w:color="auto" w:fill="auto"/>
            <w:noWrap/>
            <w:vAlign w:val="center"/>
          </w:tcPr>
          <w:p w14:paraId="2EC98BAD" w14:textId="0B8C08BF" w:rsidR="005D6BD8" w:rsidRPr="003E0D53" w:rsidRDefault="005D6BD8" w:rsidP="000B3FC7">
            <w:pPr>
              <w:spacing w:line="276" w:lineRule="auto"/>
              <w:jc w:val="center"/>
              <w:rPr>
                <w:rFonts w:ascii="Book Antiqua" w:hAnsi="Book Antiqua"/>
                <w:sz w:val="20"/>
                <w:szCs w:val="20"/>
              </w:rPr>
            </w:pPr>
            <w:r>
              <w:rPr>
                <w:rFonts w:ascii="Book Antiqua" w:hAnsi="Book Antiqua"/>
                <w:sz w:val="20"/>
                <w:szCs w:val="20"/>
              </w:rPr>
              <w:object w:dxaOrig="1508" w:dyaOrig="984" w14:anchorId="12DEE1E0">
                <v:shape id="_x0000_i1047" type="#_x0000_t75" style="width:77.5pt;height:56pt" o:ole="">
                  <v:imagedata r:id="rId81" o:title=""/>
                </v:shape>
                <o:OLEObject Type="Embed" ProgID="Acrobat.Document.DC" ShapeID="_x0000_i1047" DrawAspect="Icon" ObjectID="_1718086591" r:id="rId82"/>
              </w:object>
            </w:r>
          </w:p>
        </w:tc>
      </w:tr>
      <w:tr w:rsidR="000B3FC7" w:rsidRPr="00015673" w14:paraId="017D938D" w14:textId="77777777" w:rsidTr="003E0D53">
        <w:trPr>
          <w:trHeight w:val="335"/>
          <w:jc w:val="center"/>
        </w:trPr>
        <w:tc>
          <w:tcPr>
            <w:tcW w:w="0" w:type="auto"/>
            <w:shd w:val="clear" w:color="auto" w:fill="auto"/>
            <w:noWrap/>
            <w:vAlign w:val="center"/>
          </w:tcPr>
          <w:p w14:paraId="7A099B1D" w14:textId="7E0133A4" w:rsidR="000B3FC7" w:rsidRPr="006B14A6" w:rsidRDefault="000B3FC7" w:rsidP="000B3FC7">
            <w:pPr>
              <w:spacing w:after="0" w:line="276" w:lineRule="auto"/>
              <w:jc w:val="center"/>
              <w:rPr>
                <w:rFonts w:ascii="Book Antiqua" w:eastAsia="Calibri" w:hAnsi="Book Antiqua" w:cs="Arial"/>
              </w:rPr>
            </w:pPr>
            <w:r w:rsidRPr="006B14A6">
              <w:rPr>
                <w:rFonts w:ascii="Book Antiqua" w:eastAsia="Calibri" w:hAnsi="Book Antiqua" w:cs="Arial"/>
              </w:rPr>
              <w:t>Anexo 3</w:t>
            </w:r>
          </w:p>
        </w:tc>
        <w:tc>
          <w:tcPr>
            <w:tcW w:w="3893" w:type="dxa"/>
            <w:shd w:val="clear" w:color="auto" w:fill="auto"/>
            <w:vAlign w:val="center"/>
          </w:tcPr>
          <w:p w14:paraId="5D90942E" w14:textId="44FC17D2" w:rsidR="000B3FC7" w:rsidRPr="0036551E" w:rsidRDefault="000B3FC7" w:rsidP="000B3FC7">
            <w:pPr>
              <w:spacing w:line="276" w:lineRule="auto"/>
              <w:jc w:val="both"/>
              <w:rPr>
                <w:rFonts w:ascii="Book Antiqua" w:eastAsia="Calibri" w:hAnsi="Book Antiqua" w:cs="Arial"/>
              </w:rPr>
            </w:pPr>
            <w:r w:rsidRPr="0036551E">
              <w:rPr>
                <w:rFonts w:ascii="Book Antiqua" w:eastAsia="Calibri" w:hAnsi="Book Antiqua" w:cs="Arial"/>
              </w:rPr>
              <w:t>Diagrama procesos Familia con duración</w:t>
            </w:r>
          </w:p>
        </w:tc>
        <w:tc>
          <w:tcPr>
            <w:tcW w:w="3835" w:type="dxa"/>
            <w:shd w:val="clear" w:color="auto" w:fill="auto"/>
            <w:noWrap/>
            <w:vAlign w:val="center"/>
          </w:tcPr>
          <w:p w14:paraId="0E91913D" w14:textId="1E18E1BD" w:rsidR="000B3FC7" w:rsidRPr="003E0D53" w:rsidRDefault="005D6BD8" w:rsidP="000B3FC7">
            <w:pPr>
              <w:spacing w:line="276" w:lineRule="auto"/>
              <w:jc w:val="center"/>
              <w:rPr>
                <w:rFonts w:ascii="Book Antiqua" w:hAnsi="Book Antiqua"/>
                <w:sz w:val="20"/>
                <w:szCs w:val="20"/>
              </w:rPr>
            </w:pPr>
            <w:r>
              <w:rPr>
                <w:rFonts w:ascii="Book Antiqua" w:hAnsi="Book Antiqua"/>
                <w:sz w:val="20"/>
                <w:szCs w:val="20"/>
              </w:rPr>
              <w:object w:dxaOrig="1508" w:dyaOrig="984" w14:anchorId="6CAB77A9">
                <v:shape id="_x0000_i1048" type="#_x0000_t75" style="width:77.5pt;height:56pt" o:ole="">
                  <v:imagedata r:id="rId83" o:title=""/>
                </v:shape>
                <o:OLEObject Type="Embed" ProgID="Excel.Sheet.12" ShapeID="_x0000_i1048" DrawAspect="Icon" ObjectID="_1718086592" r:id="rId84"/>
              </w:object>
            </w:r>
          </w:p>
        </w:tc>
      </w:tr>
      <w:tr w:rsidR="000B3FC7" w:rsidRPr="00015673" w14:paraId="232D0648" w14:textId="77777777" w:rsidTr="003E0D53">
        <w:trPr>
          <w:trHeight w:val="335"/>
          <w:jc w:val="center"/>
        </w:trPr>
        <w:tc>
          <w:tcPr>
            <w:tcW w:w="0" w:type="auto"/>
            <w:shd w:val="clear" w:color="auto" w:fill="auto"/>
            <w:noWrap/>
            <w:vAlign w:val="center"/>
          </w:tcPr>
          <w:p w14:paraId="1125668C" w14:textId="38990B16" w:rsidR="000B3FC7" w:rsidRPr="006B14A6" w:rsidRDefault="000B3FC7" w:rsidP="000B3FC7">
            <w:pPr>
              <w:spacing w:after="0" w:line="276" w:lineRule="auto"/>
              <w:jc w:val="center"/>
              <w:rPr>
                <w:rFonts w:ascii="Book Antiqua" w:eastAsia="Calibri" w:hAnsi="Book Antiqua" w:cs="Arial"/>
              </w:rPr>
            </w:pPr>
            <w:r w:rsidRPr="006B14A6">
              <w:rPr>
                <w:rFonts w:ascii="Book Antiqua" w:eastAsia="Calibri" w:hAnsi="Book Antiqua" w:cs="Arial"/>
              </w:rPr>
              <w:t>Anexo 4</w:t>
            </w:r>
          </w:p>
        </w:tc>
        <w:tc>
          <w:tcPr>
            <w:tcW w:w="3893" w:type="dxa"/>
            <w:shd w:val="clear" w:color="auto" w:fill="auto"/>
            <w:vAlign w:val="center"/>
          </w:tcPr>
          <w:p w14:paraId="62DBCA1F" w14:textId="3C5319E8" w:rsidR="000B3FC7" w:rsidRPr="0036551E" w:rsidRDefault="006A38F8" w:rsidP="000B3FC7">
            <w:pPr>
              <w:spacing w:line="276" w:lineRule="auto"/>
              <w:jc w:val="both"/>
              <w:rPr>
                <w:rFonts w:ascii="Book Antiqua" w:eastAsia="Calibri" w:hAnsi="Book Antiqua" w:cs="Arial"/>
              </w:rPr>
            </w:pPr>
            <w:r w:rsidRPr="006B14A6">
              <w:rPr>
                <w:rFonts w:ascii="Book Antiqua" w:eastAsia="Calibri" w:hAnsi="Book Antiqua" w:cs="Arial"/>
              </w:rPr>
              <w:t>Requerimiento DTI- mejora reparto por procedimiento</w:t>
            </w:r>
          </w:p>
        </w:tc>
        <w:tc>
          <w:tcPr>
            <w:tcW w:w="3835" w:type="dxa"/>
            <w:shd w:val="clear" w:color="auto" w:fill="auto"/>
            <w:noWrap/>
            <w:vAlign w:val="center"/>
          </w:tcPr>
          <w:p w14:paraId="24E5E91F" w14:textId="0FBC6328" w:rsidR="005D6BD8" w:rsidRPr="003E0D53" w:rsidRDefault="006A38F8" w:rsidP="000B3FC7">
            <w:pPr>
              <w:spacing w:line="276" w:lineRule="auto"/>
              <w:jc w:val="center"/>
              <w:rPr>
                <w:rFonts w:ascii="Book Antiqua" w:hAnsi="Book Antiqua"/>
                <w:sz w:val="20"/>
                <w:szCs w:val="20"/>
              </w:rPr>
            </w:pPr>
            <w:r>
              <w:rPr>
                <w:rFonts w:ascii="Book Antiqua" w:hAnsi="Book Antiqua"/>
                <w:sz w:val="20"/>
                <w:szCs w:val="20"/>
              </w:rPr>
              <w:object w:dxaOrig="1508" w:dyaOrig="984" w14:anchorId="4AA0A3E5">
                <v:shape id="_x0000_i1049" type="#_x0000_t75" style="width:77.5pt;height:56pt" o:ole="">
                  <v:imagedata r:id="rId85" o:title=""/>
                </v:shape>
                <o:OLEObject Type="Embed" ProgID="Acrobat.Document.DC" ShapeID="_x0000_i1049" DrawAspect="Icon" ObjectID="_1718086593" r:id="rId86"/>
              </w:object>
            </w:r>
          </w:p>
        </w:tc>
      </w:tr>
      <w:tr w:rsidR="000B3FC7" w:rsidRPr="00015673" w14:paraId="359D887A" w14:textId="77777777" w:rsidTr="003E0D53">
        <w:trPr>
          <w:trHeight w:val="335"/>
          <w:jc w:val="center"/>
        </w:trPr>
        <w:tc>
          <w:tcPr>
            <w:tcW w:w="0" w:type="auto"/>
            <w:shd w:val="clear" w:color="auto" w:fill="auto"/>
            <w:noWrap/>
            <w:vAlign w:val="center"/>
          </w:tcPr>
          <w:p w14:paraId="712C96D6" w14:textId="452CA7B0" w:rsidR="000B3FC7" w:rsidRPr="006B14A6" w:rsidRDefault="000B3FC7" w:rsidP="000B3FC7">
            <w:pPr>
              <w:spacing w:after="0" w:line="276" w:lineRule="auto"/>
              <w:jc w:val="center"/>
              <w:rPr>
                <w:rFonts w:ascii="Book Antiqua" w:eastAsia="Calibri" w:hAnsi="Book Antiqua" w:cs="Arial"/>
              </w:rPr>
            </w:pPr>
            <w:r w:rsidRPr="006B14A6">
              <w:rPr>
                <w:rFonts w:ascii="Book Antiqua" w:eastAsia="Calibri" w:hAnsi="Book Antiqua" w:cs="Arial"/>
              </w:rPr>
              <w:t>Anexo 5</w:t>
            </w:r>
          </w:p>
        </w:tc>
        <w:tc>
          <w:tcPr>
            <w:tcW w:w="3893" w:type="dxa"/>
            <w:shd w:val="clear" w:color="auto" w:fill="auto"/>
            <w:vAlign w:val="center"/>
          </w:tcPr>
          <w:p w14:paraId="56A38049" w14:textId="4FF9FCD1" w:rsidR="000B3FC7" w:rsidRPr="0036551E" w:rsidRDefault="006A38F8" w:rsidP="000B3FC7">
            <w:pPr>
              <w:spacing w:line="276" w:lineRule="auto"/>
              <w:jc w:val="both"/>
              <w:rPr>
                <w:rFonts w:ascii="Book Antiqua" w:eastAsia="Calibri" w:hAnsi="Book Antiqua" w:cs="Arial"/>
              </w:rPr>
            </w:pPr>
            <w:r w:rsidRPr="006B14A6">
              <w:rPr>
                <w:rFonts w:ascii="Book Antiqua" w:eastAsia="Calibri" w:hAnsi="Book Antiqua" w:cs="Arial"/>
              </w:rPr>
              <w:t>Correo del Departamento de Trabajo Social y Psicología-Circular 29-2020</w:t>
            </w:r>
          </w:p>
        </w:tc>
        <w:tc>
          <w:tcPr>
            <w:tcW w:w="3835" w:type="dxa"/>
            <w:shd w:val="clear" w:color="auto" w:fill="auto"/>
            <w:noWrap/>
            <w:vAlign w:val="center"/>
          </w:tcPr>
          <w:p w14:paraId="597D43C3" w14:textId="6F3ADF1B" w:rsidR="000B3FC7" w:rsidRPr="003E0D53" w:rsidRDefault="006A38F8" w:rsidP="000B3FC7">
            <w:pPr>
              <w:spacing w:line="276" w:lineRule="auto"/>
              <w:jc w:val="center"/>
              <w:rPr>
                <w:rFonts w:ascii="Book Antiqua" w:hAnsi="Book Antiqua"/>
                <w:sz w:val="20"/>
                <w:szCs w:val="20"/>
              </w:rPr>
            </w:pPr>
            <w:r>
              <w:rPr>
                <w:rFonts w:ascii="Book Antiqua" w:hAnsi="Book Antiqua"/>
                <w:sz w:val="20"/>
                <w:szCs w:val="20"/>
              </w:rPr>
              <w:object w:dxaOrig="1508" w:dyaOrig="984" w14:anchorId="402043C3">
                <v:shape id="_x0000_i1050" type="#_x0000_t75" style="width:77.5pt;height:56pt" o:ole="">
                  <v:imagedata r:id="rId87" o:title=""/>
                </v:shape>
                <o:OLEObject Type="Embed" ProgID="Acrobat.Document.DC" ShapeID="_x0000_i1050" DrawAspect="Icon" ObjectID="_1718086594" r:id="rId88"/>
              </w:object>
            </w:r>
          </w:p>
        </w:tc>
      </w:tr>
      <w:tr w:rsidR="006A38F8" w:rsidRPr="00015673" w14:paraId="2250D356" w14:textId="77777777" w:rsidTr="003E0D53">
        <w:trPr>
          <w:trHeight w:val="335"/>
          <w:jc w:val="center"/>
        </w:trPr>
        <w:tc>
          <w:tcPr>
            <w:tcW w:w="0" w:type="auto"/>
            <w:shd w:val="clear" w:color="auto" w:fill="auto"/>
            <w:noWrap/>
            <w:vAlign w:val="center"/>
          </w:tcPr>
          <w:p w14:paraId="37FBC8F0" w14:textId="67998026" w:rsidR="006A38F8" w:rsidRPr="006B14A6" w:rsidRDefault="006A38F8" w:rsidP="006A38F8">
            <w:pPr>
              <w:spacing w:after="0" w:line="276" w:lineRule="auto"/>
              <w:jc w:val="center"/>
              <w:rPr>
                <w:rFonts w:ascii="Book Antiqua" w:eastAsia="Calibri" w:hAnsi="Book Antiqua" w:cs="Arial"/>
              </w:rPr>
            </w:pPr>
            <w:r w:rsidRPr="006B14A6">
              <w:rPr>
                <w:rFonts w:ascii="Book Antiqua" w:eastAsia="Calibri" w:hAnsi="Book Antiqua" w:cs="Arial"/>
              </w:rPr>
              <w:lastRenderedPageBreak/>
              <w:t>Anexo 6</w:t>
            </w:r>
          </w:p>
        </w:tc>
        <w:tc>
          <w:tcPr>
            <w:tcW w:w="3893" w:type="dxa"/>
            <w:shd w:val="clear" w:color="auto" w:fill="auto"/>
            <w:vAlign w:val="center"/>
          </w:tcPr>
          <w:p w14:paraId="515872E2" w14:textId="606C604A"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Circular 08-2018-DTSP y correo del Departamento de Trabajo Social y Psicología</w:t>
            </w:r>
          </w:p>
        </w:tc>
        <w:tc>
          <w:tcPr>
            <w:tcW w:w="3835" w:type="dxa"/>
            <w:shd w:val="clear" w:color="auto" w:fill="auto"/>
            <w:noWrap/>
            <w:vAlign w:val="center"/>
          </w:tcPr>
          <w:p w14:paraId="493C1DD2" w14:textId="408E135B"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0E1B34F7">
                <v:shape id="_x0000_i1051" type="#_x0000_t75" style="width:77.5pt;height:56pt" o:ole="">
                  <v:imagedata r:id="rId89" o:title=""/>
                </v:shape>
                <o:OLEObject Type="Embed" ProgID="Acrobat.Document.DC" ShapeID="_x0000_i1051" DrawAspect="Icon" ObjectID="_1718086595" r:id="rId90"/>
              </w:object>
            </w:r>
          </w:p>
        </w:tc>
      </w:tr>
      <w:tr w:rsidR="006A38F8" w:rsidRPr="00015673" w14:paraId="583ED982" w14:textId="77777777" w:rsidTr="003E0D53">
        <w:trPr>
          <w:trHeight w:val="335"/>
          <w:jc w:val="center"/>
        </w:trPr>
        <w:tc>
          <w:tcPr>
            <w:tcW w:w="0" w:type="auto"/>
            <w:shd w:val="clear" w:color="auto" w:fill="auto"/>
            <w:noWrap/>
            <w:vAlign w:val="center"/>
          </w:tcPr>
          <w:p w14:paraId="11939BB3" w14:textId="6BC30520" w:rsidR="006A38F8" w:rsidRPr="006B14A6" w:rsidRDefault="006A38F8" w:rsidP="006A38F8">
            <w:pPr>
              <w:spacing w:after="0" w:line="276" w:lineRule="auto"/>
              <w:jc w:val="center"/>
              <w:rPr>
                <w:rFonts w:ascii="Book Antiqua" w:eastAsia="Calibri" w:hAnsi="Book Antiqua" w:cs="Arial"/>
              </w:rPr>
            </w:pPr>
            <w:r>
              <w:rPr>
                <w:rFonts w:ascii="Book Antiqua" w:eastAsia="Calibri" w:hAnsi="Book Antiqua" w:cs="Arial"/>
              </w:rPr>
              <w:t>Anexo 7</w:t>
            </w:r>
          </w:p>
        </w:tc>
        <w:tc>
          <w:tcPr>
            <w:tcW w:w="3893" w:type="dxa"/>
            <w:shd w:val="clear" w:color="auto" w:fill="auto"/>
            <w:vAlign w:val="center"/>
          </w:tcPr>
          <w:p w14:paraId="66C8DF8B" w14:textId="138D6127" w:rsidR="006A38F8" w:rsidRPr="006B14A6" w:rsidRDefault="00865B8B" w:rsidP="006A38F8">
            <w:pPr>
              <w:spacing w:line="276" w:lineRule="auto"/>
              <w:jc w:val="both"/>
              <w:rPr>
                <w:rFonts w:ascii="Book Antiqua" w:eastAsia="Calibri" w:hAnsi="Book Antiqua" w:cs="Arial"/>
              </w:rPr>
            </w:pPr>
            <w:r>
              <w:rPr>
                <w:rFonts w:ascii="Book Antiqua" w:eastAsia="Calibri" w:hAnsi="Book Antiqua" w:cs="Arial"/>
              </w:rPr>
              <w:t>Correo Departamento de Trabajo Social y Psicología</w:t>
            </w:r>
          </w:p>
        </w:tc>
        <w:tc>
          <w:tcPr>
            <w:tcW w:w="3835" w:type="dxa"/>
            <w:shd w:val="clear" w:color="auto" w:fill="auto"/>
            <w:noWrap/>
            <w:vAlign w:val="center"/>
          </w:tcPr>
          <w:p w14:paraId="4334B635" w14:textId="25897056" w:rsidR="006A38F8" w:rsidRPr="003E0D53" w:rsidRDefault="001A76E5"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77B27BA6">
                <v:shape id="_x0000_i1052" type="#_x0000_t75" style="width:77.5pt;height:52pt" o:ole="">
                  <v:imagedata r:id="rId91" o:title=""/>
                </v:shape>
                <o:OLEObject Type="Embed" ProgID="Package" ShapeID="_x0000_i1052" DrawAspect="Icon" ObjectID="_1718086596" r:id="rId92"/>
              </w:object>
            </w:r>
          </w:p>
        </w:tc>
      </w:tr>
      <w:tr w:rsidR="00E85731" w:rsidRPr="00015673" w14:paraId="5D43750A" w14:textId="77777777" w:rsidTr="003E0D53">
        <w:trPr>
          <w:trHeight w:val="335"/>
          <w:jc w:val="center"/>
        </w:trPr>
        <w:tc>
          <w:tcPr>
            <w:tcW w:w="0" w:type="auto"/>
            <w:shd w:val="clear" w:color="auto" w:fill="auto"/>
            <w:noWrap/>
            <w:vAlign w:val="center"/>
          </w:tcPr>
          <w:p w14:paraId="610DB6B5" w14:textId="0593AA6C" w:rsidR="00E85731" w:rsidRDefault="00E85731" w:rsidP="006A38F8">
            <w:pPr>
              <w:spacing w:after="0" w:line="276" w:lineRule="auto"/>
              <w:jc w:val="center"/>
              <w:rPr>
                <w:rFonts w:ascii="Book Antiqua" w:eastAsia="Calibri" w:hAnsi="Book Antiqua" w:cs="Arial"/>
              </w:rPr>
            </w:pPr>
            <w:r>
              <w:rPr>
                <w:rFonts w:ascii="Book Antiqua" w:eastAsia="Calibri" w:hAnsi="Book Antiqua" w:cs="Arial"/>
              </w:rPr>
              <w:t>Anexo 8</w:t>
            </w:r>
          </w:p>
        </w:tc>
        <w:tc>
          <w:tcPr>
            <w:tcW w:w="3893" w:type="dxa"/>
            <w:shd w:val="clear" w:color="auto" w:fill="auto"/>
            <w:vAlign w:val="center"/>
          </w:tcPr>
          <w:p w14:paraId="66272C45" w14:textId="421AEC50" w:rsidR="00E85731" w:rsidRDefault="00E85731" w:rsidP="006A38F8">
            <w:pPr>
              <w:spacing w:line="276" w:lineRule="auto"/>
              <w:jc w:val="both"/>
              <w:rPr>
                <w:rFonts w:ascii="Book Antiqua" w:eastAsia="Calibri" w:hAnsi="Book Antiqua" w:cs="Arial"/>
              </w:rPr>
            </w:pPr>
            <w:r>
              <w:rPr>
                <w:rFonts w:ascii="Book Antiqua" w:eastAsia="Calibri" w:hAnsi="Book Antiqua" w:cs="Arial"/>
              </w:rPr>
              <w:t>Correo del Departamento de Trabajo Social y Psicología (oficio del 1-2-2022)</w:t>
            </w:r>
          </w:p>
        </w:tc>
        <w:tc>
          <w:tcPr>
            <w:tcW w:w="3835" w:type="dxa"/>
            <w:shd w:val="clear" w:color="auto" w:fill="auto"/>
            <w:noWrap/>
            <w:vAlign w:val="center"/>
          </w:tcPr>
          <w:p w14:paraId="07DA5033" w14:textId="330394B7" w:rsidR="00E85731" w:rsidDel="006A38F8" w:rsidRDefault="00E85731"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2B6CFB43">
                <v:shape id="_x0000_i1053" type="#_x0000_t75" style="width:77.5pt;height:52pt" o:ole="">
                  <v:imagedata r:id="rId93" o:title=""/>
                </v:shape>
                <o:OLEObject Type="Embed" ProgID="Package" ShapeID="_x0000_i1053" DrawAspect="Icon" ObjectID="_1718086597" r:id="rId94"/>
              </w:object>
            </w:r>
          </w:p>
        </w:tc>
      </w:tr>
      <w:tr w:rsidR="006A38F8" w:rsidRPr="00015673" w14:paraId="7C9815C2" w14:textId="77777777" w:rsidTr="003E0D53">
        <w:trPr>
          <w:trHeight w:val="335"/>
          <w:jc w:val="center"/>
        </w:trPr>
        <w:tc>
          <w:tcPr>
            <w:tcW w:w="0" w:type="auto"/>
            <w:shd w:val="clear" w:color="auto" w:fill="auto"/>
            <w:noWrap/>
            <w:vAlign w:val="center"/>
          </w:tcPr>
          <w:p w14:paraId="2B0DA38A" w14:textId="24CD1209"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576B9C">
              <w:rPr>
                <w:rFonts w:ascii="Book Antiqua" w:eastAsia="Calibri" w:hAnsi="Book Antiqua" w:cs="Arial"/>
              </w:rPr>
              <w:t>9</w:t>
            </w:r>
          </w:p>
        </w:tc>
        <w:tc>
          <w:tcPr>
            <w:tcW w:w="3893" w:type="dxa"/>
            <w:shd w:val="clear" w:color="auto" w:fill="auto"/>
            <w:vAlign w:val="center"/>
          </w:tcPr>
          <w:p w14:paraId="4547AE43" w14:textId="0C7DCC22" w:rsidR="006A38F8" w:rsidRPr="006B14A6" w:rsidRDefault="00865B8B" w:rsidP="006A38F8">
            <w:pPr>
              <w:spacing w:line="276" w:lineRule="auto"/>
              <w:jc w:val="both"/>
              <w:rPr>
                <w:rFonts w:ascii="Book Antiqua" w:eastAsia="Calibri" w:hAnsi="Book Antiqua" w:cs="Arial"/>
              </w:rPr>
            </w:pPr>
            <w:r>
              <w:rPr>
                <w:rFonts w:ascii="Book Antiqua" w:eastAsia="Calibri" w:hAnsi="Book Antiqua" w:cs="Arial"/>
              </w:rPr>
              <w:t>Minuta 49-PLA-MI-MNTA-2021 DTSP sesión de trabajo 29-1-21</w:t>
            </w:r>
          </w:p>
        </w:tc>
        <w:tc>
          <w:tcPr>
            <w:tcW w:w="3835" w:type="dxa"/>
            <w:shd w:val="clear" w:color="auto" w:fill="auto"/>
            <w:noWrap/>
            <w:vAlign w:val="center"/>
          </w:tcPr>
          <w:p w14:paraId="69F524F7" w14:textId="24A76AC3" w:rsidR="006A38F8" w:rsidRPr="003E0D53" w:rsidRDefault="001A76E5"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24C6D5B9">
                <v:shape id="_x0000_i1054" type="#_x0000_t75" style="width:77.5pt;height:52pt" o:ole="">
                  <v:imagedata r:id="rId95" o:title=""/>
                </v:shape>
                <o:OLEObject Type="Embed" ProgID="Acrobat.Document.DC" ShapeID="_x0000_i1054" DrawAspect="Icon" ObjectID="_1718086598" r:id="rId96"/>
              </w:object>
            </w:r>
          </w:p>
        </w:tc>
      </w:tr>
      <w:tr w:rsidR="006A38F8" w:rsidRPr="00015673" w14:paraId="372FA641" w14:textId="77777777" w:rsidTr="003E0D53">
        <w:trPr>
          <w:trHeight w:val="335"/>
          <w:jc w:val="center"/>
        </w:trPr>
        <w:tc>
          <w:tcPr>
            <w:tcW w:w="0" w:type="auto"/>
            <w:shd w:val="clear" w:color="auto" w:fill="auto"/>
            <w:noWrap/>
            <w:vAlign w:val="center"/>
          </w:tcPr>
          <w:p w14:paraId="340CCD0B" w14:textId="6418E957"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576B9C">
              <w:rPr>
                <w:rFonts w:ascii="Book Antiqua" w:eastAsia="Calibri" w:hAnsi="Book Antiqua" w:cs="Arial"/>
              </w:rPr>
              <w:t>10</w:t>
            </w:r>
          </w:p>
        </w:tc>
        <w:tc>
          <w:tcPr>
            <w:tcW w:w="3893" w:type="dxa"/>
            <w:shd w:val="clear" w:color="auto" w:fill="auto"/>
            <w:vAlign w:val="center"/>
          </w:tcPr>
          <w:p w14:paraId="6A22F529" w14:textId="2C9887BB"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Entregable 3.9. Informe de la Implantación de EV y mejoras a nivel de sistemas para CPF</w:t>
            </w:r>
          </w:p>
        </w:tc>
        <w:tc>
          <w:tcPr>
            <w:tcW w:w="3835" w:type="dxa"/>
            <w:shd w:val="clear" w:color="auto" w:fill="auto"/>
            <w:noWrap/>
            <w:vAlign w:val="center"/>
          </w:tcPr>
          <w:p w14:paraId="5A2421C0" w14:textId="1584C655"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21B95CB5">
                <v:shape id="_x0000_i1055" type="#_x0000_t75" style="width:77.5pt;height:56pt" o:ole="">
                  <v:imagedata r:id="rId97" o:title=""/>
                </v:shape>
                <o:OLEObject Type="Embed" ProgID="Acrobat.Document.DC" ShapeID="_x0000_i1055" DrawAspect="Icon" ObjectID="_1718086599" r:id="rId98"/>
              </w:object>
            </w:r>
          </w:p>
        </w:tc>
      </w:tr>
      <w:tr w:rsidR="006A38F8" w:rsidRPr="00015673" w14:paraId="2FE6BB8B" w14:textId="77777777" w:rsidTr="003E0D53">
        <w:trPr>
          <w:trHeight w:val="335"/>
          <w:jc w:val="center"/>
        </w:trPr>
        <w:tc>
          <w:tcPr>
            <w:tcW w:w="0" w:type="auto"/>
            <w:shd w:val="clear" w:color="auto" w:fill="auto"/>
            <w:noWrap/>
            <w:vAlign w:val="center"/>
          </w:tcPr>
          <w:p w14:paraId="0B138A79" w14:textId="6BB28C98"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74146B">
              <w:rPr>
                <w:rFonts w:ascii="Book Antiqua" w:eastAsia="Calibri" w:hAnsi="Book Antiqua" w:cs="Arial"/>
              </w:rPr>
              <w:t>11</w:t>
            </w:r>
          </w:p>
        </w:tc>
        <w:tc>
          <w:tcPr>
            <w:tcW w:w="3893" w:type="dxa"/>
            <w:shd w:val="clear" w:color="auto" w:fill="auto"/>
            <w:vAlign w:val="center"/>
          </w:tcPr>
          <w:p w14:paraId="07B3FA82" w14:textId="39C9B43A"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Circular 223-20</w:t>
            </w:r>
          </w:p>
        </w:tc>
        <w:tc>
          <w:tcPr>
            <w:tcW w:w="3835" w:type="dxa"/>
            <w:shd w:val="clear" w:color="auto" w:fill="auto"/>
            <w:noWrap/>
            <w:vAlign w:val="center"/>
          </w:tcPr>
          <w:p w14:paraId="1E9E09B2" w14:textId="45E3241A"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35ECDCA7">
                <v:shape id="_x0000_i1056" type="#_x0000_t75" style="width:77.5pt;height:56pt" o:ole="">
                  <v:imagedata r:id="rId99" o:title=""/>
                </v:shape>
                <o:OLEObject Type="Embed" ProgID="Acrobat.Document.DC" ShapeID="_x0000_i1056" DrawAspect="Icon" ObjectID="_1718086600" r:id="rId100"/>
              </w:object>
            </w:r>
          </w:p>
        </w:tc>
      </w:tr>
      <w:tr w:rsidR="006A38F8" w:rsidRPr="00015673" w14:paraId="7EA4630B" w14:textId="77777777" w:rsidTr="003E0D53">
        <w:trPr>
          <w:trHeight w:val="335"/>
          <w:jc w:val="center"/>
        </w:trPr>
        <w:tc>
          <w:tcPr>
            <w:tcW w:w="0" w:type="auto"/>
            <w:shd w:val="clear" w:color="auto" w:fill="auto"/>
            <w:noWrap/>
            <w:vAlign w:val="center"/>
          </w:tcPr>
          <w:p w14:paraId="775DD2C3" w14:textId="5D858D14"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74146B">
              <w:rPr>
                <w:rFonts w:ascii="Book Antiqua" w:eastAsia="Calibri" w:hAnsi="Book Antiqua" w:cs="Arial"/>
              </w:rPr>
              <w:t>12</w:t>
            </w:r>
          </w:p>
        </w:tc>
        <w:tc>
          <w:tcPr>
            <w:tcW w:w="3893" w:type="dxa"/>
            <w:shd w:val="clear" w:color="auto" w:fill="auto"/>
            <w:vAlign w:val="center"/>
          </w:tcPr>
          <w:p w14:paraId="656B7F12" w14:textId="7DB4E373"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Oficio 2374-DTI-2020</w:t>
            </w:r>
          </w:p>
        </w:tc>
        <w:bookmarkStart w:id="78" w:name="_MON_1708157640"/>
        <w:bookmarkEnd w:id="78"/>
        <w:tc>
          <w:tcPr>
            <w:tcW w:w="3835" w:type="dxa"/>
            <w:shd w:val="clear" w:color="auto" w:fill="auto"/>
            <w:noWrap/>
            <w:vAlign w:val="center"/>
          </w:tcPr>
          <w:p w14:paraId="67F6B5AC" w14:textId="36C22484"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50FFAEE6">
                <v:shape id="_x0000_i1057" type="#_x0000_t75" style="width:77.5pt;height:56pt" o:ole="">
                  <v:imagedata r:id="rId101" o:title=""/>
                </v:shape>
                <o:OLEObject Type="Embed" ProgID="Word.Document.8" ShapeID="_x0000_i1057" DrawAspect="Icon" ObjectID="_1718086601" r:id="rId102">
                  <o:FieldCodes>\s</o:FieldCodes>
                </o:OLEObject>
              </w:object>
            </w:r>
          </w:p>
        </w:tc>
      </w:tr>
      <w:tr w:rsidR="006A38F8" w:rsidRPr="00015673" w14:paraId="355D9D1A" w14:textId="77777777" w:rsidTr="003E0D53">
        <w:trPr>
          <w:trHeight w:val="335"/>
          <w:jc w:val="center"/>
        </w:trPr>
        <w:tc>
          <w:tcPr>
            <w:tcW w:w="0" w:type="auto"/>
            <w:shd w:val="clear" w:color="auto" w:fill="auto"/>
            <w:noWrap/>
            <w:vAlign w:val="center"/>
          </w:tcPr>
          <w:p w14:paraId="10E5816B" w14:textId="4F283B14"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 xml:space="preserve">Anexo </w:t>
            </w:r>
            <w:r w:rsidR="00151A76">
              <w:rPr>
                <w:rFonts w:ascii="Book Antiqua" w:eastAsia="Calibri" w:hAnsi="Book Antiqua" w:cs="Arial"/>
              </w:rPr>
              <w:t>13</w:t>
            </w:r>
          </w:p>
        </w:tc>
        <w:tc>
          <w:tcPr>
            <w:tcW w:w="3893" w:type="dxa"/>
            <w:shd w:val="clear" w:color="auto" w:fill="auto"/>
            <w:vAlign w:val="center"/>
          </w:tcPr>
          <w:p w14:paraId="4FA29E97" w14:textId="4D779E66" w:rsidR="006A38F8" w:rsidRPr="006B14A6" w:rsidRDefault="006A38F8" w:rsidP="006A38F8">
            <w:pPr>
              <w:spacing w:line="276" w:lineRule="auto"/>
              <w:jc w:val="both"/>
              <w:rPr>
                <w:rFonts w:ascii="Book Antiqua" w:eastAsia="Calibri" w:hAnsi="Book Antiqua" w:cs="Arial"/>
              </w:rPr>
            </w:pPr>
            <w:r w:rsidRPr="00A729AC">
              <w:rPr>
                <w:rFonts w:ascii="Book Antiqua" w:eastAsia="Calibri" w:hAnsi="Book Antiqua" w:cs="Arial"/>
              </w:rPr>
              <w:t>Circular 7-2021</w:t>
            </w:r>
          </w:p>
        </w:tc>
        <w:tc>
          <w:tcPr>
            <w:tcW w:w="3835" w:type="dxa"/>
            <w:shd w:val="clear" w:color="auto" w:fill="auto"/>
            <w:noWrap/>
            <w:vAlign w:val="center"/>
          </w:tcPr>
          <w:p w14:paraId="2CAAF3F4" w14:textId="45B7744F" w:rsidR="006A38F8" w:rsidRPr="003E0D53" w:rsidRDefault="00151A76"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06B04C46">
                <v:shape id="_x0000_i1058" type="#_x0000_t75" style="width:77.5pt;height:52pt" o:ole="">
                  <v:imagedata r:id="rId103" o:title=""/>
                </v:shape>
                <o:OLEObject Type="Embed" ProgID="Acrobat.Document.DC" ShapeID="_x0000_i1058" DrawAspect="Icon" ObjectID="_1718086602" r:id="rId104"/>
              </w:object>
            </w:r>
          </w:p>
        </w:tc>
      </w:tr>
      <w:tr w:rsidR="006A38F8" w:rsidRPr="00015673" w14:paraId="22BC3F01" w14:textId="77777777" w:rsidTr="00A729AC">
        <w:trPr>
          <w:trHeight w:val="335"/>
          <w:jc w:val="center"/>
        </w:trPr>
        <w:tc>
          <w:tcPr>
            <w:tcW w:w="0" w:type="auto"/>
            <w:shd w:val="clear" w:color="auto" w:fill="FFFFFF" w:themeFill="background1"/>
            <w:noWrap/>
            <w:vAlign w:val="center"/>
          </w:tcPr>
          <w:p w14:paraId="5935AF54" w14:textId="02C05FFE" w:rsidR="006A38F8" w:rsidRPr="00A729AC" w:rsidRDefault="006A38F8" w:rsidP="006A38F8">
            <w:pPr>
              <w:spacing w:after="0" w:line="276" w:lineRule="auto"/>
              <w:jc w:val="center"/>
              <w:rPr>
                <w:rFonts w:ascii="Book Antiqua" w:eastAsia="Calibri" w:hAnsi="Book Antiqua" w:cs="Arial"/>
              </w:rPr>
            </w:pPr>
            <w:r w:rsidRPr="00A729AC">
              <w:rPr>
                <w:rFonts w:ascii="Book Antiqua" w:eastAsia="Calibri" w:hAnsi="Book Antiqua" w:cs="Arial"/>
              </w:rPr>
              <w:lastRenderedPageBreak/>
              <w:t xml:space="preserve">Anexo </w:t>
            </w:r>
            <w:r w:rsidR="00217D4F" w:rsidRPr="00A729AC">
              <w:rPr>
                <w:rFonts w:ascii="Book Antiqua" w:eastAsia="Calibri" w:hAnsi="Book Antiqua" w:cs="Arial"/>
              </w:rPr>
              <w:t>1</w:t>
            </w:r>
            <w:r w:rsidR="00217D4F">
              <w:rPr>
                <w:rFonts w:ascii="Book Antiqua" w:eastAsia="Calibri" w:hAnsi="Book Antiqua" w:cs="Arial"/>
              </w:rPr>
              <w:t>4</w:t>
            </w:r>
          </w:p>
        </w:tc>
        <w:tc>
          <w:tcPr>
            <w:tcW w:w="3893" w:type="dxa"/>
            <w:shd w:val="clear" w:color="auto" w:fill="FFFFFF" w:themeFill="background1"/>
            <w:vAlign w:val="center"/>
          </w:tcPr>
          <w:p w14:paraId="7B93FC15" w14:textId="49DC6737" w:rsidR="006A38F8" w:rsidRPr="00A729AC" w:rsidRDefault="006A38F8" w:rsidP="006A38F8">
            <w:pPr>
              <w:spacing w:line="276" w:lineRule="auto"/>
              <w:jc w:val="both"/>
              <w:rPr>
                <w:rFonts w:ascii="Book Antiqua" w:eastAsia="Calibri" w:hAnsi="Book Antiqua" w:cs="Arial"/>
              </w:rPr>
            </w:pPr>
            <w:r w:rsidRPr="00A729AC">
              <w:rPr>
                <w:rFonts w:ascii="Book Antiqua" w:eastAsia="Calibri" w:hAnsi="Book Antiqua" w:cs="Arial"/>
              </w:rPr>
              <w:t>Circular 260-2020</w:t>
            </w:r>
          </w:p>
        </w:tc>
        <w:tc>
          <w:tcPr>
            <w:tcW w:w="3835" w:type="dxa"/>
            <w:shd w:val="clear" w:color="auto" w:fill="FFFFFF" w:themeFill="background1"/>
            <w:noWrap/>
            <w:vAlign w:val="center"/>
          </w:tcPr>
          <w:p w14:paraId="773AB846" w14:textId="6C420F7C" w:rsidR="006A38F8" w:rsidRPr="00A729AC" w:rsidRDefault="006A38F8" w:rsidP="006A38F8">
            <w:pPr>
              <w:spacing w:line="276" w:lineRule="auto"/>
              <w:jc w:val="center"/>
              <w:rPr>
                <w:rFonts w:ascii="Book Antiqua" w:hAnsi="Book Antiqua"/>
                <w:sz w:val="20"/>
                <w:szCs w:val="20"/>
              </w:rPr>
            </w:pPr>
            <w:r w:rsidRPr="00A729AC">
              <w:rPr>
                <w:rFonts w:ascii="Book Antiqua" w:hAnsi="Book Antiqua"/>
                <w:sz w:val="20"/>
                <w:szCs w:val="20"/>
              </w:rPr>
              <w:object w:dxaOrig="1508" w:dyaOrig="984" w14:anchorId="3D58F811">
                <v:shape id="_x0000_i1059" type="#_x0000_t75" style="width:77.5pt;height:56pt" o:ole="">
                  <v:imagedata r:id="rId105" o:title=""/>
                </v:shape>
                <o:OLEObject Type="Embed" ProgID="Acrobat.Document.DC" ShapeID="_x0000_i1059" DrawAspect="Icon" ObjectID="_1718086603" r:id="rId106"/>
              </w:object>
            </w:r>
          </w:p>
        </w:tc>
      </w:tr>
      <w:tr w:rsidR="006A38F8" w:rsidRPr="00015673" w14:paraId="0FE0916F" w14:textId="77777777" w:rsidTr="003E0D53">
        <w:trPr>
          <w:trHeight w:val="335"/>
          <w:jc w:val="center"/>
        </w:trPr>
        <w:tc>
          <w:tcPr>
            <w:tcW w:w="0" w:type="auto"/>
            <w:shd w:val="clear" w:color="auto" w:fill="auto"/>
            <w:noWrap/>
            <w:vAlign w:val="center"/>
          </w:tcPr>
          <w:p w14:paraId="347A28A7" w14:textId="550ACDB1"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15</w:t>
            </w:r>
          </w:p>
        </w:tc>
        <w:tc>
          <w:tcPr>
            <w:tcW w:w="3893" w:type="dxa"/>
            <w:shd w:val="clear" w:color="auto" w:fill="auto"/>
            <w:vAlign w:val="center"/>
          </w:tcPr>
          <w:p w14:paraId="4D766F06" w14:textId="57031686" w:rsidR="006A38F8" w:rsidRPr="006B14A6" w:rsidRDefault="006A38F8" w:rsidP="006A38F8">
            <w:pPr>
              <w:spacing w:line="276" w:lineRule="auto"/>
              <w:jc w:val="both"/>
              <w:rPr>
                <w:rFonts w:ascii="Book Antiqua" w:eastAsia="Calibri" w:hAnsi="Book Antiqua" w:cs="Arial"/>
              </w:rPr>
            </w:pPr>
            <w:r>
              <w:rPr>
                <w:rFonts w:ascii="Book Antiqua" w:eastAsia="Calibri" w:hAnsi="Book Antiqua" w:cs="Arial"/>
              </w:rPr>
              <w:t>Circular 244-2021</w:t>
            </w:r>
          </w:p>
        </w:tc>
        <w:tc>
          <w:tcPr>
            <w:tcW w:w="3835" w:type="dxa"/>
            <w:shd w:val="clear" w:color="auto" w:fill="auto"/>
            <w:noWrap/>
            <w:vAlign w:val="center"/>
          </w:tcPr>
          <w:p w14:paraId="538E29A5" w14:textId="7CA8A48D" w:rsidR="006A38F8"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6CBDA9F5">
                <v:shape id="_x0000_i1060" type="#_x0000_t75" style="width:77.5pt;height:56pt" o:ole="">
                  <v:imagedata r:id="rId107" o:title=""/>
                </v:shape>
                <o:OLEObject Type="Embed" ProgID="Acrobat.Document.DC" ShapeID="_x0000_i1060" DrawAspect="Icon" ObjectID="_1718086604" r:id="rId108"/>
              </w:object>
            </w:r>
          </w:p>
        </w:tc>
      </w:tr>
      <w:tr w:rsidR="006A38F8" w:rsidRPr="00015673" w14:paraId="42903AC3" w14:textId="77777777" w:rsidTr="003E0D53">
        <w:trPr>
          <w:trHeight w:val="335"/>
          <w:jc w:val="center"/>
        </w:trPr>
        <w:tc>
          <w:tcPr>
            <w:tcW w:w="0" w:type="auto"/>
            <w:shd w:val="clear" w:color="auto" w:fill="auto"/>
            <w:noWrap/>
            <w:vAlign w:val="center"/>
          </w:tcPr>
          <w:p w14:paraId="45C42F50" w14:textId="5AFCEF00"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16</w:t>
            </w:r>
          </w:p>
        </w:tc>
        <w:tc>
          <w:tcPr>
            <w:tcW w:w="3893" w:type="dxa"/>
            <w:shd w:val="clear" w:color="auto" w:fill="auto"/>
            <w:vAlign w:val="center"/>
          </w:tcPr>
          <w:p w14:paraId="1257E82E" w14:textId="5B57B7AD" w:rsidR="006A38F8" w:rsidRPr="006B14A6" w:rsidRDefault="006A38F8" w:rsidP="006A38F8">
            <w:pPr>
              <w:spacing w:line="276" w:lineRule="auto"/>
              <w:jc w:val="both"/>
              <w:rPr>
                <w:rFonts w:ascii="Book Antiqua" w:eastAsia="Calibri" w:hAnsi="Book Antiqua" w:cs="Arial"/>
              </w:rPr>
            </w:pPr>
            <w:r w:rsidRPr="006B14A6">
              <w:rPr>
                <w:rFonts w:ascii="Book Antiqua" w:eastAsia="Calibri" w:hAnsi="Book Antiqua" w:cs="Arial"/>
              </w:rPr>
              <w:t>Detalle de cantidad de casos que se desjudicializan con el CPF.</w:t>
            </w:r>
          </w:p>
        </w:tc>
        <w:tc>
          <w:tcPr>
            <w:tcW w:w="3835" w:type="dxa"/>
            <w:shd w:val="clear" w:color="auto" w:fill="auto"/>
            <w:noWrap/>
            <w:vAlign w:val="center"/>
          </w:tcPr>
          <w:p w14:paraId="5172F790" w14:textId="3341EE8E" w:rsidR="006A38F8" w:rsidRPr="003E0D53" w:rsidRDefault="006A38F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0369849F">
                <v:shape id="_x0000_i1061" type="#_x0000_t75" style="width:77.5pt;height:56pt" o:ole="">
                  <v:imagedata r:id="rId109" o:title=""/>
                </v:shape>
                <o:OLEObject Type="Embed" ProgID="Excel.Sheet.8" ShapeID="_x0000_i1061" DrawAspect="Icon" ObjectID="_1718086605" r:id="rId110"/>
              </w:object>
            </w:r>
          </w:p>
        </w:tc>
      </w:tr>
      <w:tr w:rsidR="006A38F8" w:rsidRPr="00015673" w14:paraId="749BDF75" w14:textId="77777777" w:rsidTr="003E0D53">
        <w:trPr>
          <w:trHeight w:val="335"/>
          <w:jc w:val="center"/>
        </w:trPr>
        <w:tc>
          <w:tcPr>
            <w:tcW w:w="0" w:type="auto"/>
            <w:shd w:val="clear" w:color="auto" w:fill="auto"/>
            <w:noWrap/>
            <w:vAlign w:val="center"/>
          </w:tcPr>
          <w:p w14:paraId="50E26CE0" w14:textId="56129A86"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17</w:t>
            </w:r>
          </w:p>
        </w:tc>
        <w:tc>
          <w:tcPr>
            <w:tcW w:w="3893" w:type="dxa"/>
            <w:shd w:val="clear" w:color="auto" w:fill="auto"/>
            <w:vAlign w:val="center"/>
          </w:tcPr>
          <w:p w14:paraId="1977A0C6" w14:textId="39C909E3" w:rsidR="006A38F8" w:rsidRPr="006B14A6" w:rsidRDefault="001D3588" w:rsidP="006A38F8">
            <w:pPr>
              <w:spacing w:line="276" w:lineRule="auto"/>
              <w:jc w:val="both"/>
              <w:rPr>
                <w:rFonts w:ascii="Book Antiqua" w:eastAsia="Calibri" w:hAnsi="Book Antiqua" w:cs="Arial"/>
              </w:rPr>
            </w:pPr>
            <w:r w:rsidRPr="00445D4D">
              <w:rPr>
                <w:rFonts w:ascii="Book Antiqua" w:eastAsia="Calibri" w:hAnsi="Book Antiqua" w:cs="Arial"/>
              </w:rPr>
              <w:t>Diagrama procesos Violencia Doméstica con duración</w:t>
            </w:r>
          </w:p>
        </w:tc>
        <w:tc>
          <w:tcPr>
            <w:tcW w:w="3835" w:type="dxa"/>
            <w:shd w:val="clear" w:color="auto" w:fill="auto"/>
            <w:noWrap/>
            <w:vAlign w:val="center"/>
          </w:tcPr>
          <w:p w14:paraId="1D5F85C7" w14:textId="60B2D0AA" w:rsidR="006A38F8" w:rsidRPr="003E0D53" w:rsidRDefault="001D3588"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639EDC9C">
                <v:shape id="_x0000_i1062" type="#_x0000_t75" style="width:77.5pt;height:56pt" o:ole="">
                  <v:imagedata r:id="rId111" o:title=""/>
                </v:shape>
                <o:OLEObject Type="Embed" ProgID="Excel.Sheet.12" ShapeID="_x0000_i1062" DrawAspect="Icon" ObjectID="_1718086606" r:id="rId112"/>
              </w:object>
            </w:r>
          </w:p>
        </w:tc>
      </w:tr>
      <w:tr w:rsidR="006A38F8" w:rsidRPr="00015673" w14:paraId="0BFF17DE" w14:textId="77777777" w:rsidTr="003E0D53">
        <w:trPr>
          <w:trHeight w:val="335"/>
          <w:jc w:val="center"/>
        </w:trPr>
        <w:tc>
          <w:tcPr>
            <w:tcW w:w="0" w:type="auto"/>
            <w:shd w:val="clear" w:color="auto" w:fill="auto"/>
            <w:noWrap/>
            <w:vAlign w:val="center"/>
          </w:tcPr>
          <w:p w14:paraId="17865344" w14:textId="15BE6179"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18</w:t>
            </w:r>
          </w:p>
        </w:tc>
        <w:tc>
          <w:tcPr>
            <w:tcW w:w="3893" w:type="dxa"/>
            <w:shd w:val="clear" w:color="auto" w:fill="auto"/>
            <w:vAlign w:val="center"/>
          </w:tcPr>
          <w:p w14:paraId="173526AE" w14:textId="476C0749" w:rsidR="006A38F8" w:rsidRPr="006B14A6" w:rsidRDefault="009D4EC2" w:rsidP="006A38F8">
            <w:pPr>
              <w:spacing w:line="276" w:lineRule="auto"/>
              <w:jc w:val="both"/>
              <w:rPr>
                <w:rFonts w:ascii="Book Antiqua" w:eastAsia="Calibri" w:hAnsi="Book Antiqua" w:cs="Arial"/>
              </w:rPr>
            </w:pPr>
            <w:r>
              <w:rPr>
                <w:rFonts w:ascii="Book Antiqua" w:eastAsia="Calibri" w:hAnsi="Book Antiqua" w:cs="Arial"/>
              </w:rPr>
              <w:t>Matriz de Indicadores de Gestión del Tribunal de Familia</w:t>
            </w:r>
          </w:p>
        </w:tc>
        <w:tc>
          <w:tcPr>
            <w:tcW w:w="3835" w:type="dxa"/>
            <w:shd w:val="clear" w:color="auto" w:fill="auto"/>
            <w:noWrap/>
            <w:vAlign w:val="center"/>
          </w:tcPr>
          <w:p w14:paraId="6D19A5EB" w14:textId="46FBEC4A" w:rsidR="006A38F8" w:rsidRPr="003E0D53" w:rsidRDefault="009D4EC2"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794F2E0F">
                <v:shape id="_x0000_i1063" type="#_x0000_t75" style="width:77.5pt;height:56pt" o:ole="">
                  <v:imagedata r:id="rId113" o:title=""/>
                </v:shape>
                <o:OLEObject Type="Embed" ProgID="Excel.Sheet.12" ShapeID="_x0000_i1063" DrawAspect="Icon" ObjectID="_1718086607" r:id="rId114"/>
              </w:object>
            </w:r>
          </w:p>
        </w:tc>
      </w:tr>
      <w:tr w:rsidR="006A38F8" w:rsidRPr="00015673" w14:paraId="053F1C7D" w14:textId="77777777" w:rsidTr="003E0D53">
        <w:trPr>
          <w:trHeight w:val="335"/>
          <w:jc w:val="center"/>
        </w:trPr>
        <w:tc>
          <w:tcPr>
            <w:tcW w:w="0" w:type="auto"/>
            <w:shd w:val="clear" w:color="auto" w:fill="auto"/>
            <w:noWrap/>
            <w:vAlign w:val="center"/>
          </w:tcPr>
          <w:p w14:paraId="72BBF86C" w14:textId="409EA2F7"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19</w:t>
            </w:r>
          </w:p>
        </w:tc>
        <w:tc>
          <w:tcPr>
            <w:tcW w:w="3893" w:type="dxa"/>
            <w:shd w:val="clear" w:color="auto" w:fill="auto"/>
            <w:vAlign w:val="center"/>
          </w:tcPr>
          <w:p w14:paraId="303630F6" w14:textId="731AB97F" w:rsidR="006A38F8" w:rsidRPr="006B14A6" w:rsidRDefault="009D4EC2" w:rsidP="006A38F8">
            <w:pPr>
              <w:spacing w:line="276" w:lineRule="auto"/>
              <w:jc w:val="both"/>
              <w:rPr>
                <w:rFonts w:ascii="Book Antiqua" w:eastAsia="Calibri" w:hAnsi="Book Antiqua" w:cs="Arial"/>
              </w:rPr>
            </w:pPr>
            <w:r w:rsidRPr="00445D4D">
              <w:rPr>
                <w:rFonts w:ascii="Book Antiqua" w:eastAsia="Calibri" w:hAnsi="Book Antiqua" w:cs="Arial"/>
              </w:rPr>
              <w:t>Diagrama procesos de Pensiones Alimentarias con duración</w:t>
            </w:r>
          </w:p>
        </w:tc>
        <w:tc>
          <w:tcPr>
            <w:tcW w:w="3835" w:type="dxa"/>
            <w:shd w:val="clear" w:color="auto" w:fill="auto"/>
            <w:noWrap/>
            <w:vAlign w:val="center"/>
          </w:tcPr>
          <w:p w14:paraId="2A010C3C" w14:textId="49A4A740" w:rsidR="006A38F8" w:rsidRPr="003E0D53" w:rsidRDefault="009D4EC2"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178C1CE8">
                <v:shape id="_x0000_i1064" type="#_x0000_t75" style="width:77.5pt;height:56pt" o:ole="">
                  <v:imagedata r:id="rId115" o:title=""/>
                </v:shape>
                <o:OLEObject Type="Embed" ProgID="Excel.Sheet.12" ShapeID="_x0000_i1064" DrawAspect="Icon" ObjectID="_1718086608" r:id="rId116"/>
              </w:object>
            </w:r>
          </w:p>
        </w:tc>
      </w:tr>
      <w:tr w:rsidR="006A38F8" w:rsidRPr="00015673" w14:paraId="63A5FF30" w14:textId="77777777" w:rsidTr="009D4EC2">
        <w:trPr>
          <w:trHeight w:val="335"/>
          <w:jc w:val="center"/>
        </w:trPr>
        <w:tc>
          <w:tcPr>
            <w:tcW w:w="0" w:type="auto"/>
            <w:shd w:val="clear" w:color="auto" w:fill="auto"/>
            <w:noWrap/>
            <w:vAlign w:val="center"/>
          </w:tcPr>
          <w:p w14:paraId="2858AB2C" w14:textId="1A3EBE5B"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20</w:t>
            </w:r>
          </w:p>
        </w:tc>
        <w:tc>
          <w:tcPr>
            <w:tcW w:w="3893" w:type="dxa"/>
            <w:shd w:val="clear" w:color="auto" w:fill="auto"/>
            <w:vAlign w:val="center"/>
          </w:tcPr>
          <w:p w14:paraId="6CAB8369" w14:textId="55631554" w:rsidR="006A38F8" w:rsidRPr="00445D4D" w:rsidRDefault="005743F2" w:rsidP="006A38F8">
            <w:pPr>
              <w:spacing w:line="276" w:lineRule="auto"/>
              <w:jc w:val="both"/>
              <w:rPr>
                <w:rFonts w:ascii="Book Antiqua" w:eastAsia="Calibri" w:hAnsi="Book Antiqua" w:cs="Arial"/>
              </w:rPr>
            </w:pPr>
            <w:r w:rsidRPr="005743F2">
              <w:rPr>
                <w:rFonts w:ascii="Book Antiqua" w:eastAsia="Calibri" w:hAnsi="Book Antiqua" w:cs="Arial"/>
              </w:rPr>
              <w:t>Oficio 079-CACMFJ-JEF-2022</w:t>
            </w:r>
          </w:p>
        </w:tc>
        <w:tc>
          <w:tcPr>
            <w:tcW w:w="3835" w:type="dxa"/>
            <w:shd w:val="clear" w:color="auto" w:fill="auto"/>
            <w:noWrap/>
            <w:vAlign w:val="center"/>
          </w:tcPr>
          <w:p w14:paraId="0ADD377A" w14:textId="4CB13052" w:rsidR="006A38F8" w:rsidRDefault="003725B9"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61C78528">
                <v:shape id="_x0000_i1065" type="#_x0000_t75" style="width:77.5pt;height:52pt" o:ole="">
                  <v:imagedata r:id="rId117" o:title=""/>
                </v:shape>
                <o:OLEObject Type="Embed" ProgID="Acrobat.Document.DC" ShapeID="_x0000_i1065" DrawAspect="Icon" ObjectID="_1718086609" r:id="rId118"/>
              </w:object>
            </w:r>
          </w:p>
        </w:tc>
      </w:tr>
      <w:tr w:rsidR="006A38F8" w:rsidRPr="00015673" w14:paraId="1BA2FD8A" w14:textId="77777777" w:rsidTr="003E0D53">
        <w:trPr>
          <w:trHeight w:val="335"/>
          <w:jc w:val="center"/>
        </w:trPr>
        <w:tc>
          <w:tcPr>
            <w:tcW w:w="0" w:type="auto"/>
            <w:shd w:val="clear" w:color="auto" w:fill="auto"/>
            <w:noWrap/>
            <w:vAlign w:val="center"/>
          </w:tcPr>
          <w:p w14:paraId="647016C0" w14:textId="5FF201FF" w:rsidR="006A38F8" w:rsidRDefault="006A38F8" w:rsidP="006A38F8">
            <w:pPr>
              <w:spacing w:after="0" w:line="276" w:lineRule="auto"/>
              <w:jc w:val="center"/>
              <w:rPr>
                <w:rFonts w:ascii="Book Antiqua" w:eastAsia="Calibri" w:hAnsi="Book Antiqua" w:cs="Arial"/>
              </w:rPr>
            </w:pPr>
            <w:r>
              <w:rPr>
                <w:rFonts w:ascii="Book Antiqua" w:eastAsia="Calibri" w:hAnsi="Book Antiqua" w:cs="Arial"/>
              </w:rPr>
              <w:t>Anexo 21</w:t>
            </w:r>
          </w:p>
        </w:tc>
        <w:tc>
          <w:tcPr>
            <w:tcW w:w="3893" w:type="dxa"/>
            <w:shd w:val="clear" w:color="auto" w:fill="auto"/>
            <w:vAlign w:val="center"/>
          </w:tcPr>
          <w:p w14:paraId="3B25B4D1" w14:textId="1CB38379" w:rsidR="006A38F8" w:rsidRPr="006B14A6" w:rsidRDefault="005743F2" w:rsidP="006A38F8">
            <w:pPr>
              <w:spacing w:line="276" w:lineRule="auto"/>
              <w:jc w:val="both"/>
              <w:rPr>
                <w:rFonts w:ascii="Book Antiqua" w:eastAsia="Calibri" w:hAnsi="Book Antiqua" w:cs="Arial"/>
              </w:rPr>
            </w:pPr>
            <w:r>
              <w:rPr>
                <w:rFonts w:ascii="Book Antiqua" w:eastAsia="Calibri" w:hAnsi="Book Antiqua" w:cs="Arial"/>
              </w:rPr>
              <w:t>3.16 Plan de Descongestionamiento</w:t>
            </w:r>
          </w:p>
        </w:tc>
        <w:tc>
          <w:tcPr>
            <w:tcW w:w="3835" w:type="dxa"/>
            <w:shd w:val="clear" w:color="auto" w:fill="auto"/>
            <w:noWrap/>
            <w:vAlign w:val="center"/>
          </w:tcPr>
          <w:p w14:paraId="30969370" w14:textId="44978D1C" w:rsidR="006A38F8" w:rsidRPr="003E0D53" w:rsidRDefault="005743F2"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68A88EA3">
                <v:shape id="_x0000_i1066" type="#_x0000_t75" style="width:77.5pt;height:52pt" o:ole="">
                  <v:imagedata r:id="rId119" o:title=""/>
                </v:shape>
                <o:OLEObject Type="Embed" ProgID="Acrobat.Document.DC" ShapeID="_x0000_i1066" DrawAspect="Icon" ObjectID="_1718086610" r:id="rId120"/>
              </w:object>
            </w:r>
          </w:p>
        </w:tc>
      </w:tr>
      <w:tr w:rsidR="006A38F8" w:rsidRPr="00015673" w14:paraId="66F48AC8" w14:textId="77777777" w:rsidTr="003E0D53">
        <w:trPr>
          <w:trHeight w:val="335"/>
          <w:jc w:val="center"/>
        </w:trPr>
        <w:tc>
          <w:tcPr>
            <w:tcW w:w="0" w:type="auto"/>
            <w:shd w:val="clear" w:color="auto" w:fill="auto"/>
            <w:noWrap/>
            <w:vAlign w:val="center"/>
          </w:tcPr>
          <w:p w14:paraId="411DCBE0" w14:textId="56EF6621" w:rsidR="006A38F8" w:rsidRPr="00DB4512" w:rsidRDefault="006A38F8" w:rsidP="006A38F8">
            <w:pPr>
              <w:spacing w:after="0" w:line="276" w:lineRule="auto"/>
              <w:jc w:val="center"/>
              <w:rPr>
                <w:rFonts w:ascii="Book Antiqua" w:eastAsia="Calibri" w:hAnsi="Book Antiqua" w:cs="Arial"/>
              </w:rPr>
            </w:pPr>
            <w:r w:rsidRPr="00DB4512">
              <w:rPr>
                <w:rFonts w:ascii="Book Antiqua" w:eastAsia="Calibri" w:hAnsi="Book Antiqua" w:cs="Arial"/>
              </w:rPr>
              <w:lastRenderedPageBreak/>
              <w:t>Anexo 22</w:t>
            </w:r>
          </w:p>
        </w:tc>
        <w:tc>
          <w:tcPr>
            <w:tcW w:w="3893" w:type="dxa"/>
            <w:shd w:val="clear" w:color="auto" w:fill="auto"/>
            <w:vAlign w:val="center"/>
          </w:tcPr>
          <w:p w14:paraId="2F2319F5" w14:textId="758A9BDB" w:rsidR="006A38F8" w:rsidRPr="00DB4512" w:rsidRDefault="00A761D3" w:rsidP="006A38F8">
            <w:pPr>
              <w:spacing w:line="276" w:lineRule="auto"/>
              <w:jc w:val="both"/>
              <w:rPr>
                <w:rFonts w:ascii="Book Antiqua" w:eastAsia="Calibri" w:hAnsi="Book Antiqua" w:cs="Arial"/>
              </w:rPr>
            </w:pPr>
            <w:r w:rsidRPr="00DB4512">
              <w:rPr>
                <w:rFonts w:ascii="Book Antiqua" w:eastAsia="Calibri" w:hAnsi="Book Antiqua" w:cs="Arial"/>
              </w:rPr>
              <w:t>Oficio EJ-DIR-045-2022 de la Escuela Judicial</w:t>
            </w:r>
          </w:p>
        </w:tc>
        <w:tc>
          <w:tcPr>
            <w:tcW w:w="3835" w:type="dxa"/>
            <w:shd w:val="clear" w:color="auto" w:fill="auto"/>
            <w:noWrap/>
            <w:vAlign w:val="center"/>
          </w:tcPr>
          <w:p w14:paraId="70A78DB7" w14:textId="7AF952A6" w:rsidR="006A38F8" w:rsidRPr="00DB4512" w:rsidRDefault="00A761D3" w:rsidP="006A38F8">
            <w:pPr>
              <w:spacing w:line="276" w:lineRule="auto"/>
              <w:jc w:val="center"/>
              <w:rPr>
                <w:rFonts w:ascii="Book Antiqua" w:hAnsi="Book Antiqua"/>
                <w:sz w:val="20"/>
                <w:szCs w:val="20"/>
              </w:rPr>
            </w:pPr>
            <w:r w:rsidRPr="009B71C9">
              <w:rPr>
                <w:rFonts w:ascii="Book Antiqua" w:hAnsi="Book Antiqua"/>
                <w:sz w:val="20"/>
                <w:szCs w:val="20"/>
              </w:rPr>
              <w:object w:dxaOrig="1508" w:dyaOrig="984" w14:anchorId="49E4A63C">
                <v:shape id="_x0000_i1067" type="#_x0000_t75" style="width:77.5pt;height:52pt" o:ole="">
                  <v:imagedata r:id="rId121" o:title=""/>
                </v:shape>
                <o:OLEObject Type="Embed" ProgID="Package" ShapeID="_x0000_i1067" DrawAspect="Icon" ObjectID="_1718086611" r:id="rId122"/>
              </w:object>
            </w:r>
          </w:p>
        </w:tc>
      </w:tr>
      <w:tr w:rsidR="006A38F8" w:rsidRPr="00015673" w14:paraId="7C049E72" w14:textId="77777777" w:rsidTr="003E0D53">
        <w:trPr>
          <w:trHeight w:val="335"/>
          <w:jc w:val="center"/>
        </w:trPr>
        <w:tc>
          <w:tcPr>
            <w:tcW w:w="0" w:type="auto"/>
            <w:shd w:val="clear" w:color="auto" w:fill="auto"/>
            <w:noWrap/>
            <w:vAlign w:val="center"/>
          </w:tcPr>
          <w:p w14:paraId="17443C52" w14:textId="0D76A20D" w:rsidR="006A38F8" w:rsidRPr="00DB4512" w:rsidRDefault="006A38F8" w:rsidP="006A38F8">
            <w:pPr>
              <w:spacing w:after="0" w:line="276" w:lineRule="auto"/>
              <w:jc w:val="center"/>
              <w:rPr>
                <w:rFonts w:ascii="Book Antiqua" w:eastAsia="Calibri" w:hAnsi="Book Antiqua" w:cs="Arial"/>
              </w:rPr>
            </w:pPr>
            <w:r w:rsidRPr="00DB4512">
              <w:rPr>
                <w:rFonts w:ascii="Book Antiqua" w:eastAsia="Calibri" w:hAnsi="Book Antiqua" w:cs="Arial"/>
              </w:rPr>
              <w:t>Anexo 23</w:t>
            </w:r>
          </w:p>
        </w:tc>
        <w:tc>
          <w:tcPr>
            <w:tcW w:w="3893" w:type="dxa"/>
            <w:shd w:val="clear" w:color="auto" w:fill="auto"/>
            <w:vAlign w:val="center"/>
          </w:tcPr>
          <w:p w14:paraId="2FCAE3DE" w14:textId="219893CB" w:rsidR="006A38F8" w:rsidRPr="00DB4512" w:rsidRDefault="00842279" w:rsidP="006A38F8">
            <w:pPr>
              <w:spacing w:line="276" w:lineRule="auto"/>
              <w:jc w:val="both"/>
              <w:rPr>
                <w:rFonts w:ascii="Book Antiqua" w:eastAsia="Calibri" w:hAnsi="Book Antiqua" w:cs="Arial"/>
              </w:rPr>
            </w:pPr>
            <w:r w:rsidRPr="00DB4512">
              <w:rPr>
                <w:rFonts w:ascii="Book Antiqua" w:eastAsia="Calibri" w:hAnsi="Book Antiqua" w:cs="Arial"/>
              </w:rPr>
              <w:t>Correo de la Dirección de Tecnología de la Información y Comunicaciones</w:t>
            </w:r>
          </w:p>
        </w:tc>
        <w:tc>
          <w:tcPr>
            <w:tcW w:w="3835" w:type="dxa"/>
            <w:shd w:val="clear" w:color="auto" w:fill="auto"/>
            <w:noWrap/>
            <w:vAlign w:val="center"/>
          </w:tcPr>
          <w:p w14:paraId="15947978" w14:textId="06538D76" w:rsidR="006A38F8" w:rsidRPr="00DB4512" w:rsidRDefault="00941A62" w:rsidP="006A38F8">
            <w:pPr>
              <w:spacing w:line="276" w:lineRule="auto"/>
              <w:jc w:val="center"/>
              <w:rPr>
                <w:rFonts w:ascii="Book Antiqua" w:hAnsi="Book Antiqua"/>
                <w:sz w:val="20"/>
                <w:szCs w:val="20"/>
              </w:rPr>
            </w:pPr>
            <w:r w:rsidRPr="009B71C9">
              <w:rPr>
                <w:rFonts w:ascii="Book Antiqua" w:hAnsi="Book Antiqua"/>
                <w:sz w:val="20"/>
                <w:szCs w:val="20"/>
              </w:rPr>
              <w:object w:dxaOrig="1508" w:dyaOrig="984" w14:anchorId="4E668B28">
                <v:shape id="_x0000_i1068" type="#_x0000_t75" style="width:77.5pt;height:52pt" o:ole="">
                  <v:imagedata r:id="rId123" o:title=""/>
                </v:shape>
                <o:OLEObject Type="Embed" ProgID="Package" ShapeID="_x0000_i1068" DrawAspect="Icon" ObjectID="_1718086612" r:id="rId124"/>
              </w:object>
            </w:r>
          </w:p>
        </w:tc>
      </w:tr>
      <w:tr w:rsidR="006A38F8" w:rsidRPr="00015673" w14:paraId="015928B0" w14:textId="77777777" w:rsidTr="003E0D53">
        <w:trPr>
          <w:trHeight w:val="335"/>
          <w:jc w:val="center"/>
        </w:trPr>
        <w:tc>
          <w:tcPr>
            <w:tcW w:w="0" w:type="auto"/>
            <w:shd w:val="clear" w:color="auto" w:fill="auto"/>
            <w:noWrap/>
            <w:vAlign w:val="center"/>
          </w:tcPr>
          <w:p w14:paraId="58876617" w14:textId="2319D4F3" w:rsidR="006A38F8" w:rsidRPr="00DB4512" w:rsidRDefault="006A38F8" w:rsidP="006A38F8">
            <w:pPr>
              <w:spacing w:after="0" w:line="276" w:lineRule="auto"/>
              <w:jc w:val="center"/>
              <w:rPr>
                <w:rFonts w:ascii="Book Antiqua" w:eastAsia="Calibri" w:hAnsi="Book Antiqua" w:cs="Arial"/>
              </w:rPr>
            </w:pPr>
            <w:r w:rsidRPr="00DB4512">
              <w:rPr>
                <w:rFonts w:ascii="Book Antiqua" w:eastAsia="Calibri" w:hAnsi="Book Antiqua" w:cs="Arial"/>
              </w:rPr>
              <w:t>Anexo 24</w:t>
            </w:r>
          </w:p>
        </w:tc>
        <w:tc>
          <w:tcPr>
            <w:tcW w:w="3893" w:type="dxa"/>
            <w:shd w:val="clear" w:color="auto" w:fill="auto"/>
            <w:vAlign w:val="center"/>
          </w:tcPr>
          <w:p w14:paraId="5D646369" w14:textId="48BE3B18" w:rsidR="006A38F8" w:rsidRPr="00DB4512" w:rsidRDefault="00842279" w:rsidP="006A38F8">
            <w:pPr>
              <w:spacing w:line="276" w:lineRule="auto"/>
              <w:jc w:val="both"/>
              <w:rPr>
                <w:rFonts w:ascii="Book Antiqua" w:eastAsia="Calibri" w:hAnsi="Book Antiqua" w:cs="Arial"/>
              </w:rPr>
            </w:pPr>
            <w:r w:rsidRPr="00DB4512">
              <w:rPr>
                <w:rFonts w:ascii="Book Antiqua" w:eastAsia="Calibri" w:hAnsi="Book Antiqua" w:cs="Arial"/>
              </w:rPr>
              <w:t>Correo de la Dirección de Gestión Humana</w:t>
            </w:r>
          </w:p>
        </w:tc>
        <w:tc>
          <w:tcPr>
            <w:tcW w:w="3835" w:type="dxa"/>
            <w:shd w:val="clear" w:color="auto" w:fill="auto"/>
            <w:noWrap/>
            <w:vAlign w:val="center"/>
          </w:tcPr>
          <w:p w14:paraId="6F4691ED" w14:textId="4E008762" w:rsidR="006A38F8" w:rsidRPr="00DB4512" w:rsidRDefault="00941A62" w:rsidP="006A38F8">
            <w:pPr>
              <w:spacing w:line="276" w:lineRule="auto"/>
              <w:jc w:val="center"/>
              <w:rPr>
                <w:rFonts w:ascii="Book Antiqua" w:hAnsi="Book Antiqua"/>
                <w:sz w:val="20"/>
                <w:szCs w:val="20"/>
              </w:rPr>
            </w:pPr>
            <w:r w:rsidRPr="009B71C9">
              <w:rPr>
                <w:rFonts w:ascii="Book Antiqua" w:hAnsi="Book Antiqua"/>
                <w:sz w:val="20"/>
                <w:szCs w:val="20"/>
              </w:rPr>
              <w:object w:dxaOrig="1508" w:dyaOrig="984" w14:anchorId="05568A8E">
                <v:shape id="_x0000_i1069" type="#_x0000_t75" style="width:77.5pt;height:52pt" o:ole="">
                  <v:imagedata r:id="rId125" o:title=""/>
                </v:shape>
                <o:OLEObject Type="Embed" ProgID="Package" ShapeID="_x0000_i1069" DrawAspect="Icon" ObjectID="_1718086613" r:id="rId126"/>
              </w:object>
            </w:r>
          </w:p>
        </w:tc>
      </w:tr>
      <w:tr w:rsidR="009845C6" w:rsidRPr="00015673" w14:paraId="0BEC2ED7" w14:textId="77777777" w:rsidTr="003E0D53">
        <w:trPr>
          <w:trHeight w:val="335"/>
          <w:jc w:val="center"/>
        </w:trPr>
        <w:tc>
          <w:tcPr>
            <w:tcW w:w="0" w:type="auto"/>
            <w:shd w:val="clear" w:color="auto" w:fill="auto"/>
            <w:noWrap/>
            <w:vAlign w:val="center"/>
          </w:tcPr>
          <w:p w14:paraId="367400AF" w14:textId="4F7C0F63" w:rsidR="009845C6" w:rsidRDefault="009845C6" w:rsidP="006A38F8">
            <w:pPr>
              <w:spacing w:after="0" w:line="276" w:lineRule="auto"/>
              <w:jc w:val="center"/>
              <w:rPr>
                <w:rFonts w:ascii="Book Antiqua" w:eastAsia="Calibri" w:hAnsi="Book Antiqua" w:cs="Arial"/>
              </w:rPr>
            </w:pPr>
            <w:r>
              <w:rPr>
                <w:rFonts w:ascii="Book Antiqua" w:eastAsia="Calibri" w:hAnsi="Book Antiqua" w:cs="Arial"/>
              </w:rPr>
              <w:t>Anexo 2</w:t>
            </w:r>
            <w:r w:rsidR="006C3D1F">
              <w:rPr>
                <w:rFonts w:ascii="Book Antiqua" w:eastAsia="Calibri" w:hAnsi="Book Antiqua" w:cs="Arial"/>
              </w:rPr>
              <w:t>5</w:t>
            </w:r>
          </w:p>
        </w:tc>
        <w:tc>
          <w:tcPr>
            <w:tcW w:w="3893" w:type="dxa"/>
            <w:shd w:val="clear" w:color="auto" w:fill="auto"/>
            <w:vAlign w:val="center"/>
          </w:tcPr>
          <w:p w14:paraId="1B4B1657" w14:textId="64D4D335" w:rsidR="009845C6" w:rsidRDefault="00923E07" w:rsidP="006A38F8">
            <w:pPr>
              <w:spacing w:line="276" w:lineRule="auto"/>
              <w:jc w:val="both"/>
              <w:rPr>
                <w:rFonts w:ascii="Book Antiqua" w:eastAsia="Calibri" w:hAnsi="Book Antiqua" w:cs="Arial"/>
              </w:rPr>
            </w:pPr>
            <w:r>
              <w:rPr>
                <w:rFonts w:ascii="Book Antiqua" w:eastAsia="Calibri" w:hAnsi="Book Antiqua" w:cs="Arial"/>
              </w:rPr>
              <w:t>Oficio 98</w:t>
            </w:r>
            <w:r w:rsidR="006C3D1F">
              <w:rPr>
                <w:rFonts w:ascii="Book Antiqua" w:eastAsia="Calibri" w:hAnsi="Book Antiqua" w:cs="Arial"/>
              </w:rPr>
              <w:t>2</w:t>
            </w:r>
            <w:r>
              <w:rPr>
                <w:rFonts w:ascii="Book Antiqua" w:eastAsia="Calibri" w:hAnsi="Book Antiqua" w:cs="Arial"/>
              </w:rPr>
              <w:t>-DE-2022</w:t>
            </w:r>
          </w:p>
        </w:tc>
        <w:bookmarkStart w:id="79" w:name="_MON_1708862936"/>
        <w:bookmarkEnd w:id="79"/>
        <w:tc>
          <w:tcPr>
            <w:tcW w:w="3835" w:type="dxa"/>
            <w:shd w:val="clear" w:color="auto" w:fill="auto"/>
            <w:noWrap/>
            <w:vAlign w:val="center"/>
          </w:tcPr>
          <w:p w14:paraId="2AA4B623" w14:textId="6F663A49" w:rsidR="009845C6" w:rsidRDefault="000D4DE1" w:rsidP="006A38F8">
            <w:pPr>
              <w:spacing w:line="276" w:lineRule="auto"/>
              <w:jc w:val="center"/>
              <w:rPr>
                <w:rFonts w:ascii="Book Antiqua" w:hAnsi="Book Antiqua"/>
                <w:sz w:val="20"/>
                <w:szCs w:val="20"/>
              </w:rPr>
            </w:pPr>
            <w:r>
              <w:rPr>
                <w:rFonts w:ascii="Book Antiqua" w:hAnsi="Book Antiqua"/>
                <w:sz w:val="20"/>
                <w:szCs w:val="20"/>
              </w:rPr>
              <w:object w:dxaOrig="1508" w:dyaOrig="984" w14:anchorId="3FD6E7F9">
                <v:shape id="_x0000_i1070" type="#_x0000_t75" style="width:77.5pt;height:52pt" o:ole="">
                  <v:imagedata r:id="rId127" o:title=""/>
                </v:shape>
                <o:OLEObject Type="Embed" ProgID="Word.Document.12" ShapeID="_x0000_i1070" DrawAspect="Icon" ObjectID="_1718086614" r:id="rId128">
                  <o:FieldCodes>\s</o:FieldCodes>
                </o:OLEObject>
              </w:object>
            </w:r>
          </w:p>
        </w:tc>
      </w:tr>
    </w:tbl>
    <w:p w14:paraId="3AD44A3B" w14:textId="6B8B0807" w:rsidR="000E23D4" w:rsidRPr="003E0D53" w:rsidRDefault="000E23D4" w:rsidP="009E73B0">
      <w:pPr>
        <w:tabs>
          <w:tab w:val="left" w:pos="1740"/>
        </w:tabs>
        <w:spacing w:line="276" w:lineRule="auto"/>
        <w:rPr>
          <w:rFonts w:ascii="Book Antiqua" w:hAnsi="Book Antiqua"/>
          <w:sz w:val="24"/>
          <w:szCs w:val="24"/>
          <w:lang w:eastAsia="es-CR"/>
        </w:rPr>
      </w:pPr>
    </w:p>
    <w:p w14:paraId="611371D8" w14:textId="77777777" w:rsidR="000E23D4" w:rsidRPr="001A3DA6" w:rsidRDefault="000E23D4" w:rsidP="000E23D4">
      <w:pPr>
        <w:suppressAutoHyphens/>
        <w:spacing w:line="276" w:lineRule="auto"/>
        <w:jc w:val="both"/>
        <w:rPr>
          <w:rFonts w:ascii="Book Antiqua" w:hAnsi="Book Antiqua" w:cs="Book Antiqua"/>
          <w:lang w:eastAsia="ar-SA"/>
        </w:rPr>
      </w:pPr>
      <w:r w:rsidRPr="001A3DA6">
        <w:rPr>
          <w:rFonts w:ascii="Book Antiqua" w:hAnsi="Book Antiqua" w:cs="Book Antiqua"/>
          <w:i/>
          <w:iCs/>
          <w:lang w:eastAsia="ar-SA"/>
        </w:rPr>
        <w:t>Este informe cuenta con las revisiones y ajustes correspondientes de las jefaturas indicadas</w:t>
      </w:r>
      <w:r w:rsidRPr="001A3DA6">
        <w:rPr>
          <w:rFonts w:ascii="Book Antiqua" w:hAnsi="Book Antiqua" w:cs="Book Antiqua"/>
          <w:lang w:eastAsia="ar-SA"/>
        </w:rPr>
        <w:t>.</w:t>
      </w:r>
    </w:p>
    <w:p w14:paraId="420364C7" w14:textId="77777777" w:rsidR="000E23D4" w:rsidRPr="001A3DA6" w:rsidRDefault="000E23D4" w:rsidP="000E23D4">
      <w:pPr>
        <w:suppressAutoHyphens/>
        <w:spacing w:line="276" w:lineRule="auto"/>
        <w:jc w:val="both"/>
        <w:rPr>
          <w:rFonts w:ascii="Book Antiqua" w:hAnsi="Book Antiqua" w:cs="Book Antiqua"/>
          <w:lang w:eastAsia="ar-SA"/>
        </w:rPr>
      </w:pPr>
    </w:p>
    <w:tbl>
      <w:tblPr>
        <w:tblW w:w="612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0"/>
        <w:gridCol w:w="3670"/>
        <w:gridCol w:w="5157"/>
      </w:tblGrid>
      <w:tr w:rsidR="000E23D4" w:rsidRPr="001A3DA6" w14:paraId="6F24042B" w14:textId="77777777" w:rsidTr="009B71C9">
        <w:trPr>
          <w:trHeight w:val="332"/>
          <w:jc w:val="center"/>
        </w:trPr>
        <w:tc>
          <w:tcPr>
            <w:tcW w:w="916" w:type="pct"/>
            <w:tcBorders>
              <w:top w:val="single" w:sz="4" w:space="0" w:color="FFFFFF"/>
              <w:left w:val="single" w:sz="4" w:space="0" w:color="FFFFFF"/>
              <w:bottom w:val="single" w:sz="4" w:space="0" w:color="000000"/>
              <w:right w:val="single" w:sz="4" w:space="0" w:color="000000"/>
            </w:tcBorders>
            <w:vAlign w:val="center"/>
          </w:tcPr>
          <w:p w14:paraId="173E030F" w14:textId="77777777" w:rsidR="000E23D4" w:rsidRPr="001A3DA6" w:rsidRDefault="000E23D4" w:rsidP="00306313">
            <w:pPr>
              <w:spacing w:line="276" w:lineRule="auto"/>
              <w:rPr>
                <w:rFonts w:ascii="Book Antiqua" w:hAnsi="Book Antiqua" w:cs="Arial"/>
                <w:b/>
              </w:rPr>
            </w:pPr>
          </w:p>
        </w:tc>
        <w:tc>
          <w:tcPr>
            <w:tcW w:w="1698" w:type="pct"/>
            <w:tcBorders>
              <w:top w:val="single" w:sz="4" w:space="0" w:color="000000"/>
              <w:left w:val="single" w:sz="4" w:space="0" w:color="000000"/>
              <w:bottom w:val="single" w:sz="4" w:space="0" w:color="000000"/>
              <w:right w:val="single" w:sz="4" w:space="0" w:color="000000"/>
            </w:tcBorders>
            <w:shd w:val="clear" w:color="auto" w:fill="1F497D"/>
            <w:vAlign w:val="center"/>
            <w:hideMark/>
          </w:tcPr>
          <w:p w14:paraId="410804FB" w14:textId="7C0620E0" w:rsidR="000E23D4" w:rsidRPr="001A3DA6" w:rsidRDefault="00C7758C" w:rsidP="00306313">
            <w:pPr>
              <w:spacing w:line="276" w:lineRule="auto"/>
              <w:jc w:val="center"/>
              <w:rPr>
                <w:rFonts w:ascii="Book Antiqua" w:hAnsi="Book Antiqua"/>
                <w:b/>
                <w:color w:val="FFFFFF"/>
              </w:rPr>
            </w:pPr>
            <w:r w:rsidRPr="001A3DA6">
              <w:rPr>
                <w:rFonts w:ascii="Book Antiqua" w:hAnsi="Book Antiqua"/>
                <w:b/>
                <w:color w:val="FFFFFF"/>
              </w:rPr>
              <w:t>N</w:t>
            </w:r>
            <w:r>
              <w:rPr>
                <w:rFonts w:ascii="Book Antiqua" w:hAnsi="Book Antiqua"/>
                <w:b/>
                <w:color w:val="FFFFFF"/>
              </w:rPr>
              <w:t>ombre</w:t>
            </w:r>
          </w:p>
        </w:tc>
        <w:tc>
          <w:tcPr>
            <w:tcW w:w="2386" w:type="pct"/>
            <w:tcBorders>
              <w:top w:val="single" w:sz="4" w:space="0" w:color="000000"/>
              <w:left w:val="single" w:sz="4" w:space="0" w:color="000000"/>
              <w:bottom w:val="single" w:sz="4" w:space="0" w:color="000000"/>
              <w:right w:val="single" w:sz="4" w:space="0" w:color="000000"/>
            </w:tcBorders>
            <w:shd w:val="clear" w:color="auto" w:fill="1F497D"/>
            <w:vAlign w:val="center"/>
            <w:hideMark/>
          </w:tcPr>
          <w:p w14:paraId="6BB3E34D" w14:textId="77777777" w:rsidR="000E23D4" w:rsidRPr="001A3DA6" w:rsidRDefault="000E23D4" w:rsidP="00306313">
            <w:pPr>
              <w:spacing w:line="276" w:lineRule="auto"/>
              <w:jc w:val="center"/>
              <w:rPr>
                <w:rFonts w:ascii="Book Antiqua" w:hAnsi="Book Antiqua"/>
                <w:b/>
                <w:color w:val="FFFFFF"/>
              </w:rPr>
            </w:pPr>
            <w:r w:rsidRPr="001A3DA6">
              <w:rPr>
                <w:rFonts w:ascii="Book Antiqua" w:hAnsi="Book Antiqua"/>
                <w:b/>
                <w:color w:val="FFFFFF"/>
              </w:rPr>
              <w:t>Puesto</w:t>
            </w:r>
          </w:p>
        </w:tc>
      </w:tr>
      <w:tr w:rsidR="000E23D4" w:rsidRPr="001A3DA6" w14:paraId="1CFD8934" w14:textId="77777777" w:rsidTr="009B71C9">
        <w:trPr>
          <w:trHeight w:val="632"/>
          <w:jc w:val="center"/>
        </w:trPr>
        <w:tc>
          <w:tcPr>
            <w:tcW w:w="91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45E9AD75" w14:textId="42DD6FBF" w:rsidR="000E23D4" w:rsidRPr="001A3DA6" w:rsidRDefault="000E23D4" w:rsidP="00306313">
            <w:pPr>
              <w:spacing w:line="276" w:lineRule="auto"/>
              <w:jc w:val="center"/>
              <w:rPr>
                <w:rFonts w:ascii="Book Antiqua" w:hAnsi="Book Antiqua"/>
                <w:b/>
                <w:color w:val="000000"/>
                <w:lang w:eastAsia="es-CR"/>
              </w:rPr>
            </w:pPr>
            <w:r w:rsidRPr="001A3DA6">
              <w:rPr>
                <w:rFonts w:ascii="Book Antiqua" w:hAnsi="Book Antiqua"/>
                <w:b/>
                <w:color w:val="000000"/>
                <w:lang w:eastAsia="es-CR"/>
              </w:rPr>
              <w:t>Elaborado por</w:t>
            </w:r>
            <w:r w:rsidR="00541D99">
              <w:rPr>
                <w:rFonts w:ascii="Book Antiqua" w:hAnsi="Book Antiqua"/>
                <w:b/>
                <w:color w:val="000000"/>
                <w:lang w:eastAsia="es-CR"/>
              </w:rPr>
              <w:t>:</w:t>
            </w:r>
          </w:p>
        </w:tc>
        <w:tc>
          <w:tcPr>
            <w:tcW w:w="1698" w:type="pct"/>
            <w:tcBorders>
              <w:top w:val="single" w:sz="4" w:space="0" w:color="000000"/>
              <w:left w:val="single" w:sz="4" w:space="0" w:color="000000"/>
              <w:bottom w:val="single" w:sz="4" w:space="0" w:color="000000"/>
              <w:right w:val="single" w:sz="4" w:space="0" w:color="000000"/>
            </w:tcBorders>
            <w:vAlign w:val="center"/>
          </w:tcPr>
          <w:p w14:paraId="30B03713" w14:textId="291F8B27" w:rsidR="000E23D4" w:rsidRPr="001A3DA6" w:rsidRDefault="00742BB8" w:rsidP="009B71C9">
            <w:pPr>
              <w:spacing w:line="276" w:lineRule="auto"/>
              <w:jc w:val="both"/>
              <w:rPr>
                <w:rFonts w:ascii="Book Antiqua" w:hAnsi="Book Antiqua"/>
              </w:rPr>
            </w:pPr>
            <w:r>
              <w:rPr>
                <w:rFonts w:ascii="Book Antiqua" w:hAnsi="Book Antiqua"/>
              </w:rPr>
              <w:t>Licda. Yahaira Meléndez Benavides</w:t>
            </w:r>
          </w:p>
        </w:tc>
        <w:tc>
          <w:tcPr>
            <w:tcW w:w="2386" w:type="pct"/>
            <w:tcBorders>
              <w:top w:val="single" w:sz="4" w:space="0" w:color="000000"/>
              <w:left w:val="single" w:sz="4" w:space="0" w:color="000000"/>
              <w:bottom w:val="single" w:sz="4" w:space="0" w:color="000000"/>
              <w:right w:val="single" w:sz="4" w:space="0" w:color="000000"/>
            </w:tcBorders>
            <w:vAlign w:val="center"/>
          </w:tcPr>
          <w:p w14:paraId="733D9802" w14:textId="6D526635" w:rsidR="000E23D4" w:rsidRPr="001A3DA6" w:rsidRDefault="000E23D4" w:rsidP="009B71C9">
            <w:pPr>
              <w:spacing w:line="276" w:lineRule="auto"/>
              <w:jc w:val="both"/>
              <w:rPr>
                <w:rFonts w:ascii="Book Antiqua" w:hAnsi="Book Antiqua"/>
              </w:rPr>
            </w:pPr>
            <w:r>
              <w:rPr>
                <w:rFonts w:ascii="Book Antiqua" w:hAnsi="Book Antiqua"/>
              </w:rPr>
              <w:t>Profesional 2</w:t>
            </w:r>
            <w:r w:rsidR="00742BB8">
              <w:rPr>
                <w:rFonts w:ascii="Book Antiqua" w:hAnsi="Book Antiqua"/>
              </w:rPr>
              <w:t xml:space="preserve"> a.i</w:t>
            </w:r>
            <w:r w:rsidR="00742BB8" w:rsidRPr="00742BB8">
              <w:rPr>
                <w:rFonts w:ascii="Book Antiqua" w:hAnsi="Book Antiqua"/>
              </w:rPr>
              <w:t xml:space="preserve"> del</w:t>
            </w:r>
            <w:r w:rsidR="00742BB8">
              <w:t xml:space="preserve"> </w:t>
            </w:r>
            <w:r w:rsidR="00742BB8" w:rsidRPr="00742BB8">
              <w:rPr>
                <w:rFonts w:ascii="Book Antiqua" w:hAnsi="Book Antiqua"/>
              </w:rPr>
              <w:t>Subproceso de Modernización Institucional</w:t>
            </w:r>
          </w:p>
        </w:tc>
      </w:tr>
      <w:tr w:rsidR="00742BB8" w:rsidRPr="001A3DA6" w14:paraId="4806C04A" w14:textId="77777777" w:rsidTr="009B71C9">
        <w:trPr>
          <w:trHeight w:val="632"/>
          <w:jc w:val="center"/>
        </w:trPr>
        <w:tc>
          <w:tcPr>
            <w:tcW w:w="916"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53C0E7EC" w14:textId="1DFDA67A" w:rsidR="00742BB8" w:rsidRPr="001A3DA6" w:rsidRDefault="00742BB8" w:rsidP="00742BB8">
            <w:pPr>
              <w:spacing w:line="276" w:lineRule="auto"/>
              <w:jc w:val="center"/>
              <w:rPr>
                <w:rFonts w:ascii="Book Antiqua" w:hAnsi="Book Antiqua"/>
                <w:b/>
                <w:color w:val="000000"/>
                <w:lang w:eastAsia="es-CR"/>
              </w:rPr>
            </w:pPr>
            <w:r>
              <w:rPr>
                <w:rFonts w:ascii="Book Antiqua" w:hAnsi="Book Antiqua"/>
                <w:b/>
                <w:color w:val="000000"/>
                <w:lang w:eastAsia="es-CR"/>
              </w:rPr>
              <w:t>Revisado</w:t>
            </w:r>
            <w:r w:rsidRPr="001A3DA6">
              <w:rPr>
                <w:rFonts w:ascii="Book Antiqua" w:hAnsi="Book Antiqua"/>
                <w:b/>
                <w:color w:val="000000"/>
                <w:lang w:eastAsia="es-CR"/>
              </w:rPr>
              <w:t xml:space="preserve"> por</w:t>
            </w:r>
            <w:r w:rsidR="00541D99">
              <w:rPr>
                <w:rFonts w:ascii="Book Antiqua" w:hAnsi="Book Antiqua"/>
                <w:b/>
                <w:color w:val="000000"/>
                <w:lang w:eastAsia="es-CR"/>
              </w:rPr>
              <w:t>:</w:t>
            </w:r>
          </w:p>
        </w:tc>
        <w:tc>
          <w:tcPr>
            <w:tcW w:w="1698" w:type="pct"/>
            <w:tcBorders>
              <w:top w:val="single" w:sz="4" w:space="0" w:color="000000"/>
              <w:left w:val="single" w:sz="4" w:space="0" w:color="000000"/>
              <w:bottom w:val="single" w:sz="4" w:space="0" w:color="000000"/>
              <w:right w:val="single" w:sz="4" w:space="0" w:color="000000"/>
            </w:tcBorders>
            <w:vAlign w:val="center"/>
          </w:tcPr>
          <w:p w14:paraId="2A8E1DC8" w14:textId="41710E21" w:rsidR="00742BB8" w:rsidRPr="001A3DA6" w:rsidRDefault="00D64585" w:rsidP="009B71C9">
            <w:pPr>
              <w:spacing w:line="276" w:lineRule="auto"/>
              <w:jc w:val="both"/>
              <w:rPr>
                <w:rFonts w:ascii="Book Antiqua" w:hAnsi="Book Antiqua"/>
              </w:rPr>
            </w:pPr>
            <w:r>
              <w:rPr>
                <w:rFonts w:ascii="Book Antiqua" w:hAnsi="Book Antiqua"/>
              </w:rPr>
              <w:t xml:space="preserve">MSc. Melissa Durán Gamboa y </w:t>
            </w:r>
            <w:r w:rsidR="00742BB8" w:rsidRPr="001A3DA6">
              <w:rPr>
                <w:rFonts w:ascii="Book Antiqua" w:hAnsi="Book Antiqua"/>
              </w:rPr>
              <w:t>Ing. Jorge Fernando Rodríguez Salazar</w:t>
            </w:r>
          </w:p>
        </w:tc>
        <w:tc>
          <w:tcPr>
            <w:tcW w:w="2386" w:type="pct"/>
            <w:tcBorders>
              <w:top w:val="single" w:sz="4" w:space="0" w:color="000000"/>
              <w:left w:val="single" w:sz="4" w:space="0" w:color="000000"/>
              <w:bottom w:val="single" w:sz="4" w:space="0" w:color="000000"/>
              <w:right w:val="single" w:sz="4" w:space="0" w:color="000000"/>
            </w:tcBorders>
            <w:vAlign w:val="center"/>
          </w:tcPr>
          <w:p w14:paraId="29193B5A" w14:textId="099440FB" w:rsidR="00742BB8" w:rsidRPr="001A3DA6" w:rsidRDefault="00D64585" w:rsidP="005B3A30">
            <w:pPr>
              <w:spacing w:line="276" w:lineRule="auto"/>
              <w:jc w:val="both"/>
              <w:rPr>
                <w:rFonts w:ascii="Book Antiqua" w:hAnsi="Book Antiqua"/>
              </w:rPr>
            </w:pPr>
            <w:r>
              <w:rPr>
                <w:rFonts w:ascii="Book Antiqua" w:hAnsi="Book Antiqua"/>
                <w:color w:val="000000"/>
                <w:lang w:eastAsia="es-CR"/>
              </w:rPr>
              <w:t xml:space="preserve">Coordinadora de Unidad 3 a.i. del Subproceso de Modernización Institucional y </w:t>
            </w:r>
            <w:r w:rsidR="00742BB8" w:rsidRPr="001A3DA6">
              <w:rPr>
                <w:rFonts w:ascii="Book Antiqua" w:hAnsi="Book Antiqua"/>
                <w:color w:val="000000"/>
                <w:lang w:eastAsia="es-CR"/>
              </w:rPr>
              <w:t xml:space="preserve">Jefe a.i.  </w:t>
            </w:r>
            <w:r w:rsidR="00742BB8">
              <w:rPr>
                <w:rFonts w:ascii="Book Antiqua" w:hAnsi="Book Antiqua"/>
                <w:color w:val="000000"/>
                <w:lang w:eastAsia="es-CR"/>
              </w:rPr>
              <w:t xml:space="preserve">del </w:t>
            </w:r>
            <w:r w:rsidR="00742BB8" w:rsidRPr="001A3DA6">
              <w:rPr>
                <w:rFonts w:ascii="Book Antiqua" w:hAnsi="Book Antiqua"/>
                <w:color w:val="000000"/>
                <w:lang w:eastAsia="es-CR"/>
              </w:rPr>
              <w:t xml:space="preserve">Subproceso de Modernización Institucional </w:t>
            </w:r>
          </w:p>
        </w:tc>
      </w:tr>
      <w:tr w:rsidR="00742BB8" w:rsidRPr="001A3DA6" w14:paraId="24FACEB8" w14:textId="77777777" w:rsidTr="009B71C9">
        <w:trPr>
          <w:trHeight w:val="632"/>
          <w:jc w:val="center"/>
        </w:trPr>
        <w:tc>
          <w:tcPr>
            <w:tcW w:w="916"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460BB37E" w14:textId="77777777" w:rsidR="00742BB8" w:rsidRPr="001A3DA6" w:rsidRDefault="00742BB8" w:rsidP="00742BB8">
            <w:pPr>
              <w:spacing w:line="276" w:lineRule="auto"/>
              <w:jc w:val="center"/>
              <w:rPr>
                <w:rFonts w:ascii="Book Antiqua" w:hAnsi="Book Antiqua"/>
                <w:b/>
                <w:color w:val="000000"/>
                <w:lang w:eastAsia="es-CR"/>
              </w:rPr>
            </w:pPr>
            <w:r w:rsidRPr="001A3DA6">
              <w:rPr>
                <w:rFonts w:ascii="Book Antiqua" w:hAnsi="Book Antiqua"/>
                <w:b/>
                <w:color w:val="000000"/>
                <w:lang w:eastAsia="es-CR"/>
              </w:rPr>
              <w:t>Aprobado por:</w:t>
            </w:r>
          </w:p>
        </w:tc>
        <w:tc>
          <w:tcPr>
            <w:tcW w:w="1698" w:type="pct"/>
            <w:tcBorders>
              <w:top w:val="single" w:sz="4" w:space="0" w:color="000000"/>
              <w:left w:val="single" w:sz="4" w:space="0" w:color="000000"/>
              <w:bottom w:val="single" w:sz="4" w:space="0" w:color="000000"/>
              <w:right w:val="single" w:sz="4" w:space="0" w:color="000000"/>
            </w:tcBorders>
            <w:vAlign w:val="center"/>
          </w:tcPr>
          <w:p w14:paraId="49F1D618" w14:textId="6D829ED0" w:rsidR="00742BB8" w:rsidRPr="001A3DA6" w:rsidRDefault="00742BB8" w:rsidP="009B71C9">
            <w:pPr>
              <w:spacing w:line="276" w:lineRule="auto"/>
              <w:jc w:val="both"/>
              <w:rPr>
                <w:rFonts w:ascii="Book Antiqua" w:hAnsi="Book Antiqua"/>
                <w:color w:val="000000"/>
                <w:lang w:eastAsia="es-CR"/>
              </w:rPr>
            </w:pPr>
            <w:r w:rsidRPr="00742BB8">
              <w:rPr>
                <w:rFonts w:ascii="Book Antiqua" w:hAnsi="Book Antiqua"/>
                <w:color w:val="000000"/>
                <w:lang w:eastAsia="es-CR"/>
              </w:rPr>
              <w:t>Ing. Dixon Li Morales</w:t>
            </w:r>
          </w:p>
        </w:tc>
        <w:tc>
          <w:tcPr>
            <w:tcW w:w="2386" w:type="pct"/>
            <w:tcBorders>
              <w:top w:val="single" w:sz="4" w:space="0" w:color="000000"/>
              <w:left w:val="single" w:sz="4" w:space="0" w:color="000000"/>
              <w:bottom w:val="single" w:sz="4" w:space="0" w:color="000000"/>
              <w:right w:val="single" w:sz="4" w:space="0" w:color="000000"/>
            </w:tcBorders>
            <w:vAlign w:val="center"/>
          </w:tcPr>
          <w:p w14:paraId="5DAF3115" w14:textId="24CA13F2" w:rsidR="00742BB8" w:rsidRPr="001A3DA6" w:rsidRDefault="00742BB8" w:rsidP="009B71C9">
            <w:pPr>
              <w:spacing w:line="276" w:lineRule="auto"/>
              <w:jc w:val="both"/>
              <w:rPr>
                <w:rFonts w:ascii="Book Antiqua" w:hAnsi="Book Antiqua"/>
                <w:color w:val="000000"/>
                <w:lang w:eastAsia="es-CR"/>
              </w:rPr>
            </w:pPr>
            <w:r w:rsidRPr="00742BB8">
              <w:rPr>
                <w:rFonts w:ascii="Book Antiqua" w:hAnsi="Book Antiqua"/>
                <w:color w:val="000000"/>
                <w:lang w:eastAsia="es-CR"/>
              </w:rPr>
              <w:t>Jefe a.i del Proceso de Ejecución de las Operaciones</w:t>
            </w:r>
          </w:p>
        </w:tc>
      </w:tr>
      <w:tr w:rsidR="00742BB8" w:rsidRPr="001A3DA6" w14:paraId="79BE145E" w14:textId="77777777" w:rsidTr="009B71C9">
        <w:trPr>
          <w:trHeight w:val="632"/>
          <w:jc w:val="center"/>
        </w:trPr>
        <w:tc>
          <w:tcPr>
            <w:tcW w:w="916"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5E4CF8F3" w14:textId="39BC53EC" w:rsidR="00742BB8" w:rsidRPr="001A3DA6" w:rsidRDefault="00742BB8" w:rsidP="00742BB8">
            <w:pPr>
              <w:spacing w:line="276" w:lineRule="auto"/>
              <w:jc w:val="center"/>
              <w:rPr>
                <w:rFonts w:ascii="Book Antiqua" w:hAnsi="Book Antiqua"/>
                <w:b/>
                <w:color w:val="000000"/>
                <w:lang w:eastAsia="es-CR"/>
              </w:rPr>
            </w:pPr>
            <w:r w:rsidRPr="00742BB8">
              <w:rPr>
                <w:rFonts w:ascii="Book Antiqua" w:hAnsi="Book Antiqua"/>
                <w:b/>
                <w:color w:val="000000"/>
                <w:lang w:eastAsia="es-CR"/>
              </w:rPr>
              <w:t>Autorizado</w:t>
            </w:r>
            <w:r>
              <w:rPr>
                <w:rFonts w:ascii="Book Antiqua" w:hAnsi="Book Antiqua"/>
                <w:b/>
                <w:color w:val="000000"/>
                <w:lang w:eastAsia="es-CR"/>
              </w:rPr>
              <w:t xml:space="preserve"> por:</w:t>
            </w:r>
          </w:p>
        </w:tc>
        <w:tc>
          <w:tcPr>
            <w:tcW w:w="1698" w:type="pct"/>
            <w:tcBorders>
              <w:top w:val="single" w:sz="4" w:space="0" w:color="000000"/>
              <w:left w:val="single" w:sz="4" w:space="0" w:color="000000"/>
              <w:bottom w:val="single" w:sz="4" w:space="0" w:color="000000"/>
              <w:right w:val="single" w:sz="4" w:space="0" w:color="000000"/>
            </w:tcBorders>
            <w:vAlign w:val="center"/>
          </w:tcPr>
          <w:p w14:paraId="49F76302" w14:textId="6ACB0E4E" w:rsidR="00742BB8" w:rsidRPr="00742BB8" w:rsidRDefault="00742BB8" w:rsidP="009B71C9">
            <w:pPr>
              <w:spacing w:line="276" w:lineRule="auto"/>
              <w:jc w:val="both"/>
              <w:rPr>
                <w:rFonts w:ascii="Book Antiqua" w:hAnsi="Book Antiqua"/>
                <w:color w:val="000000"/>
                <w:lang w:eastAsia="es-CR"/>
              </w:rPr>
            </w:pPr>
            <w:r w:rsidRPr="00742BB8">
              <w:rPr>
                <w:rFonts w:ascii="Book Antiqua" w:hAnsi="Book Antiqua"/>
                <w:color w:val="000000"/>
                <w:lang w:eastAsia="es-CR"/>
              </w:rPr>
              <w:t>Licda. Nacira Valverde Bermúdez</w:t>
            </w:r>
          </w:p>
        </w:tc>
        <w:tc>
          <w:tcPr>
            <w:tcW w:w="2386" w:type="pct"/>
            <w:tcBorders>
              <w:top w:val="single" w:sz="4" w:space="0" w:color="000000"/>
              <w:left w:val="single" w:sz="4" w:space="0" w:color="000000"/>
              <w:bottom w:val="single" w:sz="4" w:space="0" w:color="000000"/>
              <w:right w:val="single" w:sz="4" w:space="0" w:color="000000"/>
            </w:tcBorders>
            <w:vAlign w:val="center"/>
          </w:tcPr>
          <w:p w14:paraId="329E30AC" w14:textId="3BB8C875" w:rsidR="00742BB8" w:rsidRPr="00742BB8" w:rsidRDefault="00742BB8" w:rsidP="009B71C9">
            <w:pPr>
              <w:spacing w:line="276" w:lineRule="auto"/>
              <w:jc w:val="both"/>
              <w:rPr>
                <w:rFonts w:ascii="Book Antiqua" w:hAnsi="Book Antiqua"/>
                <w:color w:val="000000"/>
                <w:lang w:eastAsia="es-CR"/>
              </w:rPr>
            </w:pPr>
            <w:r w:rsidRPr="00742BB8">
              <w:rPr>
                <w:rFonts w:ascii="Book Antiqua" w:hAnsi="Book Antiqua"/>
                <w:color w:val="000000"/>
                <w:lang w:eastAsia="es-CR"/>
              </w:rPr>
              <w:t>Directora a.i de Planificación</w:t>
            </w:r>
          </w:p>
        </w:tc>
      </w:tr>
    </w:tbl>
    <w:p w14:paraId="4238973A" w14:textId="77777777" w:rsidR="00A92C7B" w:rsidRDefault="00A92C7B" w:rsidP="000E23D4">
      <w:pPr>
        <w:spacing w:line="276" w:lineRule="auto"/>
        <w:jc w:val="both"/>
        <w:rPr>
          <w:rFonts w:ascii="Book Antiqua" w:hAnsi="Book Antiqua" w:cs="Book Antiqua"/>
          <w:snapToGrid w:val="0"/>
          <w:sz w:val="24"/>
          <w:szCs w:val="24"/>
        </w:rPr>
      </w:pPr>
    </w:p>
    <w:sectPr w:rsidR="00A92C7B" w:rsidSect="00A132C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36BD60" w14:textId="77777777" w:rsidR="00D97F50" w:rsidRDefault="00D97F50" w:rsidP="00CF1091">
      <w:pPr>
        <w:spacing w:after="0" w:line="240" w:lineRule="auto"/>
      </w:pPr>
      <w:r>
        <w:separator/>
      </w:r>
    </w:p>
  </w:endnote>
  <w:endnote w:type="continuationSeparator" w:id="0">
    <w:p w14:paraId="4431C2F5" w14:textId="77777777" w:rsidR="00D97F50" w:rsidRDefault="00D97F50" w:rsidP="00CF1091">
      <w:pPr>
        <w:spacing w:after="0" w:line="240" w:lineRule="auto"/>
      </w:pPr>
      <w:r>
        <w:continuationSeparator/>
      </w:r>
    </w:p>
  </w:endnote>
  <w:endnote w:type="continuationNotice" w:id="1">
    <w:p w14:paraId="5A89ACC8" w14:textId="77777777" w:rsidR="00D97F50" w:rsidRDefault="00D97F5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PS-BoldMT">
    <w:altName w:val="Times New Roman"/>
    <w:panose1 w:val="00000000000000000000"/>
    <w:charset w:val="00"/>
    <w:family w:val="auto"/>
    <w:notTrueType/>
    <w:pitch w:val="default"/>
    <w:sig w:usb0="00000003" w:usb1="00000000" w:usb2="00000000" w:usb3="00000000" w:csb0="00000001" w:csb1="00000000"/>
  </w:font>
  <w:font w:name="TimesNewRomanPSMT">
    <w:altName w:val="Malgun Gothic"/>
    <w:panose1 w:val="00000000000000000000"/>
    <w:charset w:val="00"/>
    <w:family w:val="roman"/>
    <w:notTrueType/>
    <w:pitch w:val="default"/>
  </w:font>
  <w:font w:name="Arial-BoldMT">
    <w:altName w:val="Impact"/>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6183-Identity-H">
    <w:altName w:val="Calibri"/>
    <w:panose1 w:val="00000000000000000000"/>
    <w:charset w:val="00"/>
    <w:family w:val="auto"/>
    <w:notTrueType/>
    <w:pitch w:val="default"/>
    <w:sig w:usb0="00000003" w:usb1="00000000" w:usb2="00000000" w:usb3="00000000" w:csb0="00000001" w:csb1="00000000"/>
  </w:font>
  <w:font w:name="*Arial-6208-Identity-H">
    <w:altName w:val="Calibri"/>
    <w:panose1 w:val="00000000000000000000"/>
    <w:charset w:val="00"/>
    <w:family w:val="auto"/>
    <w:notTrueType/>
    <w:pitch w:val="default"/>
    <w:sig w:usb0="00000003" w:usb1="00000000" w:usb2="00000000" w:usb3="00000000" w:csb0="00000001" w:csb1="00000000"/>
  </w:font>
  <w:font w:name="Tahoma">
    <w:altName w:val="Tahoma"/>
    <w:panose1 w:val="020B0604030504040204"/>
    <w:charset w:val="00"/>
    <w:family w:val="swiss"/>
    <w:pitch w:val="variable"/>
    <w:sig w:usb0="E1002EFF" w:usb1="C000605B" w:usb2="00000029" w:usb3="00000000" w:csb0="000101FF" w:csb1="00000000"/>
  </w:font>
  <w:font w:name="*Arial-6245-Identity-H">
    <w:altName w:val="Calibri"/>
    <w:panose1 w:val="00000000000000000000"/>
    <w:charset w:val="00"/>
    <w:family w:val="auto"/>
    <w:notTrueType/>
    <w:pitch w:val="default"/>
    <w:sig w:usb0="00000003" w:usb1="00000000" w:usb2="00000000" w:usb3="00000000" w:csb0="00000001" w:csb1="00000000"/>
  </w:font>
  <w:font w:name="NSimSun">
    <w:panose1 w:val="02010609030101010101"/>
    <w:charset w:val="86"/>
    <w:family w:val="modern"/>
    <w:pitch w:val="fixed"/>
    <w:sig w:usb0="00000283" w:usb1="288F0000" w:usb2="00000016" w:usb3="00000000" w:csb0="00040001"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D0F91" w14:textId="23980CCC" w:rsidR="00035934" w:rsidRDefault="00035934">
    <w:pPr>
      <w:pStyle w:val="Piedepgina"/>
      <w:jc w:val="right"/>
    </w:pPr>
  </w:p>
  <w:p w14:paraId="1AD4E739" w14:textId="77777777" w:rsidR="00035934" w:rsidRDefault="0003593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1941086"/>
      <w:docPartObj>
        <w:docPartGallery w:val="Page Numbers (Bottom of Page)"/>
        <w:docPartUnique/>
      </w:docPartObj>
    </w:sdtPr>
    <w:sdtEndPr/>
    <w:sdtContent>
      <w:p w14:paraId="08D2B6F2" w14:textId="06F71F2B" w:rsidR="00035934" w:rsidRDefault="00035934">
        <w:pPr>
          <w:pStyle w:val="Piedepgina"/>
          <w:jc w:val="right"/>
        </w:pPr>
        <w:r>
          <w:fldChar w:fldCharType="begin"/>
        </w:r>
        <w:r>
          <w:instrText>PAGE   \* MERGEFORMAT</w:instrText>
        </w:r>
        <w:r>
          <w:fldChar w:fldCharType="separate"/>
        </w:r>
        <w:r>
          <w:rPr>
            <w:lang w:val="es-ES"/>
          </w:rPr>
          <w:t>2</w:t>
        </w:r>
        <w:r>
          <w:fldChar w:fldCharType="end"/>
        </w:r>
      </w:p>
    </w:sdtContent>
  </w:sdt>
  <w:p w14:paraId="2C1E42E1" w14:textId="77777777" w:rsidR="00035934" w:rsidRDefault="0003593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1BBFEF" w14:textId="77777777" w:rsidR="00D97F50" w:rsidRDefault="00D97F50" w:rsidP="00CF1091">
      <w:pPr>
        <w:spacing w:after="0" w:line="240" w:lineRule="auto"/>
      </w:pPr>
      <w:r>
        <w:separator/>
      </w:r>
    </w:p>
  </w:footnote>
  <w:footnote w:type="continuationSeparator" w:id="0">
    <w:p w14:paraId="38F86C31" w14:textId="77777777" w:rsidR="00D97F50" w:rsidRDefault="00D97F50" w:rsidP="00CF1091">
      <w:pPr>
        <w:spacing w:after="0" w:line="240" w:lineRule="auto"/>
      </w:pPr>
      <w:r>
        <w:continuationSeparator/>
      </w:r>
    </w:p>
  </w:footnote>
  <w:footnote w:type="continuationNotice" w:id="1">
    <w:p w14:paraId="27677FCE" w14:textId="77777777" w:rsidR="00D97F50" w:rsidRDefault="00D97F50">
      <w:pPr>
        <w:spacing w:after="0" w:line="240" w:lineRule="auto"/>
      </w:pPr>
    </w:p>
  </w:footnote>
  <w:footnote w:id="2">
    <w:p w14:paraId="6E2691DD" w14:textId="00FF25FB" w:rsidR="00035934" w:rsidRPr="001D0C10" w:rsidRDefault="00035934" w:rsidP="001D0C10">
      <w:pPr>
        <w:pStyle w:val="Textonotapie"/>
        <w:jc w:val="both"/>
        <w:rPr>
          <w:lang w:val="es-ES"/>
        </w:rPr>
      </w:pPr>
      <w:r>
        <w:rPr>
          <w:rStyle w:val="Refdenotaalpie"/>
        </w:rPr>
        <w:footnoteRef/>
      </w:r>
      <w:r>
        <w:t xml:space="preserve"> </w:t>
      </w:r>
      <w:r w:rsidRPr="001D0C10">
        <w:rPr>
          <w:rFonts w:ascii="Book Antiqua" w:hAnsi="Book Antiqua"/>
          <w:sz w:val="18"/>
          <w:szCs w:val="18"/>
        </w:rPr>
        <w:t xml:space="preserve">Como estudio complementario al informe 389-PLA-RH-MI-2021 relacionado con Requerimiento Humano sobre el Impacto organizacional y presupuestario en el Poder Judicial a partir de la promulgación del Código Procesal de Familia para el 2022, aprobado en sesión extraordinaria (presupuesto) del Consejo Superior 30-2021 celebrada el 16 de abril del 2021, artículo XX y por Corte Plena en sesión 21-2021 del primero de junio de 2023, artículo II; se indicó que, para el segundo semestre del 2021, le remito el Estudio de factibilidad de creación de un Juzgado de Familia con una competencia limitada al conocimiento de una clase de proceso (segunda instancia en Pensiones Alimentarias).  </w:t>
      </w:r>
      <w:r w:rsidRPr="001D0C10">
        <w:rPr>
          <w:rFonts w:ascii="Book Antiqua" w:hAnsi="Book Antiqua"/>
          <w:b/>
          <w:bCs/>
          <w:sz w:val="18"/>
          <w:szCs w:val="18"/>
        </w:rPr>
        <w:t>Referencia interna 1680-2021.</w:t>
      </w:r>
      <w:r>
        <w:t xml:space="preserve"> </w:t>
      </w:r>
    </w:p>
  </w:footnote>
  <w:footnote w:id="3">
    <w:p w14:paraId="4FE20A6C" w14:textId="6BEE3FDD" w:rsidR="00035934" w:rsidRPr="001D0C10" w:rsidRDefault="00035934" w:rsidP="001D0C10">
      <w:pPr>
        <w:pStyle w:val="Textonotapie"/>
        <w:jc w:val="both"/>
        <w:rPr>
          <w:lang w:val="es-ES"/>
        </w:rPr>
      </w:pPr>
      <w:r>
        <w:rPr>
          <w:rStyle w:val="Refdenotaalpie"/>
        </w:rPr>
        <w:footnoteRef/>
      </w:r>
      <w:r>
        <w:t xml:space="preserve"> </w:t>
      </w:r>
      <w:r w:rsidRPr="001D0C10">
        <w:rPr>
          <w:rFonts w:ascii="Book Antiqua" w:hAnsi="Book Antiqua"/>
          <w:lang w:val="es-ES"/>
        </w:rPr>
        <w:t xml:space="preserve">Actualmente la Sala conoce estos asuntos, sin embargo, a partir de la entrada en vigencia del CPF se espera un incremento en la entrada de </w:t>
      </w:r>
      <w:r>
        <w:rPr>
          <w:rFonts w:ascii="Book Antiqua" w:hAnsi="Book Antiqua"/>
          <w:lang w:val="es-ES"/>
        </w:rPr>
        <w:t>estos casos, ya que se adicionan causales para la procedencia de este recurso. Situación similar a la ocurrida en 2018 con la entrada en vigencia del Código Procesal Civil que es norma supletoria para estos recursos también en materia de Trabajo, donde los recursos de revisión pasaron de 28 recursos nuevos al año (promedio de 2016-2018) a 61 nuevos por año (promedio de 2019-2021), según datos aportados por el Secretario de la Sala el 9-3-22, un incremento de 33 recursos al año solo por el cambio procesal al incluir como causas “</w:t>
      </w:r>
      <w:r w:rsidRPr="001D0C10">
        <w:rPr>
          <w:rFonts w:ascii="Book Antiqua" w:hAnsi="Book Antiqua"/>
          <w:i/>
          <w:iCs/>
          <w:lang w:val="es-ES"/>
        </w:rPr>
        <w:t>la violación al debido proceso”.</w:t>
      </w:r>
    </w:p>
  </w:footnote>
  <w:footnote w:id="4">
    <w:p w14:paraId="62964C4E" w14:textId="49A7CAC3" w:rsidR="00035934" w:rsidRPr="001D0C10" w:rsidRDefault="00035934" w:rsidP="001D0C10">
      <w:pPr>
        <w:pStyle w:val="Textonotapie"/>
        <w:jc w:val="both"/>
        <w:rPr>
          <w:lang w:val="es-ES"/>
        </w:rPr>
      </w:pPr>
      <w:r>
        <w:rPr>
          <w:rStyle w:val="Refdenotaalpie"/>
        </w:rPr>
        <w:footnoteRef/>
      </w:r>
      <w:r>
        <w:t xml:space="preserve"> </w:t>
      </w:r>
      <w:r w:rsidRPr="001D0C10">
        <w:rPr>
          <w:rFonts w:ascii="Book Antiqua" w:hAnsi="Book Antiqua"/>
          <w:lang w:val="es-ES"/>
        </w:rPr>
        <w:t>Estos asuntos hasta el 30 de setiembre 2022 son competencia del Tribunal de Familia (ingreso promedio de 2017-2021 de 28 en esos 5 años= 6 por año).</w:t>
      </w:r>
      <w:r>
        <w:rPr>
          <w:lang w:val="es-ES"/>
        </w:rPr>
        <w:t xml:space="preserve"> </w:t>
      </w:r>
    </w:p>
  </w:footnote>
  <w:footnote w:id="5">
    <w:p w14:paraId="41D802A7" w14:textId="3572CD2C" w:rsidR="00035934" w:rsidRDefault="00035934" w:rsidP="001D0C10">
      <w:pPr>
        <w:pStyle w:val="Textonotapie"/>
        <w:jc w:val="both"/>
        <w:rPr>
          <w:rFonts w:ascii="Book Antiqua" w:hAnsi="Book Antiqua"/>
          <w:lang w:val="es-ES"/>
        </w:rPr>
      </w:pPr>
      <w:r>
        <w:rPr>
          <w:rStyle w:val="Refdenotaalpie"/>
        </w:rPr>
        <w:footnoteRef/>
      </w:r>
      <w:r>
        <w:t xml:space="preserve"> </w:t>
      </w:r>
      <w:r w:rsidRPr="001D0C10">
        <w:rPr>
          <w:rFonts w:ascii="Book Antiqua" w:hAnsi="Book Antiqua"/>
          <w:lang w:val="es-ES"/>
        </w:rPr>
        <w:t xml:space="preserve">Los conflictos entre oficinas de distinta materia donde el que lo </w:t>
      </w:r>
      <w:r>
        <w:rPr>
          <w:rFonts w:ascii="Book Antiqua" w:hAnsi="Book Antiqua"/>
          <w:lang w:val="es-ES"/>
        </w:rPr>
        <w:t>previene</w:t>
      </w:r>
      <w:r w:rsidRPr="001D0C10">
        <w:rPr>
          <w:rFonts w:ascii="Book Antiqua" w:hAnsi="Book Antiqua"/>
          <w:lang w:val="es-ES"/>
        </w:rPr>
        <w:t xml:space="preserve"> es un Juzgado de Familia actualmente </w:t>
      </w:r>
      <w:r>
        <w:rPr>
          <w:rFonts w:ascii="Book Antiqua" w:hAnsi="Book Antiqua"/>
          <w:lang w:val="es-ES"/>
        </w:rPr>
        <w:t xml:space="preserve">ya </w:t>
      </w:r>
      <w:r w:rsidRPr="001D0C10">
        <w:rPr>
          <w:rFonts w:ascii="Book Antiqua" w:hAnsi="Book Antiqua"/>
          <w:lang w:val="es-ES"/>
        </w:rPr>
        <w:t>lo conoce la Sala Segunda</w:t>
      </w:r>
      <w:r>
        <w:rPr>
          <w:rFonts w:ascii="Book Antiqua" w:hAnsi="Book Antiqua"/>
          <w:lang w:val="es-ES"/>
        </w:rPr>
        <w:t>. P</w:t>
      </w:r>
      <w:r w:rsidRPr="001D0C10">
        <w:rPr>
          <w:rFonts w:ascii="Book Antiqua" w:hAnsi="Book Antiqua"/>
          <w:lang w:val="es-ES"/>
        </w:rPr>
        <w:t xml:space="preserve">ero la reforma al artículo 55 bis de la LOPJ incluye también conflictos de competencia </w:t>
      </w:r>
      <w:r>
        <w:rPr>
          <w:rFonts w:ascii="Book Antiqua" w:hAnsi="Book Antiqua"/>
          <w:lang w:val="es-ES"/>
        </w:rPr>
        <w:t xml:space="preserve">territorial </w:t>
      </w:r>
      <w:r w:rsidRPr="001D0C10">
        <w:rPr>
          <w:rFonts w:ascii="Book Antiqua" w:hAnsi="Book Antiqua"/>
          <w:lang w:val="es-ES"/>
        </w:rPr>
        <w:t xml:space="preserve">entre </w:t>
      </w:r>
      <w:r>
        <w:rPr>
          <w:rFonts w:ascii="Book Antiqua" w:hAnsi="Book Antiqua"/>
          <w:lang w:val="es-ES"/>
        </w:rPr>
        <w:t xml:space="preserve">2 </w:t>
      </w:r>
      <w:r w:rsidRPr="001D0C10">
        <w:rPr>
          <w:rFonts w:ascii="Book Antiqua" w:hAnsi="Book Antiqua"/>
          <w:lang w:val="es-ES"/>
        </w:rPr>
        <w:t>Juzgados de Familia</w:t>
      </w:r>
      <w:r>
        <w:rPr>
          <w:rFonts w:ascii="Book Antiqua" w:hAnsi="Book Antiqua"/>
          <w:lang w:val="es-ES"/>
        </w:rPr>
        <w:t xml:space="preserve"> (esta competencia es idéntica a la que se establece para el Tribunal de Familia, en el inciso B de lo que se conoce unipersonalmente del a</w:t>
      </w:r>
      <w:r w:rsidRPr="001D0C10">
        <w:rPr>
          <w:rFonts w:ascii="Book Antiqua" w:hAnsi="Book Antiqua"/>
          <w:lang w:val="es-ES"/>
        </w:rPr>
        <w:t xml:space="preserve">rt. </w:t>
      </w:r>
      <w:r>
        <w:rPr>
          <w:rFonts w:ascii="Book Antiqua" w:hAnsi="Book Antiqua"/>
          <w:lang w:val="es-ES"/>
        </w:rPr>
        <w:t>99 LOPJ. Sobre este tema se consultó al Juez Gestor quién indica que pareciera que la Sala solo vería los conflictos entre juzgados de Familia de diferente territorio, pero habría que estar a la espera de cual va a ser el criterio o línea que de la Sala Segunda, si lo van a conocer ellos o el Tribunal.</w:t>
      </w:r>
    </w:p>
    <w:p w14:paraId="09AB0A97" w14:textId="16EA9D48" w:rsidR="00035934" w:rsidRPr="001D0C10" w:rsidRDefault="00035934" w:rsidP="001D0C10">
      <w:pPr>
        <w:pStyle w:val="Textonotapie"/>
        <w:jc w:val="both"/>
        <w:rPr>
          <w:lang w:val="es-ES"/>
        </w:rPr>
      </w:pPr>
      <w:r>
        <w:rPr>
          <w:rFonts w:ascii="Book Antiqua" w:hAnsi="Book Antiqua"/>
          <w:lang w:val="es-ES"/>
        </w:rPr>
        <w:t>L</w:t>
      </w:r>
      <w:r w:rsidRPr="001D0C10">
        <w:rPr>
          <w:rFonts w:ascii="Book Antiqua" w:hAnsi="Book Antiqua"/>
          <w:lang w:val="es-ES"/>
        </w:rPr>
        <w:t xml:space="preserve">a entrada de </w:t>
      </w:r>
      <w:r>
        <w:rPr>
          <w:rFonts w:ascii="Book Antiqua" w:hAnsi="Book Antiqua"/>
          <w:lang w:val="es-ES"/>
        </w:rPr>
        <w:t xml:space="preserve">conflictos de competencia (no específica el tipo) según la estadística del Tribunal es </w:t>
      </w:r>
      <w:r w:rsidRPr="001D0C10">
        <w:rPr>
          <w:rFonts w:ascii="Book Antiqua" w:hAnsi="Book Antiqua"/>
          <w:lang w:val="es-ES"/>
        </w:rPr>
        <w:t xml:space="preserve">en promedio </w:t>
      </w:r>
      <w:r>
        <w:rPr>
          <w:rFonts w:ascii="Book Antiqua" w:hAnsi="Book Antiqua"/>
          <w:lang w:val="es-ES"/>
        </w:rPr>
        <w:t xml:space="preserve">de 2020 a 2021 de 60 recursos. </w:t>
      </w:r>
    </w:p>
  </w:footnote>
  <w:footnote w:id="6">
    <w:p w14:paraId="6FFC4620" w14:textId="5868349C" w:rsidR="00035934" w:rsidRPr="001D0C10" w:rsidRDefault="00035934" w:rsidP="001D0C10">
      <w:pPr>
        <w:pStyle w:val="Textonotapie"/>
        <w:jc w:val="both"/>
        <w:rPr>
          <w:lang w:val="es-ES"/>
        </w:rPr>
      </w:pPr>
      <w:r>
        <w:rPr>
          <w:rStyle w:val="Refdenotaalpie"/>
        </w:rPr>
        <w:footnoteRef/>
      </w:r>
      <w:r>
        <w:t xml:space="preserve"> </w:t>
      </w:r>
      <w:r w:rsidRPr="001D0C10">
        <w:rPr>
          <w:rFonts w:ascii="Book Antiqua" w:hAnsi="Book Antiqua"/>
          <w:lang w:val="es-ES"/>
        </w:rPr>
        <w:t xml:space="preserve">Esta competencia se incluye en esta reforma, sin embargo en la </w:t>
      </w:r>
      <w:r w:rsidRPr="0060750C">
        <w:rPr>
          <w:rFonts w:ascii="Book Antiqua" w:hAnsi="Book Antiqua"/>
          <w:lang w:val="es-ES"/>
        </w:rPr>
        <w:t>práctica</w:t>
      </w:r>
      <w:r w:rsidRPr="001D0C10">
        <w:rPr>
          <w:rFonts w:ascii="Book Antiqua" w:hAnsi="Book Antiqua"/>
          <w:lang w:val="es-ES"/>
        </w:rPr>
        <w:t xml:space="preserve">, estos procesos </w:t>
      </w:r>
      <w:r w:rsidRPr="0060750C">
        <w:rPr>
          <w:rFonts w:ascii="Book Antiqua" w:hAnsi="Book Antiqua"/>
          <w:lang w:val="es-ES"/>
        </w:rPr>
        <w:t>ingresaban</w:t>
      </w:r>
      <w:r w:rsidRPr="001D0C10">
        <w:rPr>
          <w:rFonts w:ascii="Book Antiqua" w:hAnsi="Book Antiqua"/>
          <w:lang w:val="es-ES"/>
        </w:rPr>
        <w:t xml:space="preserve"> al Tribunal de Familia y este se declara incompetente </w:t>
      </w:r>
      <w:r w:rsidRPr="0060750C">
        <w:rPr>
          <w:rFonts w:ascii="Book Antiqua" w:hAnsi="Book Antiqua"/>
          <w:lang w:val="es-ES"/>
        </w:rPr>
        <w:t>remi</w:t>
      </w:r>
      <w:r>
        <w:rPr>
          <w:rFonts w:ascii="Book Antiqua" w:hAnsi="Book Antiqua"/>
          <w:lang w:val="es-ES"/>
        </w:rPr>
        <w:t>tiéndolo</w:t>
      </w:r>
      <w:r w:rsidRPr="001D0C10">
        <w:rPr>
          <w:rFonts w:ascii="Book Antiqua" w:hAnsi="Book Antiqua"/>
          <w:lang w:val="es-ES"/>
        </w:rPr>
        <w:t xml:space="preserve"> a cono</w:t>
      </w:r>
      <w:r>
        <w:rPr>
          <w:rFonts w:ascii="Book Antiqua" w:hAnsi="Book Antiqua"/>
          <w:lang w:val="es-ES"/>
        </w:rPr>
        <w:t>ci</w:t>
      </w:r>
      <w:r w:rsidRPr="001D0C10">
        <w:rPr>
          <w:rFonts w:ascii="Book Antiqua" w:hAnsi="Book Antiqua"/>
          <w:lang w:val="es-ES"/>
        </w:rPr>
        <w:t>miento de la Sala, es decir, ya ellos en este momento conocen de estos asuntos</w:t>
      </w:r>
      <w:r>
        <w:rPr>
          <w:rFonts w:ascii="Book Antiqua" w:hAnsi="Book Antiqua"/>
          <w:lang w:val="es-ES"/>
        </w:rPr>
        <w:t>, según información indicado por el Secretario de la Sala el 9-3-22.</w:t>
      </w:r>
    </w:p>
  </w:footnote>
  <w:footnote w:id="7">
    <w:p w14:paraId="009BBD13" w14:textId="77777777" w:rsidR="00035934" w:rsidRPr="001D0C10" w:rsidRDefault="00035934" w:rsidP="00684AE9">
      <w:pPr>
        <w:pStyle w:val="Textonotapie"/>
        <w:rPr>
          <w:lang w:val="es-ES"/>
        </w:rPr>
      </w:pPr>
      <w:r>
        <w:rPr>
          <w:rStyle w:val="Refdenotaalpie"/>
        </w:rPr>
        <w:footnoteRef/>
      </w:r>
      <w:r>
        <w:t xml:space="preserve"> </w:t>
      </w:r>
      <w:r>
        <w:rPr>
          <w:rFonts w:ascii="Book Antiqua" w:hAnsi="Book Antiqua"/>
          <w:lang w:val="es-ES"/>
        </w:rPr>
        <w:t xml:space="preserve">Esto ya hoy en día es competencia del Tribunal de Familia. La Sala solo conoce cuando el conflicto es entre un Juzgado de Familia y uno de otra materia, pero cuando fue el que previno primero es un despacho de Familia. </w:t>
      </w:r>
      <w:r w:rsidRPr="001D0C10">
        <w:rPr>
          <w:rFonts w:ascii="Book Antiqua" w:hAnsi="Book Antiqua"/>
          <w:lang w:val="es-ES"/>
        </w:rPr>
        <w:t xml:space="preserve"> </w:t>
      </w:r>
    </w:p>
  </w:footnote>
  <w:footnote w:id="8">
    <w:p w14:paraId="71B12664" w14:textId="77777777" w:rsidR="00035934" w:rsidRPr="00CB6847" w:rsidRDefault="00035934" w:rsidP="00684AE9">
      <w:pPr>
        <w:pStyle w:val="Textonotapie"/>
        <w:jc w:val="both"/>
        <w:rPr>
          <w:lang w:val="es-ES"/>
        </w:rPr>
      </w:pPr>
      <w:r>
        <w:rPr>
          <w:rStyle w:val="Refdenotaalpie"/>
        </w:rPr>
        <w:footnoteRef/>
      </w:r>
      <w:r>
        <w:t xml:space="preserve"> </w:t>
      </w:r>
      <w:r w:rsidRPr="00556644">
        <w:rPr>
          <w:rFonts w:ascii="Book Antiqua" w:hAnsi="Book Antiqua"/>
          <w:lang w:val="es-ES"/>
        </w:rPr>
        <w:t xml:space="preserve">Este inciso es idéntico a la segunda parte del inciso 3 del artículo </w:t>
      </w:r>
      <w:r w:rsidRPr="001D0C10">
        <w:rPr>
          <w:rFonts w:ascii="Book Antiqua" w:hAnsi="Book Antiqua"/>
          <w:lang w:val="es-ES"/>
        </w:rPr>
        <w:t xml:space="preserve">55 bis reformado LOPJ, </w:t>
      </w:r>
      <w:r>
        <w:rPr>
          <w:rFonts w:ascii="Book Antiqua" w:hAnsi="Book Antiqua"/>
          <w:lang w:val="es-ES"/>
        </w:rPr>
        <w:t>y</w:t>
      </w:r>
      <w:r w:rsidRPr="001D0C10">
        <w:rPr>
          <w:rFonts w:ascii="Book Antiqua" w:hAnsi="Book Antiqua"/>
          <w:lang w:val="es-ES"/>
        </w:rPr>
        <w:t xml:space="preserve"> establece </w:t>
      </w:r>
      <w:r>
        <w:rPr>
          <w:rFonts w:ascii="Book Antiqua" w:hAnsi="Book Antiqua"/>
          <w:lang w:val="es-ES"/>
        </w:rPr>
        <w:t xml:space="preserve">esta </w:t>
      </w:r>
      <w:r w:rsidRPr="001D0C10">
        <w:rPr>
          <w:rFonts w:ascii="Book Antiqua" w:hAnsi="Book Antiqua"/>
          <w:lang w:val="es-ES"/>
        </w:rPr>
        <w:t xml:space="preserve">competencia </w:t>
      </w:r>
      <w:r>
        <w:rPr>
          <w:rFonts w:ascii="Book Antiqua" w:hAnsi="Book Antiqua"/>
          <w:lang w:val="es-ES"/>
        </w:rPr>
        <w:t xml:space="preserve">a cargo </w:t>
      </w:r>
      <w:r w:rsidRPr="001D0C10">
        <w:rPr>
          <w:rFonts w:ascii="Book Antiqua" w:hAnsi="Book Antiqua"/>
          <w:lang w:val="es-ES"/>
        </w:rPr>
        <w:t>de la Sala Segunda.</w:t>
      </w:r>
    </w:p>
  </w:footnote>
  <w:footnote w:id="9">
    <w:p w14:paraId="1EF25D7F" w14:textId="77777777" w:rsidR="00035934" w:rsidRPr="005D4610" w:rsidRDefault="00035934" w:rsidP="006154CF">
      <w:pPr>
        <w:pStyle w:val="Textonotapie"/>
        <w:rPr>
          <w:rFonts w:ascii="Times New Roman" w:hAnsi="Times New Roman" w:cs="Times New Roman"/>
          <w:lang w:val="es-MX"/>
        </w:rPr>
      </w:pPr>
      <w:r>
        <w:rPr>
          <w:rStyle w:val="Refdenotaalpie"/>
        </w:rPr>
        <w:footnoteRef/>
      </w:r>
      <w:r>
        <w:t xml:space="preserve"> </w:t>
      </w:r>
      <w:r w:rsidRPr="000E1A4F">
        <w:rPr>
          <w:rFonts w:ascii="Times New Roman" w:hAnsi="Times New Roman" w:cs="Times New Roman"/>
          <w:lang w:val="es-MX"/>
        </w:rPr>
        <w:t>Adicionalmente hay un análisis de la necesidad de recurso por la Ley 9593 (población indígena).</w:t>
      </w:r>
      <w:r w:rsidRPr="005D4610">
        <w:rPr>
          <w:rFonts w:ascii="Times New Roman" w:hAnsi="Times New Roman" w:cs="Times New Roman"/>
          <w:lang w:val="es-MX"/>
        </w:rPr>
        <w:t xml:space="preserve"> </w:t>
      </w:r>
    </w:p>
  </w:footnote>
  <w:footnote w:id="10">
    <w:p w14:paraId="52F996AB" w14:textId="77777777" w:rsidR="00035934" w:rsidRPr="005D4610" w:rsidRDefault="00035934" w:rsidP="006154CF">
      <w:pPr>
        <w:pStyle w:val="Textonotapie"/>
        <w:jc w:val="both"/>
        <w:rPr>
          <w:rFonts w:ascii="Times New Roman" w:hAnsi="Times New Roman" w:cs="Times New Roman"/>
        </w:rPr>
      </w:pPr>
      <w:r w:rsidRPr="005D4610">
        <w:rPr>
          <w:rStyle w:val="Refdenotaalpie"/>
          <w:rFonts w:ascii="Times New Roman" w:hAnsi="Times New Roman" w:cs="Times New Roman"/>
        </w:rPr>
        <w:footnoteRef/>
      </w:r>
      <w:r w:rsidRPr="005D4610">
        <w:rPr>
          <w:rFonts w:ascii="Times New Roman" w:hAnsi="Times New Roman" w:cs="Times New Roman"/>
        </w:rPr>
        <w:t xml:space="preserve"> </w:t>
      </w:r>
      <w:r w:rsidRPr="005D4610">
        <w:rPr>
          <w:rFonts w:ascii="Times New Roman" w:hAnsi="Times New Roman" w:cs="Times New Roman"/>
          <w:lang w:val="es-MX"/>
        </w:rPr>
        <w:t xml:space="preserve">Respecto al criterio técnico que recomendó 33 plazas, se remonta al informe de la Dirección de Planificación 34-PLA-EV-2017, en donde se consideró el servicio para la parte actora conforme al proyecto de ley del expediente 19455 que estaba en la Asamblea Legislativa pendiente de ser convocado por el Poder Ejecutivo para su respectiva discusión y aprobación.   </w:t>
      </w:r>
    </w:p>
  </w:footnote>
  <w:footnote w:id="11">
    <w:p w14:paraId="519F3655" w14:textId="349E6BED" w:rsidR="00035934" w:rsidRPr="00545C67" w:rsidRDefault="00035934">
      <w:pPr>
        <w:pStyle w:val="Textonotapie"/>
        <w:rPr>
          <w:lang w:val="es-ES"/>
        </w:rPr>
      </w:pPr>
      <w:r>
        <w:rPr>
          <w:rStyle w:val="Refdenotaalpie"/>
        </w:rPr>
        <w:footnoteRef/>
      </w:r>
      <w:r>
        <w:t xml:space="preserve"> </w:t>
      </w:r>
      <w:r w:rsidRPr="00545C67">
        <w:rPr>
          <w:rFonts w:ascii="Book Antiqua" w:hAnsi="Book Antiqua"/>
          <w:lang w:val="es-ES"/>
        </w:rPr>
        <w:t xml:space="preserve">Pendiente de aprobación </w:t>
      </w:r>
      <w:r>
        <w:rPr>
          <w:rFonts w:ascii="Book Antiqua" w:hAnsi="Book Antiqua"/>
          <w:lang w:val="es-ES"/>
        </w:rPr>
        <w:t>por parte d</w:t>
      </w:r>
      <w:r w:rsidRPr="00545C67">
        <w:rPr>
          <w:rFonts w:ascii="Book Antiqua" w:hAnsi="Book Antiqua"/>
          <w:lang w:val="es-ES"/>
        </w:rPr>
        <w:t>el Consejo Superior.</w:t>
      </w:r>
      <w:r>
        <w:rPr>
          <w:lang w:val="es-ES"/>
        </w:rPr>
        <w:t xml:space="preserve"> </w:t>
      </w:r>
    </w:p>
  </w:footnote>
  <w:footnote w:id="12">
    <w:p w14:paraId="742F50AB" w14:textId="5589B5F3" w:rsidR="00035934" w:rsidRPr="00562911" w:rsidRDefault="00035934">
      <w:pPr>
        <w:pStyle w:val="Textonotapie"/>
        <w:rPr>
          <w:lang w:val="es-ES"/>
        </w:rPr>
      </w:pPr>
      <w:r>
        <w:rPr>
          <w:rStyle w:val="Refdenotaalpie"/>
        </w:rPr>
        <w:footnoteRef/>
      </w:r>
      <w:r>
        <w:t xml:space="preserve"> </w:t>
      </w:r>
      <w:r w:rsidRPr="00AF5DE5">
        <w:rPr>
          <w:rFonts w:ascii="Book Antiqua" w:hAnsi="Book Antiqua"/>
          <w:lang w:val="es-ES"/>
        </w:rPr>
        <w:t>Promedio entrada recursos</w:t>
      </w:r>
      <w:r>
        <w:rPr>
          <w:rFonts w:ascii="Book Antiqua" w:hAnsi="Book Antiqua"/>
          <w:lang w:val="es-ES"/>
        </w:rPr>
        <w:t xml:space="preserve"> de apelación en Pensiones Alimentarias periodo</w:t>
      </w:r>
      <w:r w:rsidRPr="00AF5DE5">
        <w:rPr>
          <w:rFonts w:ascii="Book Antiqua" w:hAnsi="Book Antiqua"/>
          <w:lang w:val="es-ES"/>
        </w:rPr>
        <w:t xml:space="preserve"> 2019-2021.</w:t>
      </w:r>
      <w:r>
        <w:rPr>
          <w:lang w:val="es-ES"/>
        </w:rPr>
        <w:t xml:space="preserve"> </w:t>
      </w:r>
    </w:p>
  </w:footnote>
  <w:footnote w:id="13">
    <w:p w14:paraId="32E763D0" w14:textId="77777777" w:rsidR="00035934" w:rsidRPr="00F40CD6" w:rsidRDefault="00035934" w:rsidP="00340FF2">
      <w:pPr>
        <w:pStyle w:val="Textonotapie"/>
        <w:rPr>
          <w:lang w:val="es-ES"/>
        </w:rPr>
      </w:pPr>
      <w:r>
        <w:rPr>
          <w:rStyle w:val="Refdenotaalpie"/>
        </w:rPr>
        <w:footnoteRef/>
      </w:r>
      <w:r>
        <w:t xml:space="preserve"> </w:t>
      </w:r>
      <w:r w:rsidRPr="001D0C10">
        <w:rPr>
          <w:rFonts w:ascii="Book Antiqua" w:hAnsi="Book Antiqua"/>
        </w:rPr>
        <w:t>10 asuntos nuevos por mes en promedio según datos estadísticos del trienio 2014-2016 y un circulante de 45 expedientes por plaza al finalizar diciembre 2016.Informe 26-PLA-MI-2017</w:t>
      </w:r>
      <w:r>
        <w:t xml:space="preserve">. </w:t>
      </w:r>
    </w:p>
  </w:footnote>
  <w:footnote w:id="14">
    <w:p w14:paraId="71ECF01C" w14:textId="77777777" w:rsidR="00035934" w:rsidRPr="001D0C10" w:rsidRDefault="00035934" w:rsidP="00340FF2">
      <w:pPr>
        <w:pStyle w:val="Textonotapie"/>
        <w:rPr>
          <w:lang w:val="es-ES"/>
        </w:rPr>
      </w:pPr>
      <w:r>
        <w:rPr>
          <w:rStyle w:val="Refdenotaalpie"/>
        </w:rPr>
        <w:footnoteRef/>
      </w:r>
      <w:r>
        <w:t xml:space="preserve"> </w:t>
      </w:r>
      <w:r w:rsidRPr="001D0C10">
        <w:rPr>
          <w:rFonts w:ascii="Book Antiqua" w:hAnsi="Book Antiqua"/>
          <w:lang w:val="es-ES"/>
        </w:rPr>
        <w:t>Dato proporcionado por el Subproceso de Estadística de la Dirección de Planificación.</w:t>
      </w:r>
      <w:r>
        <w:rPr>
          <w:lang w:val="es-ES"/>
        </w:rPr>
        <w:t xml:space="preserve"> </w:t>
      </w:r>
    </w:p>
  </w:footnote>
  <w:footnote w:id="15">
    <w:p w14:paraId="11B28DB7" w14:textId="77777777" w:rsidR="00035934" w:rsidRPr="00C25A71" w:rsidRDefault="00035934" w:rsidP="009B71C9">
      <w:pPr>
        <w:pStyle w:val="Textonotapie"/>
        <w:ind w:right="-376"/>
        <w:jc w:val="both"/>
        <w:rPr>
          <w:lang w:val="es-ES"/>
        </w:rPr>
      </w:pPr>
      <w:r>
        <w:rPr>
          <w:rStyle w:val="Refdenotaalpie"/>
        </w:rPr>
        <w:footnoteRef/>
      </w:r>
      <w:r>
        <w:t xml:space="preserve"> </w:t>
      </w:r>
      <w:r w:rsidRPr="001D0C10">
        <w:rPr>
          <w:rFonts w:ascii="Book Antiqua" w:hAnsi="Book Antiqua"/>
          <w:lang w:val="es-ES"/>
        </w:rPr>
        <w:t>Conforme al acuerdo del CS punto 7b, la Dirección de Gestión Humana una vez que se cuente con el contrato de limpieza privada deberá valorar el perfil competencial de puestos de la plaza Auxiliar de Servicios Generales que se encuentra compartida con el Juzgado de Pensiones Alimentarias y Contravencional de Sarapiquí.</w:t>
      </w:r>
    </w:p>
  </w:footnote>
  <w:footnote w:id="16">
    <w:p w14:paraId="1CFC08AA" w14:textId="502F1255" w:rsidR="00035934" w:rsidRPr="00030CBA" w:rsidRDefault="00035934">
      <w:pPr>
        <w:pStyle w:val="Textonotapie"/>
        <w:rPr>
          <w:lang w:val="es-ES"/>
        </w:rPr>
      </w:pPr>
      <w:r>
        <w:rPr>
          <w:rStyle w:val="Refdenotaalpie"/>
        </w:rPr>
        <w:footnoteRef/>
      </w:r>
      <w:r>
        <w:t xml:space="preserve"> </w:t>
      </w:r>
      <w:r w:rsidRPr="009B71C9">
        <w:rPr>
          <w:rFonts w:ascii="Book Antiqua" w:hAnsi="Book Antiqua"/>
          <w:lang w:val="es-ES"/>
        </w:rPr>
        <w:t>2 técnicos CACMFJ, 2 técnicos plan VD, 2 Técnicos de Sala, 2 Técnicos 3 Sala II, 1 Técnico Buenos Aires, 1 San Carlos y 1 de Liberia= 11 puestos</w:t>
      </w:r>
    </w:p>
  </w:footnote>
  <w:footnote w:id="17">
    <w:p w14:paraId="79A5DD5D" w14:textId="05785F42" w:rsidR="00035934" w:rsidRPr="00030CBA" w:rsidRDefault="00035934">
      <w:pPr>
        <w:pStyle w:val="Textonotapie"/>
        <w:rPr>
          <w:lang w:val="es-ES"/>
        </w:rPr>
      </w:pPr>
      <w:r>
        <w:rPr>
          <w:rStyle w:val="Refdenotaalpie"/>
        </w:rPr>
        <w:footnoteRef/>
      </w:r>
      <w:r>
        <w:t xml:space="preserve"> </w:t>
      </w:r>
      <w:r w:rsidRPr="009B71C9">
        <w:rPr>
          <w:rFonts w:ascii="Book Antiqua" w:hAnsi="Book Antiqua"/>
          <w:lang w:val="es-ES"/>
        </w:rPr>
        <w:t>3 letrados, 1 profesional CACMFJ, 1 Juez Gestor, 4 Jueces plan FA, 4 jueces plan PA, 2 Jueces plan VD=15 puestos</w:t>
      </w:r>
    </w:p>
  </w:footnote>
  <w:footnote w:id="18">
    <w:p w14:paraId="21D0F0B0" w14:textId="4FBAC038" w:rsidR="00100A4D" w:rsidRPr="00100A4D" w:rsidRDefault="00100A4D" w:rsidP="00100A4D">
      <w:pPr>
        <w:pStyle w:val="Textonotapie"/>
        <w:jc w:val="both"/>
        <w:rPr>
          <w:lang w:val="es-ES"/>
        </w:rPr>
      </w:pPr>
      <w:r>
        <w:rPr>
          <w:rStyle w:val="Refdenotaalpie"/>
        </w:rPr>
        <w:footnoteRef/>
      </w:r>
      <w:r>
        <w:t xml:space="preserve"> </w:t>
      </w:r>
      <w:r w:rsidRPr="00100A4D">
        <w:rPr>
          <w:rFonts w:ascii="Book Antiqua" w:hAnsi="Book Antiqua"/>
          <w:lang w:val="es-ES"/>
        </w:rPr>
        <w:t xml:space="preserve">Según se ha informado a esta Dirección por parte del CACMFJ en las reuniones de seguimiento del equipo </w:t>
      </w:r>
      <w:r w:rsidR="000847EB">
        <w:rPr>
          <w:rFonts w:ascii="Book Antiqua" w:hAnsi="Book Antiqua"/>
          <w:lang w:val="es-ES"/>
        </w:rPr>
        <w:t>interdisciplinario</w:t>
      </w:r>
      <w:r w:rsidRPr="00100A4D">
        <w:rPr>
          <w:rFonts w:ascii="Book Antiqua" w:hAnsi="Book Antiqua"/>
          <w:lang w:val="es-ES"/>
        </w:rPr>
        <w:t xml:space="preserve"> de implementación del CPF.</w:t>
      </w:r>
      <w:r>
        <w:rPr>
          <w:lang w:val="es-E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429AA" w14:textId="68E3D724" w:rsidR="00FE7423" w:rsidRPr="00FE7423" w:rsidRDefault="00FE7423" w:rsidP="00FE7423">
    <w:pPr>
      <w:pStyle w:val="Encabezado"/>
      <w:tabs>
        <w:tab w:val="center" w:pos="8804"/>
        <w:tab w:val="right" w:pos="8875"/>
      </w:tabs>
      <w:jc w:val="center"/>
      <w:rPr>
        <w:rFonts w:ascii="Book Antiqua" w:eastAsia="Times New Roman" w:hAnsi="Book Antiqua" w:cs="Book Antiqua"/>
        <w:i/>
        <w:iCs/>
        <w:sz w:val="18"/>
        <w:szCs w:val="18"/>
        <w:lang w:eastAsia="es-ES"/>
      </w:rPr>
    </w:pPr>
    <w:r w:rsidRPr="00FE7423">
      <w:rPr>
        <w:rFonts w:ascii="Book Antiqua" w:eastAsia="Times New Roman" w:hAnsi="Book Antiqua" w:cs="Book Antiqua"/>
        <w:i/>
        <w:iCs/>
        <w:sz w:val="18"/>
        <w:szCs w:val="18"/>
        <w:lang w:eastAsia="es-ES"/>
      </w:rPr>
      <w:t>Poder Judicial – Dirección de Planificación</w:t>
    </w:r>
    <w:r w:rsidRPr="00FE7423">
      <w:rPr>
        <w:rFonts w:ascii="Times New Roman" w:eastAsia="Times New Roman" w:hAnsi="Times New Roman" w:cs="Times New Roman"/>
        <w:sz w:val="24"/>
        <w:szCs w:val="24"/>
        <w:lang w:eastAsia="es-ES"/>
      </w:rPr>
      <w:object w:dxaOrig="1845" w:dyaOrig="2145" w14:anchorId="0A933F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5pt;height:31.5pt" o:ole="">
          <v:imagedata r:id="rId1" o:title=""/>
        </v:shape>
        <o:OLEObject Type="Embed" ProgID="PBrush" ShapeID="_x0000_i1025" DrawAspect="Content" ObjectID="_1718086615" r:id="rId2"/>
      </w:object>
    </w:r>
  </w:p>
  <w:p w14:paraId="10BF3873" w14:textId="77777777" w:rsidR="00FE7423" w:rsidRPr="00FE7423" w:rsidRDefault="00FE7423" w:rsidP="00FE7423">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FE7423">
      <w:rPr>
        <w:rFonts w:ascii="Book Antiqua" w:eastAsia="Times New Roman" w:hAnsi="Book Antiqua" w:cs="Book Antiqua"/>
        <w:i/>
        <w:iCs/>
        <w:sz w:val="18"/>
        <w:szCs w:val="18"/>
        <w:lang w:eastAsia="es-ES"/>
      </w:rPr>
      <w:t>San José - Costa Rica</w:t>
    </w:r>
  </w:p>
  <w:p w14:paraId="12E55784" w14:textId="77777777" w:rsidR="00FE7423" w:rsidRPr="00FE7423" w:rsidRDefault="00FE7423" w:rsidP="00FE7423">
    <w:pPr>
      <w:tabs>
        <w:tab w:val="center" w:pos="4252"/>
        <w:tab w:val="right" w:pos="8504"/>
      </w:tabs>
      <w:spacing w:after="0" w:line="240" w:lineRule="auto"/>
      <w:jc w:val="center"/>
      <w:rPr>
        <w:rFonts w:ascii="Times New Roman" w:eastAsia="Times New Roman" w:hAnsi="Times New Roman" w:cs="Times New Roman"/>
        <w:sz w:val="20"/>
        <w:szCs w:val="20"/>
        <w:lang w:eastAsia="es-ES"/>
      </w:rPr>
    </w:pPr>
    <w:r w:rsidRPr="00FE7423">
      <w:rPr>
        <w:rFonts w:ascii="Book Antiqua" w:eastAsia="Times New Roman" w:hAnsi="Book Antiqua" w:cs="Book Antiqua"/>
        <w:i/>
        <w:iCs/>
        <w:sz w:val="18"/>
        <w:szCs w:val="18"/>
        <w:lang w:val="es-ES" w:eastAsia="es-ES"/>
      </w:rPr>
      <w:t xml:space="preserve">Telf.   </w:t>
    </w:r>
    <w:r w:rsidRPr="00FE7423">
      <w:rPr>
        <w:rFonts w:ascii="Book Antiqua" w:eastAsia="Times New Roman" w:hAnsi="Book Antiqua" w:cs="Book Antiqua"/>
        <w:i/>
        <w:iCs/>
        <w:sz w:val="18"/>
        <w:szCs w:val="18"/>
        <w:lang w:eastAsia="es-ES"/>
      </w:rPr>
      <w:t>2295-3600 / 3599 / Apdo.  95-1003 / planificacion@poder-judicial.go.cr</w:t>
    </w:r>
  </w:p>
  <w:p w14:paraId="035B1E3A" w14:textId="77777777" w:rsidR="00FE7423" w:rsidRPr="00FE7423" w:rsidRDefault="00FE7423" w:rsidP="00FE7423">
    <w:pPr>
      <w:pBdr>
        <w:bottom w:val="single" w:sz="6" w:space="0" w:color="auto"/>
      </w:pBdr>
      <w:spacing w:after="20" w:line="240" w:lineRule="auto"/>
      <w:jc w:val="center"/>
      <w:rPr>
        <w:rFonts w:ascii="Times New Roman" w:eastAsia="Times New Roman" w:hAnsi="Times New Roman" w:cs="Times New Roman"/>
        <w:sz w:val="20"/>
        <w:szCs w:val="20"/>
        <w:lang w:eastAsia="es-ES"/>
      </w:rPr>
    </w:pPr>
  </w:p>
  <w:p w14:paraId="1AD4E737" w14:textId="77777777" w:rsidR="00035934" w:rsidRDefault="0003593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D2887"/>
    <w:multiLevelType w:val="hybridMultilevel"/>
    <w:tmpl w:val="E7B8335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34218BE"/>
    <w:multiLevelType w:val="hybridMultilevel"/>
    <w:tmpl w:val="AA8A1048"/>
    <w:lvl w:ilvl="0" w:tplc="05E474BC">
      <w:start w:val="1"/>
      <w:numFmt w:val="bullet"/>
      <w:lvlText w:val=""/>
      <w:lvlJc w:val="left"/>
      <w:pPr>
        <w:tabs>
          <w:tab w:val="num" w:pos="720"/>
        </w:tabs>
        <w:ind w:left="720" w:hanging="360"/>
      </w:pPr>
      <w:rPr>
        <w:rFonts w:ascii="Wingdings" w:hAnsi="Wingdings" w:hint="default"/>
      </w:rPr>
    </w:lvl>
    <w:lvl w:ilvl="1" w:tplc="F1F6F37C" w:tentative="1">
      <w:start w:val="1"/>
      <w:numFmt w:val="bullet"/>
      <w:lvlText w:val=""/>
      <w:lvlJc w:val="left"/>
      <w:pPr>
        <w:tabs>
          <w:tab w:val="num" w:pos="1440"/>
        </w:tabs>
        <w:ind w:left="1440" w:hanging="360"/>
      </w:pPr>
      <w:rPr>
        <w:rFonts w:ascii="Wingdings" w:hAnsi="Wingdings" w:hint="default"/>
      </w:rPr>
    </w:lvl>
    <w:lvl w:ilvl="2" w:tplc="784ED5CC" w:tentative="1">
      <w:start w:val="1"/>
      <w:numFmt w:val="bullet"/>
      <w:lvlText w:val=""/>
      <w:lvlJc w:val="left"/>
      <w:pPr>
        <w:tabs>
          <w:tab w:val="num" w:pos="2160"/>
        </w:tabs>
        <w:ind w:left="2160" w:hanging="360"/>
      </w:pPr>
      <w:rPr>
        <w:rFonts w:ascii="Wingdings" w:hAnsi="Wingdings" w:hint="default"/>
      </w:rPr>
    </w:lvl>
    <w:lvl w:ilvl="3" w:tplc="8BA6C10A" w:tentative="1">
      <w:start w:val="1"/>
      <w:numFmt w:val="bullet"/>
      <w:lvlText w:val=""/>
      <w:lvlJc w:val="left"/>
      <w:pPr>
        <w:tabs>
          <w:tab w:val="num" w:pos="2880"/>
        </w:tabs>
        <w:ind w:left="2880" w:hanging="360"/>
      </w:pPr>
      <w:rPr>
        <w:rFonts w:ascii="Wingdings" w:hAnsi="Wingdings" w:hint="default"/>
      </w:rPr>
    </w:lvl>
    <w:lvl w:ilvl="4" w:tplc="1CCABBAA" w:tentative="1">
      <w:start w:val="1"/>
      <w:numFmt w:val="bullet"/>
      <w:lvlText w:val=""/>
      <w:lvlJc w:val="left"/>
      <w:pPr>
        <w:tabs>
          <w:tab w:val="num" w:pos="3600"/>
        </w:tabs>
        <w:ind w:left="3600" w:hanging="360"/>
      </w:pPr>
      <w:rPr>
        <w:rFonts w:ascii="Wingdings" w:hAnsi="Wingdings" w:hint="default"/>
      </w:rPr>
    </w:lvl>
    <w:lvl w:ilvl="5" w:tplc="F14454B4" w:tentative="1">
      <w:start w:val="1"/>
      <w:numFmt w:val="bullet"/>
      <w:lvlText w:val=""/>
      <w:lvlJc w:val="left"/>
      <w:pPr>
        <w:tabs>
          <w:tab w:val="num" w:pos="4320"/>
        </w:tabs>
        <w:ind w:left="4320" w:hanging="360"/>
      </w:pPr>
      <w:rPr>
        <w:rFonts w:ascii="Wingdings" w:hAnsi="Wingdings" w:hint="default"/>
      </w:rPr>
    </w:lvl>
    <w:lvl w:ilvl="6" w:tplc="00EE21DC" w:tentative="1">
      <w:start w:val="1"/>
      <w:numFmt w:val="bullet"/>
      <w:lvlText w:val=""/>
      <w:lvlJc w:val="left"/>
      <w:pPr>
        <w:tabs>
          <w:tab w:val="num" w:pos="5040"/>
        </w:tabs>
        <w:ind w:left="5040" w:hanging="360"/>
      </w:pPr>
      <w:rPr>
        <w:rFonts w:ascii="Wingdings" w:hAnsi="Wingdings" w:hint="default"/>
      </w:rPr>
    </w:lvl>
    <w:lvl w:ilvl="7" w:tplc="7DC08BD2" w:tentative="1">
      <w:start w:val="1"/>
      <w:numFmt w:val="bullet"/>
      <w:lvlText w:val=""/>
      <w:lvlJc w:val="left"/>
      <w:pPr>
        <w:tabs>
          <w:tab w:val="num" w:pos="5760"/>
        </w:tabs>
        <w:ind w:left="5760" w:hanging="360"/>
      </w:pPr>
      <w:rPr>
        <w:rFonts w:ascii="Wingdings" w:hAnsi="Wingdings" w:hint="default"/>
      </w:rPr>
    </w:lvl>
    <w:lvl w:ilvl="8" w:tplc="778CD4DA"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BAF5A2F"/>
    <w:multiLevelType w:val="multilevel"/>
    <w:tmpl w:val="F2A2FA7E"/>
    <w:lvl w:ilvl="0">
      <w:start w:val="5"/>
      <w:numFmt w:val="decimal"/>
      <w:lvlText w:val="%1."/>
      <w:lvlJc w:val="left"/>
      <w:pPr>
        <w:ind w:left="612" w:hanging="612"/>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C704F6D"/>
    <w:multiLevelType w:val="hybridMultilevel"/>
    <w:tmpl w:val="9DF2B8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D105000"/>
    <w:multiLevelType w:val="hybridMultilevel"/>
    <w:tmpl w:val="997A57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D2736A8"/>
    <w:multiLevelType w:val="hybridMultilevel"/>
    <w:tmpl w:val="2E04B9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E284CF5"/>
    <w:multiLevelType w:val="hybridMultilevel"/>
    <w:tmpl w:val="9C56000C"/>
    <w:lvl w:ilvl="0" w:tplc="140A0001">
      <w:start w:val="1"/>
      <w:numFmt w:val="bullet"/>
      <w:lvlText w:val=""/>
      <w:lvlJc w:val="left"/>
      <w:pPr>
        <w:ind w:left="1077" w:hanging="360"/>
      </w:pPr>
      <w:rPr>
        <w:rFonts w:ascii="Symbol" w:hAnsi="Symbol" w:hint="default"/>
      </w:rPr>
    </w:lvl>
    <w:lvl w:ilvl="1" w:tplc="140A0003" w:tentative="1">
      <w:start w:val="1"/>
      <w:numFmt w:val="bullet"/>
      <w:lvlText w:val="o"/>
      <w:lvlJc w:val="left"/>
      <w:pPr>
        <w:ind w:left="1797" w:hanging="360"/>
      </w:pPr>
      <w:rPr>
        <w:rFonts w:ascii="Courier New" w:hAnsi="Courier New" w:cs="Courier New" w:hint="default"/>
      </w:rPr>
    </w:lvl>
    <w:lvl w:ilvl="2" w:tplc="140A0005" w:tentative="1">
      <w:start w:val="1"/>
      <w:numFmt w:val="bullet"/>
      <w:lvlText w:val=""/>
      <w:lvlJc w:val="left"/>
      <w:pPr>
        <w:ind w:left="2517" w:hanging="360"/>
      </w:pPr>
      <w:rPr>
        <w:rFonts w:ascii="Wingdings" w:hAnsi="Wingdings" w:hint="default"/>
      </w:rPr>
    </w:lvl>
    <w:lvl w:ilvl="3" w:tplc="140A0001" w:tentative="1">
      <w:start w:val="1"/>
      <w:numFmt w:val="bullet"/>
      <w:lvlText w:val=""/>
      <w:lvlJc w:val="left"/>
      <w:pPr>
        <w:ind w:left="3237" w:hanging="360"/>
      </w:pPr>
      <w:rPr>
        <w:rFonts w:ascii="Symbol" w:hAnsi="Symbol" w:hint="default"/>
      </w:rPr>
    </w:lvl>
    <w:lvl w:ilvl="4" w:tplc="140A0003" w:tentative="1">
      <w:start w:val="1"/>
      <w:numFmt w:val="bullet"/>
      <w:lvlText w:val="o"/>
      <w:lvlJc w:val="left"/>
      <w:pPr>
        <w:ind w:left="3957" w:hanging="360"/>
      </w:pPr>
      <w:rPr>
        <w:rFonts w:ascii="Courier New" w:hAnsi="Courier New" w:cs="Courier New" w:hint="default"/>
      </w:rPr>
    </w:lvl>
    <w:lvl w:ilvl="5" w:tplc="140A0005" w:tentative="1">
      <w:start w:val="1"/>
      <w:numFmt w:val="bullet"/>
      <w:lvlText w:val=""/>
      <w:lvlJc w:val="left"/>
      <w:pPr>
        <w:ind w:left="4677" w:hanging="360"/>
      </w:pPr>
      <w:rPr>
        <w:rFonts w:ascii="Wingdings" w:hAnsi="Wingdings" w:hint="default"/>
      </w:rPr>
    </w:lvl>
    <w:lvl w:ilvl="6" w:tplc="140A0001" w:tentative="1">
      <w:start w:val="1"/>
      <w:numFmt w:val="bullet"/>
      <w:lvlText w:val=""/>
      <w:lvlJc w:val="left"/>
      <w:pPr>
        <w:ind w:left="5397" w:hanging="360"/>
      </w:pPr>
      <w:rPr>
        <w:rFonts w:ascii="Symbol" w:hAnsi="Symbol" w:hint="default"/>
      </w:rPr>
    </w:lvl>
    <w:lvl w:ilvl="7" w:tplc="140A0003" w:tentative="1">
      <w:start w:val="1"/>
      <w:numFmt w:val="bullet"/>
      <w:lvlText w:val="o"/>
      <w:lvlJc w:val="left"/>
      <w:pPr>
        <w:ind w:left="6117" w:hanging="360"/>
      </w:pPr>
      <w:rPr>
        <w:rFonts w:ascii="Courier New" w:hAnsi="Courier New" w:cs="Courier New" w:hint="default"/>
      </w:rPr>
    </w:lvl>
    <w:lvl w:ilvl="8" w:tplc="140A0005" w:tentative="1">
      <w:start w:val="1"/>
      <w:numFmt w:val="bullet"/>
      <w:lvlText w:val=""/>
      <w:lvlJc w:val="left"/>
      <w:pPr>
        <w:ind w:left="6837" w:hanging="360"/>
      </w:pPr>
      <w:rPr>
        <w:rFonts w:ascii="Wingdings" w:hAnsi="Wingdings" w:hint="default"/>
      </w:rPr>
    </w:lvl>
  </w:abstractNum>
  <w:abstractNum w:abstractNumId="7" w15:restartNumberingAfterBreak="0">
    <w:nsid w:val="0E2C4F7C"/>
    <w:multiLevelType w:val="hybridMultilevel"/>
    <w:tmpl w:val="10F60EA2"/>
    <w:lvl w:ilvl="0" w:tplc="140A0001">
      <w:start w:val="1"/>
      <w:numFmt w:val="bullet"/>
      <w:lvlText w:val=""/>
      <w:lvlJc w:val="left"/>
      <w:pPr>
        <w:ind w:left="928" w:hanging="360"/>
      </w:pPr>
      <w:rPr>
        <w:rFonts w:ascii="Symbol" w:hAnsi="Symbol" w:hint="default"/>
      </w:rPr>
    </w:lvl>
    <w:lvl w:ilvl="1" w:tplc="140A0003">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8" w15:restartNumberingAfterBreak="0">
    <w:nsid w:val="13B36DB5"/>
    <w:multiLevelType w:val="hybridMultilevel"/>
    <w:tmpl w:val="9C165D64"/>
    <w:lvl w:ilvl="0" w:tplc="0C0A0015">
      <w:start w:val="1"/>
      <w:numFmt w:val="upperLetter"/>
      <w:lvlText w:val="%1."/>
      <w:lvlJc w:val="left"/>
      <w:pPr>
        <w:ind w:left="720" w:hanging="360"/>
      </w:pPr>
      <w:rPr>
        <w:rFonts w:hint="default"/>
        <w:b/>
        <w:color w:val="auto"/>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D26723E"/>
    <w:multiLevelType w:val="multilevel"/>
    <w:tmpl w:val="6074DD02"/>
    <w:lvl w:ilvl="0">
      <w:start w:val="3"/>
      <w:numFmt w:val="upperRoman"/>
      <w:lvlText w:val="%1."/>
      <w:lvlJc w:val="left"/>
      <w:pPr>
        <w:ind w:left="720" w:hanging="720"/>
      </w:pPr>
      <w:rPr>
        <w:rFonts w:hint="default"/>
      </w:rPr>
    </w:lvl>
    <w:lvl w:ilvl="1">
      <w:start w:val="1"/>
      <w:numFmt w:val="decimal"/>
      <w:lvlText w:val="%1.%2"/>
      <w:lvlJc w:val="left"/>
      <w:pPr>
        <w:ind w:left="360" w:hanging="360"/>
      </w:pPr>
      <w:rPr>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0" w15:restartNumberingAfterBreak="0">
    <w:nsid w:val="20686D82"/>
    <w:multiLevelType w:val="hybridMultilevel"/>
    <w:tmpl w:val="3B6E3D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25C6245"/>
    <w:multiLevelType w:val="hybridMultilevel"/>
    <w:tmpl w:val="76480C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51E2A91"/>
    <w:multiLevelType w:val="hybridMultilevel"/>
    <w:tmpl w:val="7102D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61C3CB5"/>
    <w:multiLevelType w:val="hybridMultilevel"/>
    <w:tmpl w:val="7590B8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29C24509"/>
    <w:multiLevelType w:val="hybridMultilevel"/>
    <w:tmpl w:val="4A646F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2D5A0184"/>
    <w:multiLevelType w:val="multilevel"/>
    <w:tmpl w:val="C840D84A"/>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DAA16D1"/>
    <w:multiLevelType w:val="hybridMultilevel"/>
    <w:tmpl w:val="301E5B86"/>
    <w:lvl w:ilvl="0" w:tplc="140A000B">
      <w:start w:val="1"/>
      <w:numFmt w:val="bullet"/>
      <w:lvlText w:val=""/>
      <w:lvlJc w:val="left"/>
      <w:pPr>
        <w:tabs>
          <w:tab w:val="num" w:pos="720"/>
        </w:tabs>
        <w:ind w:left="720" w:hanging="360"/>
      </w:pPr>
      <w:rPr>
        <w:rFonts w:ascii="Wingdings" w:hAnsi="Wingdings" w:hint="default"/>
      </w:rPr>
    </w:lvl>
    <w:lvl w:ilvl="1" w:tplc="6CB85B6E" w:tentative="1">
      <w:start w:val="1"/>
      <w:numFmt w:val="bullet"/>
      <w:lvlText w:val="•"/>
      <w:lvlJc w:val="left"/>
      <w:pPr>
        <w:tabs>
          <w:tab w:val="num" w:pos="1440"/>
        </w:tabs>
        <w:ind w:left="1440" w:hanging="360"/>
      </w:pPr>
      <w:rPr>
        <w:rFonts w:ascii="Arial" w:hAnsi="Arial" w:hint="default"/>
      </w:rPr>
    </w:lvl>
    <w:lvl w:ilvl="2" w:tplc="0E60CA3E" w:tentative="1">
      <w:start w:val="1"/>
      <w:numFmt w:val="bullet"/>
      <w:lvlText w:val="•"/>
      <w:lvlJc w:val="left"/>
      <w:pPr>
        <w:tabs>
          <w:tab w:val="num" w:pos="2160"/>
        </w:tabs>
        <w:ind w:left="2160" w:hanging="360"/>
      </w:pPr>
      <w:rPr>
        <w:rFonts w:ascii="Arial" w:hAnsi="Arial" w:hint="default"/>
      </w:rPr>
    </w:lvl>
    <w:lvl w:ilvl="3" w:tplc="4FEEB492" w:tentative="1">
      <w:start w:val="1"/>
      <w:numFmt w:val="bullet"/>
      <w:lvlText w:val="•"/>
      <w:lvlJc w:val="left"/>
      <w:pPr>
        <w:tabs>
          <w:tab w:val="num" w:pos="2880"/>
        </w:tabs>
        <w:ind w:left="2880" w:hanging="360"/>
      </w:pPr>
      <w:rPr>
        <w:rFonts w:ascii="Arial" w:hAnsi="Arial" w:hint="default"/>
      </w:rPr>
    </w:lvl>
    <w:lvl w:ilvl="4" w:tplc="CF208C70" w:tentative="1">
      <w:start w:val="1"/>
      <w:numFmt w:val="bullet"/>
      <w:lvlText w:val="•"/>
      <w:lvlJc w:val="left"/>
      <w:pPr>
        <w:tabs>
          <w:tab w:val="num" w:pos="3600"/>
        </w:tabs>
        <w:ind w:left="3600" w:hanging="360"/>
      </w:pPr>
      <w:rPr>
        <w:rFonts w:ascii="Arial" w:hAnsi="Arial" w:hint="default"/>
      </w:rPr>
    </w:lvl>
    <w:lvl w:ilvl="5" w:tplc="0624E6F4" w:tentative="1">
      <w:start w:val="1"/>
      <w:numFmt w:val="bullet"/>
      <w:lvlText w:val="•"/>
      <w:lvlJc w:val="left"/>
      <w:pPr>
        <w:tabs>
          <w:tab w:val="num" w:pos="4320"/>
        </w:tabs>
        <w:ind w:left="4320" w:hanging="360"/>
      </w:pPr>
      <w:rPr>
        <w:rFonts w:ascii="Arial" w:hAnsi="Arial" w:hint="default"/>
      </w:rPr>
    </w:lvl>
    <w:lvl w:ilvl="6" w:tplc="C958DBF6" w:tentative="1">
      <w:start w:val="1"/>
      <w:numFmt w:val="bullet"/>
      <w:lvlText w:val="•"/>
      <w:lvlJc w:val="left"/>
      <w:pPr>
        <w:tabs>
          <w:tab w:val="num" w:pos="5040"/>
        </w:tabs>
        <w:ind w:left="5040" w:hanging="360"/>
      </w:pPr>
      <w:rPr>
        <w:rFonts w:ascii="Arial" w:hAnsi="Arial" w:hint="default"/>
      </w:rPr>
    </w:lvl>
    <w:lvl w:ilvl="7" w:tplc="1A047E40" w:tentative="1">
      <w:start w:val="1"/>
      <w:numFmt w:val="bullet"/>
      <w:lvlText w:val="•"/>
      <w:lvlJc w:val="left"/>
      <w:pPr>
        <w:tabs>
          <w:tab w:val="num" w:pos="5760"/>
        </w:tabs>
        <w:ind w:left="5760" w:hanging="360"/>
      </w:pPr>
      <w:rPr>
        <w:rFonts w:ascii="Arial" w:hAnsi="Arial" w:hint="default"/>
      </w:rPr>
    </w:lvl>
    <w:lvl w:ilvl="8" w:tplc="EED86E1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1733D79"/>
    <w:multiLevelType w:val="hybridMultilevel"/>
    <w:tmpl w:val="ECD64B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326630F5"/>
    <w:multiLevelType w:val="hybridMultilevel"/>
    <w:tmpl w:val="ECB6A5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36E81FEC"/>
    <w:multiLevelType w:val="hybridMultilevel"/>
    <w:tmpl w:val="B74ED3C8"/>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20" w15:restartNumberingAfterBreak="0">
    <w:nsid w:val="374E67D7"/>
    <w:multiLevelType w:val="hybridMultilevel"/>
    <w:tmpl w:val="54B87DA8"/>
    <w:lvl w:ilvl="0" w:tplc="140A0001">
      <w:start w:val="1"/>
      <w:numFmt w:val="bullet"/>
      <w:lvlText w:val=""/>
      <w:lvlJc w:val="left"/>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9035A0F"/>
    <w:multiLevelType w:val="hybridMultilevel"/>
    <w:tmpl w:val="B22CC2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3A3A7E00"/>
    <w:multiLevelType w:val="multilevel"/>
    <w:tmpl w:val="19A4FEF4"/>
    <w:lvl w:ilvl="0">
      <w:start w:val="4"/>
      <w:numFmt w:val="decimal"/>
      <w:lvlText w:val="%1."/>
      <w:lvlJc w:val="left"/>
      <w:pPr>
        <w:ind w:left="360" w:hanging="3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3D6F7904"/>
    <w:multiLevelType w:val="multilevel"/>
    <w:tmpl w:val="9BC2D366"/>
    <w:lvl w:ilvl="0">
      <w:start w:val="7"/>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3E18646E"/>
    <w:multiLevelType w:val="hybridMultilevel"/>
    <w:tmpl w:val="2F229C04"/>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3F525EAA"/>
    <w:multiLevelType w:val="hybridMultilevel"/>
    <w:tmpl w:val="C9BA82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42CD7A96"/>
    <w:multiLevelType w:val="hybridMultilevel"/>
    <w:tmpl w:val="20A0F2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44FD61AB"/>
    <w:multiLevelType w:val="hybridMultilevel"/>
    <w:tmpl w:val="C6228E6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468633C5"/>
    <w:multiLevelType w:val="multilevel"/>
    <w:tmpl w:val="687E364E"/>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pStyle w:val="Ttulo2"/>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46EC0161"/>
    <w:multiLevelType w:val="hybridMultilevel"/>
    <w:tmpl w:val="152481B8"/>
    <w:lvl w:ilvl="0" w:tplc="140A000F">
      <w:start w:val="1"/>
      <w:numFmt w:val="decimal"/>
      <w:lvlText w:val="%1."/>
      <w:lvlJc w:val="left"/>
      <w:pPr>
        <w:ind w:left="720" w:hanging="360"/>
      </w:pPr>
    </w:lvl>
    <w:lvl w:ilvl="1" w:tplc="0124099A">
      <w:numFmt w:val="bullet"/>
      <w:lvlText w:val="•"/>
      <w:lvlJc w:val="left"/>
      <w:pPr>
        <w:ind w:left="1785" w:hanging="705"/>
      </w:pPr>
      <w:rPr>
        <w:rFonts w:ascii="Book Antiqua" w:eastAsiaTheme="minorHAnsi" w:hAnsi="Book Antiqua" w:cstheme="minorBidi"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52276207"/>
    <w:multiLevelType w:val="hybridMultilevel"/>
    <w:tmpl w:val="8F56813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62F1FCF"/>
    <w:multiLevelType w:val="hybridMultilevel"/>
    <w:tmpl w:val="F07679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5945715F"/>
    <w:multiLevelType w:val="hybridMultilevel"/>
    <w:tmpl w:val="8A58EA0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59E56994"/>
    <w:multiLevelType w:val="hybridMultilevel"/>
    <w:tmpl w:val="2176EE92"/>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4" w15:restartNumberingAfterBreak="0">
    <w:nsid w:val="5DC81242"/>
    <w:multiLevelType w:val="hybridMultilevel"/>
    <w:tmpl w:val="B50C1A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64234C76"/>
    <w:multiLevelType w:val="hybridMultilevel"/>
    <w:tmpl w:val="40E642AC"/>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64FA1BE3"/>
    <w:multiLevelType w:val="multilevel"/>
    <w:tmpl w:val="205E15CA"/>
    <w:styleLink w:val="Estilo1"/>
    <w:lvl w:ilvl="0">
      <w:start w:val="1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68CE7F08"/>
    <w:multiLevelType w:val="hybridMultilevel"/>
    <w:tmpl w:val="2CCCF7E4"/>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68FE2513"/>
    <w:multiLevelType w:val="hybridMultilevel"/>
    <w:tmpl w:val="E9D2C5F6"/>
    <w:lvl w:ilvl="0" w:tplc="140A0001">
      <w:start w:val="1"/>
      <w:numFmt w:val="bullet"/>
      <w:lvlText w:val=""/>
      <w:lvlJc w:val="left"/>
      <w:pPr>
        <w:ind w:left="775" w:hanging="360"/>
      </w:pPr>
      <w:rPr>
        <w:rFonts w:ascii="Symbol" w:hAnsi="Symbol" w:hint="default"/>
      </w:rPr>
    </w:lvl>
    <w:lvl w:ilvl="1" w:tplc="140A0003" w:tentative="1">
      <w:start w:val="1"/>
      <w:numFmt w:val="bullet"/>
      <w:lvlText w:val="o"/>
      <w:lvlJc w:val="left"/>
      <w:pPr>
        <w:ind w:left="1495" w:hanging="360"/>
      </w:pPr>
      <w:rPr>
        <w:rFonts w:ascii="Courier New" w:hAnsi="Courier New" w:cs="Courier New" w:hint="default"/>
      </w:rPr>
    </w:lvl>
    <w:lvl w:ilvl="2" w:tplc="140A0005" w:tentative="1">
      <w:start w:val="1"/>
      <w:numFmt w:val="bullet"/>
      <w:lvlText w:val=""/>
      <w:lvlJc w:val="left"/>
      <w:pPr>
        <w:ind w:left="2215" w:hanging="360"/>
      </w:pPr>
      <w:rPr>
        <w:rFonts w:ascii="Wingdings" w:hAnsi="Wingdings" w:hint="default"/>
      </w:rPr>
    </w:lvl>
    <w:lvl w:ilvl="3" w:tplc="140A0001" w:tentative="1">
      <w:start w:val="1"/>
      <w:numFmt w:val="bullet"/>
      <w:lvlText w:val=""/>
      <w:lvlJc w:val="left"/>
      <w:pPr>
        <w:ind w:left="2935" w:hanging="360"/>
      </w:pPr>
      <w:rPr>
        <w:rFonts w:ascii="Symbol" w:hAnsi="Symbol" w:hint="default"/>
      </w:rPr>
    </w:lvl>
    <w:lvl w:ilvl="4" w:tplc="140A0003" w:tentative="1">
      <w:start w:val="1"/>
      <w:numFmt w:val="bullet"/>
      <w:lvlText w:val="o"/>
      <w:lvlJc w:val="left"/>
      <w:pPr>
        <w:ind w:left="3655" w:hanging="360"/>
      </w:pPr>
      <w:rPr>
        <w:rFonts w:ascii="Courier New" w:hAnsi="Courier New" w:cs="Courier New" w:hint="default"/>
      </w:rPr>
    </w:lvl>
    <w:lvl w:ilvl="5" w:tplc="140A0005" w:tentative="1">
      <w:start w:val="1"/>
      <w:numFmt w:val="bullet"/>
      <w:lvlText w:val=""/>
      <w:lvlJc w:val="left"/>
      <w:pPr>
        <w:ind w:left="4375" w:hanging="360"/>
      </w:pPr>
      <w:rPr>
        <w:rFonts w:ascii="Wingdings" w:hAnsi="Wingdings" w:hint="default"/>
      </w:rPr>
    </w:lvl>
    <w:lvl w:ilvl="6" w:tplc="140A0001" w:tentative="1">
      <w:start w:val="1"/>
      <w:numFmt w:val="bullet"/>
      <w:lvlText w:val=""/>
      <w:lvlJc w:val="left"/>
      <w:pPr>
        <w:ind w:left="5095" w:hanging="360"/>
      </w:pPr>
      <w:rPr>
        <w:rFonts w:ascii="Symbol" w:hAnsi="Symbol" w:hint="default"/>
      </w:rPr>
    </w:lvl>
    <w:lvl w:ilvl="7" w:tplc="140A0003" w:tentative="1">
      <w:start w:val="1"/>
      <w:numFmt w:val="bullet"/>
      <w:lvlText w:val="o"/>
      <w:lvlJc w:val="left"/>
      <w:pPr>
        <w:ind w:left="5815" w:hanging="360"/>
      </w:pPr>
      <w:rPr>
        <w:rFonts w:ascii="Courier New" w:hAnsi="Courier New" w:cs="Courier New" w:hint="default"/>
      </w:rPr>
    </w:lvl>
    <w:lvl w:ilvl="8" w:tplc="140A0005" w:tentative="1">
      <w:start w:val="1"/>
      <w:numFmt w:val="bullet"/>
      <w:lvlText w:val=""/>
      <w:lvlJc w:val="left"/>
      <w:pPr>
        <w:ind w:left="6535" w:hanging="360"/>
      </w:pPr>
      <w:rPr>
        <w:rFonts w:ascii="Wingdings" w:hAnsi="Wingdings" w:hint="default"/>
      </w:rPr>
    </w:lvl>
  </w:abstractNum>
  <w:abstractNum w:abstractNumId="39" w15:restartNumberingAfterBreak="0">
    <w:nsid w:val="69DD7EEF"/>
    <w:multiLevelType w:val="hybridMultilevel"/>
    <w:tmpl w:val="4A5E5CB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6B310010"/>
    <w:multiLevelType w:val="hybridMultilevel"/>
    <w:tmpl w:val="B20ACB76"/>
    <w:lvl w:ilvl="0" w:tplc="140A000F">
      <w:start w:val="10"/>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1" w15:restartNumberingAfterBreak="0">
    <w:nsid w:val="6D436910"/>
    <w:multiLevelType w:val="hybridMultilevel"/>
    <w:tmpl w:val="D1D2E4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6EA2023F"/>
    <w:multiLevelType w:val="hybridMultilevel"/>
    <w:tmpl w:val="2B04A3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711341EC"/>
    <w:multiLevelType w:val="hybridMultilevel"/>
    <w:tmpl w:val="7C8A19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74F1075C"/>
    <w:multiLevelType w:val="hybridMultilevel"/>
    <w:tmpl w:val="D6B6B4FC"/>
    <w:lvl w:ilvl="0" w:tplc="2598ABDE">
      <w:start w:val="1"/>
      <w:numFmt w:val="decimal"/>
      <w:lvlText w:val="%1)"/>
      <w:lvlJc w:val="left"/>
      <w:pPr>
        <w:ind w:left="750" w:hanging="390"/>
      </w:pPr>
      <w:rPr>
        <w:rFonts w:hint="default"/>
        <w:b/>
        <w:i/>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15:restartNumberingAfterBreak="0">
    <w:nsid w:val="7755540F"/>
    <w:multiLevelType w:val="hybridMultilevel"/>
    <w:tmpl w:val="062AC81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46" w15:restartNumberingAfterBreak="0">
    <w:nsid w:val="7C150630"/>
    <w:multiLevelType w:val="hybridMultilevel"/>
    <w:tmpl w:val="E500D9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15:restartNumberingAfterBreak="0">
    <w:nsid w:val="7CC26863"/>
    <w:multiLevelType w:val="multilevel"/>
    <w:tmpl w:val="54302AC4"/>
    <w:lvl w:ilvl="0">
      <w:start w:val="1"/>
      <w:numFmt w:val="decimal"/>
      <w:pStyle w:val="Ttulo1"/>
      <w:suff w:val="space"/>
      <w:lvlText w:val="%1"/>
      <w:lvlJc w:val="left"/>
      <w:pPr>
        <w:ind w:left="432" w:hanging="432"/>
      </w:pPr>
      <w:rPr>
        <w:rFonts w:hint="default"/>
        <w:b/>
        <w:color w:val="FFFFFF" w:themeColor="background1"/>
        <w:u w:color="FFFFFF" w:themeColor="background1"/>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720" w:hanging="720"/>
      </w:pPr>
      <w:rPr>
        <w:rFonts w:ascii="Times New Roman" w:hAnsi="Times New Roman" w:cs="Times New Roman"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num w:numId="1">
    <w:abstractNumId w:val="47"/>
  </w:num>
  <w:num w:numId="2">
    <w:abstractNumId w:val="15"/>
  </w:num>
  <w:num w:numId="3">
    <w:abstractNumId w:val="37"/>
  </w:num>
  <w:num w:numId="4">
    <w:abstractNumId w:val="20"/>
  </w:num>
  <w:num w:numId="5">
    <w:abstractNumId w:val="28"/>
  </w:num>
  <w:num w:numId="6">
    <w:abstractNumId w:val="8"/>
  </w:num>
  <w:num w:numId="7">
    <w:abstractNumId w:val="44"/>
  </w:num>
  <w:num w:numId="8">
    <w:abstractNumId w:val="33"/>
  </w:num>
  <w:num w:numId="9">
    <w:abstractNumId w:val="0"/>
  </w:num>
  <w:num w:numId="10">
    <w:abstractNumId w:val="25"/>
  </w:num>
  <w:num w:numId="11">
    <w:abstractNumId w:val="30"/>
  </w:num>
  <w:num w:numId="12">
    <w:abstractNumId w:val="9"/>
  </w:num>
  <w:num w:numId="13">
    <w:abstractNumId w:val="27"/>
  </w:num>
  <w:num w:numId="14">
    <w:abstractNumId w:val="12"/>
  </w:num>
  <w:num w:numId="15">
    <w:abstractNumId w:val="32"/>
  </w:num>
  <w:num w:numId="16">
    <w:abstractNumId w:val="29"/>
  </w:num>
  <w:num w:numId="17">
    <w:abstractNumId w:val="31"/>
  </w:num>
  <w:num w:numId="18">
    <w:abstractNumId w:val="10"/>
  </w:num>
  <w:num w:numId="19">
    <w:abstractNumId w:val="6"/>
  </w:num>
  <w:num w:numId="20">
    <w:abstractNumId w:val="43"/>
  </w:num>
  <w:num w:numId="21">
    <w:abstractNumId w:val="41"/>
  </w:num>
  <w:num w:numId="22">
    <w:abstractNumId w:val="2"/>
  </w:num>
  <w:num w:numId="23">
    <w:abstractNumId w:val="47"/>
    <w:lvlOverride w:ilvl="0">
      <w:startOverride w:val="5"/>
    </w:lvlOverride>
  </w:num>
  <w:num w:numId="24">
    <w:abstractNumId w:val="35"/>
  </w:num>
  <w:num w:numId="25">
    <w:abstractNumId w:val="16"/>
  </w:num>
  <w:num w:numId="26">
    <w:abstractNumId w:val="26"/>
  </w:num>
  <w:num w:numId="27">
    <w:abstractNumId w:val="18"/>
  </w:num>
  <w:num w:numId="28">
    <w:abstractNumId w:val="21"/>
  </w:num>
  <w:num w:numId="29">
    <w:abstractNumId w:val="5"/>
  </w:num>
  <w:num w:numId="30">
    <w:abstractNumId w:val="19"/>
  </w:num>
  <w:num w:numId="31">
    <w:abstractNumId w:val="34"/>
  </w:num>
  <w:num w:numId="32">
    <w:abstractNumId w:val="14"/>
  </w:num>
  <w:num w:numId="33">
    <w:abstractNumId w:val="45"/>
  </w:num>
  <w:num w:numId="34">
    <w:abstractNumId w:val="17"/>
  </w:num>
  <w:num w:numId="35">
    <w:abstractNumId w:val="36"/>
  </w:num>
  <w:num w:numId="36">
    <w:abstractNumId w:val="38"/>
  </w:num>
  <w:num w:numId="37">
    <w:abstractNumId w:val="11"/>
  </w:num>
  <w:num w:numId="38">
    <w:abstractNumId w:val="7"/>
  </w:num>
  <w:num w:numId="39">
    <w:abstractNumId w:val="46"/>
  </w:num>
  <w:num w:numId="40">
    <w:abstractNumId w:val="39"/>
  </w:num>
  <w:num w:numId="41">
    <w:abstractNumId w:val="13"/>
  </w:num>
  <w:num w:numId="42">
    <w:abstractNumId w:val="3"/>
  </w:num>
  <w:num w:numId="43">
    <w:abstractNumId w:val="40"/>
  </w:num>
  <w:num w:numId="44">
    <w:abstractNumId w:val="23"/>
  </w:num>
  <w:num w:numId="45">
    <w:abstractNumId w:val="24"/>
  </w:num>
  <w:num w:numId="46">
    <w:abstractNumId w:val="42"/>
  </w:num>
  <w:num w:numId="47">
    <w:abstractNumId w:val="22"/>
  </w:num>
  <w:num w:numId="48">
    <w:abstractNumId w:val="4"/>
  </w:num>
  <w:num w:numId="49">
    <w:abstractNumId w:val="1"/>
  </w:num>
  <w:num w:numId="50">
    <w:abstractNumId w:val="28"/>
  </w:num>
  <w:num w:numId="51">
    <w:abstractNumId w:val="28"/>
  </w:num>
  <w:num w:numId="52">
    <w:abstractNumId w:val="28"/>
  </w:num>
  <w:num w:numId="53">
    <w:abstractNumId w:val="28"/>
  </w:num>
  <w:num w:numId="54">
    <w:abstractNumId w:val="28"/>
  </w:num>
  <w:num w:numId="55">
    <w:abstractNumId w:val="28"/>
  </w:num>
  <w:num w:numId="56">
    <w:abstractNumId w:val="28"/>
  </w:num>
  <w:num w:numId="57">
    <w:abstractNumId w:val="28"/>
  </w:num>
  <w:num w:numId="58">
    <w:abstractNumId w:val="4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6146"/>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1091"/>
    <w:rsid w:val="00000A15"/>
    <w:rsid w:val="000012B5"/>
    <w:rsid w:val="000034BF"/>
    <w:rsid w:val="00003FFC"/>
    <w:rsid w:val="0000446B"/>
    <w:rsid w:val="00005269"/>
    <w:rsid w:val="00005309"/>
    <w:rsid w:val="000057E4"/>
    <w:rsid w:val="00005CDE"/>
    <w:rsid w:val="00005FA9"/>
    <w:rsid w:val="000069A7"/>
    <w:rsid w:val="00006DE2"/>
    <w:rsid w:val="00007130"/>
    <w:rsid w:val="0000734D"/>
    <w:rsid w:val="00007BA0"/>
    <w:rsid w:val="0001082E"/>
    <w:rsid w:val="000108F6"/>
    <w:rsid w:val="0001202E"/>
    <w:rsid w:val="00012593"/>
    <w:rsid w:val="000130F6"/>
    <w:rsid w:val="000131B2"/>
    <w:rsid w:val="00014416"/>
    <w:rsid w:val="000148BC"/>
    <w:rsid w:val="00014F41"/>
    <w:rsid w:val="00015673"/>
    <w:rsid w:val="0001593C"/>
    <w:rsid w:val="0001700D"/>
    <w:rsid w:val="00017967"/>
    <w:rsid w:val="00017F5A"/>
    <w:rsid w:val="00020532"/>
    <w:rsid w:val="00021A0A"/>
    <w:rsid w:val="00021A7E"/>
    <w:rsid w:val="00021C0F"/>
    <w:rsid w:val="00021F61"/>
    <w:rsid w:val="00021FAB"/>
    <w:rsid w:val="000224E5"/>
    <w:rsid w:val="00022ED0"/>
    <w:rsid w:val="00023558"/>
    <w:rsid w:val="00023F0B"/>
    <w:rsid w:val="00024278"/>
    <w:rsid w:val="00024C0F"/>
    <w:rsid w:val="00025639"/>
    <w:rsid w:val="00025A42"/>
    <w:rsid w:val="00026705"/>
    <w:rsid w:val="00026A8D"/>
    <w:rsid w:val="00026D20"/>
    <w:rsid w:val="00030344"/>
    <w:rsid w:val="00030CBA"/>
    <w:rsid w:val="00032565"/>
    <w:rsid w:val="000330F0"/>
    <w:rsid w:val="00033B8C"/>
    <w:rsid w:val="00033F56"/>
    <w:rsid w:val="00034EB7"/>
    <w:rsid w:val="00035487"/>
    <w:rsid w:val="00035934"/>
    <w:rsid w:val="00035AF6"/>
    <w:rsid w:val="00035CF6"/>
    <w:rsid w:val="00035DA0"/>
    <w:rsid w:val="00036364"/>
    <w:rsid w:val="00036974"/>
    <w:rsid w:val="00036A55"/>
    <w:rsid w:val="00036F7A"/>
    <w:rsid w:val="000379A3"/>
    <w:rsid w:val="00037B10"/>
    <w:rsid w:val="00037D5A"/>
    <w:rsid w:val="00040602"/>
    <w:rsid w:val="00040A5C"/>
    <w:rsid w:val="00041CEB"/>
    <w:rsid w:val="000439A6"/>
    <w:rsid w:val="00043D0C"/>
    <w:rsid w:val="00043F17"/>
    <w:rsid w:val="00044043"/>
    <w:rsid w:val="00044AC3"/>
    <w:rsid w:val="00044B01"/>
    <w:rsid w:val="0004535C"/>
    <w:rsid w:val="00045505"/>
    <w:rsid w:val="00045B73"/>
    <w:rsid w:val="00045C7B"/>
    <w:rsid w:val="00046002"/>
    <w:rsid w:val="000460B6"/>
    <w:rsid w:val="000464DA"/>
    <w:rsid w:val="000507C8"/>
    <w:rsid w:val="0005081C"/>
    <w:rsid w:val="00050D25"/>
    <w:rsid w:val="000511A9"/>
    <w:rsid w:val="00051AAF"/>
    <w:rsid w:val="00052220"/>
    <w:rsid w:val="00052FA0"/>
    <w:rsid w:val="000530AB"/>
    <w:rsid w:val="000530C0"/>
    <w:rsid w:val="00053578"/>
    <w:rsid w:val="00054B06"/>
    <w:rsid w:val="00055ECF"/>
    <w:rsid w:val="000562A5"/>
    <w:rsid w:val="00056442"/>
    <w:rsid w:val="00057275"/>
    <w:rsid w:val="000607D6"/>
    <w:rsid w:val="000625D9"/>
    <w:rsid w:val="00062792"/>
    <w:rsid w:val="00063BE5"/>
    <w:rsid w:val="000645CE"/>
    <w:rsid w:val="00065203"/>
    <w:rsid w:val="00066E59"/>
    <w:rsid w:val="00067F9C"/>
    <w:rsid w:val="00067FBC"/>
    <w:rsid w:val="000717AA"/>
    <w:rsid w:val="00072069"/>
    <w:rsid w:val="000727BD"/>
    <w:rsid w:val="000735EA"/>
    <w:rsid w:val="00073719"/>
    <w:rsid w:val="00073A93"/>
    <w:rsid w:val="00073BED"/>
    <w:rsid w:val="00073E67"/>
    <w:rsid w:val="0007461A"/>
    <w:rsid w:val="00076115"/>
    <w:rsid w:val="00076547"/>
    <w:rsid w:val="00076886"/>
    <w:rsid w:val="00076E7E"/>
    <w:rsid w:val="00076F20"/>
    <w:rsid w:val="000776B9"/>
    <w:rsid w:val="00077AC4"/>
    <w:rsid w:val="00077CF2"/>
    <w:rsid w:val="00080B94"/>
    <w:rsid w:val="00081148"/>
    <w:rsid w:val="000819A3"/>
    <w:rsid w:val="00083201"/>
    <w:rsid w:val="0008345B"/>
    <w:rsid w:val="000843DA"/>
    <w:rsid w:val="000847EB"/>
    <w:rsid w:val="00084B02"/>
    <w:rsid w:val="00084BE8"/>
    <w:rsid w:val="00084CB8"/>
    <w:rsid w:val="000867D0"/>
    <w:rsid w:val="00087210"/>
    <w:rsid w:val="0008797E"/>
    <w:rsid w:val="00090CF2"/>
    <w:rsid w:val="00090F1D"/>
    <w:rsid w:val="00092A37"/>
    <w:rsid w:val="00092DA3"/>
    <w:rsid w:val="00093ECD"/>
    <w:rsid w:val="00095260"/>
    <w:rsid w:val="00095F28"/>
    <w:rsid w:val="00096417"/>
    <w:rsid w:val="00096C73"/>
    <w:rsid w:val="00096C76"/>
    <w:rsid w:val="000972C6"/>
    <w:rsid w:val="00097586"/>
    <w:rsid w:val="00097669"/>
    <w:rsid w:val="00097996"/>
    <w:rsid w:val="000A073C"/>
    <w:rsid w:val="000A07F6"/>
    <w:rsid w:val="000A094F"/>
    <w:rsid w:val="000A0DAA"/>
    <w:rsid w:val="000A1195"/>
    <w:rsid w:val="000A13EA"/>
    <w:rsid w:val="000A153F"/>
    <w:rsid w:val="000A1761"/>
    <w:rsid w:val="000A17D3"/>
    <w:rsid w:val="000A20D7"/>
    <w:rsid w:val="000A2DEC"/>
    <w:rsid w:val="000A33F2"/>
    <w:rsid w:val="000A3E21"/>
    <w:rsid w:val="000A5674"/>
    <w:rsid w:val="000A5CEC"/>
    <w:rsid w:val="000A75C1"/>
    <w:rsid w:val="000A76E2"/>
    <w:rsid w:val="000A7A5A"/>
    <w:rsid w:val="000A7D6A"/>
    <w:rsid w:val="000B036D"/>
    <w:rsid w:val="000B06F0"/>
    <w:rsid w:val="000B0740"/>
    <w:rsid w:val="000B0FC4"/>
    <w:rsid w:val="000B2154"/>
    <w:rsid w:val="000B262F"/>
    <w:rsid w:val="000B2A5F"/>
    <w:rsid w:val="000B2B43"/>
    <w:rsid w:val="000B2E03"/>
    <w:rsid w:val="000B307B"/>
    <w:rsid w:val="000B38D4"/>
    <w:rsid w:val="000B3FC7"/>
    <w:rsid w:val="000B524F"/>
    <w:rsid w:val="000B64CF"/>
    <w:rsid w:val="000B6C61"/>
    <w:rsid w:val="000B7781"/>
    <w:rsid w:val="000C0F0F"/>
    <w:rsid w:val="000C2B7F"/>
    <w:rsid w:val="000C356C"/>
    <w:rsid w:val="000C367B"/>
    <w:rsid w:val="000C38CF"/>
    <w:rsid w:val="000C5D6D"/>
    <w:rsid w:val="000C650E"/>
    <w:rsid w:val="000C668C"/>
    <w:rsid w:val="000C6BFF"/>
    <w:rsid w:val="000D0A66"/>
    <w:rsid w:val="000D104D"/>
    <w:rsid w:val="000D1A47"/>
    <w:rsid w:val="000D1E1E"/>
    <w:rsid w:val="000D26DF"/>
    <w:rsid w:val="000D3457"/>
    <w:rsid w:val="000D4A2C"/>
    <w:rsid w:val="000D4DE1"/>
    <w:rsid w:val="000D57CB"/>
    <w:rsid w:val="000D6076"/>
    <w:rsid w:val="000D7346"/>
    <w:rsid w:val="000D7944"/>
    <w:rsid w:val="000D7B97"/>
    <w:rsid w:val="000D7D6D"/>
    <w:rsid w:val="000D7DAF"/>
    <w:rsid w:val="000E0054"/>
    <w:rsid w:val="000E01D9"/>
    <w:rsid w:val="000E0912"/>
    <w:rsid w:val="000E0A62"/>
    <w:rsid w:val="000E1A4F"/>
    <w:rsid w:val="000E2254"/>
    <w:rsid w:val="000E235D"/>
    <w:rsid w:val="000E23D4"/>
    <w:rsid w:val="000E2815"/>
    <w:rsid w:val="000E2C4D"/>
    <w:rsid w:val="000E3CCF"/>
    <w:rsid w:val="000E4A95"/>
    <w:rsid w:val="000E4B98"/>
    <w:rsid w:val="000E6FFB"/>
    <w:rsid w:val="000E72A7"/>
    <w:rsid w:val="000F0749"/>
    <w:rsid w:val="000F0B1E"/>
    <w:rsid w:val="000F0B81"/>
    <w:rsid w:val="000F0D2B"/>
    <w:rsid w:val="000F1409"/>
    <w:rsid w:val="000F29E7"/>
    <w:rsid w:val="000F3D13"/>
    <w:rsid w:val="000F4272"/>
    <w:rsid w:val="000F5376"/>
    <w:rsid w:val="000F66DC"/>
    <w:rsid w:val="000F7924"/>
    <w:rsid w:val="0010040D"/>
    <w:rsid w:val="0010080A"/>
    <w:rsid w:val="0010096E"/>
    <w:rsid w:val="00100A4D"/>
    <w:rsid w:val="00100D3A"/>
    <w:rsid w:val="00100EAF"/>
    <w:rsid w:val="00100EE5"/>
    <w:rsid w:val="00101060"/>
    <w:rsid w:val="00101A76"/>
    <w:rsid w:val="001020DC"/>
    <w:rsid w:val="00104596"/>
    <w:rsid w:val="00104842"/>
    <w:rsid w:val="001048B6"/>
    <w:rsid w:val="001052E3"/>
    <w:rsid w:val="00105BB7"/>
    <w:rsid w:val="00105F4A"/>
    <w:rsid w:val="00106148"/>
    <w:rsid w:val="00106553"/>
    <w:rsid w:val="00106DFC"/>
    <w:rsid w:val="0010739F"/>
    <w:rsid w:val="001073C1"/>
    <w:rsid w:val="00111229"/>
    <w:rsid w:val="00111388"/>
    <w:rsid w:val="00111AE3"/>
    <w:rsid w:val="00111B07"/>
    <w:rsid w:val="00112B89"/>
    <w:rsid w:val="001146C5"/>
    <w:rsid w:val="00115BEF"/>
    <w:rsid w:val="00115F07"/>
    <w:rsid w:val="00116B89"/>
    <w:rsid w:val="00117164"/>
    <w:rsid w:val="00117E77"/>
    <w:rsid w:val="0012040D"/>
    <w:rsid w:val="0012076F"/>
    <w:rsid w:val="00120BDF"/>
    <w:rsid w:val="0012126E"/>
    <w:rsid w:val="001212F0"/>
    <w:rsid w:val="00121331"/>
    <w:rsid w:val="0012190F"/>
    <w:rsid w:val="00121C07"/>
    <w:rsid w:val="00121D12"/>
    <w:rsid w:val="00122B18"/>
    <w:rsid w:val="001231F3"/>
    <w:rsid w:val="00123ACF"/>
    <w:rsid w:val="00124002"/>
    <w:rsid w:val="00125BC1"/>
    <w:rsid w:val="00125C45"/>
    <w:rsid w:val="00126146"/>
    <w:rsid w:val="00126715"/>
    <w:rsid w:val="001271A9"/>
    <w:rsid w:val="001271E4"/>
    <w:rsid w:val="00127B38"/>
    <w:rsid w:val="00130663"/>
    <w:rsid w:val="00130CC7"/>
    <w:rsid w:val="001313EC"/>
    <w:rsid w:val="001314D6"/>
    <w:rsid w:val="00132F0A"/>
    <w:rsid w:val="00133F8D"/>
    <w:rsid w:val="00134B6E"/>
    <w:rsid w:val="00135A80"/>
    <w:rsid w:val="001367B9"/>
    <w:rsid w:val="001367ED"/>
    <w:rsid w:val="00137076"/>
    <w:rsid w:val="001374AE"/>
    <w:rsid w:val="001375EC"/>
    <w:rsid w:val="00137CE8"/>
    <w:rsid w:val="001423C5"/>
    <w:rsid w:val="00142439"/>
    <w:rsid w:val="0014263B"/>
    <w:rsid w:val="0014286C"/>
    <w:rsid w:val="001428C9"/>
    <w:rsid w:val="00142F13"/>
    <w:rsid w:val="00143DEB"/>
    <w:rsid w:val="00143EFA"/>
    <w:rsid w:val="00144288"/>
    <w:rsid w:val="0014496E"/>
    <w:rsid w:val="00145542"/>
    <w:rsid w:val="00145805"/>
    <w:rsid w:val="00145D63"/>
    <w:rsid w:val="00146748"/>
    <w:rsid w:val="00147EDF"/>
    <w:rsid w:val="001502D0"/>
    <w:rsid w:val="00151051"/>
    <w:rsid w:val="001519FD"/>
    <w:rsid w:val="00151A76"/>
    <w:rsid w:val="00151D14"/>
    <w:rsid w:val="00151D7B"/>
    <w:rsid w:val="00151F1D"/>
    <w:rsid w:val="00153198"/>
    <w:rsid w:val="00153FAE"/>
    <w:rsid w:val="001540BD"/>
    <w:rsid w:val="0015530E"/>
    <w:rsid w:val="001555A7"/>
    <w:rsid w:val="00155993"/>
    <w:rsid w:val="00155D5C"/>
    <w:rsid w:val="00156DBD"/>
    <w:rsid w:val="00157EB1"/>
    <w:rsid w:val="001601D3"/>
    <w:rsid w:val="00160230"/>
    <w:rsid w:val="001614AA"/>
    <w:rsid w:val="00162B19"/>
    <w:rsid w:val="0016355B"/>
    <w:rsid w:val="00163587"/>
    <w:rsid w:val="00163644"/>
    <w:rsid w:val="00163B11"/>
    <w:rsid w:val="001648A1"/>
    <w:rsid w:val="00164F4B"/>
    <w:rsid w:val="00164FC7"/>
    <w:rsid w:val="001707D9"/>
    <w:rsid w:val="00170CF3"/>
    <w:rsid w:val="00170CF7"/>
    <w:rsid w:val="00171FAE"/>
    <w:rsid w:val="00173612"/>
    <w:rsid w:val="001741E7"/>
    <w:rsid w:val="0017456C"/>
    <w:rsid w:val="00174DEB"/>
    <w:rsid w:val="00175423"/>
    <w:rsid w:val="00176109"/>
    <w:rsid w:val="00176A6D"/>
    <w:rsid w:val="001770E2"/>
    <w:rsid w:val="00177201"/>
    <w:rsid w:val="001777D7"/>
    <w:rsid w:val="00177AF2"/>
    <w:rsid w:val="00177EEC"/>
    <w:rsid w:val="00180158"/>
    <w:rsid w:val="0018062D"/>
    <w:rsid w:val="00180869"/>
    <w:rsid w:val="00180B1E"/>
    <w:rsid w:val="00180F92"/>
    <w:rsid w:val="0018131B"/>
    <w:rsid w:val="00181B54"/>
    <w:rsid w:val="00182741"/>
    <w:rsid w:val="00182AA5"/>
    <w:rsid w:val="00182B25"/>
    <w:rsid w:val="0018511D"/>
    <w:rsid w:val="00185160"/>
    <w:rsid w:val="00185168"/>
    <w:rsid w:val="0018633E"/>
    <w:rsid w:val="00186DAA"/>
    <w:rsid w:val="00187B0F"/>
    <w:rsid w:val="00191754"/>
    <w:rsid w:val="00191B99"/>
    <w:rsid w:val="00191E2A"/>
    <w:rsid w:val="0019244F"/>
    <w:rsid w:val="0019262A"/>
    <w:rsid w:val="00192EFC"/>
    <w:rsid w:val="00194598"/>
    <w:rsid w:val="001949BE"/>
    <w:rsid w:val="001953F9"/>
    <w:rsid w:val="00196EBC"/>
    <w:rsid w:val="001A0CDA"/>
    <w:rsid w:val="001A1177"/>
    <w:rsid w:val="001A118B"/>
    <w:rsid w:val="001A1D4E"/>
    <w:rsid w:val="001A2A1B"/>
    <w:rsid w:val="001A31B9"/>
    <w:rsid w:val="001A4267"/>
    <w:rsid w:val="001A4A80"/>
    <w:rsid w:val="001A4BBA"/>
    <w:rsid w:val="001A6B56"/>
    <w:rsid w:val="001A6FAB"/>
    <w:rsid w:val="001A7624"/>
    <w:rsid w:val="001A768F"/>
    <w:rsid w:val="001A76E5"/>
    <w:rsid w:val="001B043F"/>
    <w:rsid w:val="001B05D9"/>
    <w:rsid w:val="001B17C7"/>
    <w:rsid w:val="001B1883"/>
    <w:rsid w:val="001B1A62"/>
    <w:rsid w:val="001B2136"/>
    <w:rsid w:val="001B29C3"/>
    <w:rsid w:val="001B2EAA"/>
    <w:rsid w:val="001B2F6C"/>
    <w:rsid w:val="001B35A8"/>
    <w:rsid w:val="001B3BAC"/>
    <w:rsid w:val="001B3BC2"/>
    <w:rsid w:val="001B444C"/>
    <w:rsid w:val="001B65FC"/>
    <w:rsid w:val="001B79B4"/>
    <w:rsid w:val="001C084C"/>
    <w:rsid w:val="001C0CC9"/>
    <w:rsid w:val="001C0DBC"/>
    <w:rsid w:val="001C1BBE"/>
    <w:rsid w:val="001C1D47"/>
    <w:rsid w:val="001C2867"/>
    <w:rsid w:val="001C2C50"/>
    <w:rsid w:val="001C2CB6"/>
    <w:rsid w:val="001C3F31"/>
    <w:rsid w:val="001C484A"/>
    <w:rsid w:val="001C4EC0"/>
    <w:rsid w:val="001C4F24"/>
    <w:rsid w:val="001C58B7"/>
    <w:rsid w:val="001C68C9"/>
    <w:rsid w:val="001C6B64"/>
    <w:rsid w:val="001D0A36"/>
    <w:rsid w:val="001D0C10"/>
    <w:rsid w:val="001D0ED5"/>
    <w:rsid w:val="001D1604"/>
    <w:rsid w:val="001D2B19"/>
    <w:rsid w:val="001D328F"/>
    <w:rsid w:val="001D3588"/>
    <w:rsid w:val="001D5B68"/>
    <w:rsid w:val="001D5DE6"/>
    <w:rsid w:val="001D60F3"/>
    <w:rsid w:val="001D6E3C"/>
    <w:rsid w:val="001D78D2"/>
    <w:rsid w:val="001D7F6A"/>
    <w:rsid w:val="001E064B"/>
    <w:rsid w:val="001E086B"/>
    <w:rsid w:val="001E0D4C"/>
    <w:rsid w:val="001E16E7"/>
    <w:rsid w:val="001E23AD"/>
    <w:rsid w:val="001E399A"/>
    <w:rsid w:val="001E40B1"/>
    <w:rsid w:val="001E4D82"/>
    <w:rsid w:val="001E7CED"/>
    <w:rsid w:val="001F1609"/>
    <w:rsid w:val="001F1938"/>
    <w:rsid w:val="001F19D3"/>
    <w:rsid w:val="001F2C57"/>
    <w:rsid w:val="001F2E3C"/>
    <w:rsid w:val="001F3440"/>
    <w:rsid w:val="001F492C"/>
    <w:rsid w:val="001F6351"/>
    <w:rsid w:val="001F6367"/>
    <w:rsid w:val="001F64B9"/>
    <w:rsid w:val="001F7A16"/>
    <w:rsid w:val="001F7EC3"/>
    <w:rsid w:val="002001E7"/>
    <w:rsid w:val="00200489"/>
    <w:rsid w:val="00200787"/>
    <w:rsid w:val="00200D8B"/>
    <w:rsid w:val="00200E18"/>
    <w:rsid w:val="00201519"/>
    <w:rsid w:val="00201670"/>
    <w:rsid w:val="00202315"/>
    <w:rsid w:val="002025A7"/>
    <w:rsid w:val="002025EE"/>
    <w:rsid w:val="00202A40"/>
    <w:rsid w:val="0020402E"/>
    <w:rsid w:val="00204DC3"/>
    <w:rsid w:val="0020521D"/>
    <w:rsid w:val="002058DC"/>
    <w:rsid w:val="00206268"/>
    <w:rsid w:val="00206734"/>
    <w:rsid w:val="0020673F"/>
    <w:rsid w:val="00207003"/>
    <w:rsid w:val="00207CC9"/>
    <w:rsid w:val="00210159"/>
    <w:rsid w:val="00210386"/>
    <w:rsid w:val="00210718"/>
    <w:rsid w:val="00210C15"/>
    <w:rsid w:val="00210D0A"/>
    <w:rsid w:val="00210FF6"/>
    <w:rsid w:val="00211D84"/>
    <w:rsid w:val="002124D9"/>
    <w:rsid w:val="0021407B"/>
    <w:rsid w:val="00214115"/>
    <w:rsid w:val="00214295"/>
    <w:rsid w:val="00215B30"/>
    <w:rsid w:val="00215CAB"/>
    <w:rsid w:val="002162E2"/>
    <w:rsid w:val="00216DCE"/>
    <w:rsid w:val="00217569"/>
    <w:rsid w:val="00217C85"/>
    <w:rsid w:val="00217D4F"/>
    <w:rsid w:val="00220CA4"/>
    <w:rsid w:val="00220CA5"/>
    <w:rsid w:val="00220D47"/>
    <w:rsid w:val="00221B93"/>
    <w:rsid w:val="00222593"/>
    <w:rsid w:val="0022278A"/>
    <w:rsid w:val="0022291D"/>
    <w:rsid w:val="002238F9"/>
    <w:rsid w:val="00224C9C"/>
    <w:rsid w:val="00224F58"/>
    <w:rsid w:val="0022506E"/>
    <w:rsid w:val="0022556D"/>
    <w:rsid w:val="00225C5A"/>
    <w:rsid w:val="00225D13"/>
    <w:rsid w:val="00226DC2"/>
    <w:rsid w:val="00226EC7"/>
    <w:rsid w:val="00226F11"/>
    <w:rsid w:val="00227DBE"/>
    <w:rsid w:val="00227EBF"/>
    <w:rsid w:val="00230DDD"/>
    <w:rsid w:val="002326AC"/>
    <w:rsid w:val="002329B4"/>
    <w:rsid w:val="002332C5"/>
    <w:rsid w:val="00234A2B"/>
    <w:rsid w:val="00236DE5"/>
    <w:rsid w:val="0023736E"/>
    <w:rsid w:val="00237A51"/>
    <w:rsid w:val="00237BDA"/>
    <w:rsid w:val="0024012F"/>
    <w:rsid w:val="00240371"/>
    <w:rsid w:val="0024077A"/>
    <w:rsid w:val="002407FC"/>
    <w:rsid w:val="0024200A"/>
    <w:rsid w:val="00242181"/>
    <w:rsid w:val="00242EE7"/>
    <w:rsid w:val="00243342"/>
    <w:rsid w:val="0024373A"/>
    <w:rsid w:val="002438DD"/>
    <w:rsid w:val="00243AAC"/>
    <w:rsid w:val="002450CC"/>
    <w:rsid w:val="002458B4"/>
    <w:rsid w:val="00246394"/>
    <w:rsid w:val="00246AF6"/>
    <w:rsid w:val="00246CFE"/>
    <w:rsid w:val="00247DDF"/>
    <w:rsid w:val="00250E37"/>
    <w:rsid w:val="002512A7"/>
    <w:rsid w:val="00252364"/>
    <w:rsid w:val="00252DA2"/>
    <w:rsid w:val="00253CB8"/>
    <w:rsid w:val="002544C1"/>
    <w:rsid w:val="002545CC"/>
    <w:rsid w:val="002548CE"/>
    <w:rsid w:val="0025554E"/>
    <w:rsid w:val="00255ECF"/>
    <w:rsid w:val="00256DEE"/>
    <w:rsid w:val="002609AA"/>
    <w:rsid w:val="00261FCB"/>
    <w:rsid w:val="00262B68"/>
    <w:rsid w:val="002635E0"/>
    <w:rsid w:val="00263DDD"/>
    <w:rsid w:val="002659BB"/>
    <w:rsid w:val="00266A4F"/>
    <w:rsid w:val="0026763C"/>
    <w:rsid w:val="00267967"/>
    <w:rsid w:val="00267D8A"/>
    <w:rsid w:val="002706C2"/>
    <w:rsid w:val="00270764"/>
    <w:rsid w:val="002715A2"/>
    <w:rsid w:val="00271750"/>
    <w:rsid w:val="00272183"/>
    <w:rsid w:val="00272467"/>
    <w:rsid w:val="0027266E"/>
    <w:rsid w:val="00272D02"/>
    <w:rsid w:val="00272E3B"/>
    <w:rsid w:val="00273755"/>
    <w:rsid w:val="00273B7F"/>
    <w:rsid w:val="00273C60"/>
    <w:rsid w:val="00273FF4"/>
    <w:rsid w:val="0027515B"/>
    <w:rsid w:val="00275211"/>
    <w:rsid w:val="0027551B"/>
    <w:rsid w:val="002757F8"/>
    <w:rsid w:val="00276257"/>
    <w:rsid w:val="00276272"/>
    <w:rsid w:val="00276841"/>
    <w:rsid w:val="002768C1"/>
    <w:rsid w:val="002819AB"/>
    <w:rsid w:val="00282F95"/>
    <w:rsid w:val="002834CB"/>
    <w:rsid w:val="0028730E"/>
    <w:rsid w:val="00287555"/>
    <w:rsid w:val="0028766C"/>
    <w:rsid w:val="00287C39"/>
    <w:rsid w:val="00287D7A"/>
    <w:rsid w:val="00287F87"/>
    <w:rsid w:val="00290085"/>
    <w:rsid w:val="002904D8"/>
    <w:rsid w:val="002905F8"/>
    <w:rsid w:val="00291682"/>
    <w:rsid w:val="00291748"/>
    <w:rsid w:val="00291A16"/>
    <w:rsid w:val="002921C5"/>
    <w:rsid w:val="00292A3C"/>
    <w:rsid w:val="00292F21"/>
    <w:rsid w:val="002936E1"/>
    <w:rsid w:val="00293FB2"/>
    <w:rsid w:val="0029413D"/>
    <w:rsid w:val="002946EB"/>
    <w:rsid w:val="0029474E"/>
    <w:rsid w:val="00294936"/>
    <w:rsid w:val="00296731"/>
    <w:rsid w:val="0029774D"/>
    <w:rsid w:val="002A0FA3"/>
    <w:rsid w:val="002A25AE"/>
    <w:rsid w:val="002A271D"/>
    <w:rsid w:val="002A4252"/>
    <w:rsid w:val="002A4CF5"/>
    <w:rsid w:val="002A58D2"/>
    <w:rsid w:val="002A5E14"/>
    <w:rsid w:val="002A6232"/>
    <w:rsid w:val="002A63C1"/>
    <w:rsid w:val="002A661C"/>
    <w:rsid w:val="002A6659"/>
    <w:rsid w:val="002A6772"/>
    <w:rsid w:val="002A73A9"/>
    <w:rsid w:val="002A75AC"/>
    <w:rsid w:val="002B01D7"/>
    <w:rsid w:val="002B05F9"/>
    <w:rsid w:val="002B073F"/>
    <w:rsid w:val="002B12F1"/>
    <w:rsid w:val="002B171B"/>
    <w:rsid w:val="002B1E31"/>
    <w:rsid w:val="002B33AA"/>
    <w:rsid w:val="002B3DB0"/>
    <w:rsid w:val="002B4BC0"/>
    <w:rsid w:val="002B4F1E"/>
    <w:rsid w:val="002B50D1"/>
    <w:rsid w:val="002B6974"/>
    <w:rsid w:val="002B7112"/>
    <w:rsid w:val="002B7BD4"/>
    <w:rsid w:val="002C009E"/>
    <w:rsid w:val="002C0543"/>
    <w:rsid w:val="002C0893"/>
    <w:rsid w:val="002C0D97"/>
    <w:rsid w:val="002C1407"/>
    <w:rsid w:val="002C155B"/>
    <w:rsid w:val="002C193F"/>
    <w:rsid w:val="002C211F"/>
    <w:rsid w:val="002C2267"/>
    <w:rsid w:val="002C2A54"/>
    <w:rsid w:val="002C2B8B"/>
    <w:rsid w:val="002C30B5"/>
    <w:rsid w:val="002C337D"/>
    <w:rsid w:val="002C37D8"/>
    <w:rsid w:val="002C3B26"/>
    <w:rsid w:val="002C3D8E"/>
    <w:rsid w:val="002C5E9B"/>
    <w:rsid w:val="002C62D7"/>
    <w:rsid w:val="002C6854"/>
    <w:rsid w:val="002C7F01"/>
    <w:rsid w:val="002D0A74"/>
    <w:rsid w:val="002D12E7"/>
    <w:rsid w:val="002D1AD4"/>
    <w:rsid w:val="002D23A1"/>
    <w:rsid w:val="002D3314"/>
    <w:rsid w:val="002D50A9"/>
    <w:rsid w:val="002D59AC"/>
    <w:rsid w:val="002D5F89"/>
    <w:rsid w:val="002D60FC"/>
    <w:rsid w:val="002D7915"/>
    <w:rsid w:val="002E032F"/>
    <w:rsid w:val="002E0565"/>
    <w:rsid w:val="002E0577"/>
    <w:rsid w:val="002E0D1B"/>
    <w:rsid w:val="002E1709"/>
    <w:rsid w:val="002E1F3A"/>
    <w:rsid w:val="002E227F"/>
    <w:rsid w:val="002E29DD"/>
    <w:rsid w:val="002E440C"/>
    <w:rsid w:val="002E6406"/>
    <w:rsid w:val="002E675E"/>
    <w:rsid w:val="002E7334"/>
    <w:rsid w:val="002F0BE9"/>
    <w:rsid w:val="002F0BF2"/>
    <w:rsid w:val="002F0EBD"/>
    <w:rsid w:val="002F24B6"/>
    <w:rsid w:val="002F3B7A"/>
    <w:rsid w:val="002F3C80"/>
    <w:rsid w:val="002F4EFD"/>
    <w:rsid w:val="002F600E"/>
    <w:rsid w:val="002F6C6F"/>
    <w:rsid w:val="002F786E"/>
    <w:rsid w:val="002F78AD"/>
    <w:rsid w:val="002F78E8"/>
    <w:rsid w:val="003001A9"/>
    <w:rsid w:val="00300974"/>
    <w:rsid w:val="003012D1"/>
    <w:rsid w:val="00301803"/>
    <w:rsid w:val="00302EC3"/>
    <w:rsid w:val="0030369F"/>
    <w:rsid w:val="003038FB"/>
    <w:rsid w:val="00304604"/>
    <w:rsid w:val="00304C4E"/>
    <w:rsid w:val="00304EC2"/>
    <w:rsid w:val="0030512B"/>
    <w:rsid w:val="00306313"/>
    <w:rsid w:val="003065CD"/>
    <w:rsid w:val="00306AD4"/>
    <w:rsid w:val="00306C0C"/>
    <w:rsid w:val="0030761F"/>
    <w:rsid w:val="00307724"/>
    <w:rsid w:val="0031018E"/>
    <w:rsid w:val="00311AE2"/>
    <w:rsid w:val="003122A3"/>
    <w:rsid w:val="00313126"/>
    <w:rsid w:val="003137B7"/>
    <w:rsid w:val="00313FBD"/>
    <w:rsid w:val="00314220"/>
    <w:rsid w:val="00315D17"/>
    <w:rsid w:val="00316234"/>
    <w:rsid w:val="00317139"/>
    <w:rsid w:val="003207C6"/>
    <w:rsid w:val="00320EB1"/>
    <w:rsid w:val="00321F31"/>
    <w:rsid w:val="003221D1"/>
    <w:rsid w:val="00322FC0"/>
    <w:rsid w:val="00323D0E"/>
    <w:rsid w:val="00324317"/>
    <w:rsid w:val="003244E0"/>
    <w:rsid w:val="00324621"/>
    <w:rsid w:val="00325836"/>
    <w:rsid w:val="003260BB"/>
    <w:rsid w:val="00326277"/>
    <w:rsid w:val="003269A2"/>
    <w:rsid w:val="00326D72"/>
    <w:rsid w:val="0032739F"/>
    <w:rsid w:val="0032784D"/>
    <w:rsid w:val="00327FDF"/>
    <w:rsid w:val="0033044E"/>
    <w:rsid w:val="00330700"/>
    <w:rsid w:val="00330E7E"/>
    <w:rsid w:val="00331FAC"/>
    <w:rsid w:val="00331FEE"/>
    <w:rsid w:val="003323D3"/>
    <w:rsid w:val="003325D0"/>
    <w:rsid w:val="0033314F"/>
    <w:rsid w:val="003334CB"/>
    <w:rsid w:val="00334424"/>
    <w:rsid w:val="003345A5"/>
    <w:rsid w:val="003346C0"/>
    <w:rsid w:val="003348BF"/>
    <w:rsid w:val="003351C8"/>
    <w:rsid w:val="00335808"/>
    <w:rsid w:val="00335C6E"/>
    <w:rsid w:val="0033628C"/>
    <w:rsid w:val="0033770B"/>
    <w:rsid w:val="003378BE"/>
    <w:rsid w:val="00337A8F"/>
    <w:rsid w:val="00337B40"/>
    <w:rsid w:val="00340FF2"/>
    <w:rsid w:val="003419D1"/>
    <w:rsid w:val="003426C5"/>
    <w:rsid w:val="00342D22"/>
    <w:rsid w:val="003434A1"/>
    <w:rsid w:val="003438F5"/>
    <w:rsid w:val="00344167"/>
    <w:rsid w:val="003450B9"/>
    <w:rsid w:val="00346AC9"/>
    <w:rsid w:val="00347246"/>
    <w:rsid w:val="003472C3"/>
    <w:rsid w:val="00350A95"/>
    <w:rsid w:val="0035192D"/>
    <w:rsid w:val="003520A3"/>
    <w:rsid w:val="00352635"/>
    <w:rsid w:val="00352675"/>
    <w:rsid w:val="00352848"/>
    <w:rsid w:val="00353F5B"/>
    <w:rsid w:val="003540BE"/>
    <w:rsid w:val="0035512A"/>
    <w:rsid w:val="00355456"/>
    <w:rsid w:val="00355630"/>
    <w:rsid w:val="0035601F"/>
    <w:rsid w:val="00356305"/>
    <w:rsid w:val="00356683"/>
    <w:rsid w:val="003569B3"/>
    <w:rsid w:val="00357D09"/>
    <w:rsid w:val="00357FCB"/>
    <w:rsid w:val="00360D1C"/>
    <w:rsid w:val="00361456"/>
    <w:rsid w:val="00362107"/>
    <w:rsid w:val="003634FC"/>
    <w:rsid w:val="003639EA"/>
    <w:rsid w:val="00363D51"/>
    <w:rsid w:val="00364499"/>
    <w:rsid w:val="0036458A"/>
    <w:rsid w:val="00364B4E"/>
    <w:rsid w:val="00364D68"/>
    <w:rsid w:val="00364E71"/>
    <w:rsid w:val="0036551E"/>
    <w:rsid w:val="00366060"/>
    <w:rsid w:val="0036617F"/>
    <w:rsid w:val="00366465"/>
    <w:rsid w:val="003673E3"/>
    <w:rsid w:val="00367484"/>
    <w:rsid w:val="0036752F"/>
    <w:rsid w:val="00367E46"/>
    <w:rsid w:val="0037217C"/>
    <w:rsid w:val="003723E1"/>
    <w:rsid w:val="003725B9"/>
    <w:rsid w:val="00372A6E"/>
    <w:rsid w:val="003735CF"/>
    <w:rsid w:val="0037362B"/>
    <w:rsid w:val="00373941"/>
    <w:rsid w:val="00373957"/>
    <w:rsid w:val="0037397E"/>
    <w:rsid w:val="00373A3D"/>
    <w:rsid w:val="00373D5E"/>
    <w:rsid w:val="0037455E"/>
    <w:rsid w:val="00374FC8"/>
    <w:rsid w:val="00375441"/>
    <w:rsid w:val="0037611D"/>
    <w:rsid w:val="00376141"/>
    <w:rsid w:val="003766B5"/>
    <w:rsid w:val="00376DC9"/>
    <w:rsid w:val="00377360"/>
    <w:rsid w:val="00377CFC"/>
    <w:rsid w:val="0038046C"/>
    <w:rsid w:val="00382137"/>
    <w:rsid w:val="00382C28"/>
    <w:rsid w:val="0038397A"/>
    <w:rsid w:val="00383E24"/>
    <w:rsid w:val="00384E3E"/>
    <w:rsid w:val="00385494"/>
    <w:rsid w:val="0038591D"/>
    <w:rsid w:val="003867E2"/>
    <w:rsid w:val="00386BB3"/>
    <w:rsid w:val="00386C33"/>
    <w:rsid w:val="00386E47"/>
    <w:rsid w:val="0038771D"/>
    <w:rsid w:val="00387924"/>
    <w:rsid w:val="00390C29"/>
    <w:rsid w:val="00391382"/>
    <w:rsid w:val="00391493"/>
    <w:rsid w:val="00391C8F"/>
    <w:rsid w:val="00392DE0"/>
    <w:rsid w:val="00393328"/>
    <w:rsid w:val="00393A9A"/>
    <w:rsid w:val="0039527E"/>
    <w:rsid w:val="003952B9"/>
    <w:rsid w:val="003957EF"/>
    <w:rsid w:val="003969BA"/>
    <w:rsid w:val="00397619"/>
    <w:rsid w:val="00397CE2"/>
    <w:rsid w:val="00397DC3"/>
    <w:rsid w:val="003A09C0"/>
    <w:rsid w:val="003A1A2A"/>
    <w:rsid w:val="003A1AB6"/>
    <w:rsid w:val="003A2362"/>
    <w:rsid w:val="003A293B"/>
    <w:rsid w:val="003A2D33"/>
    <w:rsid w:val="003A30AE"/>
    <w:rsid w:val="003A3402"/>
    <w:rsid w:val="003A42B6"/>
    <w:rsid w:val="003A4C6A"/>
    <w:rsid w:val="003A4CA7"/>
    <w:rsid w:val="003A5664"/>
    <w:rsid w:val="003A5B2E"/>
    <w:rsid w:val="003A5CB8"/>
    <w:rsid w:val="003A7033"/>
    <w:rsid w:val="003B0E3D"/>
    <w:rsid w:val="003B21F4"/>
    <w:rsid w:val="003B267A"/>
    <w:rsid w:val="003B2788"/>
    <w:rsid w:val="003B2DF1"/>
    <w:rsid w:val="003B3842"/>
    <w:rsid w:val="003B3D1C"/>
    <w:rsid w:val="003B3F4E"/>
    <w:rsid w:val="003B512E"/>
    <w:rsid w:val="003B52A8"/>
    <w:rsid w:val="003B5B98"/>
    <w:rsid w:val="003B5FA6"/>
    <w:rsid w:val="003B6F2D"/>
    <w:rsid w:val="003C05ED"/>
    <w:rsid w:val="003C0616"/>
    <w:rsid w:val="003C0C6A"/>
    <w:rsid w:val="003C0F52"/>
    <w:rsid w:val="003C1699"/>
    <w:rsid w:val="003C1858"/>
    <w:rsid w:val="003C1BA6"/>
    <w:rsid w:val="003C1C29"/>
    <w:rsid w:val="003C1E02"/>
    <w:rsid w:val="003C301B"/>
    <w:rsid w:val="003C3841"/>
    <w:rsid w:val="003C3C9B"/>
    <w:rsid w:val="003C4844"/>
    <w:rsid w:val="003C58A3"/>
    <w:rsid w:val="003C68A1"/>
    <w:rsid w:val="003C768F"/>
    <w:rsid w:val="003D0709"/>
    <w:rsid w:val="003D1226"/>
    <w:rsid w:val="003D1D50"/>
    <w:rsid w:val="003D2939"/>
    <w:rsid w:val="003D357B"/>
    <w:rsid w:val="003D3B8D"/>
    <w:rsid w:val="003D5F63"/>
    <w:rsid w:val="003D6239"/>
    <w:rsid w:val="003D6C37"/>
    <w:rsid w:val="003D7140"/>
    <w:rsid w:val="003D7459"/>
    <w:rsid w:val="003E0107"/>
    <w:rsid w:val="003E0D53"/>
    <w:rsid w:val="003E29A2"/>
    <w:rsid w:val="003E2E0A"/>
    <w:rsid w:val="003E74E4"/>
    <w:rsid w:val="003E78B2"/>
    <w:rsid w:val="003F05A8"/>
    <w:rsid w:val="003F2B68"/>
    <w:rsid w:val="003F4542"/>
    <w:rsid w:val="003F4B76"/>
    <w:rsid w:val="003F4E6E"/>
    <w:rsid w:val="003F575C"/>
    <w:rsid w:val="003F5D0B"/>
    <w:rsid w:val="003F5D86"/>
    <w:rsid w:val="003F652E"/>
    <w:rsid w:val="003F6C93"/>
    <w:rsid w:val="003F6DED"/>
    <w:rsid w:val="003F7369"/>
    <w:rsid w:val="003F7757"/>
    <w:rsid w:val="003F7A0D"/>
    <w:rsid w:val="003F7F78"/>
    <w:rsid w:val="0040176B"/>
    <w:rsid w:val="00401D77"/>
    <w:rsid w:val="00404333"/>
    <w:rsid w:val="00404722"/>
    <w:rsid w:val="00405F47"/>
    <w:rsid w:val="004060E1"/>
    <w:rsid w:val="004066A7"/>
    <w:rsid w:val="00406C58"/>
    <w:rsid w:val="00406E38"/>
    <w:rsid w:val="00406E72"/>
    <w:rsid w:val="00406E91"/>
    <w:rsid w:val="00407661"/>
    <w:rsid w:val="00407748"/>
    <w:rsid w:val="00407BED"/>
    <w:rsid w:val="00407D7F"/>
    <w:rsid w:val="00407F65"/>
    <w:rsid w:val="0041173F"/>
    <w:rsid w:val="00411BF6"/>
    <w:rsid w:val="00411EA2"/>
    <w:rsid w:val="00411EB4"/>
    <w:rsid w:val="0041393A"/>
    <w:rsid w:val="00414603"/>
    <w:rsid w:val="00414D7E"/>
    <w:rsid w:val="004156C3"/>
    <w:rsid w:val="0041599A"/>
    <w:rsid w:val="0041643F"/>
    <w:rsid w:val="0041657C"/>
    <w:rsid w:val="00416648"/>
    <w:rsid w:val="0042161D"/>
    <w:rsid w:val="004216D9"/>
    <w:rsid w:val="00421C5B"/>
    <w:rsid w:val="00421FE9"/>
    <w:rsid w:val="00422656"/>
    <w:rsid w:val="00423092"/>
    <w:rsid w:val="00423A96"/>
    <w:rsid w:val="00423D3D"/>
    <w:rsid w:val="00423D64"/>
    <w:rsid w:val="00423DE2"/>
    <w:rsid w:val="00423F0F"/>
    <w:rsid w:val="004248CC"/>
    <w:rsid w:val="00424D48"/>
    <w:rsid w:val="00424E09"/>
    <w:rsid w:val="0042562F"/>
    <w:rsid w:val="004266F2"/>
    <w:rsid w:val="00426FB3"/>
    <w:rsid w:val="004274E9"/>
    <w:rsid w:val="00430011"/>
    <w:rsid w:val="00430F3B"/>
    <w:rsid w:val="004311C7"/>
    <w:rsid w:val="00431358"/>
    <w:rsid w:val="00431681"/>
    <w:rsid w:val="00431DDA"/>
    <w:rsid w:val="00432A11"/>
    <w:rsid w:val="00432BDF"/>
    <w:rsid w:val="00432C6F"/>
    <w:rsid w:val="00433D01"/>
    <w:rsid w:val="00435F90"/>
    <w:rsid w:val="004375D5"/>
    <w:rsid w:val="004378D2"/>
    <w:rsid w:val="004407B8"/>
    <w:rsid w:val="00440BE7"/>
    <w:rsid w:val="004411E1"/>
    <w:rsid w:val="004412A7"/>
    <w:rsid w:val="0044152C"/>
    <w:rsid w:val="00441B1F"/>
    <w:rsid w:val="00441CAB"/>
    <w:rsid w:val="00442434"/>
    <w:rsid w:val="00443052"/>
    <w:rsid w:val="004435B4"/>
    <w:rsid w:val="00443B6B"/>
    <w:rsid w:val="00445D4D"/>
    <w:rsid w:val="00445F35"/>
    <w:rsid w:val="00446672"/>
    <w:rsid w:val="00447B31"/>
    <w:rsid w:val="0045047E"/>
    <w:rsid w:val="00450866"/>
    <w:rsid w:val="00450CDB"/>
    <w:rsid w:val="00451518"/>
    <w:rsid w:val="00451AE9"/>
    <w:rsid w:val="004526E6"/>
    <w:rsid w:val="00454FC1"/>
    <w:rsid w:val="00455735"/>
    <w:rsid w:val="00455FE9"/>
    <w:rsid w:val="004566F4"/>
    <w:rsid w:val="00456779"/>
    <w:rsid w:val="00456804"/>
    <w:rsid w:val="004575FB"/>
    <w:rsid w:val="00457A3E"/>
    <w:rsid w:val="00457CD6"/>
    <w:rsid w:val="00460680"/>
    <w:rsid w:val="00461604"/>
    <w:rsid w:val="00462E4A"/>
    <w:rsid w:val="00463838"/>
    <w:rsid w:val="00464E4E"/>
    <w:rsid w:val="004663EC"/>
    <w:rsid w:val="00466CE3"/>
    <w:rsid w:val="00467580"/>
    <w:rsid w:val="00467DFD"/>
    <w:rsid w:val="00467F6A"/>
    <w:rsid w:val="00470F96"/>
    <w:rsid w:val="00471A4D"/>
    <w:rsid w:val="0047232A"/>
    <w:rsid w:val="00472EFA"/>
    <w:rsid w:val="00473218"/>
    <w:rsid w:val="004740B6"/>
    <w:rsid w:val="00474474"/>
    <w:rsid w:val="00475A7F"/>
    <w:rsid w:val="00476A54"/>
    <w:rsid w:val="00476E11"/>
    <w:rsid w:val="00476F13"/>
    <w:rsid w:val="00476F32"/>
    <w:rsid w:val="00477AA2"/>
    <w:rsid w:val="00481292"/>
    <w:rsid w:val="00481677"/>
    <w:rsid w:val="0048204A"/>
    <w:rsid w:val="004823B4"/>
    <w:rsid w:val="00482CC9"/>
    <w:rsid w:val="00483946"/>
    <w:rsid w:val="00483A86"/>
    <w:rsid w:val="00484DCD"/>
    <w:rsid w:val="00485C77"/>
    <w:rsid w:val="00485CAA"/>
    <w:rsid w:val="00486123"/>
    <w:rsid w:val="00486320"/>
    <w:rsid w:val="00486439"/>
    <w:rsid w:val="004875E6"/>
    <w:rsid w:val="0049073E"/>
    <w:rsid w:val="004908ED"/>
    <w:rsid w:val="00492141"/>
    <w:rsid w:val="00492CB9"/>
    <w:rsid w:val="00492D80"/>
    <w:rsid w:val="00493457"/>
    <w:rsid w:val="0049372F"/>
    <w:rsid w:val="004939B8"/>
    <w:rsid w:val="00493A86"/>
    <w:rsid w:val="00494ADF"/>
    <w:rsid w:val="00494B11"/>
    <w:rsid w:val="00494EB9"/>
    <w:rsid w:val="0049531D"/>
    <w:rsid w:val="004953B7"/>
    <w:rsid w:val="004954FB"/>
    <w:rsid w:val="004957EA"/>
    <w:rsid w:val="00495801"/>
    <w:rsid w:val="00495DAC"/>
    <w:rsid w:val="00496287"/>
    <w:rsid w:val="004967D4"/>
    <w:rsid w:val="00496DD2"/>
    <w:rsid w:val="00496ECC"/>
    <w:rsid w:val="004978B6"/>
    <w:rsid w:val="004A0635"/>
    <w:rsid w:val="004A0D16"/>
    <w:rsid w:val="004A0EAA"/>
    <w:rsid w:val="004A1405"/>
    <w:rsid w:val="004A2FD0"/>
    <w:rsid w:val="004A3198"/>
    <w:rsid w:val="004A387E"/>
    <w:rsid w:val="004A38F6"/>
    <w:rsid w:val="004A4038"/>
    <w:rsid w:val="004A4269"/>
    <w:rsid w:val="004A4552"/>
    <w:rsid w:val="004A5EDB"/>
    <w:rsid w:val="004A6281"/>
    <w:rsid w:val="004A6CA2"/>
    <w:rsid w:val="004A7398"/>
    <w:rsid w:val="004B01DA"/>
    <w:rsid w:val="004B0BF5"/>
    <w:rsid w:val="004B17CE"/>
    <w:rsid w:val="004B2A45"/>
    <w:rsid w:val="004B2E6C"/>
    <w:rsid w:val="004B3C2D"/>
    <w:rsid w:val="004B4881"/>
    <w:rsid w:val="004B4BC4"/>
    <w:rsid w:val="004B5AE9"/>
    <w:rsid w:val="004B5B4D"/>
    <w:rsid w:val="004B621A"/>
    <w:rsid w:val="004B6BF7"/>
    <w:rsid w:val="004B73B8"/>
    <w:rsid w:val="004B777C"/>
    <w:rsid w:val="004B7E99"/>
    <w:rsid w:val="004C02C7"/>
    <w:rsid w:val="004C072F"/>
    <w:rsid w:val="004C08C0"/>
    <w:rsid w:val="004C0C2B"/>
    <w:rsid w:val="004C1310"/>
    <w:rsid w:val="004C2467"/>
    <w:rsid w:val="004C34E8"/>
    <w:rsid w:val="004C4C40"/>
    <w:rsid w:val="004C518F"/>
    <w:rsid w:val="004C5809"/>
    <w:rsid w:val="004C5B0C"/>
    <w:rsid w:val="004C5B6E"/>
    <w:rsid w:val="004C6035"/>
    <w:rsid w:val="004C6D67"/>
    <w:rsid w:val="004C741D"/>
    <w:rsid w:val="004C77BB"/>
    <w:rsid w:val="004C7DDB"/>
    <w:rsid w:val="004C7F2E"/>
    <w:rsid w:val="004D0697"/>
    <w:rsid w:val="004D0CBA"/>
    <w:rsid w:val="004D0FE3"/>
    <w:rsid w:val="004D1B39"/>
    <w:rsid w:val="004D2BA8"/>
    <w:rsid w:val="004D2D6E"/>
    <w:rsid w:val="004D306D"/>
    <w:rsid w:val="004D31DA"/>
    <w:rsid w:val="004D492B"/>
    <w:rsid w:val="004D53CF"/>
    <w:rsid w:val="004D57D2"/>
    <w:rsid w:val="004D5887"/>
    <w:rsid w:val="004D5F14"/>
    <w:rsid w:val="004D6013"/>
    <w:rsid w:val="004D6EE2"/>
    <w:rsid w:val="004D74A3"/>
    <w:rsid w:val="004D77D0"/>
    <w:rsid w:val="004E03ED"/>
    <w:rsid w:val="004E1910"/>
    <w:rsid w:val="004E204B"/>
    <w:rsid w:val="004E2B2F"/>
    <w:rsid w:val="004E2D7D"/>
    <w:rsid w:val="004E2FAD"/>
    <w:rsid w:val="004E3E45"/>
    <w:rsid w:val="004E4D36"/>
    <w:rsid w:val="004E4FAF"/>
    <w:rsid w:val="004E5780"/>
    <w:rsid w:val="004E5B88"/>
    <w:rsid w:val="004E5C4C"/>
    <w:rsid w:val="004E60D1"/>
    <w:rsid w:val="004E69AF"/>
    <w:rsid w:val="004E6EE6"/>
    <w:rsid w:val="004E78FB"/>
    <w:rsid w:val="004F1144"/>
    <w:rsid w:val="004F137B"/>
    <w:rsid w:val="004F19FB"/>
    <w:rsid w:val="004F2CD6"/>
    <w:rsid w:val="004F2EC7"/>
    <w:rsid w:val="004F3883"/>
    <w:rsid w:val="004F3DCB"/>
    <w:rsid w:val="004F4D50"/>
    <w:rsid w:val="004F692D"/>
    <w:rsid w:val="005002C0"/>
    <w:rsid w:val="005007F9"/>
    <w:rsid w:val="005008DD"/>
    <w:rsid w:val="00500D68"/>
    <w:rsid w:val="00502170"/>
    <w:rsid w:val="00502A2A"/>
    <w:rsid w:val="00502D53"/>
    <w:rsid w:val="00503A24"/>
    <w:rsid w:val="00505A99"/>
    <w:rsid w:val="005064EA"/>
    <w:rsid w:val="00506B11"/>
    <w:rsid w:val="00511838"/>
    <w:rsid w:val="00511BCC"/>
    <w:rsid w:val="00511E38"/>
    <w:rsid w:val="005137F5"/>
    <w:rsid w:val="0051443C"/>
    <w:rsid w:val="00515521"/>
    <w:rsid w:val="0051552D"/>
    <w:rsid w:val="005158AA"/>
    <w:rsid w:val="00515CD4"/>
    <w:rsid w:val="00516E49"/>
    <w:rsid w:val="00517583"/>
    <w:rsid w:val="005216B2"/>
    <w:rsid w:val="00522C54"/>
    <w:rsid w:val="005241AA"/>
    <w:rsid w:val="005252CC"/>
    <w:rsid w:val="00526D1F"/>
    <w:rsid w:val="0052747E"/>
    <w:rsid w:val="00527BC2"/>
    <w:rsid w:val="00527F3A"/>
    <w:rsid w:val="00530123"/>
    <w:rsid w:val="0053030A"/>
    <w:rsid w:val="005310CC"/>
    <w:rsid w:val="00531AED"/>
    <w:rsid w:val="00531CE7"/>
    <w:rsid w:val="00531FC5"/>
    <w:rsid w:val="005327DB"/>
    <w:rsid w:val="005330A4"/>
    <w:rsid w:val="005350BC"/>
    <w:rsid w:val="005361A0"/>
    <w:rsid w:val="005361C6"/>
    <w:rsid w:val="00537B3F"/>
    <w:rsid w:val="00540146"/>
    <w:rsid w:val="005405C6"/>
    <w:rsid w:val="00540C7F"/>
    <w:rsid w:val="005410F4"/>
    <w:rsid w:val="00541173"/>
    <w:rsid w:val="00541689"/>
    <w:rsid w:val="0054188B"/>
    <w:rsid w:val="00541D99"/>
    <w:rsid w:val="0054258A"/>
    <w:rsid w:val="00543D70"/>
    <w:rsid w:val="00543FA9"/>
    <w:rsid w:val="005445CE"/>
    <w:rsid w:val="00544941"/>
    <w:rsid w:val="005455B0"/>
    <w:rsid w:val="00545C67"/>
    <w:rsid w:val="00546E44"/>
    <w:rsid w:val="00547D69"/>
    <w:rsid w:val="00547E8A"/>
    <w:rsid w:val="00550598"/>
    <w:rsid w:val="0055226F"/>
    <w:rsid w:val="0055233A"/>
    <w:rsid w:val="00554696"/>
    <w:rsid w:val="0055481D"/>
    <w:rsid w:val="00555D00"/>
    <w:rsid w:val="00556515"/>
    <w:rsid w:val="00556644"/>
    <w:rsid w:val="00557EF0"/>
    <w:rsid w:val="00560054"/>
    <w:rsid w:val="00560C81"/>
    <w:rsid w:val="00560E06"/>
    <w:rsid w:val="00560EF9"/>
    <w:rsid w:val="00561C46"/>
    <w:rsid w:val="005622A6"/>
    <w:rsid w:val="00562911"/>
    <w:rsid w:val="00562D38"/>
    <w:rsid w:val="00562E95"/>
    <w:rsid w:val="00563C5B"/>
    <w:rsid w:val="0056407B"/>
    <w:rsid w:val="005644B0"/>
    <w:rsid w:val="00564EED"/>
    <w:rsid w:val="0056529F"/>
    <w:rsid w:val="00565659"/>
    <w:rsid w:val="00565865"/>
    <w:rsid w:val="00565CAB"/>
    <w:rsid w:val="00566189"/>
    <w:rsid w:val="005664B0"/>
    <w:rsid w:val="00567704"/>
    <w:rsid w:val="005677D9"/>
    <w:rsid w:val="0057017A"/>
    <w:rsid w:val="005706C6"/>
    <w:rsid w:val="005707FA"/>
    <w:rsid w:val="00570CCE"/>
    <w:rsid w:val="005716D9"/>
    <w:rsid w:val="005718B0"/>
    <w:rsid w:val="005729B8"/>
    <w:rsid w:val="00572A8A"/>
    <w:rsid w:val="00572C9C"/>
    <w:rsid w:val="00572DB3"/>
    <w:rsid w:val="005743F2"/>
    <w:rsid w:val="00574829"/>
    <w:rsid w:val="005750D6"/>
    <w:rsid w:val="005755EA"/>
    <w:rsid w:val="0057579B"/>
    <w:rsid w:val="00576AE0"/>
    <w:rsid w:val="00576B87"/>
    <w:rsid w:val="00576B9C"/>
    <w:rsid w:val="00577095"/>
    <w:rsid w:val="00577257"/>
    <w:rsid w:val="0058016D"/>
    <w:rsid w:val="00580EFF"/>
    <w:rsid w:val="00582BCB"/>
    <w:rsid w:val="00583717"/>
    <w:rsid w:val="00583F5E"/>
    <w:rsid w:val="00584BE8"/>
    <w:rsid w:val="00585486"/>
    <w:rsid w:val="005864F7"/>
    <w:rsid w:val="00586771"/>
    <w:rsid w:val="00586D0E"/>
    <w:rsid w:val="00587D35"/>
    <w:rsid w:val="00587DE0"/>
    <w:rsid w:val="00590258"/>
    <w:rsid w:val="00590358"/>
    <w:rsid w:val="00590523"/>
    <w:rsid w:val="005905E3"/>
    <w:rsid w:val="00590B03"/>
    <w:rsid w:val="00590DEE"/>
    <w:rsid w:val="005912DE"/>
    <w:rsid w:val="0059141A"/>
    <w:rsid w:val="005915FB"/>
    <w:rsid w:val="005932CA"/>
    <w:rsid w:val="0059349B"/>
    <w:rsid w:val="00593993"/>
    <w:rsid w:val="0059442B"/>
    <w:rsid w:val="005946F2"/>
    <w:rsid w:val="00594C46"/>
    <w:rsid w:val="00595227"/>
    <w:rsid w:val="00595C2E"/>
    <w:rsid w:val="005966B3"/>
    <w:rsid w:val="00596F43"/>
    <w:rsid w:val="005979C1"/>
    <w:rsid w:val="00597B04"/>
    <w:rsid w:val="00597D79"/>
    <w:rsid w:val="00597DD4"/>
    <w:rsid w:val="00597E97"/>
    <w:rsid w:val="005A00D0"/>
    <w:rsid w:val="005A0138"/>
    <w:rsid w:val="005A052C"/>
    <w:rsid w:val="005A08AA"/>
    <w:rsid w:val="005A1583"/>
    <w:rsid w:val="005A219F"/>
    <w:rsid w:val="005A29D3"/>
    <w:rsid w:val="005A2CCC"/>
    <w:rsid w:val="005A3C14"/>
    <w:rsid w:val="005A4357"/>
    <w:rsid w:val="005A5414"/>
    <w:rsid w:val="005A7E44"/>
    <w:rsid w:val="005B010F"/>
    <w:rsid w:val="005B0D68"/>
    <w:rsid w:val="005B13A1"/>
    <w:rsid w:val="005B1B85"/>
    <w:rsid w:val="005B1C31"/>
    <w:rsid w:val="005B1F7E"/>
    <w:rsid w:val="005B25E0"/>
    <w:rsid w:val="005B2B26"/>
    <w:rsid w:val="005B3625"/>
    <w:rsid w:val="005B3A30"/>
    <w:rsid w:val="005B3BC9"/>
    <w:rsid w:val="005B3BE1"/>
    <w:rsid w:val="005B3FAA"/>
    <w:rsid w:val="005B468B"/>
    <w:rsid w:val="005B46C6"/>
    <w:rsid w:val="005B55D6"/>
    <w:rsid w:val="005B593A"/>
    <w:rsid w:val="005B78EF"/>
    <w:rsid w:val="005C0133"/>
    <w:rsid w:val="005C0591"/>
    <w:rsid w:val="005C1068"/>
    <w:rsid w:val="005C19C3"/>
    <w:rsid w:val="005C2046"/>
    <w:rsid w:val="005C23E6"/>
    <w:rsid w:val="005C35B6"/>
    <w:rsid w:val="005C4CBE"/>
    <w:rsid w:val="005C4D3D"/>
    <w:rsid w:val="005C5054"/>
    <w:rsid w:val="005C59E8"/>
    <w:rsid w:val="005C5C7F"/>
    <w:rsid w:val="005C5D35"/>
    <w:rsid w:val="005C6786"/>
    <w:rsid w:val="005C73B9"/>
    <w:rsid w:val="005C7E30"/>
    <w:rsid w:val="005D01AA"/>
    <w:rsid w:val="005D0BDB"/>
    <w:rsid w:val="005D0D6B"/>
    <w:rsid w:val="005D2069"/>
    <w:rsid w:val="005D28B7"/>
    <w:rsid w:val="005D3138"/>
    <w:rsid w:val="005D3601"/>
    <w:rsid w:val="005D38A7"/>
    <w:rsid w:val="005D43E2"/>
    <w:rsid w:val="005D4610"/>
    <w:rsid w:val="005D4D16"/>
    <w:rsid w:val="005D4D70"/>
    <w:rsid w:val="005D5370"/>
    <w:rsid w:val="005D56E5"/>
    <w:rsid w:val="005D680D"/>
    <w:rsid w:val="005D6BD8"/>
    <w:rsid w:val="005D7461"/>
    <w:rsid w:val="005D749E"/>
    <w:rsid w:val="005E176B"/>
    <w:rsid w:val="005E1E11"/>
    <w:rsid w:val="005E587F"/>
    <w:rsid w:val="005E612E"/>
    <w:rsid w:val="005E6770"/>
    <w:rsid w:val="005F057B"/>
    <w:rsid w:val="005F0796"/>
    <w:rsid w:val="005F1281"/>
    <w:rsid w:val="005F1C65"/>
    <w:rsid w:val="005F216F"/>
    <w:rsid w:val="005F3D33"/>
    <w:rsid w:val="005F40B3"/>
    <w:rsid w:val="005F41C1"/>
    <w:rsid w:val="005F41EA"/>
    <w:rsid w:val="005F444B"/>
    <w:rsid w:val="005F4F02"/>
    <w:rsid w:val="005F6D5E"/>
    <w:rsid w:val="005F72B1"/>
    <w:rsid w:val="00601A8C"/>
    <w:rsid w:val="0060399C"/>
    <w:rsid w:val="00604280"/>
    <w:rsid w:val="0060576A"/>
    <w:rsid w:val="00605FD2"/>
    <w:rsid w:val="00606C8A"/>
    <w:rsid w:val="0060750C"/>
    <w:rsid w:val="00607661"/>
    <w:rsid w:val="00612A95"/>
    <w:rsid w:val="00612B54"/>
    <w:rsid w:val="0061537F"/>
    <w:rsid w:val="006154CF"/>
    <w:rsid w:val="00615AC9"/>
    <w:rsid w:val="00616071"/>
    <w:rsid w:val="00616220"/>
    <w:rsid w:val="006175F7"/>
    <w:rsid w:val="00617AD9"/>
    <w:rsid w:val="00621752"/>
    <w:rsid w:val="00621981"/>
    <w:rsid w:val="006219F9"/>
    <w:rsid w:val="006222C8"/>
    <w:rsid w:val="006225AC"/>
    <w:rsid w:val="00623B33"/>
    <w:rsid w:val="006240BA"/>
    <w:rsid w:val="0062466A"/>
    <w:rsid w:val="00625442"/>
    <w:rsid w:val="00625B69"/>
    <w:rsid w:val="0062603E"/>
    <w:rsid w:val="006262D0"/>
    <w:rsid w:val="00626FAD"/>
    <w:rsid w:val="0062749F"/>
    <w:rsid w:val="00627701"/>
    <w:rsid w:val="006277DC"/>
    <w:rsid w:val="00630000"/>
    <w:rsid w:val="00630265"/>
    <w:rsid w:val="006310ED"/>
    <w:rsid w:val="006319EB"/>
    <w:rsid w:val="0063205C"/>
    <w:rsid w:val="00632247"/>
    <w:rsid w:val="006323DC"/>
    <w:rsid w:val="00632C16"/>
    <w:rsid w:val="00632CF0"/>
    <w:rsid w:val="0063349F"/>
    <w:rsid w:val="00633589"/>
    <w:rsid w:val="0063429B"/>
    <w:rsid w:val="0063490E"/>
    <w:rsid w:val="00635117"/>
    <w:rsid w:val="006374B4"/>
    <w:rsid w:val="00637508"/>
    <w:rsid w:val="0063789D"/>
    <w:rsid w:val="006409E3"/>
    <w:rsid w:val="00640E39"/>
    <w:rsid w:val="006419A0"/>
    <w:rsid w:val="00641FB7"/>
    <w:rsid w:val="0064277D"/>
    <w:rsid w:val="00642DD1"/>
    <w:rsid w:val="00643CED"/>
    <w:rsid w:val="0064431C"/>
    <w:rsid w:val="00644EC2"/>
    <w:rsid w:val="00645471"/>
    <w:rsid w:val="0064552E"/>
    <w:rsid w:val="00645DAD"/>
    <w:rsid w:val="00646F2C"/>
    <w:rsid w:val="0064710D"/>
    <w:rsid w:val="006503A7"/>
    <w:rsid w:val="0065054D"/>
    <w:rsid w:val="00650E01"/>
    <w:rsid w:val="00652E30"/>
    <w:rsid w:val="00652E51"/>
    <w:rsid w:val="00653697"/>
    <w:rsid w:val="00653AE1"/>
    <w:rsid w:val="006549C1"/>
    <w:rsid w:val="0065534E"/>
    <w:rsid w:val="006554C6"/>
    <w:rsid w:val="006555AA"/>
    <w:rsid w:val="00655D0C"/>
    <w:rsid w:val="006566E3"/>
    <w:rsid w:val="00656DD4"/>
    <w:rsid w:val="006602D4"/>
    <w:rsid w:val="0066195A"/>
    <w:rsid w:val="00661A24"/>
    <w:rsid w:val="00661B2A"/>
    <w:rsid w:val="00662E4D"/>
    <w:rsid w:val="0066609D"/>
    <w:rsid w:val="006661BC"/>
    <w:rsid w:val="00666726"/>
    <w:rsid w:val="00667A68"/>
    <w:rsid w:val="006700A1"/>
    <w:rsid w:val="00671025"/>
    <w:rsid w:val="00671CF5"/>
    <w:rsid w:val="00671EA6"/>
    <w:rsid w:val="006723BB"/>
    <w:rsid w:val="00672E75"/>
    <w:rsid w:val="00672F59"/>
    <w:rsid w:val="006731FB"/>
    <w:rsid w:val="00673CDB"/>
    <w:rsid w:val="00673E13"/>
    <w:rsid w:val="0067526D"/>
    <w:rsid w:val="00675289"/>
    <w:rsid w:val="00675C67"/>
    <w:rsid w:val="006762A3"/>
    <w:rsid w:val="0067770C"/>
    <w:rsid w:val="006778A8"/>
    <w:rsid w:val="00680269"/>
    <w:rsid w:val="0068062E"/>
    <w:rsid w:val="00680793"/>
    <w:rsid w:val="0068165B"/>
    <w:rsid w:val="0068196B"/>
    <w:rsid w:val="006845CB"/>
    <w:rsid w:val="006848CF"/>
    <w:rsid w:val="00684AE9"/>
    <w:rsid w:val="00684B68"/>
    <w:rsid w:val="00686982"/>
    <w:rsid w:val="00686ACF"/>
    <w:rsid w:val="00687BCA"/>
    <w:rsid w:val="00691CFF"/>
    <w:rsid w:val="00691D86"/>
    <w:rsid w:val="00692388"/>
    <w:rsid w:val="00694038"/>
    <w:rsid w:val="00694987"/>
    <w:rsid w:val="00694C30"/>
    <w:rsid w:val="00695918"/>
    <w:rsid w:val="00695AC8"/>
    <w:rsid w:val="00695CAD"/>
    <w:rsid w:val="00695D9F"/>
    <w:rsid w:val="0069615E"/>
    <w:rsid w:val="006968DC"/>
    <w:rsid w:val="006971ED"/>
    <w:rsid w:val="006976D3"/>
    <w:rsid w:val="006978F8"/>
    <w:rsid w:val="00697D56"/>
    <w:rsid w:val="00697FA3"/>
    <w:rsid w:val="006A064D"/>
    <w:rsid w:val="006A0CE7"/>
    <w:rsid w:val="006A1552"/>
    <w:rsid w:val="006A1A1C"/>
    <w:rsid w:val="006A1F2E"/>
    <w:rsid w:val="006A218C"/>
    <w:rsid w:val="006A2A24"/>
    <w:rsid w:val="006A2A64"/>
    <w:rsid w:val="006A358F"/>
    <w:rsid w:val="006A38F8"/>
    <w:rsid w:val="006A397A"/>
    <w:rsid w:val="006A3B56"/>
    <w:rsid w:val="006A4264"/>
    <w:rsid w:val="006A4524"/>
    <w:rsid w:val="006A4938"/>
    <w:rsid w:val="006A4BA8"/>
    <w:rsid w:val="006A551F"/>
    <w:rsid w:val="006A68BB"/>
    <w:rsid w:val="006A7582"/>
    <w:rsid w:val="006B016B"/>
    <w:rsid w:val="006B021A"/>
    <w:rsid w:val="006B0B70"/>
    <w:rsid w:val="006B0C69"/>
    <w:rsid w:val="006B0E83"/>
    <w:rsid w:val="006B0FCC"/>
    <w:rsid w:val="006B1195"/>
    <w:rsid w:val="006B14A6"/>
    <w:rsid w:val="006B15C5"/>
    <w:rsid w:val="006B18DE"/>
    <w:rsid w:val="006B229A"/>
    <w:rsid w:val="006B2621"/>
    <w:rsid w:val="006B2D47"/>
    <w:rsid w:val="006B2DA9"/>
    <w:rsid w:val="006B4632"/>
    <w:rsid w:val="006B47AE"/>
    <w:rsid w:val="006B47C8"/>
    <w:rsid w:val="006B501C"/>
    <w:rsid w:val="006B6242"/>
    <w:rsid w:val="006B6676"/>
    <w:rsid w:val="006B68AA"/>
    <w:rsid w:val="006B7670"/>
    <w:rsid w:val="006C0440"/>
    <w:rsid w:val="006C04D3"/>
    <w:rsid w:val="006C11D9"/>
    <w:rsid w:val="006C13B9"/>
    <w:rsid w:val="006C1F56"/>
    <w:rsid w:val="006C3D1F"/>
    <w:rsid w:val="006C3F71"/>
    <w:rsid w:val="006C4450"/>
    <w:rsid w:val="006C4B6F"/>
    <w:rsid w:val="006C5325"/>
    <w:rsid w:val="006C53EA"/>
    <w:rsid w:val="006C5705"/>
    <w:rsid w:val="006C571A"/>
    <w:rsid w:val="006C7243"/>
    <w:rsid w:val="006D0E9B"/>
    <w:rsid w:val="006D3AC6"/>
    <w:rsid w:val="006D4298"/>
    <w:rsid w:val="006D6823"/>
    <w:rsid w:val="006D695A"/>
    <w:rsid w:val="006D7016"/>
    <w:rsid w:val="006D756B"/>
    <w:rsid w:val="006D7F88"/>
    <w:rsid w:val="006E02D4"/>
    <w:rsid w:val="006E08AC"/>
    <w:rsid w:val="006E0F2D"/>
    <w:rsid w:val="006E1713"/>
    <w:rsid w:val="006E172D"/>
    <w:rsid w:val="006E1777"/>
    <w:rsid w:val="006E226F"/>
    <w:rsid w:val="006E2F7F"/>
    <w:rsid w:val="006E2FBE"/>
    <w:rsid w:val="006E41C2"/>
    <w:rsid w:val="006E52AB"/>
    <w:rsid w:val="006E5934"/>
    <w:rsid w:val="006E5E2F"/>
    <w:rsid w:val="006E61F9"/>
    <w:rsid w:val="006E666C"/>
    <w:rsid w:val="006E6743"/>
    <w:rsid w:val="006E7B10"/>
    <w:rsid w:val="006E7FF7"/>
    <w:rsid w:val="006F0107"/>
    <w:rsid w:val="006F0447"/>
    <w:rsid w:val="006F0DC6"/>
    <w:rsid w:val="006F0DEA"/>
    <w:rsid w:val="006F10C7"/>
    <w:rsid w:val="006F1968"/>
    <w:rsid w:val="006F1CAC"/>
    <w:rsid w:val="006F20B8"/>
    <w:rsid w:val="006F2440"/>
    <w:rsid w:val="006F27B4"/>
    <w:rsid w:val="006F280B"/>
    <w:rsid w:val="006F33C3"/>
    <w:rsid w:val="006F4D7C"/>
    <w:rsid w:val="006F6088"/>
    <w:rsid w:val="006F62C6"/>
    <w:rsid w:val="006F62E7"/>
    <w:rsid w:val="006F6A23"/>
    <w:rsid w:val="006F704F"/>
    <w:rsid w:val="006F7A6B"/>
    <w:rsid w:val="0070008A"/>
    <w:rsid w:val="00700A5E"/>
    <w:rsid w:val="0070112A"/>
    <w:rsid w:val="00702095"/>
    <w:rsid w:val="00702F1C"/>
    <w:rsid w:val="0070358F"/>
    <w:rsid w:val="00703693"/>
    <w:rsid w:val="00703951"/>
    <w:rsid w:val="00703F36"/>
    <w:rsid w:val="007048A2"/>
    <w:rsid w:val="00705079"/>
    <w:rsid w:val="00705594"/>
    <w:rsid w:val="00706BB0"/>
    <w:rsid w:val="00707CDE"/>
    <w:rsid w:val="00710ADE"/>
    <w:rsid w:val="00711214"/>
    <w:rsid w:val="007118DB"/>
    <w:rsid w:val="007120D6"/>
    <w:rsid w:val="007121AD"/>
    <w:rsid w:val="00712505"/>
    <w:rsid w:val="007127CC"/>
    <w:rsid w:val="00712B04"/>
    <w:rsid w:val="0071335C"/>
    <w:rsid w:val="00714073"/>
    <w:rsid w:val="00715C5A"/>
    <w:rsid w:val="007175F0"/>
    <w:rsid w:val="007208F1"/>
    <w:rsid w:val="00720B32"/>
    <w:rsid w:val="00723957"/>
    <w:rsid w:val="00724352"/>
    <w:rsid w:val="007245BE"/>
    <w:rsid w:val="00724CC8"/>
    <w:rsid w:val="007252E4"/>
    <w:rsid w:val="00725746"/>
    <w:rsid w:val="00725DCB"/>
    <w:rsid w:val="007265D5"/>
    <w:rsid w:val="00726AF6"/>
    <w:rsid w:val="00726DA7"/>
    <w:rsid w:val="007275A2"/>
    <w:rsid w:val="00727B0C"/>
    <w:rsid w:val="00730492"/>
    <w:rsid w:val="00730ECE"/>
    <w:rsid w:val="00731B3A"/>
    <w:rsid w:val="0073220A"/>
    <w:rsid w:val="00732B48"/>
    <w:rsid w:val="007339CB"/>
    <w:rsid w:val="00733D6D"/>
    <w:rsid w:val="00733E85"/>
    <w:rsid w:val="0073424C"/>
    <w:rsid w:val="00735198"/>
    <w:rsid w:val="00735209"/>
    <w:rsid w:val="00735651"/>
    <w:rsid w:val="00736DD3"/>
    <w:rsid w:val="007400D7"/>
    <w:rsid w:val="00740C03"/>
    <w:rsid w:val="00740C10"/>
    <w:rsid w:val="0074108D"/>
    <w:rsid w:val="0074146B"/>
    <w:rsid w:val="00741F9B"/>
    <w:rsid w:val="00742240"/>
    <w:rsid w:val="00742BB8"/>
    <w:rsid w:val="00743154"/>
    <w:rsid w:val="00743FCB"/>
    <w:rsid w:val="007442EC"/>
    <w:rsid w:val="00744359"/>
    <w:rsid w:val="007448FF"/>
    <w:rsid w:val="00744C54"/>
    <w:rsid w:val="0074581D"/>
    <w:rsid w:val="00745B86"/>
    <w:rsid w:val="00745ED6"/>
    <w:rsid w:val="00746995"/>
    <w:rsid w:val="00747169"/>
    <w:rsid w:val="007472E9"/>
    <w:rsid w:val="007479DF"/>
    <w:rsid w:val="0075101E"/>
    <w:rsid w:val="00753055"/>
    <w:rsid w:val="00753393"/>
    <w:rsid w:val="00753712"/>
    <w:rsid w:val="007538E9"/>
    <w:rsid w:val="00754652"/>
    <w:rsid w:val="00754790"/>
    <w:rsid w:val="0075521A"/>
    <w:rsid w:val="007555A1"/>
    <w:rsid w:val="00755D3C"/>
    <w:rsid w:val="007561DF"/>
    <w:rsid w:val="00756438"/>
    <w:rsid w:val="00756646"/>
    <w:rsid w:val="007566AA"/>
    <w:rsid w:val="00756FAF"/>
    <w:rsid w:val="0075776D"/>
    <w:rsid w:val="0076032A"/>
    <w:rsid w:val="0076068A"/>
    <w:rsid w:val="00760C18"/>
    <w:rsid w:val="007612FD"/>
    <w:rsid w:val="00761307"/>
    <w:rsid w:val="00761C1F"/>
    <w:rsid w:val="00762E6E"/>
    <w:rsid w:val="00763644"/>
    <w:rsid w:val="00763BAF"/>
    <w:rsid w:val="00763C9D"/>
    <w:rsid w:val="00764641"/>
    <w:rsid w:val="00764887"/>
    <w:rsid w:val="007655D5"/>
    <w:rsid w:val="0076637F"/>
    <w:rsid w:val="007668DC"/>
    <w:rsid w:val="0076767F"/>
    <w:rsid w:val="007677C1"/>
    <w:rsid w:val="00770255"/>
    <w:rsid w:val="00770766"/>
    <w:rsid w:val="00770CA5"/>
    <w:rsid w:val="007713CD"/>
    <w:rsid w:val="00771757"/>
    <w:rsid w:val="007726C6"/>
    <w:rsid w:val="007727F8"/>
    <w:rsid w:val="00772C47"/>
    <w:rsid w:val="0077356F"/>
    <w:rsid w:val="00773B90"/>
    <w:rsid w:val="0077411C"/>
    <w:rsid w:val="00774D41"/>
    <w:rsid w:val="00776040"/>
    <w:rsid w:val="007768B7"/>
    <w:rsid w:val="00776FD2"/>
    <w:rsid w:val="00777260"/>
    <w:rsid w:val="007776D0"/>
    <w:rsid w:val="007779FA"/>
    <w:rsid w:val="00781ACC"/>
    <w:rsid w:val="00782987"/>
    <w:rsid w:val="00782E9A"/>
    <w:rsid w:val="00782EBC"/>
    <w:rsid w:val="00783306"/>
    <w:rsid w:val="00784FA0"/>
    <w:rsid w:val="007858F3"/>
    <w:rsid w:val="00785B58"/>
    <w:rsid w:val="00786519"/>
    <w:rsid w:val="0078786A"/>
    <w:rsid w:val="0078794D"/>
    <w:rsid w:val="00790445"/>
    <w:rsid w:val="0079091F"/>
    <w:rsid w:val="007911F4"/>
    <w:rsid w:val="00791446"/>
    <w:rsid w:val="00791D7B"/>
    <w:rsid w:val="00792A85"/>
    <w:rsid w:val="00792D9B"/>
    <w:rsid w:val="00792DD6"/>
    <w:rsid w:val="00792F0C"/>
    <w:rsid w:val="00793734"/>
    <w:rsid w:val="00793A98"/>
    <w:rsid w:val="00793DFA"/>
    <w:rsid w:val="007948A1"/>
    <w:rsid w:val="007949FB"/>
    <w:rsid w:val="00794C57"/>
    <w:rsid w:val="00794D3D"/>
    <w:rsid w:val="00795EE6"/>
    <w:rsid w:val="00796B41"/>
    <w:rsid w:val="00797860"/>
    <w:rsid w:val="00797957"/>
    <w:rsid w:val="007A1880"/>
    <w:rsid w:val="007A2659"/>
    <w:rsid w:val="007A2C6E"/>
    <w:rsid w:val="007A3DAF"/>
    <w:rsid w:val="007A5D34"/>
    <w:rsid w:val="007A5DC5"/>
    <w:rsid w:val="007A65FD"/>
    <w:rsid w:val="007A73A8"/>
    <w:rsid w:val="007A778D"/>
    <w:rsid w:val="007A7FF6"/>
    <w:rsid w:val="007B0088"/>
    <w:rsid w:val="007B0384"/>
    <w:rsid w:val="007B0709"/>
    <w:rsid w:val="007B092C"/>
    <w:rsid w:val="007B0B9E"/>
    <w:rsid w:val="007B1A75"/>
    <w:rsid w:val="007B1CD3"/>
    <w:rsid w:val="007B21E8"/>
    <w:rsid w:val="007B23D6"/>
    <w:rsid w:val="007B24B2"/>
    <w:rsid w:val="007B2F87"/>
    <w:rsid w:val="007B31B0"/>
    <w:rsid w:val="007B3EAC"/>
    <w:rsid w:val="007B4726"/>
    <w:rsid w:val="007B5CF4"/>
    <w:rsid w:val="007B5D39"/>
    <w:rsid w:val="007B5DA7"/>
    <w:rsid w:val="007B5DEC"/>
    <w:rsid w:val="007B62F8"/>
    <w:rsid w:val="007B6C82"/>
    <w:rsid w:val="007B701C"/>
    <w:rsid w:val="007B74DC"/>
    <w:rsid w:val="007B7957"/>
    <w:rsid w:val="007C0093"/>
    <w:rsid w:val="007C01A4"/>
    <w:rsid w:val="007C14A1"/>
    <w:rsid w:val="007C1C62"/>
    <w:rsid w:val="007C29D2"/>
    <w:rsid w:val="007C38A1"/>
    <w:rsid w:val="007C3B04"/>
    <w:rsid w:val="007C530C"/>
    <w:rsid w:val="007C557C"/>
    <w:rsid w:val="007C5ECF"/>
    <w:rsid w:val="007C6172"/>
    <w:rsid w:val="007C6DD0"/>
    <w:rsid w:val="007C77AA"/>
    <w:rsid w:val="007C78FF"/>
    <w:rsid w:val="007D0FCF"/>
    <w:rsid w:val="007D1674"/>
    <w:rsid w:val="007D1859"/>
    <w:rsid w:val="007D1B76"/>
    <w:rsid w:val="007D1FD9"/>
    <w:rsid w:val="007D3766"/>
    <w:rsid w:val="007D3A71"/>
    <w:rsid w:val="007D3CD8"/>
    <w:rsid w:val="007D4541"/>
    <w:rsid w:val="007D540B"/>
    <w:rsid w:val="007D608F"/>
    <w:rsid w:val="007D60D8"/>
    <w:rsid w:val="007D6653"/>
    <w:rsid w:val="007D6B1F"/>
    <w:rsid w:val="007D7D94"/>
    <w:rsid w:val="007E0010"/>
    <w:rsid w:val="007E10FD"/>
    <w:rsid w:val="007E117C"/>
    <w:rsid w:val="007E153E"/>
    <w:rsid w:val="007E21C5"/>
    <w:rsid w:val="007E3EA4"/>
    <w:rsid w:val="007E4094"/>
    <w:rsid w:val="007E4331"/>
    <w:rsid w:val="007E5453"/>
    <w:rsid w:val="007E5F0E"/>
    <w:rsid w:val="007E625D"/>
    <w:rsid w:val="007E652B"/>
    <w:rsid w:val="007E70CD"/>
    <w:rsid w:val="007E7F0F"/>
    <w:rsid w:val="007F1DBE"/>
    <w:rsid w:val="007F24CE"/>
    <w:rsid w:val="007F3528"/>
    <w:rsid w:val="007F3BF9"/>
    <w:rsid w:val="007F45F6"/>
    <w:rsid w:val="007F4749"/>
    <w:rsid w:val="007F485F"/>
    <w:rsid w:val="007F57CE"/>
    <w:rsid w:val="007F58BD"/>
    <w:rsid w:val="007F6EF7"/>
    <w:rsid w:val="007F737C"/>
    <w:rsid w:val="007F7463"/>
    <w:rsid w:val="007F7D79"/>
    <w:rsid w:val="0080031C"/>
    <w:rsid w:val="00801A62"/>
    <w:rsid w:val="00801ECD"/>
    <w:rsid w:val="00802294"/>
    <w:rsid w:val="00802338"/>
    <w:rsid w:val="00802C49"/>
    <w:rsid w:val="00802F67"/>
    <w:rsid w:val="00803089"/>
    <w:rsid w:val="00803686"/>
    <w:rsid w:val="00803B4E"/>
    <w:rsid w:val="0080427B"/>
    <w:rsid w:val="008051A1"/>
    <w:rsid w:val="0080523D"/>
    <w:rsid w:val="00805F0A"/>
    <w:rsid w:val="00810234"/>
    <w:rsid w:val="00810396"/>
    <w:rsid w:val="0081043E"/>
    <w:rsid w:val="00810C8A"/>
    <w:rsid w:val="008112C6"/>
    <w:rsid w:val="008128A1"/>
    <w:rsid w:val="00813706"/>
    <w:rsid w:val="00813EE6"/>
    <w:rsid w:val="0081415B"/>
    <w:rsid w:val="008142B1"/>
    <w:rsid w:val="00815332"/>
    <w:rsid w:val="00815F91"/>
    <w:rsid w:val="00815FF6"/>
    <w:rsid w:val="008163AB"/>
    <w:rsid w:val="00817243"/>
    <w:rsid w:val="00817670"/>
    <w:rsid w:val="0081776A"/>
    <w:rsid w:val="00820AA5"/>
    <w:rsid w:val="0082155E"/>
    <w:rsid w:val="008218E9"/>
    <w:rsid w:val="00821ADB"/>
    <w:rsid w:val="008223DF"/>
    <w:rsid w:val="00823D34"/>
    <w:rsid w:val="00824A34"/>
    <w:rsid w:val="00825B97"/>
    <w:rsid w:val="00825FD5"/>
    <w:rsid w:val="0082633E"/>
    <w:rsid w:val="00826A36"/>
    <w:rsid w:val="00826B13"/>
    <w:rsid w:val="00826CA5"/>
    <w:rsid w:val="00826EA7"/>
    <w:rsid w:val="00827857"/>
    <w:rsid w:val="00827DDE"/>
    <w:rsid w:val="008309C1"/>
    <w:rsid w:val="00830C5D"/>
    <w:rsid w:val="00830FE1"/>
    <w:rsid w:val="008313F2"/>
    <w:rsid w:val="00831435"/>
    <w:rsid w:val="00831520"/>
    <w:rsid w:val="00831847"/>
    <w:rsid w:val="00831D1C"/>
    <w:rsid w:val="00831FC8"/>
    <w:rsid w:val="00832B59"/>
    <w:rsid w:val="0083365F"/>
    <w:rsid w:val="00833E7E"/>
    <w:rsid w:val="00834B17"/>
    <w:rsid w:val="00834E2E"/>
    <w:rsid w:val="008352D6"/>
    <w:rsid w:val="00835544"/>
    <w:rsid w:val="00836090"/>
    <w:rsid w:val="00836271"/>
    <w:rsid w:val="0083673A"/>
    <w:rsid w:val="008367CD"/>
    <w:rsid w:val="00836896"/>
    <w:rsid w:val="0083693E"/>
    <w:rsid w:val="00836976"/>
    <w:rsid w:val="00836AE0"/>
    <w:rsid w:val="008379E9"/>
    <w:rsid w:val="00837D55"/>
    <w:rsid w:val="00837FB0"/>
    <w:rsid w:val="0084011F"/>
    <w:rsid w:val="00840205"/>
    <w:rsid w:val="008406A1"/>
    <w:rsid w:val="00842217"/>
    <w:rsid w:val="00842279"/>
    <w:rsid w:val="00843DD4"/>
    <w:rsid w:val="008440CA"/>
    <w:rsid w:val="0084425A"/>
    <w:rsid w:val="00844766"/>
    <w:rsid w:val="008451F8"/>
    <w:rsid w:val="008456A9"/>
    <w:rsid w:val="00845957"/>
    <w:rsid w:val="00845ADF"/>
    <w:rsid w:val="00845FBF"/>
    <w:rsid w:val="008464F6"/>
    <w:rsid w:val="0084665A"/>
    <w:rsid w:val="0084758D"/>
    <w:rsid w:val="00847F2D"/>
    <w:rsid w:val="00847F91"/>
    <w:rsid w:val="00850051"/>
    <w:rsid w:val="0085082B"/>
    <w:rsid w:val="00850BB9"/>
    <w:rsid w:val="00850C67"/>
    <w:rsid w:val="00850CDC"/>
    <w:rsid w:val="00852115"/>
    <w:rsid w:val="008528CC"/>
    <w:rsid w:val="008532A0"/>
    <w:rsid w:val="00853713"/>
    <w:rsid w:val="008543BE"/>
    <w:rsid w:val="0085474D"/>
    <w:rsid w:val="008548BD"/>
    <w:rsid w:val="00856A3C"/>
    <w:rsid w:val="00856FDD"/>
    <w:rsid w:val="008571E9"/>
    <w:rsid w:val="00857B2D"/>
    <w:rsid w:val="00857C61"/>
    <w:rsid w:val="00857FB2"/>
    <w:rsid w:val="008605BF"/>
    <w:rsid w:val="00862201"/>
    <w:rsid w:val="00863341"/>
    <w:rsid w:val="0086380E"/>
    <w:rsid w:val="00863860"/>
    <w:rsid w:val="0086555C"/>
    <w:rsid w:val="00865B8B"/>
    <w:rsid w:val="00866849"/>
    <w:rsid w:val="0086688D"/>
    <w:rsid w:val="00866B87"/>
    <w:rsid w:val="00867657"/>
    <w:rsid w:val="00867FF1"/>
    <w:rsid w:val="008700B4"/>
    <w:rsid w:val="008703A1"/>
    <w:rsid w:val="00871E0B"/>
    <w:rsid w:val="00871F01"/>
    <w:rsid w:val="008721AB"/>
    <w:rsid w:val="008729A4"/>
    <w:rsid w:val="00873014"/>
    <w:rsid w:val="008734C9"/>
    <w:rsid w:val="00873B8C"/>
    <w:rsid w:val="00873D85"/>
    <w:rsid w:val="00875479"/>
    <w:rsid w:val="008764E4"/>
    <w:rsid w:val="00877B74"/>
    <w:rsid w:val="0088000C"/>
    <w:rsid w:val="008808FD"/>
    <w:rsid w:val="0088234C"/>
    <w:rsid w:val="00882B69"/>
    <w:rsid w:val="00883733"/>
    <w:rsid w:val="00883E60"/>
    <w:rsid w:val="0088444D"/>
    <w:rsid w:val="00884C52"/>
    <w:rsid w:val="008850F5"/>
    <w:rsid w:val="008868D8"/>
    <w:rsid w:val="00887911"/>
    <w:rsid w:val="008879A1"/>
    <w:rsid w:val="008879F8"/>
    <w:rsid w:val="00890130"/>
    <w:rsid w:val="008904E0"/>
    <w:rsid w:val="008907B8"/>
    <w:rsid w:val="008908E2"/>
    <w:rsid w:val="0089251C"/>
    <w:rsid w:val="008939D2"/>
    <w:rsid w:val="00894BFC"/>
    <w:rsid w:val="00894D4A"/>
    <w:rsid w:val="00895C1C"/>
    <w:rsid w:val="0089737D"/>
    <w:rsid w:val="0089765D"/>
    <w:rsid w:val="008A0099"/>
    <w:rsid w:val="008A01EF"/>
    <w:rsid w:val="008A028D"/>
    <w:rsid w:val="008A18A2"/>
    <w:rsid w:val="008A1D72"/>
    <w:rsid w:val="008A1DF6"/>
    <w:rsid w:val="008A2188"/>
    <w:rsid w:val="008A2CB3"/>
    <w:rsid w:val="008A348D"/>
    <w:rsid w:val="008A35AF"/>
    <w:rsid w:val="008A3B19"/>
    <w:rsid w:val="008A4760"/>
    <w:rsid w:val="008A52C5"/>
    <w:rsid w:val="008A5759"/>
    <w:rsid w:val="008A5896"/>
    <w:rsid w:val="008A615B"/>
    <w:rsid w:val="008A6196"/>
    <w:rsid w:val="008A6688"/>
    <w:rsid w:val="008A6A50"/>
    <w:rsid w:val="008A7A22"/>
    <w:rsid w:val="008A7F71"/>
    <w:rsid w:val="008B05A9"/>
    <w:rsid w:val="008B19CA"/>
    <w:rsid w:val="008B21BC"/>
    <w:rsid w:val="008B23C8"/>
    <w:rsid w:val="008B343F"/>
    <w:rsid w:val="008B34BF"/>
    <w:rsid w:val="008B3659"/>
    <w:rsid w:val="008B3684"/>
    <w:rsid w:val="008B3F81"/>
    <w:rsid w:val="008B4BDF"/>
    <w:rsid w:val="008B5860"/>
    <w:rsid w:val="008B5BCF"/>
    <w:rsid w:val="008B6DDD"/>
    <w:rsid w:val="008B711E"/>
    <w:rsid w:val="008B7405"/>
    <w:rsid w:val="008B7C95"/>
    <w:rsid w:val="008C07F2"/>
    <w:rsid w:val="008C0928"/>
    <w:rsid w:val="008C0984"/>
    <w:rsid w:val="008C148C"/>
    <w:rsid w:val="008C1867"/>
    <w:rsid w:val="008C1F7E"/>
    <w:rsid w:val="008C20AB"/>
    <w:rsid w:val="008C28E9"/>
    <w:rsid w:val="008C2B0B"/>
    <w:rsid w:val="008C32F1"/>
    <w:rsid w:val="008C33E2"/>
    <w:rsid w:val="008C38E6"/>
    <w:rsid w:val="008C3B77"/>
    <w:rsid w:val="008C3EC4"/>
    <w:rsid w:val="008C3EE5"/>
    <w:rsid w:val="008C49E5"/>
    <w:rsid w:val="008C5DF8"/>
    <w:rsid w:val="008C623E"/>
    <w:rsid w:val="008C64AA"/>
    <w:rsid w:val="008C6856"/>
    <w:rsid w:val="008C697C"/>
    <w:rsid w:val="008C79CD"/>
    <w:rsid w:val="008C79FD"/>
    <w:rsid w:val="008C7AFE"/>
    <w:rsid w:val="008C7D24"/>
    <w:rsid w:val="008C7D94"/>
    <w:rsid w:val="008C7FDF"/>
    <w:rsid w:val="008D166F"/>
    <w:rsid w:val="008D1F92"/>
    <w:rsid w:val="008D23AD"/>
    <w:rsid w:val="008D2677"/>
    <w:rsid w:val="008D3407"/>
    <w:rsid w:val="008D3DE8"/>
    <w:rsid w:val="008D4FA7"/>
    <w:rsid w:val="008D6799"/>
    <w:rsid w:val="008D6914"/>
    <w:rsid w:val="008D6BD2"/>
    <w:rsid w:val="008D74C8"/>
    <w:rsid w:val="008D7BE5"/>
    <w:rsid w:val="008D7CC3"/>
    <w:rsid w:val="008D7EBE"/>
    <w:rsid w:val="008E017A"/>
    <w:rsid w:val="008E0324"/>
    <w:rsid w:val="008E07FA"/>
    <w:rsid w:val="008E0DA7"/>
    <w:rsid w:val="008E1533"/>
    <w:rsid w:val="008E1B1A"/>
    <w:rsid w:val="008E2A27"/>
    <w:rsid w:val="008E2A54"/>
    <w:rsid w:val="008E2C36"/>
    <w:rsid w:val="008E456D"/>
    <w:rsid w:val="008E4DC7"/>
    <w:rsid w:val="008E601B"/>
    <w:rsid w:val="008E6AE7"/>
    <w:rsid w:val="008E6E8B"/>
    <w:rsid w:val="008E752F"/>
    <w:rsid w:val="008E7CBB"/>
    <w:rsid w:val="008F02EA"/>
    <w:rsid w:val="008F0C64"/>
    <w:rsid w:val="008F1514"/>
    <w:rsid w:val="008F2D5A"/>
    <w:rsid w:val="008F3367"/>
    <w:rsid w:val="008F4133"/>
    <w:rsid w:val="008F43B6"/>
    <w:rsid w:val="008F445F"/>
    <w:rsid w:val="008F4E52"/>
    <w:rsid w:val="008F50B6"/>
    <w:rsid w:val="008F5362"/>
    <w:rsid w:val="008F57EA"/>
    <w:rsid w:val="008F6C72"/>
    <w:rsid w:val="008F6F25"/>
    <w:rsid w:val="008F717E"/>
    <w:rsid w:val="008F79F9"/>
    <w:rsid w:val="009023C8"/>
    <w:rsid w:val="00902AA5"/>
    <w:rsid w:val="00902EEF"/>
    <w:rsid w:val="0090492B"/>
    <w:rsid w:val="0090609F"/>
    <w:rsid w:val="009068DE"/>
    <w:rsid w:val="0090791F"/>
    <w:rsid w:val="00907FC9"/>
    <w:rsid w:val="009114B2"/>
    <w:rsid w:val="00912F27"/>
    <w:rsid w:val="00913496"/>
    <w:rsid w:val="0091425F"/>
    <w:rsid w:val="00914835"/>
    <w:rsid w:val="009148EE"/>
    <w:rsid w:val="0091556E"/>
    <w:rsid w:val="00916287"/>
    <w:rsid w:val="00917986"/>
    <w:rsid w:val="00917EA1"/>
    <w:rsid w:val="0092034F"/>
    <w:rsid w:val="00920F46"/>
    <w:rsid w:val="0092119C"/>
    <w:rsid w:val="009216BC"/>
    <w:rsid w:val="009227B9"/>
    <w:rsid w:val="00923948"/>
    <w:rsid w:val="00923E07"/>
    <w:rsid w:val="00923F7A"/>
    <w:rsid w:val="00926179"/>
    <w:rsid w:val="00926D5E"/>
    <w:rsid w:val="0092709F"/>
    <w:rsid w:val="0092731C"/>
    <w:rsid w:val="00927D6A"/>
    <w:rsid w:val="009301C0"/>
    <w:rsid w:val="0093051F"/>
    <w:rsid w:val="009306CF"/>
    <w:rsid w:val="00930A39"/>
    <w:rsid w:val="00930C8E"/>
    <w:rsid w:val="00931C46"/>
    <w:rsid w:val="0093278F"/>
    <w:rsid w:val="009327CB"/>
    <w:rsid w:val="009329E7"/>
    <w:rsid w:val="009352A6"/>
    <w:rsid w:val="00935344"/>
    <w:rsid w:val="009357A3"/>
    <w:rsid w:val="00935C81"/>
    <w:rsid w:val="009369F5"/>
    <w:rsid w:val="009373DE"/>
    <w:rsid w:val="00937E62"/>
    <w:rsid w:val="009407D2"/>
    <w:rsid w:val="0094084C"/>
    <w:rsid w:val="00941A62"/>
    <w:rsid w:val="00943861"/>
    <w:rsid w:val="00944854"/>
    <w:rsid w:val="0094501A"/>
    <w:rsid w:val="009451B0"/>
    <w:rsid w:val="00945E23"/>
    <w:rsid w:val="009469D3"/>
    <w:rsid w:val="00946CD1"/>
    <w:rsid w:val="00951243"/>
    <w:rsid w:val="00951BE5"/>
    <w:rsid w:val="00952AB0"/>
    <w:rsid w:val="00953913"/>
    <w:rsid w:val="009542F3"/>
    <w:rsid w:val="009553FC"/>
    <w:rsid w:val="0095629A"/>
    <w:rsid w:val="00960311"/>
    <w:rsid w:val="009612C6"/>
    <w:rsid w:val="00961F46"/>
    <w:rsid w:val="00962168"/>
    <w:rsid w:val="00962455"/>
    <w:rsid w:val="00963AD8"/>
    <w:rsid w:val="00964327"/>
    <w:rsid w:val="0096524F"/>
    <w:rsid w:val="009653F4"/>
    <w:rsid w:val="00966C56"/>
    <w:rsid w:val="00966C98"/>
    <w:rsid w:val="0096709D"/>
    <w:rsid w:val="0097019A"/>
    <w:rsid w:val="00970D36"/>
    <w:rsid w:val="00970EB4"/>
    <w:rsid w:val="00971A8E"/>
    <w:rsid w:val="00972161"/>
    <w:rsid w:val="00972B73"/>
    <w:rsid w:val="009747F0"/>
    <w:rsid w:val="00976308"/>
    <w:rsid w:val="00976AC8"/>
    <w:rsid w:val="00976F97"/>
    <w:rsid w:val="00976FFC"/>
    <w:rsid w:val="00977413"/>
    <w:rsid w:val="00980DBE"/>
    <w:rsid w:val="00981604"/>
    <w:rsid w:val="00982277"/>
    <w:rsid w:val="009823E1"/>
    <w:rsid w:val="0098342C"/>
    <w:rsid w:val="00983443"/>
    <w:rsid w:val="0098370C"/>
    <w:rsid w:val="00983A16"/>
    <w:rsid w:val="00983B46"/>
    <w:rsid w:val="009845C6"/>
    <w:rsid w:val="00984E3D"/>
    <w:rsid w:val="0098606F"/>
    <w:rsid w:val="00986903"/>
    <w:rsid w:val="0099017E"/>
    <w:rsid w:val="00990227"/>
    <w:rsid w:val="009909BE"/>
    <w:rsid w:val="00990A1B"/>
    <w:rsid w:val="009916D1"/>
    <w:rsid w:val="00991EC2"/>
    <w:rsid w:val="0099208D"/>
    <w:rsid w:val="00993292"/>
    <w:rsid w:val="00994CDD"/>
    <w:rsid w:val="00995095"/>
    <w:rsid w:val="00995487"/>
    <w:rsid w:val="00996955"/>
    <w:rsid w:val="0099763E"/>
    <w:rsid w:val="009A065C"/>
    <w:rsid w:val="009A08BF"/>
    <w:rsid w:val="009A1153"/>
    <w:rsid w:val="009A22D7"/>
    <w:rsid w:val="009A24BE"/>
    <w:rsid w:val="009A2809"/>
    <w:rsid w:val="009A3151"/>
    <w:rsid w:val="009A36CD"/>
    <w:rsid w:val="009A3A3A"/>
    <w:rsid w:val="009A3EF9"/>
    <w:rsid w:val="009A4115"/>
    <w:rsid w:val="009A42B7"/>
    <w:rsid w:val="009A4617"/>
    <w:rsid w:val="009A486A"/>
    <w:rsid w:val="009A4A4B"/>
    <w:rsid w:val="009A5B2F"/>
    <w:rsid w:val="009A629B"/>
    <w:rsid w:val="009A71F5"/>
    <w:rsid w:val="009A730C"/>
    <w:rsid w:val="009A732E"/>
    <w:rsid w:val="009B071C"/>
    <w:rsid w:val="009B085C"/>
    <w:rsid w:val="009B0E93"/>
    <w:rsid w:val="009B1441"/>
    <w:rsid w:val="009B1711"/>
    <w:rsid w:val="009B2041"/>
    <w:rsid w:val="009B20B5"/>
    <w:rsid w:val="009B20FD"/>
    <w:rsid w:val="009B24E4"/>
    <w:rsid w:val="009B2735"/>
    <w:rsid w:val="009B2B73"/>
    <w:rsid w:val="009B4070"/>
    <w:rsid w:val="009B45D3"/>
    <w:rsid w:val="009B4AB8"/>
    <w:rsid w:val="009B4CE7"/>
    <w:rsid w:val="009B5516"/>
    <w:rsid w:val="009B5862"/>
    <w:rsid w:val="009B59FD"/>
    <w:rsid w:val="009B5E63"/>
    <w:rsid w:val="009B5F55"/>
    <w:rsid w:val="009B6214"/>
    <w:rsid w:val="009B625B"/>
    <w:rsid w:val="009B6D0C"/>
    <w:rsid w:val="009B71C9"/>
    <w:rsid w:val="009B739E"/>
    <w:rsid w:val="009C01E1"/>
    <w:rsid w:val="009C06B0"/>
    <w:rsid w:val="009C09C0"/>
    <w:rsid w:val="009C1709"/>
    <w:rsid w:val="009C170B"/>
    <w:rsid w:val="009C20C5"/>
    <w:rsid w:val="009C20F4"/>
    <w:rsid w:val="009C2D2F"/>
    <w:rsid w:val="009C2EDE"/>
    <w:rsid w:val="009C31B1"/>
    <w:rsid w:val="009C3F5F"/>
    <w:rsid w:val="009C3F67"/>
    <w:rsid w:val="009C4124"/>
    <w:rsid w:val="009C462E"/>
    <w:rsid w:val="009C4EFD"/>
    <w:rsid w:val="009C6BEF"/>
    <w:rsid w:val="009C7E26"/>
    <w:rsid w:val="009D0165"/>
    <w:rsid w:val="009D017D"/>
    <w:rsid w:val="009D03B5"/>
    <w:rsid w:val="009D0938"/>
    <w:rsid w:val="009D09B4"/>
    <w:rsid w:val="009D11B7"/>
    <w:rsid w:val="009D1694"/>
    <w:rsid w:val="009D2239"/>
    <w:rsid w:val="009D25F0"/>
    <w:rsid w:val="009D2CCC"/>
    <w:rsid w:val="009D3518"/>
    <w:rsid w:val="009D4165"/>
    <w:rsid w:val="009D4EC2"/>
    <w:rsid w:val="009D51A3"/>
    <w:rsid w:val="009D59D7"/>
    <w:rsid w:val="009D6083"/>
    <w:rsid w:val="009D73EA"/>
    <w:rsid w:val="009D7C4A"/>
    <w:rsid w:val="009E0770"/>
    <w:rsid w:val="009E1C03"/>
    <w:rsid w:val="009E286F"/>
    <w:rsid w:val="009E2CC2"/>
    <w:rsid w:val="009E2EC5"/>
    <w:rsid w:val="009E3476"/>
    <w:rsid w:val="009E3FEB"/>
    <w:rsid w:val="009E443F"/>
    <w:rsid w:val="009E4F55"/>
    <w:rsid w:val="009E56C9"/>
    <w:rsid w:val="009E6881"/>
    <w:rsid w:val="009E71F4"/>
    <w:rsid w:val="009E73B0"/>
    <w:rsid w:val="009F023C"/>
    <w:rsid w:val="009F1424"/>
    <w:rsid w:val="009F2359"/>
    <w:rsid w:val="009F3012"/>
    <w:rsid w:val="009F31BB"/>
    <w:rsid w:val="009F33C8"/>
    <w:rsid w:val="009F35F5"/>
    <w:rsid w:val="009F3813"/>
    <w:rsid w:val="009F3830"/>
    <w:rsid w:val="009F3EB5"/>
    <w:rsid w:val="009F49BA"/>
    <w:rsid w:val="009F4FF6"/>
    <w:rsid w:val="009F5203"/>
    <w:rsid w:val="009F59E8"/>
    <w:rsid w:val="009F5A29"/>
    <w:rsid w:val="009F6482"/>
    <w:rsid w:val="009F68DB"/>
    <w:rsid w:val="009F7311"/>
    <w:rsid w:val="00A0158F"/>
    <w:rsid w:val="00A01618"/>
    <w:rsid w:val="00A01C97"/>
    <w:rsid w:val="00A01DF9"/>
    <w:rsid w:val="00A01E07"/>
    <w:rsid w:val="00A0220C"/>
    <w:rsid w:val="00A02661"/>
    <w:rsid w:val="00A0298D"/>
    <w:rsid w:val="00A038A5"/>
    <w:rsid w:val="00A04172"/>
    <w:rsid w:val="00A041ED"/>
    <w:rsid w:val="00A05342"/>
    <w:rsid w:val="00A06AB8"/>
    <w:rsid w:val="00A06ADC"/>
    <w:rsid w:val="00A06E71"/>
    <w:rsid w:val="00A07C1D"/>
    <w:rsid w:val="00A10A3E"/>
    <w:rsid w:val="00A11FD5"/>
    <w:rsid w:val="00A120C6"/>
    <w:rsid w:val="00A132C7"/>
    <w:rsid w:val="00A13485"/>
    <w:rsid w:val="00A13D39"/>
    <w:rsid w:val="00A13E7D"/>
    <w:rsid w:val="00A1417A"/>
    <w:rsid w:val="00A1469D"/>
    <w:rsid w:val="00A152F5"/>
    <w:rsid w:val="00A15435"/>
    <w:rsid w:val="00A154D8"/>
    <w:rsid w:val="00A15705"/>
    <w:rsid w:val="00A15DBE"/>
    <w:rsid w:val="00A17068"/>
    <w:rsid w:val="00A17800"/>
    <w:rsid w:val="00A17A48"/>
    <w:rsid w:val="00A20308"/>
    <w:rsid w:val="00A20C08"/>
    <w:rsid w:val="00A2137B"/>
    <w:rsid w:val="00A215BC"/>
    <w:rsid w:val="00A21ACD"/>
    <w:rsid w:val="00A22904"/>
    <w:rsid w:val="00A22F0F"/>
    <w:rsid w:val="00A236CE"/>
    <w:rsid w:val="00A24455"/>
    <w:rsid w:val="00A25437"/>
    <w:rsid w:val="00A2575E"/>
    <w:rsid w:val="00A25FE6"/>
    <w:rsid w:val="00A2677F"/>
    <w:rsid w:val="00A26CD6"/>
    <w:rsid w:val="00A271B0"/>
    <w:rsid w:val="00A27E22"/>
    <w:rsid w:val="00A30B02"/>
    <w:rsid w:val="00A30CBC"/>
    <w:rsid w:val="00A30E67"/>
    <w:rsid w:val="00A3285D"/>
    <w:rsid w:val="00A329AD"/>
    <w:rsid w:val="00A332FE"/>
    <w:rsid w:val="00A33588"/>
    <w:rsid w:val="00A35CF7"/>
    <w:rsid w:val="00A3607B"/>
    <w:rsid w:val="00A36401"/>
    <w:rsid w:val="00A36788"/>
    <w:rsid w:val="00A36E87"/>
    <w:rsid w:val="00A37461"/>
    <w:rsid w:val="00A37952"/>
    <w:rsid w:val="00A37ACC"/>
    <w:rsid w:val="00A42A57"/>
    <w:rsid w:val="00A430F5"/>
    <w:rsid w:val="00A435AD"/>
    <w:rsid w:val="00A442E5"/>
    <w:rsid w:val="00A4611F"/>
    <w:rsid w:val="00A46927"/>
    <w:rsid w:val="00A46B83"/>
    <w:rsid w:val="00A46DDD"/>
    <w:rsid w:val="00A5020A"/>
    <w:rsid w:val="00A5046B"/>
    <w:rsid w:val="00A53DC3"/>
    <w:rsid w:val="00A53FD9"/>
    <w:rsid w:val="00A54C1A"/>
    <w:rsid w:val="00A554BE"/>
    <w:rsid w:val="00A55E0D"/>
    <w:rsid w:val="00A56408"/>
    <w:rsid w:val="00A567E0"/>
    <w:rsid w:val="00A56B86"/>
    <w:rsid w:val="00A56D04"/>
    <w:rsid w:val="00A57066"/>
    <w:rsid w:val="00A57274"/>
    <w:rsid w:val="00A57B75"/>
    <w:rsid w:val="00A60936"/>
    <w:rsid w:val="00A60C4E"/>
    <w:rsid w:val="00A62074"/>
    <w:rsid w:val="00A620B5"/>
    <w:rsid w:val="00A6287D"/>
    <w:rsid w:val="00A628C8"/>
    <w:rsid w:val="00A62F28"/>
    <w:rsid w:val="00A630BC"/>
    <w:rsid w:val="00A63199"/>
    <w:rsid w:val="00A636FA"/>
    <w:rsid w:val="00A64AE9"/>
    <w:rsid w:val="00A651EB"/>
    <w:rsid w:val="00A65874"/>
    <w:rsid w:val="00A65C1F"/>
    <w:rsid w:val="00A661AE"/>
    <w:rsid w:val="00A66284"/>
    <w:rsid w:val="00A6688A"/>
    <w:rsid w:val="00A6739C"/>
    <w:rsid w:val="00A67C6A"/>
    <w:rsid w:val="00A70A3E"/>
    <w:rsid w:val="00A72336"/>
    <w:rsid w:val="00A729AC"/>
    <w:rsid w:val="00A72F5D"/>
    <w:rsid w:val="00A72FAC"/>
    <w:rsid w:val="00A74954"/>
    <w:rsid w:val="00A75226"/>
    <w:rsid w:val="00A755BF"/>
    <w:rsid w:val="00A761D3"/>
    <w:rsid w:val="00A763D8"/>
    <w:rsid w:val="00A76F5B"/>
    <w:rsid w:val="00A7717D"/>
    <w:rsid w:val="00A77423"/>
    <w:rsid w:val="00A7756A"/>
    <w:rsid w:val="00A80239"/>
    <w:rsid w:val="00A8038B"/>
    <w:rsid w:val="00A80F90"/>
    <w:rsid w:val="00A80FB5"/>
    <w:rsid w:val="00A81E16"/>
    <w:rsid w:val="00A8272F"/>
    <w:rsid w:val="00A83BE0"/>
    <w:rsid w:val="00A84C06"/>
    <w:rsid w:val="00A8581E"/>
    <w:rsid w:val="00A85E8E"/>
    <w:rsid w:val="00A87815"/>
    <w:rsid w:val="00A879FE"/>
    <w:rsid w:val="00A87A47"/>
    <w:rsid w:val="00A92104"/>
    <w:rsid w:val="00A92178"/>
    <w:rsid w:val="00A921A9"/>
    <w:rsid w:val="00A92B92"/>
    <w:rsid w:val="00A92C7B"/>
    <w:rsid w:val="00A93034"/>
    <w:rsid w:val="00A930CF"/>
    <w:rsid w:val="00A94111"/>
    <w:rsid w:val="00A958BE"/>
    <w:rsid w:val="00A95C87"/>
    <w:rsid w:val="00A96205"/>
    <w:rsid w:val="00A963D3"/>
    <w:rsid w:val="00A96771"/>
    <w:rsid w:val="00A96875"/>
    <w:rsid w:val="00A96970"/>
    <w:rsid w:val="00A96BCC"/>
    <w:rsid w:val="00A9761D"/>
    <w:rsid w:val="00AA01E7"/>
    <w:rsid w:val="00AA0AB0"/>
    <w:rsid w:val="00AA0DF4"/>
    <w:rsid w:val="00AA0E8E"/>
    <w:rsid w:val="00AA1A36"/>
    <w:rsid w:val="00AA1BE7"/>
    <w:rsid w:val="00AA24B8"/>
    <w:rsid w:val="00AA28D0"/>
    <w:rsid w:val="00AA3E2C"/>
    <w:rsid w:val="00AA411E"/>
    <w:rsid w:val="00AA49A5"/>
    <w:rsid w:val="00AA6ACE"/>
    <w:rsid w:val="00AA6DF1"/>
    <w:rsid w:val="00AA7288"/>
    <w:rsid w:val="00AB0890"/>
    <w:rsid w:val="00AB0ABA"/>
    <w:rsid w:val="00AB0F7E"/>
    <w:rsid w:val="00AB18B7"/>
    <w:rsid w:val="00AB1C84"/>
    <w:rsid w:val="00AB2784"/>
    <w:rsid w:val="00AB3140"/>
    <w:rsid w:val="00AB3851"/>
    <w:rsid w:val="00AB392A"/>
    <w:rsid w:val="00AB4052"/>
    <w:rsid w:val="00AB71D7"/>
    <w:rsid w:val="00AB79AE"/>
    <w:rsid w:val="00AC01CE"/>
    <w:rsid w:val="00AC075E"/>
    <w:rsid w:val="00AC2091"/>
    <w:rsid w:val="00AC308E"/>
    <w:rsid w:val="00AC4190"/>
    <w:rsid w:val="00AC4555"/>
    <w:rsid w:val="00AC4C50"/>
    <w:rsid w:val="00AC61FA"/>
    <w:rsid w:val="00AC66F5"/>
    <w:rsid w:val="00AC7AC8"/>
    <w:rsid w:val="00AD078E"/>
    <w:rsid w:val="00AD1483"/>
    <w:rsid w:val="00AD17CA"/>
    <w:rsid w:val="00AD1B23"/>
    <w:rsid w:val="00AD1BB7"/>
    <w:rsid w:val="00AD2B6E"/>
    <w:rsid w:val="00AD3156"/>
    <w:rsid w:val="00AD3B09"/>
    <w:rsid w:val="00AD445A"/>
    <w:rsid w:val="00AD4D81"/>
    <w:rsid w:val="00AD6F6E"/>
    <w:rsid w:val="00AD745E"/>
    <w:rsid w:val="00AE0505"/>
    <w:rsid w:val="00AE123B"/>
    <w:rsid w:val="00AE18DF"/>
    <w:rsid w:val="00AE220A"/>
    <w:rsid w:val="00AE2766"/>
    <w:rsid w:val="00AE2CD7"/>
    <w:rsid w:val="00AE2DCD"/>
    <w:rsid w:val="00AE2F5F"/>
    <w:rsid w:val="00AE4054"/>
    <w:rsid w:val="00AE54BC"/>
    <w:rsid w:val="00AE62F5"/>
    <w:rsid w:val="00AE6703"/>
    <w:rsid w:val="00AE6773"/>
    <w:rsid w:val="00AE6A4B"/>
    <w:rsid w:val="00AE6FDF"/>
    <w:rsid w:val="00AF0BFD"/>
    <w:rsid w:val="00AF0F70"/>
    <w:rsid w:val="00AF1999"/>
    <w:rsid w:val="00AF2333"/>
    <w:rsid w:val="00AF28C5"/>
    <w:rsid w:val="00AF29C7"/>
    <w:rsid w:val="00AF2C7A"/>
    <w:rsid w:val="00AF327B"/>
    <w:rsid w:val="00AF3605"/>
    <w:rsid w:val="00AF3D12"/>
    <w:rsid w:val="00AF3D2D"/>
    <w:rsid w:val="00AF48C0"/>
    <w:rsid w:val="00AF54E2"/>
    <w:rsid w:val="00AF5A5B"/>
    <w:rsid w:val="00AF5C4D"/>
    <w:rsid w:val="00AF5DE5"/>
    <w:rsid w:val="00AF796A"/>
    <w:rsid w:val="00AF7AC5"/>
    <w:rsid w:val="00B005D4"/>
    <w:rsid w:val="00B00F93"/>
    <w:rsid w:val="00B01DD0"/>
    <w:rsid w:val="00B01FBA"/>
    <w:rsid w:val="00B02740"/>
    <w:rsid w:val="00B028F4"/>
    <w:rsid w:val="00B03341"/>
    <w:rsid w:val="00B035BD"/>
    <w:rsid w:val="00B043EE"/>
    <w:rsid w:val="00B04FF5"/>
    <w:rsid w:val="00B059E7"/>
    <w:rsid w:val="00B05BE6"/>
    <w:rsid w:val="00B0711E"/>
    <w:rsid w:val="00B074EA"/>
    <w:rsid w:val="00B07765"/>
    <w:rsid w:val="00B11504"/>
    <w:rsid w:val="00B117FE"/>
    <w:rsid w:val="00B132D5"/>
    <w:rsid w:val="00B13534"/>
    <w:rsid w:val="00B13CA0"/>
    <w:rsid w:val="00B15E56"/>
    <w:rsid w:val="00B167CE"/>
    <w:rsid w:val="00B1739F"/>
    <w:rsid w:val="00B173E4"/>
    <w:rsid w:val="00B175D1"/>
    <w:rsid w:val="00B178F5"/>
    <w:rsid w:val="00B17D8E"/>
    <w:rsid w:val="00B20487"/>
    <w:rsid w:val="00B20952"/>
    <w:rsid w:val="00B216C3"/>
    <w:rsid w:val="00B22B6F"/>
    <w:rsid w:val="00B23BB0"/>
    <w:rsid w:val="00B23D29"/>
    <w:rsid w:val="00B248D5"/>
    <w:rsid w:val="00B24DEC"/>
    <w:rsid w:val="00B25F79"/>
    <w:rsid w:val="00B26BC9"/>
    <w:rsid w:val="00B26C45"/>
    <w:rsid w:val="00B27C9C"/>
    <w:rsid w:val="00B30358"/>
    <w:rsid w:val="00B31E98"/>
    <w:rsid w:val="00B32466"/>
    <w:rsid w:val="00B334DD"/>
    <w:rsid w:val="00B33629"/>
    <w:rsid w:val="00B34252"/>
    <w:rsid w:val="00B34616"/>
    <w:rsid w:val="00B36451"/>
    <w:rsid w:val="00B366F3"/>
    <w:rsid w:val="00B368F9"/>
    <w:rsid w:val="00B36E29"/>
    <w:rsid w:val="00B36E92"/>
    <w:rsid w:val="00B40F50"/>
    <w:rsid w:val="00B410EF"/>
    <w:rsid w:val="00B42271"/>
    <w:rsid w:val="00B42808"/>
    <w:rsid w:val="00B432C4"/>
    <w:rsid w:val="00B448BD"/>
    <w:rsid w:val="00B45ABF"/>
    <w:rsid w:val="00B46528"/>
    <w:rsid w:val="00B4675B"/>
    <w:rsid w:val="00B46A92"/>
    <w:rsid w:val="00B5025E"/>
    <w:rsid w:val="00B50385"/>
    <w:rsid w:val="00B506D9"/>
    <w:rsid w:val="00B510D7"/>
    <w:rsid w:val="00B52DB4"/>
    <w:rsid w:val="00B536C0"/>
    <w:rsid w:val="00B557EB"/>
    <w:rsid w:val="00B55CDC"/>
    <w:rsid w:val="00B5660F"/>
    <w:rsid w:val="00B568E2"/>
    <w:rsid w:val="00B56D23"/>
    <w:rsid w:val="00B56E2C"/>
    <w:rsid w:val="00B56EA2"/>
    <w:rsid w:val="00B601AA"/>
    <w:rsid w:val="00B6048A"/>
    <w:rsid w:val="00B60689"/>
    <w:rsid w:val="00B607CF"/>
    <w:rsid w:val="00B61279"/>
    <w:rsid w:val="00B6213D"/>
    <w:rsid w:val="00B62CF6"/>
    <w:rsid w:val="00B634F4"/>
    <w:rsid w:val="00B639F7"/>
    <w:rsid w:val="00B641F6"/>
    <w:rsid w:val="00B649FA"/>
    <w:rsid w:val="00B65CC4"/>
    <w:rsid w:val="00B66753"/>
    <w:rsid w:val="00B66CA6"/>
    <w:rsid w:val="00B67413"/>
    <w:rsid w:val="00B67648"/>
    <w:rsid w:val="00B67692"/>
    <w:rsid w:val="00B7093C"/>
    <w:rsid w:val="00B70A15"/>
    <w:rsid w:val="00B70DFC"/>
    <w:rsid w:val="00B71314"/>
    <w:rsid w:val="00B71A42"/>
    <w:rsid w:val="00B72C88"/>
    <w:rsid w:val="00B746A8"/>
    <w:rsid w:val="00B751C0"/>
    <w:rsid w:val="00B7529C"/>
    <w:rsid w:val="00B752BA"/>
    <w:rsid w:val="00B75652"/>
    <w:rsid w:val="00B758E0"/>
    <w:rsid w:val="00B75D17"/>
    <w:rsid w:val="00B76203"/>
    <w:rsid w:val="00B76836"/>
    <w:rsid w:val="00B80439"/>
    <w:rsid w:val="00B80873"/>
    <w:rsid w:val="00B817CB"/>
    <w:rsid w:val="00B821CD"/>
    <w:rsid w:val="00B8245F"/>
    <w:rsid w:val="00B82895"/>
    <w:rsid w:val="00B829B8"/>
    <w:rsid w:val="00B833E5"/>
    <w:rsid w:val="00B83D28"/>
    <w:rsid w:val="00B842D2"/>
    <w:rsid w:val="00B869F4"/>
    <w:rsid w:val="00B87CBF"/>
    <w:rsid w:val="00B900AE"/>
    <w:rsid w:val="00B90E2C"/>
    <w:rsid w:val="00B9118B"/>
    <w:rsid w:val="00B923AE"/>
    <w:rsid w:val="00B93C7C"/>
    <w:rsid w:val="00B94F8B"/>
    <w:rsid w:val="00B9540B"/>
    <w:rsid w:val="00B9596B"/>
    <w:rsid w:val="00B95F0A"/>
    <w:rsid w:val="00B96141"/>
    <w:rsid w:val="00B96E5F"/>
    <w:rsid w:val="00BA0D9F"/>
    <w:rsid w:val="00BA0FA0"/>
    <w:rsid w:val="00BA2626"/>
    <w:rsid w:val="00BA30D3"/>
    <w:rsid w:val="00BA3BCD"/>
    <w:rsid w:val="00BA509F"/>
    <w:rsid w:val="00BA5300"/>
    <w:rsid w:val="00BA5303"/>
    <w:rsid w:val="00BA5922"/>
    <w:rsid w:val="00BA5D2D"/>
    <w:rsid w:val="00BA5F48"/>
    <w:rsid w:val="00BA6089"/>
    <w:rsid w:val="00BA6805"/>
    <w:rsid w:val="00BA6A53"/>
    <w:rsid w:val="00BA7DDF"/>
    <w:rsid w:val="00BB00D5"/>
    <w:rsid w:val="00BB011A"/>
    <w:rsid w:val="00BB0C4F"/>
    <w:rsid w:val="00BB11B0"/>
    <w:rsid w:val="00BB12A4"/>
    <w:rsid w:val="00BB1A18"/>
    <w:rsid w:val="00BB1FCA"/>
    <w:rsid w:val="00BB2312"/>
    <w:rsid w:val="00BB2865"/>
    <w:rsid w:val="00BB333C"/>
    <w:rsid w:val="00BB38D6"/>
    <w:rsid w:val="00BB42AF"/>
    <w:rsid w:val="00BB502D"/>
    <w:rsid w:val="00BB5FC3"/>
    <w:rsid w:val="00BC1862"/>
    <w:rsid w:val="00BC290C"/>
    <w:rsid w:val="00BC2CCA"/>
    <w:rsid w:val="00BC3288"/>
    <w:rsid w:val="00BC3755"/>
    <w:rsid w:val="00BC3FBA"/>
    <w:rsid w:val="00BC442A"/>
    <w:rsid w:val="00BC455F"/>
    <w:rsid w:val="00BC4B79"/>
    <w:rsid w:val="00BC5739"/>
    <w:rsid w:val="00BC599E"/>
    <w:rsid w:val="00BC61E9"/>
    <w:rsid w:val="00BC622E"/>
    <w:rsid w:val="00BC6301"/>
    <w:rsid w:val="00BC6B6D"/>
    <w:rsid w:val="00BD046F"/>
    <w:rsid w:val="00BD0816"/>
    <w:rsid w:val="00BD101C"/>
    <w:rsid w:val="00BD16CD"/>
    <w:rsid w:val="00BD208F"/>
    <w:rsid w:val="00BD257A"/>
    <w:rsid w:val="00BD27C2"/>
    <w:rsid w:val="00BD2C1D"/>
    <w:rsid w:val="00BD2E58"/>
    <w:rsid w:val="00BD34DF"/>
    <w:rsid w:val="00BD3E6C"/>
    <w:rsid w:val="00BD46D2"/>
    <w:rsid w:val="00BD4E9F"/>
    <w:rsid w:val="00BD67F4"/>
    <w:rsid w:val="00BD70C1"/>
    <w:rsid w:val="00BD799A"/>
    <w:rsid w:val="00BE001E"/>
    <w:rsid w:val="00BE0231"/>
    <w:rsid w:val="00BE0470"/>
    <w:rsid w:val="00BE047A"/>
    <w:rsid w:val="00BE1B5F"/>
    <w:rsid w:val="00BE2B14"/>
    <w:rsid w:val="00BE39E6"/>
    <w:rsid w:val="00BE3A12"/>
    <w:rsid w:val="00BE3DC6"/>
    <w:rsid w:val="00BE4580"/>
    <w:rsid w:val="00BE465F"/>
    <w:rsid w:val="00BE483A"/>
    <w:rsid w:val="00BE4A7C"/>
    <w:rsid w:val="00BE5457"/>
    <w:rsid w:val="00BE57E9"/>
    <w:rsid w:val="00BE67CD"/>
    <w:rsid w:val="00BE6844"/>
    <w:rsid w:val="00BE69B5"/>
    <w:rsid w:val="00BE6EC5"/>
    <w:rsid w:val="00BE7829"/>
    <w:rsid w:val="00BE7BC2"/>
    <w:rsid w:val="00BE7E3F"/>
    <w:rsid w:val="00BE7FC7"/>
    <w:rsid w:val="00BF06B7"/>
    <w:rsid w:val="00BF3604"/>
    <w:rsid w:val="00BF4698"/>
    <w:rsid w:val="00BF4864"/>
    <w:rsid w:val="00BF4AFF"/>
    <w:rsid w:val="00BF4F47"/>
    <w:rsid w:val="00BF554A"/>
    <w:rsid w:val="00BF59C3"/>
    <w:rsid w:val="00BF7A5E"/>
    <w:rsid w:val="00C0062B"/>
    <w:rsid w:val="00C00A02"/>
    <w:rsid w:val="00C012CE"/>
    <w:rsid w:val="00C016E4"/>
    <w:rsid w:val="00C0181A"/>
    <w:rsid w:val="00C023DD"/>
    <w:rsid w:val="00C02927"/>
    <w:rsid w:val="00C040D1"/>
    <w:rsid w:val="00C05A3E"/>
    <w:rsid w:val="00C05C09"/>
    <w:rsid w:val="00C06535"/>
    <w:rsid w:val="00C074F0"/>
    <w:rsid w:val="00C10C3C"/>
    <w:rsid w:val="00C10E58"/>
    <w:rsid w:val="00C116B7"/>
    <w:rsid w:val="00C11A24"/>
    <w:rsid w:val="00C12D04"/>
    <w:rsid w:val="00C12D4A"/>
    <w:rsid w:val="00C153A4"/>
    <w:rsid w:val="00C15B64"/>
    <w:rsid w:val="00C15C74"/>
    <w:rsid w:val="00C16293"/>
    <w:rsid w:val="00C165C5"/>
    <w:rsid w:val="00C16B55"/>
    <w:rsid w:val="00C1764D"/>
    <w:rsid w:val="00C178A4"/>
    <w:rsid w:val="00C17D77"/>
    <w:rsid w:val="00C207D2"/>
    <w:rsid w:val="00C20953"/>
    <w:rsid w:val="00C20BE8"/>
    <w:rsid w:val="00C215DB"/>
    <w:rsid w:val="00C21740"/>
    <w:rsid w:val="00C22DF7"/>
    <w:rsid w:val="00C23F09"/>
    <w:rsid w:val="00C24122"/>
    <w:rsid w:val="00C24219"/>
    <w:rsid w:val="00C243BB"/>
    <w:rsid w:val="00C25FAD"/>
    <w:rsid w:val="00C26B47"/>
    <w:rsid w:val="00C2713E"/>
    <w:rsid w:val="00C2770C"/>
    <w:rsid w:val="00C27A19"/>
    <w:rsid w:val="00C27B4F"/>
    <w:rsid w:val="00C302EE"/>
    <w:rsid w:val="00C319F8"/>
    <w:rsid w:val="00C31C5A"/>
    <w:rsid w:val="00C3281D"/>
    <w:rsid w:val="00C329A1"/>
    <w:rsid w:val="00C337D0"/>
    <w:rsid w:val="00C3397D"/>
    <w:rsid w:val="00C34202"/>
    <w:rsid w:val="00C35913"/>
    <w:rsid w:val="00C35A5E"/>
    <w:rsid w:val="00C36848"/>
    <w:rsid w:val="00C36C20"/>
    <w:rsid w:val="00C36E74"/>
    <w:rsid w:val="00C41DD0"/>
    <w:rsid w:val="00C42628"/>
    <w:rsid w:val="00C43016"/>
    <w:rsid w:val="00C43B80"/>
    <w:rsid w:val="00C43D6A"/>
    <w:rsid w:val="00C44330"/>
    <w:rsid w:val="00C4468B"/>
    <w:rsid w:val="00C44CEE"/>
    <w:rsid w:val="00C4504D"/>
    <w:rsid w:val="00C45641"/>
    <w:rsid w:val="00C46546"/>
    <w:rsid w:val="00C46C5A"/>
    <w:rsid w:val="00C47053"/>
    <w:rsid w:val="00C47EB6"/>
    <w:rsid w:val="00C50766"/>
    <w:rsid w:val="00C507A0"/>
    <w:rsid w:val="00C510E7"/>
    <w:rsid w:val="00C515C8"/>
    <w:rsid w:val="00C5173A"/>
    <w:rsid w:val="00C52573"/>
    <w:rsid w:val="00C52FEE"/>
    <w:rsid w:val="00C5335F"/>
    <w:rsid w:val="00C5386B"/>
    <w:rsid w:val="00C53AE5"/>
    <w:rsid w:val="00C53E65"/>
    <w:rsid w:val="00C5427B"/>
    <w:rsid w:val="00C54406"/>
    <w:rsid w:val="00C554B9"/>
    <w:rsid w:val="00C554F7"/>
    <w:rsid w:val="00C5577E"/>
    <w:rsid w:val="00C605AE"/>
    <w:rsid w:val="00C60997"/>
    <w:rsid w:val="00C61733"/>
    <w:rsid w:val="00C64DA1"/>
    <w:rsid w:val="00C66BD6"/>
    <w:rsid w:val="00C70DCB"/>
    <w:rsid w:val="00C7138D"/>
    <w:rsid w:val="00C71A03"/>
    <w:rsid w:val="00C71ECD"/>
    <w:rsid w:val="00C72431"/>
    <w:rsid w:val="00C72A04"/>
    <w:rsid w:val="00C72DFA"/>
    <w:rsid w:val="00C737A5"/>
    <w:rsid w:val="00C73D0D"/>
    <w:rsid w:val="00C74336"/>
    <w:rsid w:val="00C7446D"/>
    <w:rsid w:val="00C7549D"/>
    <w:rsid w:val="00C75D54"/>
    <w:rsid w:val="00C761C7"/>
    <w:rsid w:val="00C76A9A"/>
    <w:rsid w:val="00C7739C"/>
    <w:rsid w:val="00C7758C"/>
    <w:rsid w:val="00C77752"/>
    <w:rsid w:val="00C777B0"/>
    <w:rsid w:val="00C77BDB"/>
    <w:rsid w:val="00C80063"/>
    <w:rsid w:val="00C801C5"/>
    <w:rsid w:val="00C813FB"/>
    <w:rsid w:val="00C8186D"/>
    <w:rsid w:val="00C81FAC"/>
    <w:rsid w:val="00C838E9"/>
    <w:rsid w:val="00C83E33"/>
    <w:rsid w:val="00C84CA6"/>
    <w:rsid w:val="00C8566E"/>
    <w:rsid w:val="00C861E0"/>
    <w:rsid w:val="00C86F12"/>
    <w:rsid w:val="00C875AD"/>
    <w:rsid w:val="00C87685"/>
    <w:rsid w:val="00C87A04"/>
    <w:rsid w:val="00C87C87"/>
    <w:rsid w:val="00C9145F"/>
    <w:rsid w:val="00C91A05"/>
    <w:rsid w:val="00C91C43"/>
    <w:rsid w:val="00C91E98"/>
    <w:rsid w:val="00C926BC"/>
    <w:rsid w:val="00C92A4C"/>
    <w:rsid w:val="00C92AC5"/>
    <w:rsid w:val="00C94285"/>
    <w:rsid w:val="00C94966"/>
    <w:rsid w:val="00C94DEF"/>
    <w:rsid w:val="00C955ED"/>
    <w:rsid w:val="00C959FC"/>
    <w:rsid w:val="00C95A75"/>
    <w:rsid w:val="00CA0A0F"/>
    <w:rsid w:val="00CA0A27"/>
    <w:rsid w:val="00CA18DB"/>
    <w:rsid w:val="00CA1984"/>
    <w:rsid w:val="00CA3753"/>
    <w:rsid w:val="00CA3D93"/>
    <w:rsid w:val="00CA43C8"/>
    <w:rsid w:val="00CA45A4"/>
    <w:rsid w:val="00CA4873"/>
    <w:rsid w:val="00CA4B3C"/>
    <w:rsid w:val="00CA5050"/>
    <w:rsid w:val="00CA58D9"/>
    <w:rsid w:val="00CA5D3E"/>
    <w:rsid w:val="00CA5F49"/>
    <w:rsid w:val="00CA61DC"/>
    <w:rsid w:val="00CA647A"/>
    <w:rsid w:val="00CA7121"/>
    <w:rsid w:val="00CA74C5"/>
    <w:rsid w:val="00CA7A2D"/>
    <w:rsid w:val="00CB0209"/>
    <w:rsid w:val="00CB0AAD"/>
    <w:rsid w:val="00CB0EF2"/>
    <w:rsid w:val="00CB1923"/>
    <w:rsid w:val="00CB3BAB"/>
    <w:rsid w:val="00CB440E"/>
    <w:rsid w:val="00CB46F2"/>
    <w:rsid w:val="00CB4880"/>
    <w:rsid w:val="00CB56CB"/>
    <w:rsid w:val="00CB5733"/>
    <w:rsid w:val="00CB5C10"/>
    <w:rsid w:val="00CB6723"/>
    <w:rsid w:val="00CB6847"/>
    <w:rsid w:val="00CB7377"/>
    <w:rsid w:val="00CB7473"/>
    <w:rsid w:val="00CB7770"/>
    <w:rsid w:val="00CB79AD"/>
    <w:rsid w:val="00CB7BDB"/>
    <w:rsid w:val="00CC00E5"/>
    <w:rsid w:val="00CC035A"/>
    <w:rsid w:val="00CC09BF"/>
    <w:rsid w:val="00CC0AB9"/>
    <w:rsid w:val="00CC1067"/>
    <w:rsid w:val="00CC1B3C"/>
    <w:rsid w:val="00CC4934"/>
    <w:rsid w:val="00CC505A"/>
    <w:rsid w:val="00CC60D5"/>
    <w:rsid w:val="00CC6423"/>
    <w:rsid w:val="00CC7729"/>
    <w:rsid w:val="00CD10CC"/>
    <w:rsid w:val="00CD1FD7"/>
    <w:rsid w:val="00CD21B4"/>
    <w:rsid w:val="00CD33BA"/>
    <w:rsid w:val="00CD5621"/>
    <w:rsid w:val="00CD579D"/>
    <w:rsid w:val="00CD5D01"/>
    <w:rsid w:val="00CD72AC"/>
    <w:rsid w:val="00CD7963"/>
    <w:rsid w:val="00CE07BF"/>
    <w:rsid w:val="00CE21BF"/>
    <w:rsid w:val="00CE2D57"/>
    <w:rsid w:val="00CE2F53"/>
    <w:rsid w:val="00CE3EC4"/>
    <w:rsid w:val="00CE440B"/>
    <w:rsid w:val="00CE49B0"/>
    <w:rsid w:val="00CE4DA0"/>
    <w:rsid w:val="00CE4E6A"/>
    <w:rsid w:val="00CE5E65"/>
    <w:rsid w:val="00CE6DF8"/>
    <w:rsid w:val="00CE7773"/>
    <w:rsid w:val="00CE7E70"/>
    <w:rsid w:val="00CF05F0"/>
    <w:rsid w:val="00CF0E4E"/>
    <w:rsid w:val="00CF1091"/>
    <w:rsid w:val="00CF16A0"/>
    <w:rsid w:val="00CF2086"/>
    <w:rsid w:val="00CF31BC"/>
    <w:rsid w:val="00CF3C0D"/>
    <w:rsid w:val="00CF4614"/>
    <w:rsid w:val="00CF4EDA"/>
    <w:rsid w:val="00CF7099"/>
    <w:rsid w:val="00CF71DD"/>
    <w:rsid w:val="00CF7545"/>
    <w:rsid w:val="00D0074D"/>
    <w:rsid w:val="00D00CB4"/>
    <w:rsid w:val="00D01233"/>
    <w:rsid w:val="00D01F98"/>
    <w:rsid w:val="00D026F9"/>
    <w:rsid w:val="00D03389"/>
    <w:rsid w:val="00D03822"/>
    <w:rsid w:val="00D03D1D"/>
    <w:rsid w:val="00D05092"/>
    <w:rsid w:val="00D0586A"/>
    <w:rsid w:val="00D07F56"/>
    <w:rsid w:val="00D07F61"/>
    <w:rsid w:val="00D10E82"/>
    <w:rsid w:val="00D111E4"/>
    <w:rsid w:val="00D11384"/>
    <w:rsid w:val="00D11EA9"/>
    <w:rsid w:val="00D12871"/>
    <w:rsid w:val="00D12ED9"/>
    <w:rsid w:val="00D136AC"/>
    <w:rsid w:val="00D13D1F"/>
    <w:rsid w:val="00D145C6"/>
    <w:rsid w:val="00D157A6"/>
    <w:rsid w:val="00D15ADD"/>
    <w:rsid w:val="00D1636A"/>
    <w:rsid w:val="00D1709C"/>
    <w:rsid w:val="00D17D3A"/>
    <w:rsid w:val="00D220ED"/>
    <w:rsid w:val="00D229CE"/>
    <w:rsid w:val="00D22D3C"/>
    <w:rsid w:val="00D232B5"/>
    <w:rsid w:val="00D23532"/>
    <w:rsid w:val="00D23759"/>
    <w:rsid w:val="00D24072"/>
    <w:rsid w:val="00D2452B"/>
    <w:rsid w:val="00D245FF"/>
    <w:rsid w:val="00D268BD"/>
    <w:rsid w:val="00D26D89"/>
    <w:rsid w:val="00D26F79"/>
    <w:rsid w:val="00D30224"/>
    <w:rsid w:val="00D30600"/>
    <w:rsid w:val="00D31DE7"/>
    <w:rsid w:val="00D32379"/>
    <w:rsid w:val="00D326FE"/>
    <w:rsid w:val="00D32E04"/>
    <w:rsid w:val="00D35177"/>
    <w:rsid w:val="00D359B7"/>
    <w:rsid w:val="00D35C60"/>
    <w:rsid w:val="00D35E28"/>
    <w:rsid w:val="00D37410"/>
    <w:rsid w:val="00D405E9"/>
    <w:rsid w:val="00D40D59"/>
    <w:rsid w:val="00D433A5"/>
    <w:rsid w:val="00D43618"/>
    <w:rsid w:val="00D43894"/>
    <w:rsid w:val="00D43EE7"/>
    <w:rsid w:val="00D4448A"/>
    <w:rsid w:val="00D44759"/>
    <w:rsid w:val="00D4489E"/>
    <w:rsid w:val="00D45698"/>
    <w:rsid w:val="00D45E42"/>
    <w:rsid w:val="00D46233"/>
    <w:rsid w:val="00D46A12"/>
    <w:rsid w:val="00D46D9A"/>
    <w:rsid w:val="00D4767A"/>
    <w:rsid w:val="00D47C25"/>
    <w:rsid w:val="00D50B9D"/>
    <w:rsid w:val="00D50E56"/>
    <w:rsid w:val="00D52BD2"/>
    <w:rsid w:val="00D534D9"/>
    <w:rsid w:val="00D53C25"/>
    <w:rsid w:val="00D54B9F"/>
    <w:rsid w:val="00D56F74"/>
    <w:rsid w:val="00D57C61"/>
    <w:rsid w:val="00D57E9D"/>
    <w:rsid w:val="00D6038D"/>
    <w:rsid w:val="00D60425"/>
    <w:rsid w:val="00D62270"/>
    <w:rsid w:val="00D628C0"/>
    <w:rsid w:val="00D634AD"/>
    <w:rsid w:val="00D64585"/>
    <w:rsid w:val="00D64884"/>
    <w:rsid w:val="00D656BE"/>
    <w:rsid w:val="00D658E7"/>
    <w:rsid w:val="00D662BA"/>
    <w:rsid w:val="00D666AA"/>
    <w:rsid w:val="00D66F4A"/>
    <w:rsid w:val="00D67B7E"/>
    <w:rsid w:val="00D67F37"/>
    <w:rsid w:val="00D70089"/>
    <w:rsid w:val="00D71E0B"/>
    <w:rsid w:val="00D71E3F"/>
    <w:rsid w:val="00D71F94"/>
    <w:rsid w:val="00D72349"/>
    <w:rsid w:val="00D72478"/>
    <w:rsid w:val="00D72D2F"/>
    <w:rsid w:val="00D72FDB"/>
    <w:rsid w:val="00D741EE"/>
    <w:rsid w:val="00D74551"/>
    <w:rsid w:val="00D74780"/>
    <w:rsid w:val="00D749D0"/>
    <w:rsid w:val="00D75070"/>
    <w:rsid w:val="00D7608C"/>
    <w:rsid w:val="00D760A1"/>
    <w:rsid w:val="00D76695"/>
    <w:rsid w:val="00D76FEF"/>
    <w:rsid w:val="00D804EF"/>
    <w:rsid w:val="00D80539"/>
    <w:rsid w:val="00D80743"/>
    <w:rsid w:val="00D80D7C"/>
    <w:rsid w:val="00D81461"/>
    <w:rsid w:val="00D82C26"/>
    <w:rsid w:val="00D8308A"/>
    <w:rsid w:val="00D83690"/>
    <w:rsid w:val="00D838DB"/>
    <w:rsid w:val="00D83B6B"/>
    <w:rsid w:val="00D83F3C"/>
    <w:rsid w:val="00D84964"/>
    <w:rsid w:val="00D85008"/>
    <w:rsid w:val="00D87546"/>
    <w:rsid w:val="00D87E50"/>
    <w:rsid w:val="00D9107F"/>
    <w:rsid w:val="00D9148B"/>
    <w:rsid w:val="00D914DB"/>
    <w:rsid w:val="00D91BB0"/>
    <w:rsid w:val="00D91DB9"/>
    <w:rsid w:val="00D922CF"/>
    <w:rsid w:val="00D92EF6"/>
    <w:rsid w:val="00D93196"/>
    <w:rsid w:val="00D93993"/>
    <w:rsid w:val="00D943C7"/>
    <w:rsid w:val="00D949A5"/>
    <w:rsid w:val="00D94EB4"/>
    <w:rsid w:val="00D94FF8"/>
    <w:rsid w:val="00D95481"/>
    <w:rsid w:val="00D970AF"/>
    <w:rsid w:val="00D97D99"/>
    <w:rsid w:val="00D97F50"/>
    <w:rsid w:val="00DA1B2F"/>
    <w:rsid w:val="00DA1C02"/>
    <w:rsid w:val="00DA2AD1"/>
    <w:rsid w:val="00DA353E"/>
    <w:rsid w:val="00DA423C"/>
    <w:rsid w:val="00DA42E9"/>
    <w:rsid w:val="00DA4E65"/>
    <w:rsid w:val="00DA5931"/>
    <w:rsid w:val="00DA5C24"/>
    <w:rsid w:val="00DA618F"/>
    <w:rsid w:val="00DA6959"/>
    <w:rsid w:val="00DB07D3"/>
    <w:rsid w:val="00DB321A"/>
    <w:rsid w:val="00DB42EF"/>
    <w:rsid w:val="00DB4512"/>
    <w:rsid w:val="00DB46B6"/>
    <w:rsid w:val="00DB472F"/>
    <w:rsid w:val="00DB6062"/>
    <w:rsid w:val="00DC034B"/>
    <w:rsid w:val="00DC03E2"/>
    <w:rsid w:val="00DC1C89"/>
    <w:rsid w:val="00DC2A69"/>
    <w:rsid w:val="00DC2A6A"/>
    <w:rsid w:val="00DC2EB7"/>
    <w:rsid w:val="00DC31D1"/>
    <w:rsid w:val="00DC50D8"/>
    <w:rsid w:val="00DC5FC9"/>
    <w:rsid w:val="00DC686A"/>
    <w:rsid w:val="00DC6BBB"/>
    <w:rsid w:val="00DC70A2"/>
    <w:rsid w:val="00DC75F3"/>
    <w:rsid w:val="00DC7A2A"/>
    <w:rsid w:val="00DC7B54"/>
    <w:rsid w:val="00DD153B"/>
    <w:rsid w:val="00DD20A7"/>
    <w:rsid w:val="00DD3583"/>
    <w:rsid w:val="00DD3F78"/>
    <w:rsid w:val="00DD4821"/>
    <w:rsid w:val="00DD4859"/>
    <w:rsid w:val="00DD54E7"/>
    <w:rsid w:val="00DD5F0B"/>
    <w:rsid w:val="00DD75D8"/>
    <w:rsid w:val="00DD7C95"/>
    <w:rsid w:val="00DE02BB"/>
    <w:rsid w:val="00DE02E1"/>
    <w:rsid w:val="00DE06A8"/>
    <w:rsid w:val="00DE17B2"/>
    <w:rsid w:val="00DE1963"/>
    <w:rsid w:val="00DE2129"/>
    <w:rsid w:val="00DE23C7"/>
    <w:rsid w:val="00DE27E6"/>
    <w:rsid w:val="00DE2855"/>
    <w:rsid w:val="00DE3B1F"/>
    <w:rsid w:val="00DE3CC3"/>
    <w:rsid w:val="00DE5183"/>
    <w:rsid w:val="00DE63CD"/>
    <w:rsid w:val="00DE66F6"/>
    <w:rsid w:val="00DE69E9"/>
    <w:rsid w:val="00DE71F1"/>
    <w:rsid w:val="00DE7436"/>
    <w:rsid w:val="00DE7B8A"/>
    <w:rsid w:val="00DF080A"/>
    <w:rsid w:val="00DF11DA"/>
    <w:rsid w:val="00DF19AD"/>
    <w:rsid w:val="00DF289E"/>
    <w:rsid w:val="00DF2C58"/>
    <w:rsid w:val="00DF303B"/>
    <w:rsid w:val="00DF41CB"/>
    <w:rsid w:val="00DF4672"/>
    <w:rsid w:val="00DF59FC"/>
    <w:rsid w:val="00DF6E0B"/>
    <w:rsid w:val="00DF7B76"/>
    <w:rsid w:val="00E00A2C"/>
    <w:rsid w:val="00E00A7F"/>
    <w:rsid w:val="00E01AA0"/>
    <w:rsid w:val="00E01C93"/>
    <w:rsid w:val="00E01CE3"/>
    <w:rsid w:val="00E0265D"/>
    <w:rsid w:val="00E0270D"/>
    <w:rsid w:val="00E02C23"/>
    <w:rsid w:val="00E03392"/>
    <w:rsid w:val="00E03912"/>
    <w:rsid w:val="00E03A52"/>
    <w:rsid w:val="00E03F00"/>
    <w:rsid w:val="00E04040"/>
    <w:rsid w:val="00E057C9"/>
    <w:rsid w:val="00E0737E"/>
    <w:rsid w:val="00E10557"/>
    <w:rsid w:val="00E11BF8"/>
    <w:rsid w:val="00E12541"/>
    <w:rsid w:val="00E12E12"/>
    <w:rsid w:val="00E134B7"/>
    <w:rsid w:val="00E139E9"/>
    <w:rsid w:val="00E13EA0"/>
    <w:rsid w:val="00E14861"/>
    <w:rsid w:val="00E14D62"/>
    <w:rsid w:val="00E14DC4"/>
    <w:rsid w:val="00E15C45"/>
    <w:rsid w:val="00E1622B"/>
    <w:rsid w:val="00E16433"/>
    <w:rsid w:val="00E16B27"/>
    <w:rsid w:val="00E16D5F"/>
    <w:rsid w:val="00E173C5"/>
    <w:rsid w:val="00E173F7"/>
    <w:rsid w:val="00E20756"/>
    <w:rsid w:val="00E213A0"/>
    <w:rsid w:val="00E21FEE"/>
    <w:rsid w:val="00E2229F"/>
    <w:rsid w:val="00E22B46"/>
    <w:rsid w:val="00E239AF"/>
    <w:rsid w:val="00E23F52"/>
    <w:rsid w:val="00E245DA"/>
    <w:rsid w:val="00E25779"/>
    <w:rsid w:val="00E26D9E"/>
    <w:rsid w:val="00E30222"/>
    <w:rsid w:val="00E3149C"/>
    <w:rsid w:val="00E3156C"/>
    <w:rsid w:val="00E31D45"/>
    <w:rsid w:val="00E32429"/>
    <w:rsid w:val="00E32D1D"/>
    <w:rsid w:val="00E32E75"/>
    <w:rsid w:val="00E33129"/>
    <w:rsid w:val="00E331E4"/>
    <w:rsid w:val="00E332CE"/>
    <w:rsid w:val="00E338AE"/>
    <w:rsid w:val="00E34776"/>
    <w:rsid w:val="00E34D0E"/>
    <w:rsid w:val="00E34F1D"/>
    <w:rsid w:val="00E3527B"/>
    <w:rsid w:val="00E354F4"/>
    <w:rsid w:val="00E35FB0"/>
    <w:rsid w:val="00E36743"/>
    <w:rsid w:val="00E373CA"/>
    <w:rsid w:val="00E3790A"/>
    <w:rsid w:val="00E37E98"/>
    <w:rsid w:val="00E37F79"/>
    <w:rsid w:val="00E412EC"/>
    <w:rsid w:val="00E415F8"/>
    <w:rsid w:val="00E418CC"/>
    <w:rsid w:val="00E4194C"/>
    <w:rsid w:val="00E41FD6"/>
    <w:rsid w:val="00E42380"/>
    <w:rsid w:val="00E426C4"/>
    <w:rsid w:val="00E4393C"/>
    <w:rsid w:val="00E43954"/>
    <w:rsid w:val="00E4418B"/>
    <w:rsid w:val="00E44B2F"/>
    <w:rsid w:val="00E44C9D"/>
    <w:rsid w:val="00E44CBB"/>
    <w:rsid w:val="00E44DF6"/>
    <w:rsid w:val="00E454BE"/>
    <w:rsid w:val="00E458DE"/>
    <w:rsid w:val="00E46376"/>
    <w:rsid w:val="00E46EB8"/>
    <w:rsid w:val="00E474E7"/>
    <w:rsid w:val="00E47AAD"/>
    <w:rsid w:val="00E47E43"/>
    <w:rsid w:val="00E50165"/>
    <w:rsid w:val="00E50AC2"/>
    <w:rsid w:val="00E50FEB"/>
    <w:rsid w:val="00E51C26"/>
    <w:rsid w:val="00E52923"/>
    <w:rsid w:val="00E538B1"/>
    <w:rsid w:val="00E54526"/>
    <w:rsid w:val="00E549EE"/>
    <w:rsid w:val="00E54CBF"/>
    <w:rsid w:val="00E558CE"/>
    <w:rsid w:val="00E574CF"/>
    <w:rsid w:val="00E575BA"/>
    <w:rsid w:val="00E576BF"/>
    <w:rsid w:val="00E579FB"/>
    <w:rsid w:val="00E57F67"/>
    <w:rsid w:val="00E60405"/>
    <w:rsid w:val="00E61236"/>
    <w:rsid w:val="00E625DF"/>
    <w:rsid w:val="00E62B91"/>
    <w:rsid w:val="00E62B99"/>
    <w:rsid w:val="00E62C49"/>
    <w:rsid w:val="00E63E31"/>
    <w:rsid w:val="00E6476A"/>
    <w:rsid w:val="00E64F82"/>
    <w:rsid w:val="00E651AE"/>
    <w:rsid w:val="00E65663"/>
    <w:rsid w:val="00E65673"/>
    <w:rsid w:val="00E659AD"/>
    <w:rsid w:val="00E67193"/>
    <w:rsid w:val="00E7082D"/>
    <w:rsid w:val="00E71E12"/>
    <w:rsid w:val="00E71E1B"/>
    <w:rsid w:val="00E71E6D"/>
    <w:rsid w:val="00E728EE"/>
    <w:rsid w:val="00E72C23"/>
    <w:rsid w:val="00E72CF5"/>
    <w:rsid w:val="00E72E6A"/>
    <w:rsid w:val="00E72EAA"/>
    <w:rsid w:val="00E73C10"/>
    <w:rsid w:val="00E73E8F"/>
    <w:rsid w:val="00E74FAB"/>
    <w:rsid w:val="00E75C55"/>
    <w:rsid w:val="00E7651C"/>
    <w:rsid w:val="00E76DC8"/>
    <w:rsid w:val="00E77732"/>
    <w:rsid w:val="00E802CA"/>
    <w:rsid w:val="00E8070C"/>
    <w:rsid w:val="00E80DD9"/>
    <w:rsid w:val="00E811C6"/>
    <w:rsid w:val="00E816ED"/>
    <w:rsid w:val="00E81BA4"/>
    <w:rsid w:val="00E820E4"/>
    <w:rsid w:val="00E82688"/>
    <w:rsid w:val="00E8290D"/>
    <w:rsid w:val="00E82F5A"/>
    <w:rsid w:val="00E830F5"/>
    <w:rsid w:val="00E830F7"/>
    <w:rsid w:val="00E83B6E"/>
    <w:rsid w:val="00E83ED2"/>
    <w:rsid w:val="00E84D97"/>
    <w:rsid w:val="00E85731"/>
    <w:rsid w:val="00E85AE5"/>
    <w:rsid w:val="00E863D3"/>
    <w:rsid w:val="00E8664C"/>
    <w:rsid w:val="00E8684D"/>
    <w:rsid w:val="00E87B0D"/>
    <w:rsid w:val="00E90F56"/>
    <w:rsid w:val="00E9205C"/>
    <w:rsid w:val="00E926F1"/>
    <w:rsid w:val="00E94127"/>
    <w:rsid w:val="00E94B81"/>
    <w:rsid w:val="00E964EB"/>
    <w:rsid w:val="00E9713B"/>
    <w:rsid w:val="00E9767C"/>
    <w:rsid w:val="00EA0804"/>
    <w:rsid w:val="00EA120B"/>
    <w:rsid w:val="00EA2534"/>
    <w:rsid w:val="00EA29BD"/>
    <w:rsid w:val="00EA2D4E"/>
    <w:rsid w:val="00EA2D6D"/>
    <w:rsid w:val="00EA3630"/>
    <w:rsid w:val="00EA4AF5"/>
    <w:rsid w:val="00EA5BD4"/>
    <w:rsid w:val="00EA60DB"/>
    <w:rsid w:val="00EA6B04"/>
    <w:rsid w:val="00EA71F5"/>
    <w:rsid w:val="00EA782F"/>
    <w:rsid w:val="00EB0722"/>
    <w:rsid w:val="00EB07BA"/>
    <w:rsid w:val="00EB0B12"/>
    <w:rsid w:val="00EB0EB1"/>
    <w:rsid w:val="00EB1C02"/>
    <w:rsid w:val="00EB3413"/>
    <w:rsid w:val="00EB34A9"/>
    <w:rsid w:val="00EB3D80"/>
    <w:rsid w:val="00EB4127"/>
    <w:rsid w:val="00EB476D"/>
    <w:rsid w:val="00EB4BCD"/>
    <w:rsid w:val="00EB5190"/>
    <w:rsid w:val="00EB51EF"/>
    <w:rsid w:val="00EB526A"/>
    <w:rsid w:val="00EB63C8"/>
    <w:rsid w:val="00EB6A55"/>
    <w:rsid w:val="00EB6D46"/>
    <w:rsid w:val="00EB6D85"/>
    <w:rsid w:val="00EB7ACE"/>
    <w:rsid w:val="00EC1B47"/>
    <w:rsid w:val="00EC233F"/>
    <w:rsid w:val="00EC26F2"/>
    <w:rsid w:val="00EC28D8"/>
    <w:rsid w:val="00EC2BCE"/>
    <w:rsid w:val="00EC2DF2"/>
    <w:rsid w:val="00EC2F0B"/>
    <w:rsid w:val="00EC3391"/>
    <w:rsid w:val="00EC39EA"/>
    <w:rsid w:val="00EC3AA0"/>
    <w:rsid w:val="00EC4580"/>
    <w:rsid w:val="00EC6361"/>
    <w:rsid w:val="00ED02DA"/>
    <w:rsid w:val="00ED15D5"/>
    <w:rsid w:val="00ED16C7"/>
    <w:rsid w:val="00ED239D"/>
    <w:rsid w:val="00ED2D7E"/>
    <w:rsid w:val="00ED3589"/>
    <w:rsid w:val="00ED37FC"/>
    <w:rsid w:val="00ED3968"/>
    <w:rsid w:val="00ED3A13"/>
    <w:rsid w:val="00ED4951"/>
    <w:rsid w:val="00ED5768"/>
    <w:rsid w:val="00EE0D69"/>
    <w:rsid w:val="00EE138F"/>
    <w:rsid w:val="00EE13C3"/>
    <w:rsid w:val="00EE274D"/>
    <w:rsid w:val="00EE33A0"/>
    <w:rsid w:val="00EE3569"/>
    <w:rsid w:val="00EE3ADB"/>
    <w:rsid w:val="00EE4E77"/>
    <w:rsid w:val="00EE50B2"/>
    <w:rsid w:val="00EE5B80"/>
    <w:rsid w:val="00EE6084"/>
    <w:rsid w:val="00EE6EF0"/>
    <w:rsid w:val="00EE7090"/>
    <w:rsid w:val="00EE764D"/>
    <w:rsid w:val="00EE77E3"/>
    <w:rsid w:val="00EF0E2A"/>
    <w:rsid w:val="00EF146D"/>
    <w:rsid w:val="00EF172F"/>
    <w:rsid w:val="00EF353E"/>
    <w:rsid w:val="00EF3BCF"/>
    <w:rsid w:val="00EF44DC"/>
    <w:rsid w:val="00EF6147"/>
    <w:rsid w:val="00EF64E5"/>
    <w:rsid w:val="00EF66EF"/>
    <w:rsid w:val="00EF6C2D"/>
    <w:rsid w:val="00EF6FE2"/>
    <w:rsid w:val="00EF7067"/>
    <w:rsid w:val="00EF70D8"/>
    <w:rsid w:val="00F00003"/>
    <w:rsid w:val="00F01EE0"/>
    <w:rsid w:val="00F03047"/>
    <w:rsid w:val="00F036F0"/>
    <w:rsid w:val="00F03C15"/>
    <w:rsid w:val="00F04AB0"/>
    <w:rsid w:val="00F0582B"/>
    <w:rsid w:val="00F05B24"/>
    <w:rsid w:val="00F06226"/>
    <w:rsid w:val="00F06CFB"/>
    <w:rsid w:val="00F071D2"/>
    <w:rsid w:val="00F07A42"/>
    <w:rsid w:val="00F119D1"/>
    <w:rsid w:val="00F11C9D"/>
    <w:rsid w:val="00F1255B"/>
    <w:rsid w:val="00F12C35"/>
    <w:rsid w:val="00F13F52"/>
    <w:rsid w:val="00F15E29"/>
    <w:rsid w:val="00F17227"/>
    <w:rsid w:val="00F1738E"/>
    <w:rsid w:val="00F17584"/>
    <w:rsid w:val="00F17DEF"/>
    <w:rsid w:val="00F20C4A"/>
    <w:rsid w:val="00F21E27"/>
    <w:rsid w:val="00F22E43"/>
    <w:rsid w:val="00F23FE4"/>
    <w:rsid w:val="00F24165"/>
    <w:rsid w:val="00F24DFA"/>
    <w:rsid w:val="00F24F7D"/>
    <w:rsid w:val="00F25471"/>
    <w:rsid w:val="00F25BAA"/>
    <w:rsid w:val="00F25D28"/>
    <w:rsid w:val="00F2606D"/>
    <w:rsid w:val="00F26076"/>
    <w:rsid w:val="00F26624"/>
    <w:rsid w:val="00F30375"/>
    <w:rsid w:val="00F305A6"/>
    <w:rsid w:val="00F307EF"/>
    <w:rsid w:val="00F309BA"/>
    <w:rsid w:val="00F30D3B"/>
    <w:rsid w:val="00F30E9C"/>
    <w:rsid w:val="00F32114"/>
    <w:rsid w:val="00F32CDE"/>
    <w:rsid w:val="00F3324E"/>
    <w:rsid w:val="00F33826"/>
    <w:rsid w:val="00F338F4"/>
    <w:rsid w:val="00F33BB7"/>
    <w:rsid w:val="00F34BAC"/>
    <w:rsid w:val="00F34BE3"/>
    <w:rsid w:val="00F35132"/>
    <w:rsid w:val="00F3587C"/>
    <w:rsid w:val="00F35B05"/>
    <w:rsid w:val="00F365CF"/>
    <w:rsid w:val="00F37027"/>
    <w:rsid w:val="00F37FEE"/>
    <w:rsid w:val="00F402C4"/>
    <w:rsid w:val="00F40A13"/>
    <w:rsid w:val="00F40AB1"/>
    <w:rsid w:val="00F40C43"/>
    <w:rsid w:val="00F41399"/>
    <w:rsid w:val="00F41F2B"/>
    <w:rsid w:val="00F4322C"/>
    <w:rsid w:val="00F43B0A"/>
    <w:rsid w:val="00F43F47"/>
    <w:rsid w:val="00F43F6E"/>
    <w:rsid w:val="00F45B6B"/>
    <w:rsid w:val="00F46DA5"/>
    <w:rsid w:val="00F472C9"/>
    <w:rsid w:val="00F50DD3"/>
    <w:rsid w:val="00F51023"/>
    <w:rsid w:val="00F52449"/>
    <w:rsid w:val="00F52F1B"/>
    <w:rsid w:val="00F54DFB"/>
    <w:rsid w:val="00F55422"/>
    <w:rsid w:val="00F55423"/>
    <w:rsid w:val="00F5575D"/>
    <w:rsid w:val="00F56141"/>
    <w:rsid w:val="00F5657D"/>
    <w:rsid w:val="00F56931"/>
    <w:rsid w:val="00F56999"/>
    <w:rsid w:val="00F56C77"/>
    <w:rsid w:val="00F56EE2"/>
    <w:rsid w:val="00F56F12"/>
    <w:rsid w:val="00F578C5"/>
    <w:rsid w:val="00F57E0F"/>
    <w:rsid w:val="00F60C0B"/>
    <w:rsid w:val="00F62A3F"/>
    <w:rsid w:val="00F6353C"/>
    <w:rsid w:val="00F638A5"/>
    <w:rsid w:val="00F63B9D"/>
    <w:rsid w:val="00F64205"/>
    <w:rsid w:val="00F644A7"/>
    <w:rsid w:val="00F64875"/>
    <w:rsid w:val="00F64BE5"/>
    <w:rsid w:val="00F64F47"/>
    <w:rsid w:val="00F65023"/>
    <w:rsid w:val="00F6638C"/>
    <w:rsid w:val="00F6659E"/>
    <w:rsid w:val="00F66C44"/>
    <w:rsid w:val="00F66CC1"/>
    <w:rsid w:val="00F676C3"/>
    <w:rsid w:val="00F67A36"/>
    <w:rsid w:val="00F67C6F"/>
    <w:rsid w:val="00F70A7A"/>
    <w:rsid w:val="00F70E95"/>
    <w:rsid w:val="00F7234B"/>
    <w:rsid w:val="00F7292A"/>
    <w:rsid w:val="00F731F9"/>
    <w:rsid w:val="00F74248"/>
    <w:rsid w:val="00F74947"/>
    <w:rsid w:val="00F759FE"/>
    <w:rsid w:val="00F75A91"/>
    <w:rsid w:val="00F75CD7"/>
    <w:rsid w:val="00F7660F"/>
    <w:rsid w:val="00F76BBE"/>
    <w:rsid w:val="00F76BC3"/>
    <w:rsid w:val="00F77D03"/>
    <w:rsid w:val="00F802E9"/>
    <w:rsid w:val="00F816B1"/>
    <w:rsid w:val="00F81BCC"/>
    <w:rsid w:val="00F81E0B"/>
    <w:rsid w:val="00F821DE"/>
    <w:rsid w:val="00F82885"/>
    <w:rsid w:val="00F82C9A"/>
    <w:rsid w:val="00F83B44"/>
    <w:rsid w:val="00F841A7"/>
    <w:rsid w:val="00F84B4E"/>
    <w:rsid w:val="00F85031"/>
    <w:rsid w:val="00F863CD"/>
    <w:rsid w:val="00F86496"/>
    <w:rsid w:val="00F864FD"/>
    <w:rsid w:val="00F8739B"/>
    <w:rsid w:val="00F90085"/>
    <w:rsid w:val="00F901A8"/>
    <w:rsid w:val="00F90275"/>
    <w:rsid w:val="00F90AF1"/>
    <w:rsid w:val="00F90E6E"/>
    <w:rsid w:val="00F91104"/>
    <w:rsid w:val="00F91AAB"/>
    <w:rsid w:val="00F91BCB"/>
    <w:rsid w:val="00F91DAE"/>
    <w:rsid w:val="00F91DB3"/>
    <w:rsid w:val="00F927FD"/>
    <w:rsid w:val="00F93040"/>
    <w:rsid w:val="00F930FD"/>
    <w:rsid w:val="00F93B09"/>
    <w:rsid w:val="00F94535"/>
    <w:rsid w:val="00F95013"/>
    <w:rsid w:val="00F9553C"/>
    <w:rsid w:val="00F955AA"/>
    <w:rsid w:val="00F956D1"/>
    <w:rsid w:val="00F96108"/>
    <w:rsid w:val="00F96246"/>
    <w:rsid w:val="00F96545"/>
    <w:rsid w:val="00F96A81"/>
    <w:rsid w:val="00F96E40"/>
    <w:rsid w:val="00F97E3D"/>
    <w:rsid w:val="00F97E61"/>
    <w:rsid w:val="00FA016D"/>
    <w:rsid w:val="00FA0713"/>
    <w:rsid w:val="00FA0815"/>
    <w:rsid w:val="00FA215C"/>
    <w:rsid w:val="00FA2B52"/>
    <w:rsid w:val="00FA2BBA"/>
    <w:rsid w:val="00FA2DB2"/>
    <w:rsid w:val="00FA3193"/>
    <w:rsid w:val="00FA495B"/>
    <w:rsid w:val="00FA5322"/>
    <w:rsid w:val="00FA559C"/>
    <w:rsid w:val="00FA5C46"/>
    <w:rsid w:val="00FA5E53"/>
    <w:rsid w:val="00FA62A0"/>
    <w:rsid w:val="00FA6755"/>
    <w:rsid w:val="00FA70A1"/>
    <w:rsid w:val="00FA77C7"/>
    <w:rsid w:val="00FB0186"/>
    <w:rsid w:val="00FB0AE3"/>
    <w:rsid w:val="00FB0B9B"/>
    <w:rsid w:val="00FB104C"/>
    <w:rsid w:val="00FB132A"/>
    <w:rsid w:val="00FB1631"/>
    <w:rsid w:val="00FB24FE"/>
    <w:rsid w:val="00FB27DD"/>
    <w:rsid w:val="00FB3012"/>
    <w:rsid w:val="00FB312A"/>
    <w:rsid w:val="00FB483C"/>
    <w:rsid w:val="00FB57D6"/>
    <w:rsid w:val="00FB5BD4"/>
    <w:rsid w:val="00FB6652"/>
    <w:rsid w:val="00FB6CEB"/>
    <w:rsid w:val="00FB7CBF"/>
    <w:rsid w:val="00FC05D4"/>
    <w:rsid w:val="00FC108F"/>
    <w:rsid w:val="00FC140B"/>
    <w:rsid w:val="00FC14AD"/>
    <w:rsid w:val="00FC1F3A"/>
    <w:rsid w:val="00FC20C0"/>
    <w:rsid w:val="00FC21BE"/>
    <w:rsid w:val="00FC2636"/>
    <w:rsid w:val="00FC3225"/>
    <w:rsid w:val="00FC3CA9"/>
    <w:rsid w:val="00FC3DC7"/>
    <w:rsid w:val="00FC4AA4"/>
    <w:rsid w:val="00FC55F4"/>
    <w:rsid w:val="00FC60B8"/>
    <w:rsid w:val="00FC6422"/>
    <w:rsid w:val="00FC679B"/>
    <w:rsid w:val="00FC709A"/>
    <w:rsid w:val="00FC7C60"/>
    <w:rsid w:val="00FD0221"/>
    <w:rsid w:val="00FD07E2"/>
    <w:rsid w:val="00FD0E90"/>
    <w:rsid w:val="00FD132F"/>
    <w:rsid w:val="00FD14CE"/>
    <w:rsid w:val="00FD2720"/>
    <w:rsid w:val="00FD2D48"/>
    <w:rsid w:val="00FD546B"/>
    <w:rsid w:val="00FD5A6B"/>
    <w:rsid w:val="00FD5AFF"/>
    <w:rsid w:val="00FD628B"/>
    <w:rsid w:val="00FD68DD"/>
    <w:rsid w:val="00FD69D3"/>
    <w:rsid w:val="00FD6A27"/>
    <w:rsid w:val="00FE01A8"/>
    <w:rsid w:val="00FE0221"/>
    <w:rsid w:val="00FE0591"/>
    <w:rsid w:val="00FE10A0"/>
    <w:rsid w:val="00FE15D8"/>
    <w:rsid w:val="00FE2490"/>
    <w:rsid w:val="00FE2EE8"/>
    <w:rsid w:val="00FE34D6"/>
    <w:rsid w:val="00FE44AC"/>
    <w:rsid w:val="00FE4B7D"/>
    <w:rsid w:val="00FE5357"/>
    <w:rsid w:val="00FE54CE"/>
    <w:rsid w:val="00FE54F7"/>
    <w:rsid w:val="00FE6645"/>
    <w:rsid w:val="00FE7423"/>
    <w:rsid w:val="00FE783F"/>
    <w:rsid w:val="00FF0236"/>
    <w:rsid w:val="00FF0668"/>
    <w:rsid w:val="00FF2AA5"/>
    <w:rsid w:val="00FF2E9C"/>
    <w:rsid w:val="00FF33C0"/>
    <w:rsid w:val="00FF3AAD"/>
    <w:rsid w:val="00FF3D65"/>
    <w:rsid w:val="00FF44FC"/>
    <w:rsid w:val="00FF523A"/>
    <w:rsid w:val="00FF563A"/>
    <w:rsid w:val="00FF56DC"/>
    <w:rsid w:val="00FF78F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14:docId w14:val="1AD4E3A5"/>
  <w15:chartTrackingRefBased/>
  <w15:docId w15:val="{01BB4766-625E-4B34-86CA-2509ED548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2C28"/>
  </w:style>
  <w:style w:type="paragraph" w:styleId="Ttulo1">
    <w:name w:val="heading 1"/>
    <w:basedOn w:val="Normal"/>
    <w:next w:val="Normal"/>
    <w:link w:val="Ttulo1Car"/>
    <w:uiPriority w:val="9"/>
    <w:qFormat/>
    <w:rsid w:val="007E5453"/>
    <w:pPr>
      <w:keepNext/>
      <w:keepLines/>
      <w:numPr>
        <w:numId w:val="1"/>
      </w:numPr>
      <w:pBdr>
        <w:top w:val="single" w:sz="2" w:space="1" w:color="1F3864" w:themeColor="accent1" w:themeShade="80"/>
        <w:left w:val="single" w:sz="2" w:space="4" w:color="1F3864" w:themeColor="accent1" w:themeShade="80"/>
        <w:bottom w:val="single" w:sz="2" w:space="1" w:color="1F3864" w:themeColor="accent1" w:themeShade="80"/>
        <w:right w:val="single" w:sz="2" w:space="4" w:color="1F3864" w:themeColor="accent1" w:themeShade="80"/>
      </w:pBdr>
      <w:shd w:val="clear" w:color="auto" w:fill="2F86BB"/>
      <w:spacing w:before="240" w:after="240" w:line="240" w:lineRule="auto"/>
      <w:jc w:val="both"/>
      <w:outlineLvl w:val="0"/>
    </w:pPr>
    <w:rPr>
      <w:rFonts w:ascii="Book Antiqua" w:eastAsiaTheme="majorEastAsia" w:hAnsi="Book Antiqua" w:cstheme="majorBidi"/>
      <w:b/>
      <w:color w:val="FFFFFF" w:themeColor="background1"/>
      <w:sz w:val="24"/>
      <w:szCs w:val="32"/>
    </w:rPr>
  </w:style>
  <w:style w:type="paragraph" w:styleId="Ttulo2">
    <w:name w:val="heading 2"/>
    <w:basedOn w:val="Normal"/>
    <w:next w:val="Normal"/>
    <w:link w:val="Ttulo2Car"/>
    <w:autoRedefine/>
    <w:uiPriority w:val="9"/>
    <w:unhideWhenUsed/>
    <w:qFormat/>
    <w:rsid w:val="008456A9"/>
    <w:pPr>
      <w:keepNext/>
      <w:keepLines/>
      <w:numPr>
        <w:ilvl w:val="2"/>
        <w:numId w:val="5"/>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shd w:val="clear" w:color="auto" w:fill="D9E2F3" w:themeFill="accent1" w:themeFillTint="33"/>
      <w:spacing w:before="240" w:after="240" w:line="276" w:lineRule="auto"/>
      <w:jc w:val="both"/>
      <w:outlineLvl w:val="1"/>
    </w:pPr>
    <w:rPr>
      <w:rFonts w:ascii="Book Antiqua" w:eastAsiaTheme="majorEastAsia" w:hAnsi="Book Antiqua" w:cstheme="majorBidi"/>
      <w:b/>
      <w:color w:val="1F3864" w:themeColor="accent1" w:themeShade="80"/>
      <w:sz w:val="24"/>
      <w:lang w:val="es-ES"/>
    </w:rPr>
  </w:style>
  <w:style w:type="paragraph" w:styleId="Ttulo3">
    <w:name w:val="heading 3"/>
    <w:basedOn w:val="Normal"/>
    <w:next w:val="Normal"/>
    <w:link w:val="Ttulo3Car"/>
    <w:autoRedefine/>
    <w:uiPriority w:val="9"/>
    <w:unhideWhenUsed/>
    <w:qFormat/>
    <w:rsid w:val="005B3BC9"/>
    <w:pPr>
      <w:keepNext/>
      <w:widowControl w:val="0"/>
      <w:spacing w:before="240" w:after="240" w:line="240" w:lineRule="auto"/>
      <w:jc w:val="both"/>
      <w:outlineLvl w:val="2"/>
    </w:pPr>
    <w:rPr>
      <w:rFonts w:ascii="Book Antiqua" w:eastAsia="Times New Roman" w:hAnsi="Book Antiqua" w:cs="Times New Roman"/>
      <w:b/>
      <w:color w:val="1F3864" w:themeColor="accent1" w:themeShade="80"/>
      <w:sz w:val="24"/>
      <w:szCs w:val="20"/>
      <w:lang w:val="es-MX" w:eastAsia="es-ES"/>
    </w:rPr>
  </w:style>
  <w:style w:type="paragraph" w:styleId="Ttulo4">
    <w:name w:val="heading 4"/>
    <w:basedOn w:val="Normal"/>
    <w:next w:val="Normal"/>
    <w:link w:val="Ttulo4Car"/>
    <w:autoRedefine/>
    <w:unhideWhenUsed/>
    <w:qFormat/>
    <w:rsid w:val="000012B5"/>
    <w:pPr>
      <w:keepNext/>
      <w:widowControl w:val="0"/>
      <w:tabs>
        <w:tab w:val="left" w:pos="993"/>
      </w:tabs>
      <w:spacing w:before="120" w:after="0" w:line="276" w:lineRule="auto"/>
      <w:jc w:val="both"/>
      <w:outlineLvl w:val="3"/>
    </w:pPr>
    <w:rPr>
      <w:rFonts w:ascii="Book Antiqua" w:eastAsiaTheme="majorEastAsia" w:hAnsi="Book Antiqua" w:cs="Times New Roman"/>
      <w:b/>
      <w:bCs/>
      <w:snapToGrid w:val="0"/>
      <w:sz w:val="24"/>
      <w:szCs w:val="32"/>
    </w:rPr>
  </w:style>
  <w:style w:type="paragraph" w:styleId="Ttulo5">
    <w:name w:val="heading 5"/>
    <w:basedOn w:val="Normal"/>
    <w:next w:val="Normal"/>
    <w:link w:val="Ttulo5Car"/>
    <w:uiPriority w:val="9"/>
    <w:unhideWhenUsed/>
    <w:qFormat/>
    <w:rsid w:val="007E5453"/>
    <w:pPr>
      <w:keepNext/>
      <w:keepLines/>
      <w:numPr>
        <w:ilvl w:val="4"/>
        <w:numId w:val="1"/>
      </w:numPr>
      <w:spacing w:before="40" w:after="120" w:line="240" w:lineRule="auto"/>
      <w:jc w:val="both"/>
      <w:outlineLvl w:val="4"/>
    </w:pPr>
    <w:rPr>
      <w:rFonts w:asciiTheme="majorHAnsi" w:eastAsiaTheme="majorEastAsia" w:hAnsiTheme="majorHAnsi" w:cstheme="majorBidi"/>
      <w:color w:val="2F5496" w:themeColor="accent1" w:themeShade="BF"/>
      <w:szCs w:val="20"/>
      <w:lang w:eastAsia="es-ES"/>
    </w:rPr>
  </w:style>
  <w:style w:type="paragraph" w:styleId="Ttulo6">
    <w:name w:val="heading 6"/>
    <w:basedOn w:val="Normal"/>
    <w:next w:val="Normal"/>
    <w:link w:val="Ttulo6Car"/>
    <w:unhideWhenUsed/>
    <w:qFormat/>
    <w:rsid w:val="007E5453"/>
    <w:pPr>
      <w:keepNext/>
      <w:keepLines/>
      <w:numPr>
        <w:ilvl w:val="5"/>
        <w:numId w:val="1"/>
      </w:numPr>
      <w:spacing w:before="40" w:after="120" w:line="240" w:lineRule="auto"/>
      <w:jc w:val="both"/>
      <w:outlineLvl w:val="5"/>
    </w:pPr>
    <w:rPr>
      <w:rFonts w:asciiTheme="majorHAnsi" w:eastAsiaTheme="majorEastAsia" w:hAnsiTheme="majorHAnsi" w:cstheme="majorBidi"/>
      <w:color w:val="1F3763" w:themeColor="accent1" w:themeShade="7F"/>
      <w:szCs w:val="20"/>
      <w:lang w:eastAsia="es-ES"/>
    </w:rPr>
  </w:style>
  <w:style w:type="paragraph" w:styleId="Ttulo7">
    <w:name w:val="heading 7"/>
    <w:basedOn w:val="Normal"/>
    <w:next w:val="Normal"/>
    <w:link w:val="Ttulo7Car"/>
    <w:unhideWhenUsed/>
    <w:qFormat/>
    <w:rsid w:val="007E5453"/>
    <w:pPr>
      <w:keepNext/>
      <w:keepLines/>
      <w:numPr>
        <w:ilvl w:val="6"/>
        <w:numId w:val="1"/>
      </w:numPr>
      <w:spacing w:before="40" w:after="120" w:line="240" w:lineRule="auto"/>
      <w:jc w:val="both"/>
      <w:outlineLvl w:val="6"/>
    </w:pPr>
    <w:rPr>
      <w:rFonts w:asciiTheme="majorHAnsi" w:eastAsiaTheme="majorEastAsia" w:hAnsiTheme="majorHAnsi" w:cstheme="majorBidi"/>
      <w:i/>
      <w:iCs/>
      <w:color w:val="1F3763" w:themeColor="accent1" w:themeShade="7F"/>
      <w:szCs w:val="20"/>
      <w:lang w:eastAsia="es-ES"/>
    </w:rPr>
  </w:style>
  <w:style w:type="paragraph" w:styleId="Ttulo8">
    <w:name w:val="heading 8"/>
    <w:basedOn w:val="Normal"/>
    <w:next w:val="Normal"/>
    <w:link w:val="Ttulo8Car"/>
    <w:unhideWhenUsed/>
    <w:qFormat/>
    <w:rsid w:val="007E5453"/>
    <w:pPr>
      <w:keepNext/>
      <w:keepLines/>
      <w:numPr>
        <w:ilvl w:val="7"/>
        <w:numId w:val="1"/>
      </w:numPr>
      <w:spacing w:before="40" w:after="120" w:line="240" w:lineRule="auto"/>
      <w:jc w:val="both"/>
      <w:outlineLvl w:val="7"/>
    </w:pPr>
    <w:rPr>
      <w:rFonts w:asciiTheme="majorHAnsi" w:eastAsiaTheme="majorEastAsia" w:hAnsiTheme="majorHAnsi" w:cstheme="majorBidi"/>
      <w:color w:val="272727" w:themeColor="text1" w:themeTint="D8"/>
      <w:sz w:val="21"/>
      <w:szCs w:val="21"/>
      <w:lang w:eastAsia="es-ES"/>
    </w:rPr>
  </w:style>
  <w:style w:type="paragraph" w:styleId="Ttulo9">
    <w:name w:val="heading 9"/>
    <w:basedOn w:val="Normal"/>
    <w:next w:val="Normal"/>
    <w:link w:val="Ttulo9Car"/>
    <w:unhideWhenUsed/>
    <w:qFormat/>
    <w:rsid w:val="007E5453"/>
    <w:pPr>
      <w:keepNext/>
      <w:keepLines/>
      <w:numPr>
        <w:ilvl w:val="8"/>
        <w:numId w:val="1"/>
      </w:numPr>
      <w:spacing w:before="40" w:after="120" w:line="240" w:lineRule="auto"/>
      <w:jc w:val="both"/>
      <w:outlineLvl w:val="8"/>
    </w:pPr>
    <w:rPr>
      <w:rFonts w:asciiTheme="majorHAnsi" w:eastAsiaTheme="majorEastAsia" w:hAnsiTheme="majorHAnsi" w:cstheme="majorBidi"/>
      <w:i/>
      <w:iCs/>
      <w:color w:val="272727" w:themeColor="text1" w:themeTint="D8"/>
      <w:sz w:val="21"/>
      <w:szCs w:val="21"/>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h"/>
    <w:basedOn w:val="Normal"/>
    <w:link w:val="EncabezadoCar"/>
    <w:uiPriority w:val="99"/>
    <w:unhideWhenUsed/>
    <w:rsid w:val="00CF1091"/>
    <w:pPr>
      <w:tabs>
        <w:tab w:val="center" w:pos="4419"/>
        <w:tab w:val="right" w:pos="8838"/>
      </w:tabs>
      <w:spacing w:after="0" w:line="240" w:lineRule="auto"/>
    </w:pPr>
  </w:style>
  <w:style w:type="character" w:customStyle="1" w:styleId="EncabezadoCar">
    <w:name w:val="Encabezado Car"/>
    <w:aliases w:val="encabezado Car,h Car"/>
    <w:basedOn w:val="Fuentedeprrafopredeter"/>
    <w:link w:val="Encabezado"/>
    <w:uiPriority w:val="99"/>
    <w:rsid w:val="00CF1091"/>
  </w:style>
  <w:style w:type="paragraph" w:styleId="Piedepgina">
    <w:name w:val="footer"/>
    <w:basedOn w:val="Normal"/>
    <w:link w:val="PiedepginaCar"/>
    <w:uiPriority w:val="99"/>
    <w:unhideWhenUsed/>
    <w:rsid w:val="00CF109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F1091"/>
  </w:style>
  <w:style w:type="character" w:customStyle="1" w:styleId="Ttulo1Car">
    <w:name w:val="Título 1 Car"/>
    <w:basedOn w:val="Fuentedeprrafopredeter"/>
    <w:link w:val="Ttulo1"/>
    <w:uiPriority w:val="9"/>
    <w:rsid w:val="007E5453"/>
    <w:rPr>
      <w:rFonts w:ascii="Book Antiqua" w:eastAsiaTheme="majorEastAsia" w:hAnsi="Book Antiqua" w:cstheme="majorBidi"/>
      <w:b/>
      <w:color w:val="FFFFFF" w:themeColor="background1"/>
      <w:sz w:val="24"/>
      <w:szCs w:val="32"/>
      <w:shd w:val="clear" w:color="auto" w:fill="2F86BB"/>
    </w:rPr>
  </w:style>
  <w:style w:type="character" w:customStyle="1" w:styleId="Ttulo2Car">
    <w:name w:val="Título 2 Car"/>
    <w:basedOn w:val="Fuentedeprrafopredeter"/>
    <w:link w:val="Ttulo2"/>
    <w:uiPriority w:val="9"/>
    <w:rsid w:val="008456A9"/>
    <w:rPr>
      <w:rFonts w:ascii="Book Antiqua" w:eastAsiaTheme="majorEastAsia" w:hAnsi="Book Antiqua" w:cstheme="majorBidi"/>
      <w:b/>
      <w:color w:val="1F3864" w:themeColor="accent1" w:themeShade="80"/>
      <w:sz w:val="24"/>
      <w:shd w:val="clear" w:color="auto" w:fill="D9E2F3" w:themeFill="accent1" w:themeFillTint="33"/>
      <w:lang w:val="es-ES"/>
    </w:rPr>
  </w:style>
  <w:style w:type="character" w:customStyle="1" w:styleId="Ttulo3Car">
    <w:name w:val="Título 3 Car"/>
    <w:basedOn w:val="Fuentedeprrafopredeter"/>
    <w:link w:val="Ttulo3"/>
    <w:uiPriority w:val="9"/>
    <w:rsid w:val="005B3BC9"/>
    <w:rPr>
      <w:rFonts w:ascii="Book Antiqua" w:eastAsia="Times New Roman" w:hAnsi="Book Antiqua" w:cs="Times New Roman"/>
      <w:b/>
      <w:color w:val="1F3864" w:themeColor="accent1" w:themeShade="80"/>
      <w:sz w:val="24"/>
      <w:szCs w:val="20"/>
      <w:lang w:val="es-MX" w:eastAsia="es-ES"/>
    </w:rPr>
  </w:style>
  <w:style w:type="character" w:customStyle="1" w:styleId="Ttulo4Car">
    <w:name w:val="Título 4 Car"/>
    <w:basedOn w:val="Fuentedeprrafopredeter"/>
    <w:link w:val="Ttulo4"/>
    <w:rsid w:val="000012B5"/>
    <w:rPr>
      <w:rFonts w:ascii="Book Antiqua" w:eastAsiaTheme="majorEastAsia" w:hAnsi="Book Antiqua" w:cs="Times New Roman"/>
      <w:b/>
      <w:bCs/>
      <w:snapToGrid w:val="0"/>
      <w:sz w:val="24"/>
      <w:szCs w:val="32"/>
    </w:rPr>
  </w:style>
  <w:style w:type="character" w:customStyle="1" w:styleId="Ttulo5Car">
    <w:name w:val="Título 5 Car"/>
    <w:basedOn w:val="Fuentedeprrafopredeter"/>
    <w:link w:val="Ttulo5"/>
    <w:uiPriority w:val="9"/>
    <w:rsid w:val="007E5453"/>
    <w:rPr>
      <w:rFonts w:asciiTheme="majorHAnsi" w:eastAsiaTheme="majorEastAsia" w:hAnsiTheme="majorHAnsi" w:cstheme="majorBidi"/>
      <w:color w:val="2F5496" w:themeColor="accent1" w:themeShade="BF"/>
      <w:szCs w:val="20"/>
      <w:lang w:eastAsia="es-ES"/>
    </w:rPr>
  </w:style>
  <w:style w:type="character" w:customStyle="1" w:styleId="Ttulo6Car">
    <w:name w:val="Título 6 Car"/>
    <w:basedOn w:val="Fuentedeprrafopredeter"/>
    <w:link w:val="Ttulo6"/>
    <w:rsid w:val="007E5453"/>
    <w:rPr>
      <w:rFonts w:asciiTheme="majorHAnsi" w:eastAsiaTheme="majorEastAsia" w:hAnsiTheme="majorHAnsi" w:cstheme="majorBidi"/>
      <w:color w:val="1F3763" w:themeColor="accent1" w:themeShade="7F"/>
      <w:szCs w:val="20"/>
      <w:lang w:eastAsia="es-ES"/>
    </w:rPr>
  </w:style>
  <w:style w:type="character" w:customStyle="1" w:styleId="Ttulo7Car">
    <w:name w:val="Título 7 Car"/>
    <w:basedOn w:val="Fuentedeprrafopredeter"/>
    <w:link w:val="Ttulo7"/>
    <w:rsid w:val="007E5453"/>
    <w:rPr>
      <w:rFonts w:asciiTheme="majorHAnsi" w:eastAsiaTheme="majorEastAsia" w:hAnsiTheme="majorHAnsi" w:cstheme="majorBidi"/>
      <w:i/>
      <w:iCs/>
      <w:color w:val="1F3763" w:themeColor="accent1" w:themeShade="7F"/>
      <w:szCs w:val="20"/>
      <w:lang w:eastAsia="es-ES"/>
    </w:rPr>
  </w:style>
  <w:style w:type="character" w:customStyle="1" w:styleId="Ttulo8Car">
    <w:name w:val="Título 8 Car"/>
    <w:basedOn w:val="Fuentedeprrafopredeter"/>
    <w:link w:val="Ttulo8"/>
    <w:rsid w:val="007E5453"/>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rsid w:val="007E5453"/>
    <w:rPr>
      <w:rFonts w:asciiTheme="majorHAnsi" w:eastAsiaTheme="majorEastAsia" w:hAnsiTheme="majorHAnsi" w:cstheme="majorBidi"/>
      <w:i/>
      <w:iCs/>
      <w:color w:val="272727" w:themeColor="text1" w:themeTint="D8"/>
      <w:sz w:val="21"/>
      <w:szCs w:val="21"/>
      <w:lang w:eastAsia="es-ES"/>
    </w:rPr>
  </w:style>
  <w:style w:type="paragraph" w:styleId="Textodeglobo">
    <w:name w:val="Balloon Text"/>
    <w:basedOn w:val="Normal"/>
    <w:link w:val="TextodegloboCar"/>
    <w:uiPriority w:val="99"/>
    <w:semiHidden/>
    <w:unhideWhenUsed/>
    <w:rsid w:val="000B6C6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B6C61"/>
    <w:rPr>
      <w:rFonts w:ascii="Segoe UI" w:hAnsi="Segoe UI" w:cs="Segoe UI"/>
      <w:sz w:val="18"/>
      <w:szCs w:val="18"/>
    </w:rPr>
  </w:style>
  <w:style w:type="paragraph" w:styleId="Prrafodelista">
    <w:name w:val="List Paragraph"/>
    <w:aliases w:val="Bullet 1,Use Case List Paragraph,Lista vistosa - Énfasis 11,Párrafo de lista Car Car Car,Informe,FooterText,numbered,Paragraphe de liste1,Bulletr List Paragraph,列出段落,列出段落1,lp1,lp11,Footnote,List Paragraph 1,Numbered List Paragraph,3"/>
    <w:basedOn w:val="Normal"/>
    <w:link w:val="PrrafodelistaCar"/>
    <w:uiPriority w:val="34"/>
    <w:qFormat/>
    <w:rsid w:val="000B6C61"/>
    <w:pPr>
      <w:ind w:left="720"/>
      <w:contextualSpacing/>
    </w:pPr>
  </w:style>
  <w:style w:type="paragraph" w:styleId="Ttulo">
    <w:name w:val="Title"/>
    <w:basedOn w:val="Normal"/>
    <w:link w:val="TtuloCar"/>
    <w:uiPriority w:val="1"/>
    <w:qFormat/>
    <w:rsid w:val="000C2B7F"/>
    <w:pPr>
      <w:spacing w:before="120" w:after="120" w:line="264" w:lineRule="auto"/>
      <w:jc w:val="center"/>
    </w:pPr>
    <w:rPr>
      <w:rFonts w:ascii="Book Antiqua" w:eastAsiaTheme="majorEastAsia" w:hAnsi="Book Antiqua" w:cstheme="majorBidi"/>
      <w:b/>
      <w:color w:val="1F3864" w:themeColor="accent1" w:themeShade="80"/>
      <w:spacing w:val="10"/>
      <w:sz w:val="24"/>
      <w:szCs w:val="52"/>
      <w:lang w:val="es-ES" w:eastAsia="ja-JP"/>
    </w:rPr>
  </w:style>
  <w:style w:type="character" w:customStyle="1" w:styleId="TtuloCar">
    <w:name w:val="Título Car"/>
    <w:basedOn w:val="Fuentedeprrafopredeter"/>
    <w:link w:val="Ttulo"/>
    <w:uiPriority w:val="1"/>
    <w:rsid w:val="000C2B7F"/>
    <w:rPr>
      <w:rFonts w:ascii="Book Antiqua" w:eastAsiaTheme="majorEastAsia" w:hAnsi="Book Antiqua" w:cstheme="majorBidi"/>
      <w:b/>
      <w:color w:val="1F3864" w:themeColor="accent1" w:themeShade="80"/>
      <w:spacing w:val="10"/>
      <w:sz w:val="24"/>
      <w:szCs w:val="52"/>
      <w:lang w:val="es-ES" w:eastAsia="ja-JP"/>
    </w:rPr>
  </w:style>
  <w:style w:type="paragraph" w:styleId="Textonotapie">
    <w:name w:val="footnote text"/>
    <w:basedOn w:val="Normal"/>
    <w:link w:val="TextonotapieCar"/>
    <w:uiPriority w:val="99"/>
    <w:unhideWhenUsed/>
    <w:rsid w:val="009A36CD"/>
    <w:pPr>
      <w:spacing w:after="0" w:line="240" w:lineRule="auto"/>
    </w:pPr>
    <w:rPr>
      <w:sz w:val="20"/>
      <w:szCs w:val="20"/>
    </w:rPr>
  </w:style>
  <w:style w:type="character" w:customStyle="1" w:styleId="TextonotapieCar">
    <w:name w:val="Texto nota pie Car"/>
    <w:basedOn w:val="Fuentedeprrafopredeter"/>
    <w:link w:val="Textonotapie"/>
    <w:uiPriority w:val="99"/>
    <w:rsid w:val="009A36CD"/>
    <w:rPr>
      <w:sz w:val="20"/>
      <w:szCs w:val="20"/>
    </w:rPr>
  </w:style>
  <w:style w:type="character" w:styleId="Refdenotaalpie">
    <w:name w:val="footnote reference"/>
    <w:basedOn w:val="Fuentedeprrafopredeter"/>
    <w:uiPriority w:val="99"/>
    <w:unhideWhenUsed/>
    <w:rsid w:val="009A36CD"/>
    <w:rPr>
      <w:vertAlign w:val="superscript"/>
    </w:rPr>
  </w:style>
  <w:style w:type="paragraph" w:styleId="Revisin">
    <w:name w:val="Revision"/>
    <w:hidden/>
    <w:uiPriority w:val="99"/>
    <w:semiHidden/>
    <w:rsid w:val="008F1514"/>
    <w:pPr>
      <w:spacing w:after="0" w:line="240" w:lineRule="auto"/>
    </w:pPr>
  </w:style>
  <w:style w:type="character" w:styleId="Refdecomentario">
    <w:name w:val="annotation reference"/>
    <w:basedOn w:val="Fuentedeprrafopredeter"/>
    <w:uiPriority w:val="99"/>
    <w:semiHidden/>
    <w:unhideWhenUsed/>
    <w:rsid w:val="00076E7E"/>
    <w:rPr>
      <w:sz w:val="16"/>
      <w:szCs w:val="16"/>
    </w:rPr>
  </w:style>
  <w:style w:type="paragraph" w:styleId="Textocomentario">
    <w:name w:val="annotation text"/>
    <w:basedOn w:val="Normal"/>
    <w:link w:val="TextocomentarioCar"/>
    <w:uiPriority w:val="99"/>
    <w:semiHidden/>
    <w:unhideWhenUsed/>
    <w:rsid w:val="00076E7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76E7E"/>
    <w:rPr>
      <w:sz w:val="20"/>
      <w:szCs w:val="20"/>
    </w:rPr>
  </w:style>
  <w:style w:type="paragraph" w:styleId="Asuntodelcomentario">
    <w:name w:val="annotation subject"/>
    <w:basedOn w:val="Textocomentario"/>
    <w:next w:val="Textocomentario"/>
    <w:link w:val="AsuntodelcomentarioCar"/>
    <w:uiPriority w:val="99"/>
    <w:semiHidden/>
    <w:unhideWhenUsed/>
    <w:rsid w:val="00076E7E"/>
    <w:rPr>
      <w:b/>
      <w:bCs/>
    </w:rPr>
  </w:style>
  <w:style w:type="character" w:customStyle="1" w:styleId="AsuntodelcomentarioCar">
    <w:name w:val="Asunto del comentario Car"/>
    <w:basedOn w:val="TextocomentarioCar"/>
    <w:link w:val="Asuntodelcomentario"/>
    <w:uiPriority w:val="99"/>
    <w:semiHidden/>
    <w:rsid w:val="00076E7E"/>
    <w:rPr>
      <w:b/>
      <w:bCs/>
      <w:sz w:val="20"/>
      <w:szCs w:val="20"/>
    </w:rPr>
  </w:style>
  <w:style w:type="paragraph" w:styleId="Textoindependiente2">
    <w:name w:val="Body Text 2"/>
    <w:basedOn w:val="Normal"/>
    <w:link w:val="Textoindependiente2Car"/>
    <w:rsid w:val="007A1880"/>
    <w:pPr>
      <w:spacing w:after="0" w:line="240" w:lineRule="auto"/>
      <w:jc w:val="both"/>
    </w:pPr>
    <w:rPr>
      <w:rFonts w:ascii="Bookman Old Style" w:eastAsia="Times New Roman" w:hAnsi="Bookman Old Style" w:cs="Bookman Old Style"/>
      <w:sz w:val="24"/>
      <w:szCs w:val="24"/>
      <w:lang w:val="es-ES_tradnl" w:eastAsia="es-ES"/>
    </w:rPr>
  </w:style>
  <w:style w:type="character" w:customStyle="1" w:styleId="Textoindependiente2Car">
    <w:name w:val="Texto independiente 2 Car"/>
    <w:basedOn w:val="Fuentedeprrafopredeter"/>
    <w:link w:val="Textoindependiente2"/>
    <w:rsid w:val="007A1880"/>
    <w:rPr>
      <w:rFonts w:ascii="Bookman Old Style" w:eastAsia="Times New Roman" w:hAnsi="Bookman Old Style" w:cs="Bookman Old Style"/>
      <w:sz w:val="24"/>
      <w:szCs w:val="24"/>
      <w:lang w:val="es-ES_tradnl" w:eastAsia="es-ES"/>
    </w:rPr>
  </w:style>
  <w:style w:type="character" w:styleId="Hipervnculo">
    <w:name w:val="Hyperlink"/>
    <w:rsid w:val="007A1880"/>
    <w:rPr>
      <w:rFonts w:cs="Times New Roman"/>
      <w:color w:val="0000FF"/>
      <w:u w:val="single"/>
    </w:rPr>
  </w:style>
  <w:style w:type="paragraph" w:customStyle="1" w:styleId="xmsonormal">
    <w:name w:val="x_msonormal"/>
    <w:basedOn w:val="Normal"/>
    <w:rsid w:val="00CB0EF2"/>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Default">
    <w:name w:val="Default"/>
    <w:rsid w:val="00101A76"/>
    <w:pPr>
      <w:autoSpaceDE w:val="0"/>
      <w:autoSpaceDN w:val="0"/>
      <w:adjustRightInd w:val="0"/>
      <w:spacing w:after="0" w:line="240" w:lineRule="auto"/>
    </w:pPr>
    <w:rPr>
      <w:rFonts w:ascii="Book Antiqua" w:hAnsi="Book Antiqua" w:cs="Book Antiqua"/>
      <w:color w:val="000000"/>
      <w:sz w:val="24"/>
      <w:szCs w:val="24"/>
    </w:rPr>
  </w:style>
  <w:style w:type="character" w:customStyle="1" w:styleId="PrrafodelistaCar">
    <w:name w:val="Párrafo de lista Car"/>
    <w:aliases w:val="Bullet 1 Car,Use Case List Paragraph Car,Lista vistosa - Énfasis 11 Car,Párrafo de lista Car Car Car Car,Informe Car,FooterText Car,numbered Car,Paragraphe de liste1 Car,Bulletr List Paragraph Car,列出段落 Car,列出段落1 Car,lp1 Car,lp11 Car"/>
    <w:link w:val="Prrafodelista"/>
    <w:uiPriority w:val="34"/>
    <w:locked/>
    <w:rsid w:val="00A56B86"/>
  </w:style>
  <w:style w:type="paragraph" w:customStyle="1" w:styleId="Fuentes">
    <w:name w:val="Fuentes"/>
    <w:basedOn w:val="Normal"/>
    <w:link w:val="FuentesCar"/>
    <w:autoRedefine/>
    <w:qFormat/>
    <w:rsid w:val="00D6038D"/>
    <w:pPr>
      <w:tabs>
        <w:tab w:val="left" w:pos="8364"/>
      </w:tabs>
      <w:spacing w:after="0" w:line="240" w:lineRule="auto"/>
      <w:jc w:val="both"/>
    </w:pPr>
    <w:rPr>
      <w:rFonts w:ascii="Book Antiqua" w:hAnsi="Book Antiqua"/>
      <w:bCs/>
      <w:i/>
      <w:sz w:val="20"/>
      <w:szCs w:val="20"/>
    </w:rPr>
  </w:style>
  <w:style w:type="character" w:customStyle="1" w:styleId="FuentesCar">
    <w:name w:val="Fuentes Car"/>
    <w:basedOn w:val="Fuentedeprrafopredeter"/>
    <w:link w:val="Fuentes"/>
    <w:rsid w:val="005327DB"/>
    <w:rPr>
      <w:rFonts w:ascii="Book Antiqua" w:hAnsi="Book Antiqua"/>
      <w:bCs/>
      <w:i/>
      <w:sz w:val="20"/>
      <w:szCs w:val="20"/>
    </w:rPr>
  </w:style>
  <w:style w:type="numbering" w:customStyle="1" w:styleId="Estilo1">
    <w:name w:val="Estilo1"/>
    <w:uiPriority w:val="99"/>
    <w:rsid w:val="002819AB"/>
    <w:pPr>
      <w:numPr>
        <w:numId w:val="35"/>
      </w:numPr>
    </w:pPr>
  </w:style>
  <w:style w:type="paragraph" w:styleId="NormalWeb">
    <w:name w:val="Normal (Web)"/>
    <w:basedOn w:val="Normal"/>
    <w:link w:val="NormalWebCar"/>
    <w:uiPriority w:val="99"/>
    <w:qFormat/>
    <w:rsid w:val="008A348D"/>
    <w:pPr>
      <w:spacing w:before="100" w:beforeAutospacing="1" w:after="100" w:afterAutospacing="1" w:line="240" w:lineRule="auto"/>
    </w:pPr>
    <w:rPr>
      <w:rFonts w:ascii="Calibri" w:eastAsia="Times New Roman" w:hAnsi="Calibri" w:cs="Times New Roman"/>
      <w:sz w:val="24"/>
      <w:szCs w:val="24"/>
      <w:lang w:val="es-ES" w:eastAsia="es-ES"/>
    </w:rPr>
  </w:style>
  <w:style w:type="character" w:customStyle="1" w:styleId="NormalWebCar">
    <w:name w:val="Normal (Web) Car"/>
    <w:link w:val="NormalWeb"/>
    <w:uiPriority w:val="99"/>
    <w:locked/>
    <w:rsid w:val="008A348D"/>
    <w:rPr>
      <w:rFonts w:ascii="Calibri" w:eastAsia="Times New Roman" w:hAnsi="Calibri" w:cs="Times New Roman"/>
      <w:sz w:val="24"/>
      <w:szCs w:val="24"/>
      <w:lang w:val="es-ES" w:eastAsia="es-ES"/>
    </w:rPr>
  </w:style>
  <w:style w:type="paragraph" w:customStyle="1" w:styleId="wordsection1">
    <w:name w:val="wordsection1"/>
    <w:basedOn w:val="Normal"/>
    <w:uiPriority w:val="99"/>
    <w:rsid w:val="008A348D"/>
    <w:pPr>
      <w:spacing w:after="0" w:line="240" w:lineRule="auto"/>
    </w:pPr>
    <w:rPr>
      <w:rFonts w:ascii="Times New Roman" w:eastAsia="Calibri" w:hAnsi="Times New Roman" w:cs="Times New Roman"/>
      <w:sz w:val="24"/>
      <w:szCs w:val="24"/>
      <w:lang w:eastAsia="es-CR"/>
    </w:rPr>
  </w:style>
  <w:style w:type="table" w:styleId="Tablaconcuadrcula">
    <w:name w:val="Table Grid"/>
    <w:basedOn w:val="Tablanormal"/>
    <w:uiPriority w:val="39"/>
    <w:rsid w:val="004407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E3477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133">
      <w:bodyDiv w:val="1"/>
      <w:marLeft w:val="0"/>
      <w:marRight w:val="0"/>
      <w:marTop w:val="0"/>
      <w:marBottom w:val="0"/>
      <w:divBdr>
        <w:top w:val="none" w:sz="0" w:space="0" w:color="auto"/>
        <w:left w:val="none" w:sz="0" w:space="0" w:color="auto"/>
        <w:bottom w:val="none" w:sz="0" w:space="0" w:color="auto"/>
        <w:right w:val="none" w:sz="0" w:space="0" w:color="auto"/>
      </w:divBdr>
    </w:div>
    <w:div w:id="21632820">
      <w:bodyDiv w:val="1"/>
      <w:marLeft w:val="0"/>
      <w:marRight w:val="0"/>
      <w:marTop w:val="0"/>
      <w:marBottom w:val="0"/>
      <w:divBdr>
        <w:top w:val="none" w:sz="0" w:space="0" w:color="auto"/>
        <w:left w:val="none" w:sz="0" w:space="0" w:color="auto"/>
        <w:bottom w:val="none" w:sz="0" w:space="0" w:color="auto"/>
        <w:right w:val="none" w:sz="0" w:space="0" w:color="auto"/>
      </w:divBdr>
    </w:div>
    <w:div w:id="22022073">
      <w:bodyDiv w:val="1"/>
      <w:marLeft w:val="0"/>
      <w:marRight w:val="0"/>
      <w:marTop w:val="0"/>
      <w:marBottom w:val="0"/>
      <w:divBdr>
        <w:top w:val="none" w:sz="0" w:space="0" w:color="auto"/>
        <w:left w:val="none" w:sz="0" w:space="0" w:color="auto"/>
        <w:bottom w:val="none" w:sz="0" w:space="0" w:color="auto"/>
        <w:right w:val="none" w:sz="0" w:space="0" w:color="auto"/>
      </w:divBdr>
    </w:div>
    <w:div w:id="29647190">
      <w:bodyDiv w:val="1"/>
      <w:marLeft w:val="0"/>
      <w:marRight w:val="0"/>
      <w:marTop w:val="0"/>
      <w:marBottom w:val="0"/>
      <w:divBdr>
        <w:top w:val="none" w:sz="0" w:space="0" w:color="auto"/>
        <w:left w:val="none" w:sz="0" w:space="0" w:color="auto"/>
        <w:bottom w:val="none" w:sz="0" w:space="0" w:color="auto"/>
        <w:right w:val="none" w:sz="0" w:space="0" w:color="auto"/>
      </w:divBdr>
    </w:div>
    <w:div w:id="44793013">
      <w:bodyDiv w:val="1"/>
      <w:marLeft w:val="0"/>
      <w:marRight w:val="0"/>
      <w:marTop w:val="0"/>
      <w:marBottom w:val="0"/>
      <w:divBdr>
        <w:top w:val="none" w:sz="0" w:space="0" w:color="auto"/>
        <w:left w:val="none" w:sz="0" w:space="0" w:color="auto"/>
        <w:bottom w:val="none" w:sz="0" w:space="0" w:color="auto"/>
        <w:right w:val="none" w:sz="0" w:space="0" w:color="auto"/>
      </w:divBdr>
    </w:div>
    <w:div w:id="59014089">
      <w:bodyDiv w:val="1"/>
      <w:marLeft w:val="0"/>
      <w:marRight w:val="0"/>
      <w:marTop w:val="0"/>
      <w:marBottom w:val="0"/>
      <w:divBdr>
        <w:top w:val="none" w:sz="0" w:space="0" w:color="auto"/>
        <w:left w:val="none" w:sz="0" w:space="0" w:color="auto"/>
        <w:bottom w:val="none" w:sz="0" w:space="0" w:color="auto"/>
        <w:right w:val="none" w:sz="0" w:space="0" w:color="auto"/>
      </w:divBdr>
    </w:div>
    <w:div w:id="73432464">
      <w:bodyDiv w:val="1"/>
      <w:marLeft w:val="0"/>
      <w:marRight w:val="0"/>
      <w:marTop w:val="0"/>
      <w:marBottom w:val="0"/>
      <w:divBdr>
        <w:top w:val="none" w:sz="0" w:space="0" w:color="auto"/>
        <w:left w:val="none" w:sz="0" w:space="0" w:color="auto"/>
        <w:bottom w:val="none" w:sz="0" w:space="0" w:color="auto"/>
        <w:right w:val="none" w:sz="0" w:space="0" w:color="auto"/>
      </w:divBdr>
    </w:div>
    <w:div w:id="82186479">
      <w:bodyDiv w:val="1"/>
      <w:marLeft w:val="0"/>
      <w:marRight w:val="0"/>
      <w:marTop w:val="0"/>
      <w:marBottom w:val="0"/>
      <w:divBdr>
        <w:top w:val="none" w:sz="0" w:space="0" w:color="auto"/>
        <w:left w:val="none" w:sz="0" w:space="0" w:color="auto"/>
        <w:bottom w:val="none" w:sz="0" w:space="0" w:color="auto"/>
        <w:right w:val="none" w:sz="0" w:space="0" w:color="auto"/>
      </w:divBdr>
    </w:div>
    <w:div w:id="89619859">
      <w:bodyDiv w:val="1"/>
      <w:marLeft w:val="0"/>
      <w:marRight w:val="0"/>
      <w:marTop w:val="0"/>
      <w:marBottom w:val="0"/>
      <w:divBdr>
        <w:top w:val="none" w:sz="0" w:space="0" w:color="auto"/>
        <w:left w:val="none" w:sz="0" w:space="0" w:color="auto"/>
        <w:bottom w:val="none" w:sz="0" w:space="0" w:color="auto"/>
        <w:right w:val="none" w:sz="0" w:space="0" w:color="auto"/>
      </w:divBdr>
    </w:div>
    <w:div w:id="90324156">
      <w:bodyDiv w:val="1"/>
      <w:marLeft w:val="0"/>
      <w:marRight w:val="0"/>
      <w:marTop w:val="0"/>
      <w:marBottom w:val="0"/>
      <w:divBdr>
        <w:top w:val="none" w:sz="0" w:space="0" w:color="auto"/>
        <w:left w:val="none" w:sz="0" w:space="0" w:color="auto"/>
        <w:bottom w:val="none" w:sz="0" w:space="0" w:color="auto"/>
        <w:right w:val="none" w:sz="0" w:space="0" w:color="auto"/>
      </w:divBdr>
    </w:div>
    <w:div w:id="138882936">
      <w:bodyDiv w:val="1"/>
      <w:marLeft w:val="0"/>
      <w:marRight w:val="0"/>
      <w:marTop w:val="0"/>
      <w:marBottom w:val="0"/>
      <w:divBdr>
        <w:top w:val="none" w:sz="0" w:space="0" w:color="auto"/>
        <w:left w:val="none" w:sz="0" w:space="0" w:color="auto"/>
        <w:bottom w:val="none" w:sz="0" w:space="0" w:color="auto"/>
        <w:right w:val="none" w:sz="0" w:space="0" w:color="auto"/>
      </w:divBdr>
    </w:div>
    <w:div w:id="157812879">
      <w:bodyDiv w:val="1"/>
      <w:marLeft w:val="0"/>
      <w:marRight w:val="0"/>
      <w:marTop w:val="0"/>
      <w:marBottom w:val="0"/>
      <w:divBdr>
        <w:top w:val="none" w:sz="0" w:space="0" w:color="auto"/>
        <w:left w:val="none" w:sz="0" w:space="0" w:color="auto"/>
        <w:bottom w:val="none" w:sz="0" w:space="0" w:color="auto"/>
        <w:right w:val="none" w:sz="0" w:space="0" w:color="auto"/>
      </w:divBdr>
    </w:div>
    <w:div w:id="163008451">
      <w:bodyDiv w:val="1"/>
      <w:marLeft w:val="0"/>
      <w:marRight w:val="0"/>
      <w:marTop w:val="0"/>
      <w:marBottom w:val="0"/>
      <w:divBdr>
        <w:top w:val="none" w:sz="0" w:space="0" w:color="auto"/>
        <w:left w:val="none" w:sz="0" w:space="0" w:color="auto"/>
        <w:bottom w:val="none" w:sz="0" w:space="0" w:color="auto"/>
        <w:right w:val="none" w:sz="0" w:space="0" w:color="auto"/>
      </w:divBdr>
    </w:div>
    <w:div w:id="163474737">
      <w:bodyDiv w:val="1"/>
      <w:marLeft w:val="0"/>
      <w:marRight w:val="0"/>
      <w:marTop w:val="0"/>
      <w:marBottom w:val="0"/>
      <w:divBdr>
        <w:top w:val="none" w:sz="0" w:space="0" w:color="auto"/>
        <w:left w:val="none" w:sz="0" w:space="0" w:color="auto"/>
        <w:bottom w:val="none" w:sz="0" w:space="0" w:color="auto"/>
        <w:right w:val="none" w:sz="0" w:space="0" w:color="auto"/>
      </w:divBdr>
    </w:div>
    <w:div w:id="164587600">
      <w:bodyDiv w:val="1"/>
      <w:marLeft w:val="0"/>
      <w:marRight w:val="0"/>
      <w:marTop w:val="0"/>
      <w:marBottom w:val="0"/>
      <w:divBdr>
        <w:top w:val="none" w:sz="0" w:space="0" w:color="auto"/>
        <w:left w:val="none" w:sz="0" w:space="0" w:color="auto"/>
        <w:bottom w:val="none" w:sz="0" w:space="0" w:color="auto"/>
        <w:right w:val="none" w:sz="0" w:space="0" w:color="auto"/>
      </w:divBdr>
    </w:div>
    <w:div w:id="190261331">
      <w:bodyDiv w:val="1"/>
      <w:marLeft w:val="0"/>
      <w:marRight w:val="0"/>
      <w:marTop w:val="0"/>
      <w:marBottom w:val="0"/>
      <w:divBdr>
        <w:top w:val="none" w:sz="0" w:space="0" w:color="auto"/>
        <w:left w:val="none" w:sz="0" w:space="0" w:color="auto"/>
        <w:bottom w:val="none" w:sz="0" w:space="0" w:color="auto"/>
        <w:right w:val="none" w:sz="0" w:space="0" w:color="auto"/>
      </w:divBdr>
    </w:div>
    <w:div w:id="193614482">
      <w:bodyDiv w:val="1"/>
      <w:marLeft w:val="0"/>
      <w:marRight w:val="0"/>
      <w:marTop w:val="0"/>
      <w:marBottom w:val="0"/>
      <w:divBdr>
        <w:top w:val="none" w:sz="0" w:space="0" w:color="auto"/>
        <w:left w:val="none" w:sz="0" w:space="0" w:color="auto"/>
        <w:bottom w:val="none" w:sz="0" w:space="0" w:color="auto"/>
        <w:right w:val="none" w:sz="0" w:space="0" w:color="auto"/>
      </w:divBdr>
    </w:div>
    <w:div w:id="206114597">
      <w:bodyDiv w:val="1"/>
      <w:marLeft w:val="0"/>
      <w:marRight w:val="0"/>
      <w:marTop w:val="0"/>
      <w:marBottom w:val="0"/>
      <w:divBdr>
        <w:top w:val="none" w:sz="0" w:space="0" w:color="auto"/>
        <w:left w:val="none" w:sz="0" w:space="0" w:color="auto"/>
        <w:bottom w:val="none" w:sz="0" w:space="0" w:color="auto"/>
        <w:right w:val="none" w:sz="0" w:space="0" w:color="auto"/>
      </w:divBdr>
    </w:div>
    <w:div w:id="215168361">
      <w:bodyDiv w:val="1"/>
      <w:marLeft w:val="0"/>
      <w:marRight w:val="0"/>
      <w:marTop w:val="0"/>
      <w:marBottom w:val="0"/>
      <w:divBdr>
        <w:top w:val="none" w:sz="0" w:space="0" w:color="auto"/>
        <w:left w:val="none" w:sz="0" w:space="0" w:color="auto"/>
        <w:bottom w:val="none" w:sz="0" w:space="0" w:color="auto"/>
        <w:right w:val="none" w:sz="0" w:space="0" w:color="auto"/>
      </w:divBdr>
    </w:div>
    <w:div w:id="220141812">
      <w:bodyDiv w:val="1"/>
      <w:marLeft w:val="0"/>
      <w:marRight w:val="0"/>
      <w:marTop w:val="0"/>
      <w:marBottom w:val="0"/>
      <w:divBdr>
        <w:top w:val="none" w:sz="0" w:space="0" w:color="auto"/>
        <w:left w:val="none" w:sz="0" w:space="0" w:color="auto"/>
        <w:bottom w:val="none" w:sz="0" w:space="0" w:color="auto"/>
        <w:right w:val="none" w:sz="0" w:space="0" w:color="auto"/>
      </w:divBdr>
    </w:div>
    <w:div w:id="238370287">
      <w:bodyDiv w:val="1"/>
      <w:marLeft w:val="0"/>
      <w:marRight w:val="0"/>
      <w:marTop w:val="0"/>
      <w:marBottom w:val="0"/>
      <w:divBdr>
        <w:top w:val="none" w:sz="0" w:space="0" w:color="auto"/>
        <w:left w:val="none" w:sz="0" w:space="0" w:color="auto"/>
        <w:bottom w:val="none" w:sz="0" w:space="0" w:color="auto"/>
        <w:right w:val="none" w:sz="0" w:space="0" w:color="auto"/>
      </w:divBdr>
    </w:div>
    <w:div w:id="270599919">
      <w:bodyDiv w:val="1"/>
      <w:marLeft w:val="0"/>
      <w:marRight w:val="0"/>
      <w:marTop w:val="0"/>
      <w:marBottom w:val="0"/>
      <w:divBdr>
        <w:top w:val="none" w:sz="0" w:space="0" w:color="auto"/>
        <w:left w:val="none" w:sz="0" w:space="0" w:color="auto"/>
        <w:bottom w:val="none" w:sz="0" w:space="0" w:color="auto"/>
        <w:right w:val="none" w:sz="0" w:space="0" w:color="auto"/>
      </w:divBdr>
    </w:div>
    <w:div w:id="280192043">
      <w:bodyDiv w:val="1"/>
      <w:marLeft w:val="0"/>
      <w:marRight w:val="0"/>
      <w:marTop w:val="0"/>
      <w:marBottom w:val="0"/>
      <w:divBdr>
        <w:top w:val="none" w:sz="0" w:space="0" w:color="auto"/>
        <w:left w:val="none" w:sz="0" w:space="0" w:color="auto"/>
        <w:bottom w:val="none" w:sz="0" w:space="0" w:color="auto"/>
        <w:right w:val="none" w:sz="0" w:space="0" w:color="auto"/>
      </w:divBdr>
    </w:div>
    <w:div w:id="339507573">
      <w:bodyDiv w:val="1"/>
      <w:marLeft w:val="0"/>
      <w:marRight w:val="0"/>
      <w:marTop w:val="0"/>
      <w:marBottom w:val="0"/>
      <w:divBdr>
        <w:top w:val="none" w:sz="0" w:space="0" w:color="auto"/>
        <w:left w:val="none" w:sz="0" w:space="0" w:color="auto"/>
        <w:bottom w:val="none" w:sz="0" w:space="0" w:color="auto"/>
        <w:right w:val="none" w:sz="0" w:space="0" w:color="auto"/>
      </w:divBdr>
    </w:div>
    <w:div w:id="347290709">
      <w:bodyDiv w:val="1"/>
      <w:marLeft w:val="0"/>
      <w:marRight w:val="0"/>
      <w:marTop w:val="0"/>
      <w:marBottom w:val="0"/>
      <w:divBdr>
        <w:top w:val="none" w:sz="0" w:space="0" w:color="auto"/>
        <w:left w:val="none" w:sz="0" w:space="0" w:color="auto"/>
        <w:bottom w:val="none" w:sz="0" w:space="0" w:color="auto"/>
        <w:right w:val="none" w:sz="0" w:space="0" w:color="auto"/>
      </w:divBdr>
    </w:div>
    <w:div w:id="375664424">
      <w:bodyDiv w:val="1"/>
      <w:marLeft w:val="0"/>
      <w:marRight w:val="0"/>
      <w:marTop w:val="0"/>
      <w:marBottom w:val="0"/>
      <w:divBdr>
        <w:top w:val="none" w:sz="0" w:space="0" w:color="auto"/>
        <w:left w:val="none" w:sz="0" w:space="0" w:color="auto"/>
        <w:bottom w:val="none" w:sz="0" w:space="0" w:color="auto"/>
        <w:right w:val="none" w:sz="0" w:space="0" w:color="auto"/>
      </w:divBdr>
    </w:div>
    <w:div w:id="377046120">
      <w:bodyDiv w:val="1"/>
      <w:marLeft w:val="0"/>
      <w:marRight w:val="0"/>
      <w:marTop w:val="0"/>
      <w:marBottom w:val="0"/>
      <w:divBdr>
        <w:top w:val="none" w:sz="0" w:space="0" w:color="auto"/>
        <w:left w:val="none" w:sz="0" w:space="0" w:color="auto"/>
        <w:bottom w:val="none" w:sz="0" w:space="0" w:color="auto"/>
        <w:right w:val="none" w:sz="0" w:space="0" w:color="auto"/>
      </w:divBdr>
    </w:div>
    <w:div w:id="390230370">
      <w:bodyDiv w:val="1"/>
      <w:marLeft w:val="0"/>
      <w:marRight w:val="0"/>
      <w:marTop w:val="0"/>
      <w:marBottom w:val="0"/>
      <w:divBdr>
        <w:top w:val="none" w:sz="0" w:space="0" w:color="auto"/>
        <w:left w:val="none" w:sz="0" w:space="0" w:color="auto"/>
        <w:bottom w:val="none" w:sz="0" w:space="0" w:color="auto"/>
        <w:right w:val="none" w:sz="0" w:space="0" w:color="auto"/>
      </w:divBdr>
    </w:div>
    <w:div w:id="390465652">
      <w:bodyDiv w:val="1"/>
      <w:marLeft w:val="0"/>
      <w:marRight w:val="0"/>
      <w:marTop w:val="0"/>
      <w:marBottom w:val="0"/>
      <w:divBdr>
        <w:top w:val="none" w:sz="0" w:space="0" w:color="auto"/>
        <w:left w:val="none" w:sz="0" w:space="0" w:color="auto"/>
        <w:bottom w:val="none" w:sz="0" w:space="0" w:color="auto"/>
        <w:right w:val="none" w:sz="0" w:space="0" w:color="auto"/>
      </w:divBdr>
    </w:div>
    <w:div w:id="400755748">
      <w:bodyDiv w:val="1"/>
      <w:marLeft w:val="0"/>
      <w:marRight w:val="0"/>
      <w:marTop w:val="0"/>
      <w:marBottom w:val="0"/>
      <w:divBdr>
        <w:top w:val="none" w:sz="0" w:space="0" w:color="auto"/>
        <w:left w:val="none" w:sz="0" w:space="0" w:color="auto"/>
        <w:bottom w:val="none" w:sz="0" w:space="0" w:color="auto"/>
        <w:right w:val="none" w:sz="0" w:space="0" w:color="auto"/>
      </w:divBdr>
    </w:div>
    <w:div w:id="410156473">
      <w:bodyDiv w:val="1"/>
      <w:marLeft w:val="0"/>
      <w:marRight w:val="0"/>
      <w:marTop w:val="0"/>
      <w:marBottom w:val="0"/>
      <w:divBdr>
        <w:top w:val="none" w:sz="0" w:space="0" w:color="auto"/>
        <w:left w:val="none" w:sz="0" w:space="0" w:color="auto"/>
        <w:bottom w:val="none" w:sz="0" w:space="0" w:color="auto"/>
        <w:right w:val="none" w:sz="0" w:space="0" w:color="auto"/>
      </w:divBdr>
    </w:div>
    <w:div w:id="412093198">
      <w:bodyDiv w:val="1"/>
      <w:marLeft w:val="0"/>
      <w:marRight w:val="0"/>
      <w:marTop w:val="0"/>
      <w:marBottom w:val="0"/>
      <w:divBdr>
        <w:top w:val="none" w:sz="0" w:space="0" w:color="auto"/>
        <w:left w:val="none" w:sz="0" w:space="0" w:color="auto"/>
        <w:bottom w:val="none" w:sz="0" w:space="0" w:color="auto"/>
        <w:right w:val="none" w:sz="0" w:space="0" w:color="auto"/>
      </w:divBdr>
    </w:div>
    <w:div w:id="415135078">
      <w:bodyDiv w:val="1"/>
      <w:marLeft w:val="0"/>
      <w:marRight w:val="0"/>
      <w:marTop w:val="0"/>
      <w:marBottom w:val="0"/>
      <w:divBdr>
        <w:top w:val="none" w:sz="0" w:space="0" w:color="auto"/>
        <w:left w:val="none" w:sz="0" w:space="0" w:color="auto"/>
        <w:bottom w:val="none" w:sz="0" w:space="0" w:color="auto"/>
        <w:right w:val="none" w:sz="0" w:space="0" w:color="auto"/>
      </w:divBdr>
    </w:div>
    <w:div w:id="425811199">
      <w:bodyDiv w:val="1"/>
      <w:marLeft w:val="0"/>
      <w:marRight w:val="0"/>
      <w:marTop w:val="0"/>
      <w:marBottom w:val="0"/>
      <w:divBdr>
        <w:top w:val="none" w:sz="0" w:space="0" w:color="auto"/>
        <w:left w:val="none" w:sz="0" w:space="0" w:color="auto"/>
        <w:bottom w:val="none" w:sz="0" w:space="0" w:color="auto"/>
        <w:right w:val="none" w:sz="0" w:space="0" w:color="auto"/>
      </w:divBdr>
    </w:div>
    <w:div w:id="438986724">
      <w:bodyDiv w:val="1"/>
      <w:marLeft w:val="0"/>
      <w:marRight w:val="0"/>
      <w:marTop w:val="0"/>
      <w:marBottom w:val="0"/>
      <w:divBdr>
        <w:top w:val="none" w:sz="0" w:space="0" w:color="auto"/>
        <w:left w:val="none" w:sz="0" w:space="0" w:color="auto"/>
        <w:bottom w:val="none" w:sz="0" w:space="0" w:color="auto"/>
        <w:right w:val="none" w:sz="0" w:space="0" w:color="auto"/>
      </w:divBdr>
    </w:div>
    <w:div w:id="442071022">
      <w:bodyDiv w:val="1"/>
      <w:marLeft w:val="0"/>
      <w:marRight w:val="0"/>
      <w:marTop w:val="0"/>
      <w:marBottom w:val="0"/>
      <w:divBdr>
        <w:top w:val="none" w:sz="0" w:space="0" w:color="auto"/>
        <w:left w:val="none" w:sz="0" w:space="0" w:color="auto"/>
        <w:bottom w:val="none" w:sz="0" w:space="0" w:color="auto"/>
        <w:right w:val="none" w:sz="0" w:space="0" w:color="auto"/>
      </w:divBdr>
    </w:div>
    <w:div w:id="457384496">
      <w:bodyDiv w:val="1"/>
      <w:marLeft w:val="0"/>
      <w:marRight w:val="0"/>
      <w:marTop w:val="0"/>
      <w:marBottom w:val="0"/>
      <w:divBdr>
        <w:top w:val="none" w:sz="0" w:space="0" w:color="auto"/>
        <w:left w:val="none" w:sz="0" w:space="0" w:color="auto"/>
        <w:bottom w:val="none" w:sz="0" w:space="0" w:color="auto"/>
        <w:right w:val="none" w:sz="0" w:space="0" w:color="auto"/>
      </w:divBdr>
    </w:div>
    <w:div w:id="475338543">
      <w:bodyDiv w:val="1"/>
      <w:marLeft w:val="0"/>
      <w:marRight w:val="0"/>
      <w:marTop w:val="0"/>
      <w:marBottom w:val="0"/>
      <w:divBdr>
        <w:top w:val="none" w:sz="0" w:space="0" w:color="auto"/>
        <w:left w:val="none" w:sz="0" w:space="0" w:color="auto"/>
        <w:bottom w:val="none" w:sz="0" w:space="0" w:color="auto"/>
        <w:right w:val="none" w:sz="0" w:space="0" w:color="auto"/>
      </w:divBdr>
    </w:div>
    <w:div w:id="492263434">
      <w:bodyDiv w:val="1"/>
      <w:marLeft w:val="0"/>
      <w:marRight w:val="0"/>
      <w:marTop w:val="0"/>
      <w:marBottom w:val="0"/>
      <w:divBdr>
        <w:top w:val="none" w:sz="0" w:space="0" w:color="auto"/>
        <w:left w:val="none" w:sz="0" w:space="0" w:color="auto"/>
        <w:bottom w:val="none" w:sz="0" w:space="0" w:color="auto"/>
        <w:right w:val="none" w:sz="0" w:space="0" w:color="auto"/>
      </w:divBdr>
    </w:div>
    <w:div w:id="554512201">
      <w:bodyDiv w:val="1"/>
      <w:marLeft w:val="0"/>
      <w:marRight w:val="0"/>
      <w:marTop w:val="0"/>
      <w:marBottom w:val="0"/>
      <w:divBdr>
        <w:top w:val="none" w:sz="0" w:space="0" w:color="auto"/>
        <w:left w:val="none" w:sz="0" w:space="0" w:color="auto"/>
        <w:bottom w:val="none" w:sz="0" w:space="0" w:color="auto"/>
        <w:right w:val="none" w:sz="0" w:space="0" w:color="auto"/>
      </w:divBdr>
    </w:div>
    <w:div w:id="580337827">
      <w:bodyDiv w:val="1"/>
      <w:marLeft w:val="0"/>
      <w:marRight w:val="0"/>
      <w:marTop w:val="0"/>
      <w:marBottom w:val="0"/>
      <w:divBdr>
        <w:top w:val="none" w:sz="0" w:space="0" w:color="auto"/>
        <w:left w:val="none" w:sz="0" w:space="0" w:color="auto"/>
        <w:bottom w:val="none" w:sz="0" w:space="0" w:color="auto"/>
        <w:right w:val="none" w:sz="0" w:space="0" w:color="auto"/>
      </w:divBdr>
    </w:div>
    <w:div w:id="590504465">
      <w:bodyDiv w:val="1"/>
      <w:marLeft w:val="0"/>
      <w:marRight w:val="0"/>
      <w:marTop w:val="0"/>
      <w:marBottom w:val="0"/>
      <w:divBdr>
        <w:top w:val="none" w:sz="0" w:space="0" w:color="auto"/>
        <w:left w:val="none" w:sz="0" w:space="0" w:color="auto"/>
        <w:bottom w:val="none" w:sz="0" w:space="0" w:color="auto"/>
        <w:right w:val="none" w:sz="0" w:space="0" w:color="auto"/>
      </w:divBdr>
    </w:div>
    <w:div w:id="699401491">
      <w:bodyDiv w:val="1"/>
      <w:marLeft w:val="0"/>
      <w:marRight w:val="0"/>
      <w:marTop w:val="0"/>
      <w:marBottom w:val="0"/>
      <w:divBdr>
        <w:top w:val="none" w:sz="0" w:space="0" w:color="auto"/>
        <w:left w:val="none" w:sz="0" w:space="0" w:color="auto"/>
        <w:bottom w:val="none" w:sz="0" w:space="0" w:color="auto"/>
        <w:right w:val="none" w:sz="0" w:space="0" w:color="auto"/>
      </w:divBdr>
    </w:div>
    <w:div w:id="705444843">
      <w:bodyDiv w:val="1"/>
      <w:marLeft w:val="0"/>
      <w:marRight w:val="0"/>
      <w:marTop w:val="0"/>
      <w:marBottom w:val="0"/>
      <w:divBdr>
        <w:top w:val="none" w:sz="0" w:space="0" w:color="auto"/>
        <w:left w:val="none" w:sz="0" w:space="0" w:color="auto"/>
        <w:bottom w:val="none" w:sz="0" w:space="0" w:color="auto"/>
        <w:right w:val="none" w:sz="0" w:space="0" w:color="auto"/>
      </w:divBdr>
    </w:div>
    <w:div w:id="706485600">
      <w:bodyDiv w:val="1"/>
      <w:marLeft w:val="0"/>
      <w:marRight w:val="0"/>
      <w:marTop w:val="0"/>
      <w:marBottom w:val="0"/>
      <w:divBdr>
        <w:top w:val="none" w:sz="0" w:space="0" w:color="auto"/>
        <w:left w:val="none" w:sz="0" w:space="0" w:color="auto"/>
        <w:bottom w:val="none" w:sz="0" w:space="0" w:color="auto"/>
        <w:right w:val="none" w:sz="0" w:space="0" w:color="auto"/>
      </w:divBdr>
    </w:div>
    <w:div w:id="711349243">
      <w:bodyDiv w:val="1"/>
      <w:marLeft w:val="0"/>
      <w:marRight w:val="0"/>
      <w:marTop w:val="0"/>
      <w:marBottom w:val="0"/>
      <w:divBdr>
        <w:top w:val="none" w:sz="0" w:space="0" w:color="auto"/>
        <w:left w:val="none" w:sz="0" w:space="0" w:color="auto"/>
        <w:bottom w:val="none" w:sz="0" w:space="0" w:color="auto"/>
        <w:right w:val="none" w:sz="0" w:space="0" w:color="auto"/>
      </w:divBdr>
    </w:div>
    <w:div w:id="724522782">
      <w:bodyDiv w:val="1"/>
      <w:marLeft w:val="0"/>
      <w:marRight w:val="0"/>
      <w:marTop w:val="0"/>
      <w:marBottom w:val="0"/>
      <w:divBdr>
        <w:top w:val="none" w:sz="0" w:space="0" w:color="auto"/>
        <w:left w:val="none" w:sz="0" w:space="0" w:color="auto"/>
        <w:bottom w:val="none" w:sz="0" w:space="0" w:color="auto"/>
        <w:right w:val="none" w:sz="0" w:space="0" w:color="auto"/>
      </w:divBdr>
    </w:div>
    <w:div w:id="732701742">
      <w:bodyDiv w:val="1"/>
      <w:marLeft w:val="0"/>
      <w:marRight w:val="0"/>
      <w:marTop w:val="0"/>
      <w:marBottom w:val="0"/>
      <w:divBdr>
        <w:top w:val="none" w:sz="0" w:space="0" w:color="auto"/>
        <w:left w:val="none" w:sz="0" w:space="0" w:color="auto"/>
        <w:bottom w:val="none" w:sz="0" w:space="0" w:color="auto"/>
        <w:right w:val="none" w:sz="0" w:space="0" w:color="auto"/>
      </w:divBdr>
    </w:div>
    <w:div w:id="749154417">
      <w:bodyDiv w:val="1"/>
      <w:marLeft w:val="0"/>
      <w:marRight w:val="0"/>
      <w:marTop w:val="0"/>
      <w:marBottom w:val="0"/>
      <w:divBdr>
        <w:top w:val="none" w:sz="0" w:space="0" w:color="auto"/>
        <w:left w:val="none" w:sz="0" w:space="0" w:color="auto"/>
        <w:bottom w:val="none" w:sz="0" w:space="0" w:color="auto"/>
        <w:right w:val="none" w:sz="0" w:space="0" w:color="auto"/>
      </w:divBdr>
    </w:div>
    <w:div w:id="766120051">
      <w:bodyDiv w:val="1"/>
      <w:marLeft w:val="0"/>
      <w:marRight w:val="0"/>
      <w:marTop w:val="0"/>
      <w:marBottom w:val="0"/>
      <w:divBdr>
        <w:top w:val="none" w:sz="0" w:space="0" w:color="auto"/>
        <w:left w:val="none" w:sz="0" w:space="0" w:color="auto"/>
        <w:bottom w:val="none" w:sz="0" w:space="0" w:color="auto"/>
        <w:right w:val="none" w:sz="0" w:space="0" w:color="auto"/>
      </w:divBdr>
    </w:div>
    <w:div w:id="775178137">
      <w:bodyDiv w:val="1"/>
      <w:marLeft w:val="0"/>
      <w:marRight w:val="0"/>
      <w:marTop w:val="0"/>
      <w:marBottom w:val="0"/>
      <w:divBdr>
        <w:top w:val="none" w:sz="0" w:space="0" w:color="auto"/>
        <w:left w:val="none" w:sz="0" w:space="0" w:color="auto"/>
        <w:bottom w:val="none" w:sz="0" w:space="0" w:color="auto"/>
        <w:right w:val="none" w:sz="0" w:space="0" w:color="auto"/>
      </w:divBdr>
    </w:div>
    <w:div w:id="804658001">
      <w:bodyDiv w:val="1"/>
      <w:marLeft w:val="0"/>
      <w:marRight w:val="0"/>
      <w:marTop w:val="0"/>
      <w:marBottom w:val="0"/>
      <w:divBdr>
        <w:top w:val="none" w:sz="0" w:space="0" w:color="auto"/>
        <w:left w:val="none" w:sz="0" w:space="0" w:color="auto"/>
        <w:bottom w:val="none" w:sz="0" w:space="0" w:color="auto"/>
        <w:right w:val="none" w:sz="0" w:space="0" w:color="auto"/>
      </w:divBdr>
    </w:div>
    <w:div w:id="832525918">
      <w:bodyDiv w:val="1"/>
      <w:marLeft w:val="0"/>
      <w:marRight w:val="0"/>
      <w:marTop w:val="0"/>
      <w:marBottom w:val="0"/>
      <w:divBdr>
        <w:top w:val="none" w:sz="0" w:space="0" w:color="auto"/>
        <w:left w:val="none" w:sz="0" w:space="0" w:color="auto"/>
        <w:bottom w:val="none" w:sz="0" w:space="0" w:color="auto"/>
        <w:right w:val="none" w:sz="0" w:space="0" w:color="auto"/>
      </w:divBdr>
    </w:div>
    <w:div w:id="839925940">
      <w:bodyDiv w:val="1"/>
      <w:marLeft w:val="0"/>
      <w:marRight w:val="0"/>
      <w:marTop w:val="0"/>
      <w:marBottom w:val="0"/>
      <w:divBdr>
        <w:top w:val="none" w:sz="0" w:space="0" w:color="auto"/>
        <w:left w:val="none" w:sz="0" w:space="0" w:color="auto"/>
        <w:bottom w:val="none" w:sz="0" w:space="0" w:color="auto"/>
        <w:right w:val="none" w:sz="0" w:space="0" w:color="auto"/>
      </w:divBdr>
    </w:div>
    <w:div w:id="849221673">
      <w:bodyDiv w:val="1"/>
      <w:marLeft w:val="0"/>
      <w:marRight w:val="0"/>
      <w:marTop w:val="0"/>
      <w:marBottom w:val="0"/>
      <w:divBdr>
        <w:top w:val="none" w:sz="0" w:space="0" w:color="auto"/>
        <w:left w:val="none" w:sz="0" w:space="0" w:color="auto"/>
        <w:bottom w:val="none" w:sz="0" w:space="0" w:color="auto"/>
        <w:right w:val="none" w:sz="0" w:space="0" w:color="auto"/>
      </w:divBdr>
    </w:div>
    <w:div w:id="889193614">
      <w:bodyDiv w:val="1"/>
      <w:marLeft w:val="0"/>
      <w:marRight w:val="0"/>
      <w:marTop w:val="0"/>
      <w:marBottom w:val="0"/>
      <w:divBdr>
        <w:top w:val="none" w:sz="0" w:space="0" w:color="auto"/>
        <w:left w:val="none" w:sz="0" w:space="0" w:color="auto"/>
        <w:bottom w:val="none" w:sz="0" w:space="0" w:color="auto"/>
        <w:right w:val="none" w:sz="0" w:space="0" w:color="auto"/>
      </w:divBdr>
    </w:div>
    <w:div w:id="943151579">
      <w:bodyDiv w:val="1"/>
      <w:marLeft w:val="0"/>
      <w:marRight w:val="0"/>
      <w:marTop w:val="0"/>
      <w:marBottom w:val="0"/>
      <w:divBdr>
        <w:top w:val="none" w:sz="0" w:space="0" w:color="auto"/>
        <w:left w:val="none" w:sz="0" w:space="0" w:color="auto"/>
        <w:bottom w:val="none" w:sz="0" w:space="0" w:color="auto"/>
        <w:right w:val="none" w:sz="0" w:space="0" w:color="auto"/>
      </w:divBdr>
    </w:div>
    <w:div w:id="976839751">
      <w:bodyDiv w:val="1"/>
      <w:marLeft w:val="0"/>
      <w:marRight w:val="0"/>
      <w:marTop w:val="0"/>
      <w:marBottom w:val="0"/>
      <w:divBdr>
        <w:top w:val="none" w:sz="0" w:space="0" w:color="auto"/>
        <w:left w:val="none" w:sz="0" w:space="0" w:color="auto"/>
        <w:bottom w:val="none" w:sz="0" w:space="0" w:color="auto"/>
        <w:right w:val="none" w:sz="0" w:space="0" w:color="auto"/>
      </w:divBdr>
    </w:div>
    <w:div w:id="981815967">
      <w:bodyDiv w:val="1"/>
      <w:marLeft w:val="0"/>
      <w:marRight w:val="0"/>
      <w:marTop w:val="0"/>
      <w:marBottom w:val="0"/>
      <w:divBdr>
        <w:top w:val="none" w:sz="0" w:space="0" w:color="auto"/>
        <w:left w:val="none" w:sz="0" w:space="0" w:color="auto"/>
        <w:bottom w:val="none" w:sz="0" w:space="0" w:color="auto"/>
        <w:right w:val="none" w:sz="0" w:space="0" w:color="auto"/>
      </w:divBdr>
    </w:div>
    <w:div w:id="1046417759">
      <w:bodyDiv w:val="1"/>
      <w:marLeft w:val="0"/>
      <w:marRight w:val="0"/>
      <w:marTop w:val="0"/>
      <w:marBottom w:val="0"/>
      <w:divBdr>
        <w:top w:val="none" w:sz="0" w:space="0" w:color="auto"/>
        <w:left w:val="none" w:sz="0" w:space="0" w:color="auto"/>
        <w:bottom w:val="none" w:sz="0" w:space="0" w:color="auto"/>
        <w:right w:val="none" w:sz="0" w:space="0" w:color="auto"/>
      </w:divBdr>
    </w:div>
    <w:div w:id="1059136768">
      <w:bodyDiv w:val="1"/>
      <w:marLeft w:val="0"/>
      <w:marRight w:val="0"/>
      <w:marTop w:val="0"/>
      <w:marBottom w:val="0"/>
      <w:divBdr>
        <w:top w:val="none" w:sz="0" w:space="0" w:color="auto"/>
        <w:left w:val="none" w:sz="0" w:space="0" w:color="auto"/>
        <w:bottom w:val="none" w:sz="0" w:space="0" w:color="auto"/>
        <w:right w:val="none" w:sz="0" w:space="0" w:color="auto"/>
      </w:divBdr>
    </w:div>
    <w:div w:id="1063799153">
      <w:bodyDiv w:val="1"/>
      <w:marLeft w:val="0"/>
      <w:marRight w:val="0"/>
      <w:marTop w:val="0"/>
      <w:marBottom w:val="0"/>
      <w:divBdr>
        <w:top w:val="none" w:sz="0" w:space="0" w:color="auto"/>
        <w:left w:val="none" w:sz="0" w:space="0" w:color="auto"/>
        <w:bottom w:val="none" w:sz="0" w:space="0" w:color="auto"/>
        <w:right w:val="none" w:sz="0" w:space="0" w:color="auto"/>
      </w:divBdr>
    </w:div>
    <w:div w:id="1064454779">
      <w:bodyDiv w:val="1"/>
      <w:marLeft w:val="0"/>
      <w:marRight w:val="0"/>
      <w:marTop w:val="0"/>
      <w:marBottom w:val="0"/>
      <w:divBdr>
        <w:top w:val="none" w:sz="0" w:space="0" w:color="auto"/>
        <w:left w:val="none" w:sz="0" w:space="0" w:color="auto"/>
        <w:bottom w:val="none" w:sz="0" w:space="0" w:color="auto"/>
        <w:right w:val="none" w:sz="0" w:space="0" w:color="auto"/>
      </w:divBdr>
    </w:div>
    <w:div w:id="1066882277">
      <w:bodyDiv w:val="1"/>
      <w:marLeft w:val="0"/>
      <w:marRight w:val="0"/>
      <w:marTop w:val="0"/>
      <w:marBottom w:val="0"/>
      <w:divBdr>
        <w:top w:val="none" w:sz="0" w:space="0" w:color="auto"/>
        <w:left w:val="none" w:sz="0" w:space="0" w:color="auto"/>
        <w:bottom w:val="none" w:sz="0" w:space="0" w:color="auto"/>
        <w:right w:val="none" w:sz="0" w:space="0" w:color="auto"/>
      </w:divBdr>
    </w:div>
    <w:div w:id="1075973457">
      <w:bodyDiv w:val="1"/>
      <w:marLeft w:val="0"/>
      <w:marRight w:val="0"/>
      <w:marTop w:val="0"/>
      <w:marBottom w:val="0"/>
      <w:divBdr>
        <w:top w:val="none" w:sz="0" w:space="0" w:color="auto"/>
        <w:left w:val="none" w:sz="0" w:space="0" w:color="auto"/>
        <w:bottom w:val="none" w:sz="0" w:space="0" w:color="auto"/>
        <w:right w:val="none" w:sz="0" w:space="0" w:color="auto"/>
      </w:divBdr>
    </w:div>
    <w:div w:id="1087579408">
      <w:bodyDiv w:val="1"/>
      <w:marLeft w:val="0"/>
      <w:marRight w:val="0"/>
      <w:marTop w:val="0"/>
      <w:marBottom w:val="0"/>
      <w:divBdr>
        <w:top w:val="none" w:sz="0" w:space="0" w:color="auto"/>
        <w:left w:val="none" w:sz="0" w:space="0" w:color="auto"/>
        <w:bottom w:val="none" w:sz="0" w:space="0" w:color="auto"/>
        <w:right w:val="none" w:sz="0" w:space="0" w:color="auto"/>
      </w:divBdr>
    </w:div>
    <w:div w:id="1102409941">
      <w:bodyDiv w:val="1"/>
      <w:marLeft w:val="0"/>
      <w:marRight w:val="0"/>
      <w:marTop w:val="0"/>
      <w:marBottom w:val="0"/>
      <w:divBdr>
        <w:top w:val="none" w:sz="0" w:space="0" w:color="auto"/>
        <w:left w:val="none" w:sz="0" w:space="0" w:color="auto"/>
        <w:bottom w:val="none" w:sz="0" w:space="0" w:color="auto"/>
        <w:right w:val="none" w:sz="0" w:space="0" w:color="auto"/>
      </w:divBdr>
      <w:divsChild>
        <w:div w:id="135532164">
          <w:marLeft w:val="274"/>
          <w:marRight w:val="0"/>
          <w:marTop w:val="0"/>
          <w:marBottom w:val="0"/>
          <w:divBdr>
            <w:top w:val="none" w:sz="0" w:space="0" w:color="auto"/>
            <w:left w:val="none" w:sz="0" w:space="0" w:color="auto"/>
            <w:bottom w:val="none" w:sz="0" w:space="0" w:color="auto"/>
            <w:right w:val="none" w:sz="0" w:space="0" w:color="auto"/>
          </w:divBdr>
        </w:div>
        <w:div w:id="201796976">
          <w:marLeft w:val="274"/>
          <w:marRight w:val="0"/>
          <w:marTop w:val="0"/>
          <w:marBottom w:val="0"/>
          <w:divBdr>
            <w:top w:val="none" w:sz="0" w:space="0" w:color="auto"/>
            <w:left w:val="none" w:sz="0" w:space="0" w:color="auto"/>
            <w:bottom w:val="none" w:sz="0" w:space="0" w:color="auto"/>
            <w:right w:val="none" w:sz="0" w:space="0" w:color="auto"/>
          </w:divBdr>
        </w:div>
        <w:div w:id="986008601">
          <w:marLeft w:val="274"/>
          <w:marRight w:val="0"/>
          <w:marTop w:val="0"/>
          <w:marBottom w:val="0"/>
          <w:divBdr>
            <w:top w:val="none" w:sz="0" w:space="0" w:color="auto"/>
            <w:left w:val="none" w:sz="0" w:space="0" w:color="auto"/>
            <w:bottom w:val="none" w:sz="0" w:space="0" w:color="auto"/>
            <w:right w:val="none" w:sz="0" w:space="0" w:color="auto"/>
          </w:divBdr>
        </w:div>
        <w:div w:id="1614827196">
          <w:marLeft w:val="274"/>
          <w:marRight w:val="0"/>
          <w:marTop w:val="0"/>
          <w:marBottom w:val="0"/>
          <w:divBdr>
            <w:top w:val="none" w:sz="0" w:space="0" w:color="auto"/>
            <w:left w:val="none" w:sz="0" w:space="0" w:color="auto"/>
            <w:bottom w:val="none" w:sz="0" w:space="0" w:color="auto"/>
            <w:right w:val="none" w:sz="0" w:space="0" w:color="auto"/>
          </w:divBdr>
        </w:div>
      </w:divsChild>
    </w:div>
    <w:div w:id="1104619728">
      <w:bodyDiv w:val="1"/>
      <w:marLeft w:val="0"/>
      <w:marRight w:val="0"/>
      <w:marTop w:val="0"/>
      <w:marBottom w:val="0"/>
      <w:divBdr>
        <w:top w:val="none" w:sz="0" w:space="0" w:color="auto"/>
        <w:left w:val="none" w:sz="0" w:space="0" w:color="auto"/>
        <w:bottom w:val="none" w:sz="0" w:space="0" w:color="auto"/>
        <w:right w:val="none" w:sz="0" w:space="0" w:color="auto"/>
      </w:divBdr>
    </w:div>
    <w:div w:id="1107771936">
      <w:bodyDiv w:val="1"/>
      <w:marLeft w:val="0"/>
      <w:marRight w:val="0"/>
      <w:marTop w:val="0"/>
      <w:marBottom w:val="0"/>
      <w:divBdr>
        <w:top w:val="none" w:sz="0" w:space="0" w:color="auto"/>
        <w:left w:val="none" w:sz="0" w:space="0" w:color="auto"/>
        <w:bottom w:val="none" w:sz="0" w:space="0" w:color="auto"/>
        <w:right w:val="none" w:sz="0" w:space="0" w:color="auto"/>
      </w:divBdr>
    </w:div>
    <w:div w:id="1108820069">
      <w:bodyDiv w:val="1"/>
      <w:marLeft w:val="0"/>
      <w:marRight w:val="0"/>
      <w:marTop w:val="0"/>
      <w:marBottom w:val="0"/>
      <w:divBdr>
        <w:top w:val="none" w:sz="0" w:space="0" w:color="auto"/>
        <w:left w:val="none" w:sz="0" w:space="0" w:color="auto"/>
        <w:bottom w:val="none" w:sz="0" w:space="0" w:color="auto"/>
        <w:right w:val="none" w:sz="0" w:space="0" w:color="auto"/>
      </w:divBdr>
    </w:div>
    <w:div w:id="1110199108">
      <w:bodyDiv w:val="1"/>
      <w:marLeft w:val="0"/>
      <w:marRight w:val="0"/>
      <w:marTop w:val="0"/>
      <w:marBottom w:val="0"/>
      <w:divBdr>
        <w:top w:val="none" w:sz="0" w:space="0" w:color="auto"/>
        <w:left w:val="none" w:sz="0" w:space="0" w:color="auto"/>
        <w:bottom w:val="none" w:sz="0" w:space="0" w:color="auto"/>
        <w:right w:val="none" w:sz="0" w:space="0" w:color="auto"/>
      </w:divBdr>
    </w:div>
    <w:div w:id="1132404970">
      <w:bodyDiv w:val="1"/>
      <w:marLeft w:val="0"/>
      <w:marRight w:val="0"/>
      <w:marTop w:val="0"/>
      <w:marBottom w:val="0"/>
      <w:divBdr>
        <w:top w:val="none" w:sz="0" w:space="0" w:color="auto"/>
        <w:left w:val="none" w:sz="0" w:space="0" w:color="auto"/>
        <w:bottom w:val="none" w:sz="0" w:space="0" w:color="auto"/>
        <w:right w:val="none" w:sz="0" w:space="0" w:color="auto"/>
      </w:divBdr>
    </w:div>
    <w:div w:id="1137144372">
      <w:bodyDiv w:val="1"/>
      <w:marLeft w:val="0"/>
      <w:marRight w:val="0"/>
      <w:marTop w:val="0"/>
      <w:marBottom w:val="0"/>
      <w:divBdr>
        <w:top w:val="none" w:sz="0" w:space="0" w:color="auto"/>
        <w:left w:val="none" w:sz="0" w:space="0" w:color="auto"/>
        <w:bottom w:val="none" w:sz="0" w:space="0" w:color="auto"/>
        <w:right w:val="none" w:sz="0" w:space="0" w:color="auto"/>
      </w:divBdr>
    </w:div>
    <w:div w:id="1147672158">
      <w:bodyDiv w:val="1"/>
      <w:marLeft w:val="0"/>
      <w:marRight w:val="0"/>
      <w:marTop w:val="0"/>
      <w:marBottom w:val="0"/>
      <w:divBdr>
        <w:top w:val="none" w:sz="0" w:space="0" w:color="auto"/>
        <w:left w:val="none" w:sz="0" w:space="0" w:color="auto"/>
        <w:bottom w:val="none" w:sz="0" w:space="0" w:color="auto"/>
        <w:right w:val="none" w:sz="0" w:space="0" w:color="auto"/>
      </w:divBdr>
    </w:div>
    <w:div w:id="1158378741">
      <w:bodyDiv w:val="1"/>
      <w:marLeft w:val="0"/>
      <w:marRight w:val="0"/>
      <w:marTop w:val="0"/>
      <w:marBottom w:val="0"/>
      <w:divBdr>
        <w:top w:val="none" w:sz="0" w:space="0" w:color="auto"/>
        <w:left w:val="none" w:sz="0" w:space="0" w:color="auto"/>
        <w:bottom w:val="none" w:sz="0" w:space="0" w:color="auto"/>
        <w:right w:val="none" w:sz="0" w:space="0" w:color="auto"/>
      </w:divBdr>
    </w:div>
    <w:div w:id="1169714916">
      <w:bodyDiv w:val="1"/>
      <w:marLeft w:val="0"/>
      <w:marRight w:val="0"/>
      <w:marTop w:val="0"/>
      <w:marBottom w:val="0"/>
      <w:divBdr>
        <w:top w:val="none" w:sz="0" w:space="0" w:color="auto"/>
        <w:left w:val="none" w:sz="0" w:space="0" w:color="auto"/>
        <w:bottom w:val="none" w:sz="0" w:space="0" w:color="auto"/>
        <w:right w:val="none" w:sz="0" w:space="0" w:color="auto"/>
      </w:divBdr>
    </w:div>
    <w:div w:id="1184710853">
      <w:bodyDiv w:val="1"/>
      <w:marLeft w:val="0"/>
      <w:marRight w:val="0"/>
      <w:marTop w:val="0"/>
      <w:marBottom w:val="0"/>
      <w:divBdr>
        <w:top w:val="none" w:sz="0" w:space="0" w:color="auto"/>
        <w:left w:val="none" w:sz="0" w:space="0" w:color="auto"/>
        <w:bottom w:val="none" w:sz="0" w:space="0" w:color="auto"/>
        <w:right w:val="none" w:sz="0" w:space="0" w:color="auto"/>
      </w:divBdr>
    </w:div>
    <w:div w:id="1186332776">
      <w:bodyDiv w:val="1"/>
      <w:marLeft w:val="0"/>
      <w:marRight w:val="0"/>
      <w:marTop w:val="0"/>
      <w:marBottom w:val="0"/>
      <w:divBdr>
        <w:top w:val="none" w:sz="0" w:space="0" w:color="auto"/>
        <w:left w:val="none" w:sz="0" w:space="0" w:color="auto"/>
        <w:bottom w:val="none" w:sz="0" w:space="0" w:color="auto"/>
        <w:right w:val="none" w:sz="0" w:space="0" w:color="auto"/>
      </w:divBdr>
    </w:div>
    <w:div w:id="1200707930">
      <w:bodyDiv w:val="1"/>
      <w:marLeft w:val="0"/>
      <w:marRight w:val="0"/>
      <w:marTop w:val="0"/>
      <w:marBottom w:val="0"/>
      <w:divBdr>
        <w:top w:val="none" w:sz="0" w:space="0" w:color="auto"/>
        <w:left w:val="none" w:sz="0" w:space="0" w:color="auto"/>
        <w:bottom w:val="none" w:sz="0" w:space="0" w:color="auto"/>
        <w:right w:val="none" w:sz="0" w:space="0" w:color="auto"/>
      </w:divBdr>
    </w:div>
    <w:div w:id="1224219807">
      <w:bodyDiv w:val="1"/>
      <w:marLeft w:val="0"/>
      <w:marRight w:val="0"/>
      <w:marTop w:val="0"/>
      <w:marBottom w:val="0"/>
      <w:divBdr>
        <w:top w:val="none" w:sz="0" w:space="0" w:color="auto"/>
        <w:left w:val="none" w:sz="0" w:space="0" w:color="auto"/>
        <w:bottom w:val="none" w:sz="0" w:space="0" w:color="auto"/>
        <w:right w:val="none" w:sz="0" w:space="0" w:color="auto"/>
      </w:divBdr>
    </w:div>
    <w:div w:id="1243105548">
      <w:bodyDiv w:val="1"/>
      <w:marLeft w:val="0"/>
      <w:marRight w:val="0"/>
      <w:marTop w:val="0"/>
      <w:marBottom w:val="0"/>
      <w:divBdr>
        <w:top w:val="none" w:sz="0" w:space="0" w:color="auto"/>
        <w:left w:val="none" w:sz="0" w:space="0" w:color="auto"/>
        <w:bottom w:val="none" w:sz="0" w:space="0" w:color="auto"/>
        <w:right w:val="none" w:sz="0" w:space="0" w:color="auto"/>
      </w:divBdr>
    </w:div>
    <w:div w:id="1245073252">
      <w:bodyDiv w:val="1"/>
      <w:marLeft w:val="0"/>
      <w:marRight w:val="0"/>
      <w:marTop w:val="0"/>
      <w:marBottom w:val="0"/>
      <w:divBdr>
        <w:top w:val="none" w:sz="0" w:space="0" w:color="auto"/>
        <w:left w:val="none" w:sz="0" w:space="0" w:color="auto"/>
        <w:bottom w:val="none" w:sz="0" w:space="0" w:color="auto"/>
        <w:right w:val="none" w:sz="0" w:space="0" w:color="auto"/>
      </w:divBdr>
    </w:div>
    <w:div w:id="1260068775">
      <w:bodyDiv w:val="1"/>
      <w:marLeft w:val="0"/>
      <w:marRight w:val="0"/>
      <w:marTop w:val="0"/>
      <w:marBottom w:val="0"/>
      <w:divBdr>
        <w:top w:val="none" w:sz="0" w:space="0" w:color="auto"/>
        <w:left w:val="none" w:sz="0" w:space="0" w:color="auto"/>
        <w:bottom w:val="none" w:sz="0" w:space="0" w:color="auto"/>
        <w:right w:val="none" w:sz="0" w:space="0" w:color="auto"/>
      </w:divBdr>
    </w:div>
    <w:div w:id="1338077982">
      <w:bodyDiv w:val="1"/>
      <w:marLeft w:val="0"/>
      <w:marRight w:val="0"/>
      <w:marTop w:val="0"/>
      <w:marBottom w:val="0"/>
      <w:divBdr>
        <w:top w:val="none" w:sz="0" w:space="0" w:color="auto"/>
        <w:left w:val="none" w:sz="0" w:space="0" w:color="auto"/>
        <w:bottom w:val="none" w:sz="0" w:space="0" w:color="auto"/>
        <w:right w:val="none" w:sz="0" w:space="0" w:color="auto"/>
      </w:divBdr>
    </w:div>
    <w:div w:id="1346857285">
      <w:bodyDiv w:val="1"/>
      <w:marLeft w:val="0"/>
      <w:marRight w:val="0"/>
      <w:marTop w:val="0"/>
      <w:marBottom w:val="0"/>
      <w:divBdr>
        <w:top w:val="none" w:sz="0" w:space="0" w:color="auto"/>
        <w:left w:val="none" w:sz="0" w:space="0" w:color="auto"/>
        <w:bottom w:val="none" w:sz="0" w:space="0" w:color="auto"/>
        <w:right w:val="none" w:sz="0" w:space="0" w:color="auto"/>
      </w:divBdr>
    </w:div>
    <w:div w:id="1355305121">
      <w:bodyDiv w:val="1"/>
      <w:marLeft w:val="0"/>
      <w:marRight w:val="0"/>
      <w:marTop w:val="0"/>
      <w:marBottom w:val="0"/>
      <w:divBdr>
        <w:top w:val="none" w:sz="0" w:space="0" w:color="auto"/>
        <w:left w:val="none" w:sz="0" w:space="0" w:color="auto"/>
        <w:bottom w:val="none" w:sz="0" w:space="0" w:color="auto"/>
        <w:right w:val="none" w:sz="0" w:space="0" w:color="auto"/>
      </w:divBdr>
    </w:div>
    <w:div w:id="1361860067">
      <w:bodyDiv w:val="1"/>
      <w:marLeft w:val="0"/>
      <w:marRight w:val="0"/>
      <w:marTop w:val="0"/>
      <w:marBottom w:val="0"/>
      <w:divBdr>
        <w:top w:val="none" w:sz="0" w:space="0" w:color="auto"/>
        <w:left w:val="none" w:sz="0" w:space="0" w:color="auto"/>
        <w:bottom w:val="none" w:sz="0" w:space="0" w:color="auto"/>
        <w:right w:val="none" w:sz="0" w:space="0" w:color="auto"/>
      </w:divBdr>
    </w:div>
    <w:div w:id="1367758338">
      <w:bodyDiv w:val="1"/>
      <w:marLeft w:val="0"/>
      <w:marRight w:val="0"/>
      <w:marTop w:val="0"/>
      <w:marBottom w:val="0"/>
      <w:divBdr>
        <w:top w:val="none" w:sz="0" w:space="0" w:color="auto"/>
        <w:left w:val="none" w:sz="0" w:space="0" w:color="auto"/>
        <w:bottom w:val="none" w:sz="0" w:space="0" w:color="auto"/>
        <w:right w:val="none" w:sz="0" w:space="0" w:color="auto"/>
      </w:divBdr>
    </w:div>
    <w:div w:id="1389720028">
      <w:bodyDiv w:val="1"/>
      <w:marLeft w:val="0"/>
      <w:marRight w:val="0"/>
      <w:marTop w:val="0"/>
      <w:marBottom w:val="0"/>
      <w:divBdr>
        <w:top w:val="none" w:sz="0" w:space="0" w:color="auto"/>
        <w:left w:val="none" w:sz="0" w:space="0" w:color="auto"/>
        <w:bottom w:val="none" w:sz="0" w:space="0" w:color="auto"/>
        <w:right w:val="none" w:sz="0" w:space="0" w:color="auto"/>
      </w:divBdr>
    </w:div>
    <w:div w:id="1404066780">
      <w:bodyDiv w:val="1"/>
      <w:marLeft w:val="0"/>
      <w:marRight w:val="0"/>
      <w:marTop w:val="0"/>
      <w:marBottom w:val="0"/>
      <w:divBdr>
        <w:top w:val="none" w:sz="0" w:space="0" w:color="auto"/>
        <w:left w:val="none" w:sz="0" w:space="0" w:color="auto"/>
        <w:bottom w:val="none" w:sz="0" w:space="0" w:color="auto"/>
        <w:right w:val="none" w:sz="0" w:space="0" w:color="auto"/>
      </w:divBdr>
    </w:div>
    <w:div w:id="1478110425">
      <w:bodyDiv w:val="1"/>
      <w:marLeft w:val="0"/>
      <w:marRight w:val="0"/>
      <w:marTop w:val="0"/>
      <w:marBottom w:val="0"/>
      <w:divBdr>
        <w:top w:val="none" w:sz="0" w:space="0" w:color="auto"/>
        <w:left w:val="none" w:sz="0" w:space="0" w:color="auto"/>
        <w:bottom w:val="none" w:sz="0" w:space="0" w:color="auto"/>
        <w:right w:val="none" w:sz="0" w:space="0" w:color="auto"/>
      </w:divBdr>
    </w:div>
    <w:div w:id="1482191771">
      <w:bodyDiv w:val="1"/>
      <w:marLeft w:val="0"/>
      <w:marRight w:val="0"/>
      <w:marTop w:val="0"/>
      <w:marBottom w:val="0"/>
      <w:divBdr>
        <w:top w:val="none" w:sz="0" w:space="0" w:color="auto"/>
        <w:left w:val="none" w:sz="0" w:space="0" w:color="auto"/>
        <w:bottom w:val="none" w:sz="0" w:space="0" w:color="auto"/>
        <w:right w:val="none" w:sz="0" w:space="0" w:color="auto"/>
      </w:divBdr>
    </w:div>
    <w:div w:id="1500654215">
      <w:bodyDiv w:val="1"/>
      <w:marLeft w:val="0"/>
      <w:marRight w:val="0"/>
      <w:marTop w:val="0"/>
      <w:marBottom w:val="0"/>
      <w:divBdr>
        <w:top w:val="none" w:sz="0" w:space="0" w:color="auto"/>
        <w:left w:val="none" w:sz="0" w:space="0" w:color="auto"/>
        <w:bottom w:val="none" w:sz="0" w:space="0" w:color="auto"/>
        <w:right w:val="none" w:sz="0" w:space="0" w:color="auto"/>
      </w:divBdr>
    </w:div>
    <w:div w:id="1518616687">
      <w:bodyDiv w:val="1"/>
      <w:marLeft w:val="0"/>
      <w:marRight w:val="0"/>
      <w:marTop w:val="0"/>
      <w:marBottom w:val="0"/>
      <w:divBdr>
        <w:top w:val="none" w:sz="0" w:space="0" w:color="auto"/>
        <w:left w:val="none" w:sz="0" w:space="0" w:color="auto"/>
        <w:bottom w:val="none" w:sz="0" w:space="0" w:color="auto"/>
        <w:right w:val="none" w:sz="0" w:space="0" w:color="auto"/>
      </w:divBdr>
    </w:div>
    <w:div w:id="1525971805">
      <w:bodyDiv w:val="1"/>
      <w:marLeft w:val="0"/>
      <w:marRight w:val="0"/>
      <w:marTop w:val="0"/>
      <w:marBottom w:val="0"/>
      <w:divBdr>
        <w:top w:val="none" w:sz="0" w:space="0" w:color="auto"/>
        <w:left w:val="none" w:sz="0" w:space="0" w:color="auto"/>
        <w:bottom w:val="none" w:sz="0" w:space="0" w:color="auto"/>
        <w:right w:val="none" w:sz="0" w:space="0" w:color="auto"/>
      </w:divBdr>
    </w:div>
    <w:div w:id="1528255643">
      <w:bodyDiv w:val="1"/>
      <w:marLeft w:val="0"/>
      <w:marRight w:val="0"/>
      <w:marTop w:val="0"/>
      <w:marBottom w:val="0"/>
      <w:divBdr>
        <w:top w:val="none" w:sz="0" w:space="0" w:color="auto"/>
        <w:left w:val="none" w:sz="0" w:space="0" w:color="auto"/>
        <w:bottom w:val="none" w:sz="0" w:space="0" w:color="auto"/>
        <w:right w:val="none" w:sz="0" w:space="0" w:color="auto"/>
      </w:divBdr>
    </w:div>
    <w:div w:id="1602908617">
      <w:bodyDiv w:val="1"/>
      <w:marLeft w:val="0"/>
      <w:marRight w:val="0"/>
      <w:marTop w:val="0"/>
      <w:marBottom w:val="0"/>
      <w:divBdr>
        <w:top w:val="none" w:sz="0" w:space="0" w:color="auto"/>
        <w:left w:val="none" w:sz="0" w:space="0" w:color="auto"/>
        <w:bottom w:val="none" w:sz="0" w:space="0" w:color="auto"/>
        <w:right w:val="none" w:sz="0" w:space="0" w:color="auto"/>
      </w:divBdr>
    </w:div>
    <w:div w:id="1603994450">
      <w:bodyDiv w:val="1"/>
      <w:marLeft w:val="0"/>
      <w:marRight w:val="0"/>
      <w:marTop w:val="0"/>
      <w:marBottom w:val="0"/>
      <w:divBdr>
        <w:top w:val="none" w:sz="0" w:space="0" w:color="auto"/>
        <w:left w:val="none" w:sz="0" w:space="0" w:color="auto"/>
        <w:bottom w:val="none" w:sz="0" w:space="0" w:color="auto"/>
        <w:right w:val="none" w:sz="0" w:space="0" w:color="auto"/>
      </w:divBdr>
    </w:div>
    <w:div w:id="1605070099">
      <w:bodyDiv w:val="1"/>
      <w:marLeft w:val="0"/>
      <w:marRight w:val="0"/>
      <w:marTop w:val="0"/>
      <w:marBottom w:val="0"/>
      <w:divBdr>
        <w:top w:val="none" w:sz="0" w:space="0" w:color="auto"/>
        <w:left w:val="none" w:sz="0" w:space="0" w:color="auto"/>
        <w:bottom w:val="none" w:sz="0" w:space="0" w:color="auto"/>
        <w:right w:val="none" w:sz="0" w:space="0" w:color="auto"/>
      </w:divBdr>
    </w:div>
    <w:div w:id="1643384527">
      <w:bodyDiv w:val="1"/>
      <w:marLeft w:val="0"/>
      <w:marRight w:val="0"/>
      <w:marTop w:val="0"/>
      <w:marBottom w:val="0"/>
      <w:divBdr>
        <w:top w:val="none" w:sz="0" w:space="0" w:color="auto"/>
        <w:left w:val="none" w:sz="0" w:space="0" w:color="auto"/>
        <w:bottom w:val="none" w:sz="0" w:space="0" w:color="auto"/>
        <w:right w:val="none" w:sz="0" w:space="0" w:color="auto"/>
      </w:divBdr>
    </w:div>
    <w:div w:id="1676567320">
      <w:bodyDiv w:val="1"/>
      <w:marLeft w:val="0"/>
      <w:marRight w:val="0"/>
      <w:marTop w:val="0"/>
      <w:marBottom w:val="0"/>
      <w:divBdr>
        <w:top w:val="none" w:sz="0" w:space="0" w:color="auto"/>
        <w:left w:val="none" w:sz="0" w:space="0" w:color="auto"/>
        <w:bottom w:val="none" w:sz="0" w:space="0" w:color="auto"/>
        <w:right w:val="none" w:sz="0" w:space="0" w:color="auto"/>
      </w:divBdr>
    </w:div>
    <w:div w:id="1713964417">
      <w:bodyDiv w:val="1"/>
      <w:marLeft w:val="0"/>
      <w:marRight w:val="0"/>
      <w:marTop w:val="0"/>
      <w:marBottom w:val="0"/>
      <w:divBdr>
        <w:top w:val="none" w:sz="0" w:space="0" w:color="auto"/>
        <w:left w:val="none" w:sz="0" w:space="0" w:color="auto"/>
        <w:bottom w:val="none" w:sz="0" w:space="0" w:color="auto"/>
        <w:right w:val="none" w:sz="0" w:space="0" w:color="auto"/>
      </w:divBdr>
    </w:div>
    <w:div w:id="1719158751">
      <w:bodyDiv w:val="1"/>
      <w:marLeft w:val="0"/>
      <w:marRight w:val="0"/>
      <w:marTop w:val="0"/>
      <w:marBottom w:val="0"/>
      <w:divBdr>
        <w:top w:val="none" w:sz="0" w:space="0" w:color="auto"/>
        <w:left w:val="none" w:sz="0" w:space="0" w:color="auto"/>
        <w:bottom w:val="none" w:sz="0" w:space="0" w:color="auto"/>
        <w:right w:val="none" w:sz="0" w:space="0" w:color="auto"/>
      </w:divBdr>
    </w:div>
    <w:div w:id="1720588431">
      <w:bodyDiv w:val="1"/>
      <w:marLeft w:val="0"/>
      <w:marRight w:val="0"/>
      <w:marTop w:val="0"/>
      <w:marBottom w:val="0"/>
      <w:divBdr>
        <w:top w:val="none" w:sz="0" w:space="0" w:color="auto"/>
        <w:left w:val="none" w:sz="0" w:space="0" w:color="auto"/>
        <w:bottom w:val="none" w:sz="0" w:space="0" w:color="auto"/>
        <w:right w:val="none" w:sz="0" w:space="0" w:color="auto"/>
      </w:divBdr>
    </w:div>
    <w:div w:id="1744647455">
      <w:bodyDiv w:val="1"/>
      <w:marLeft w:val="0"/>
      <w:marRight w:val="0"/>
      <w:marTop w:val="0"/>
      <w:marBottom w:val="0"/>
      <w:divBdr>
        <w:top w:val="none" w:sz="0" w:space="0" w:color="auto"/>
        <w:left w:val="none" w:sz="0" w:space="0" w:color="auto"/>
        <w:bottom w:val="none" w:sz="0" w:space="0" w:color="auto"/>
        <w:right w:val="none" w:sz="0" w:space="0" w:color="auto"/>
      </w:divBdr>
    </w:div>
    <w:div w:id="1745763118">
      <w:bodyDiv w:val="1"/>
      <w:marLeft w:val="0"/>
      <w:marRight w:val="0"/>
      <w:marTop w:val="0"/>
      <w:marBottom w:val="0"/>
      <w:divBdr>
        <w:top w:val="none" w:sz="0" w:space="0" w:color="auto"/>
        <w:left w:val="none" w:sz="0" w:space="0" w:color="auto"/>
        <w:bottom w:val="none" w:sz="0" w:space="0" w:color="auto"/>
        <w:right w:val="none" w:sz="0" w:space="0" w:color="auto"/>
      </w:divBdr>
    </w:div>
    <w:div w:id="1756584452">
      <w:bodyDiv w:val="1"/>
      <w:marLeft w:val="0"/>
      <w:marRight w:val="0"/>
      <w:marTop w:val="0"/>
      <w:marBottom w:val="0"/>
      <w:divBdr>
        <w:top w:val="none" w:sz="0" w:space="0" w:color="auto"/>
        <w:left w:val="none" w:sz="0" w:space="0" w:color="auto"/>
        <w:bottom w:val="none" w:sz="0" w:space="0" w:color="auto"/>
        <w:right w:val="none" w:sz="0" w:space="0" w:color="auto"/>
      </w:divBdr>
    </w:div>
    <w:div w:id="1780830051">
      <w:bodyDiv w:val="1"/>
      <w:marLeft w:val="0"/>
      <w:marRight w:val="0"/>
      <w:marTop w:val="0"/>
      <w:marBottom w:val="0"/>
      <w:divBdr>
        <w:top w:val="none" w:sz="0" w:space="0" w:color="auto"/>
        <w:left w:val="none" w:sz="0" w:space="0" w:color="auto"/>
        <w:bottom w:val="none" w:sz="0" w:space="0" w:color="auto"/>
        <w:right w:val="none" w:sz="0" w:space="0" w:color="auto"/>
      </w:divBdr>
    </w:div>
    <w:div w:id="1818372505">
      <w:bodyDiv w:val="1"/>
      <w:marLeft w:val="0"/>
      <w:marRight w:val="0"/>
      <w:marTop w:val="0"/>
      <w:marBottom w:val="0"/>
      <w:divBdr>
        <w:top w:val="none" w:sz="0" w:space="0" w:color="auto"/>
        <w:left w:val="none" w:sz="0" w:space="0" w:color="auto"/>
        <w:bottom w:val="none" w:sz="0" w:space="0" w:color="auto"/>
        <w:right w:val="none" w:sz="0" w:space="0" w:color="auto"/>
      </w:divBdr>
    </w:div>
    <w:div w:id="1827429546">
      <w:bodyDiv w:val="1"/>
      <w:marLeft w:val="0"/>
      <w:marRight w:val="0"/>
      <w:marTop w:val="0"/>
      <w:marBottom w:val="0"/>
      <w:divBdr>
        <w:top w:val="none" w:sz="0" w:space="0" w:color="auto"/>
        <w:left w:val="none" w:sz="0" w:space="0" w:color="auto"/>
        <w:bottom w:val="none" w:sz="0" w:space="0" w:color="auto"/>
        <w:right w:val="none" w:sz="0" w:space="0" w:color="auto"/>
      </w:divBdr>
    </w:div>
    <w:div w:id="1835996567">
      <w:bodyDiv w:val="1"/>
      <w:marLeft w:val="0"/>
      <w:marRight w:val="0"/>
      <w:marTop w:val="0"/>
      <w:marBottom w:val="0"/>
      <w:divBdr>
        <w:top w:val="none" w:sz="0" w:space="0" w:color="auto"/>
        <w:left w:val="none" w:sz="0" w:space="0" w:color="auto"/>
        <w:bottom w:val="none" w:sz="0" w:space="0" w:color="auto"/>
        <w:right w:val="none" w:sz="0" w:space="0" w:color="auto"/>
      </w:divBdr>
    </w:div>
    <w:div w:id="1844516032">
      <w:bodyDiv w:val="1"/>
      <w:marLeft w:val="0"/>
      <w:marRight w:val="0"/>
      <w:marTop w:val="0"/>
      <w:marBottom w:val="0"/>
      <w:divBdr>
        <w:top w:val="none" w:sz="0" w:space="0" w:color="auto"/>
        <w:left w:val="none" w:sz="0" w:space="0" w:color="auto"/>
        <w:bottom w:val="none" w:sz="0" w:space="0" w:color="auto"/>
        <w:right w:val="none" w:sz="0" w:space="0" w:color="auto"/>
      </w:divBdr>
    </w:div>
    <w:div w:id="1891764355">
      <w:bodyDiv w:val="1"/>
      <w:marLeft w:val="0"/>
      <w:marRight w:val="0"/>
      <w:marTop w:val="0"/>
      <w:marBottom w:val="0"/>
      <w:divBdr>
        <w:top w:val="none" w:sz="0" w:space="0" w:color="auto"/>
        <w:left w:val="none" w:sz="0" w:space="0" w:color="auto"/>
        <w:bottom w:val="none" w:sz="0" w:space="0" w:color="auto"/>
        <w:right w:val="none" w:sz="0" w:space="0" w:color="auto"/>
      </w:divBdr>
    </w:div>
    <w:div w:id="1900554157">
      <w:bodyDiv w:val="1"/>
      <w:marLeft w:val="0"/>
      <w:marRight w:val="0"/>
      <w:marTop w:val="0"/>
      <w:marBottom w:val="0"/>
      <w:divBdr>
        <w:top w:val="none" w:sz="0" w:space="0" w:color="auto"/>
        <w:left w:val="none" w:sz="0" w:space="0" w:color="auto"/>
        <w:bottom w:val="none" w:sz="0" w:space="0" w:color="auto"/>
        <w:right w:val="none" w:sz="0" w:space="0" w:color="auto"/>
      </w:divBdr>
    </w:div>
    <w:div w:id="1925916875">
      <w:bodyDiv w:val="1"/>
      <w:marLeft w:val="0"/>
      <w:marRight w:val="0"/>
      <w:marTop w:val="0"/>
      <w:marBottom w:val="0"/>
      <w:divBdr>
        <w:top w:val="none" w:sz="0" w:space="0" w:color="auto"/>
        <w:left w:val="none" w:sz="0" w:space="0" w:color="auto"/>
        <w:bottom w:val="none" w:sz="0" w:space="0" w:color="auto"/>
        <w:right w:val="none" w:sz="0" w:space="0" w:color="auto"/>
      </w:divBdr>
    </w:div>
    <w:div w:id="1943218923">
      <w:bodyDiv w:val="1"/>
      <w:marLeft w:val="0"/>
      <w:marRight w:val="0"/>
      <w:marTop w:val="0"/>
      <w:marBottom w:val="0"/>
      <w:divBdr>
        <w:top w:val="none" w:sz="0" w:space="0" w:color="auto"/>
        <w:left w:val="none" w:sz="0" w:space="0" w:color="auto"/>
        <w:bottom w:val="none" w:sz="0" w:space="0" w:color="auto"/>
        <w:right w:val="none" w:sz="0" w:space="0" w:color="auto"/>
      </w:divBdr>
    </w:div>
    <w:div w:id="1955481482">
      <w:bodyDiv w:val="1"/>
      <w:marLeft w:val="0"/>
      <w:marRight w:val="0"/>
      <w:marTop w:val="0"/>
      <w:marBottom w:val="0"/>
      <w:divBdr>
        <w:top w:val="none" w:sz="0" w:space="0" w:color="auto"/>
        <w:left w:val="none" w:sz="0" w:space="0" w:color="auto"/>
        <w:bottom w:val="none" w:sz="0" w:space="0" w:color="auto"/>
        <w:right w:val="none" w:sz="0" w:space="0" w:color="auto"/>
      </w:divBdr>
    </w:div>
    <w:div w:id="1957173540">
      <w:bodyDiv w:val="1"/>
      <w:marLeft w:val="0"/>
      <w:marRight w:val="0"/>
      <w:marTop w:val="0"/>
      <w:marBottom w:val="0"/>
      <w:divBdr>
        <w:top w:val="none" w:sz="0" w:space="0" w:color="auto"/>
        <w:left w:val="none" w:sz="0" w:space="0" w:color="auto"/>
        <w:bottom w:val="none" w:sz="0" w:space="0" w:color="auto"/>
        <w:right w:val="none" w:sz="0" w:space="0" w:color="auto"/>
      </w:divBdr>
    </w:div>
    <w:div w:id="1957445224">
      <w:bodyDiv w:val="1"/>
      <w:marLeft w:val="0"/>
      <w:marRight w:val="0"/>
      <w:marTop w:val="0"/>
      <w:marBottom w:val="0"/>
      <w:divBdr>
        <w:top w:val="none" w:sz="0" w:space="0" w:color="auto"/>
        <w:left w:val="none" w:sz="0" w:space="0" w:color="auto"/>
        <w:bottom w:val="none" w:sz="0" w:space="0" w:color="auto"/>
        <w:right w:val="none" w:sz="0" w:space="0" w:color="auto"/>
      </w:divBdr>
    </w:div>
    <w:div w:id="1968850662">
      <w:bodyDiv w:val="1"/>
      <w:marLeft w:val="0"/>
      <w:marRight w:val="0"/>
      <w:marTop w:val="0"/>
      <w:marBottom w:val="0"/>
      <w:divBdr>
        <w:top w:val="none" w:sz="0" w:space="0" w:color="auto"/>
        <w:left w:val="none" w:sz="0" w:space="0" w:color="auto"/>
        <w:bottom w:val="none" w:sz="0" w:space="0" w:color="auto"/>
        <w:right w:val="none" w:sz="0" w:space="0" w:color="auto"/>
      </w:divBdr>
    </w:div>
    <w:div w:id="1978417548">
      <w:bodyDiv w:val="1"/>
      <w:marLeft w:val="0"/>
      <w:marRight w:val="0"/>
      <w:marTop w:val="0"/>
      <w:marBottom w:val="0"/>
      <w:divBdr>
        <w:top w:val="none" w:sz="0" w:space="0" w:color="auto"/>
        <w:left w:val="none" w:sz="0" w:space="0" w:color="auto"/>
        <w:bottom w:val="none" w:sz="0" w:space="0" w:color="auto"/>
        <w:right w:val="none" w:sz="0" w:space="0" w:color="auto"/>
      </w:divBdr>
      <w:divsChild>
        <w:div w:id="1221137358">
          <w:marLeft w:val="274"/>
          <w:marRight w:val="0"/>
          <w:marTop w:val="0"/>
          <w:marBottom w:val="0"/>
          <w:divBdr>
            <w:top w:val="none" w:sz="0" w:space="0" w:color="auto"/>
            <w:left w:val="none" w:sz="0" w:space="0" w:color="auto"/>
            <w:bottom w:val="none" w:sz="0" w:space="0" w:color="auto"/>
            <w:right w:val="none" w:sz="0" w:space="0" w:color="auto"/>
          </w:divBdr>
        </w:div>
        <w:div w:id="1944993095">
          <w:marLeft w:val="274"/>
          <w:marRight w:val="0"/>
          <w:marTop w:val="0"/>
          <w:marBottom w:val="0"/>
          <w:divBdr>
            <w:top w:val="none" w:sz="0" w:space="0" w:color="auto"/>
            <w:left w:val="none" w:sz="0" w:space="0" w:color="auto"/>
            <w:bottom w:val="none" w:sz="0" w:space="0" w:color="auto"/>
            <w:right w:val="none" w:sz="0" w:space="0" w:color="auto"/>
          </w:divBdr>
        </w:div>
        <w:div w:id="1000501446">
          <w:marLeft w:val="274"/>
          <w:marRight w:val="0"/>
          <w:marTop w:val="0"/>
          <w:marBottom w:val="0"/>
          <w:divBdr>
            <w:top w:val="none" w:sz="0" w:space="0" w:color="auto"/>
            <w:left w:val="none" w:sz="0" w:space="0" w:color="auto"/>
            <w:bottom w:val="none" w:sz="0" w:space="0" w:color="auto"/>
            <w:right w:val="none" w:sz="0" w:space="0" w:color="auto"/>
          </w:divBdr>
        </w:div>
        <w:div w:id="1915048768">
          <w:marLeft w:val="274"/>
          <w:marRight w:val="0"/>
          <w:marTop w:val="0"/>
          <w:marBottom w:val="0"/>
          <w:divBdr>
            <w:top w:val="none" w:sz="0" w:space="0" w:color="auto"/>
            <w:left w:val="none" w:sz="0" w:space="0" w:color="auto"/>
            <w:bottom w:val="none" w:sz="0" w:space="0" w:color="auto"/>
            <w:right w:val="none" w:sz="0" w:space="0" w:color="auto"/>
          </w:divBdr>
        </w:div>
        <w:div w:id="871845363">
          <w:marLeft w:val="274"/>
          <w:marRight w:val="0"/>
          <w:marTop w:val="0"/>
          <w:marBottom w:val="0"/>
          <w:divBdr>
            <w:top w:val="none" w:sz="0" w:space="0" w:color="auto"/>
            <w:left w:val="none" w:sz="0" w:space="0" w:color="auto"/>
            <w:bottom w:val="none" w:sz="0" w:space="0" w:color="auto"/>
            <w:right w:val="none" w:sz="0" w:space="0" w:color="auto"/>
          </w:divBdr>
        </w:div>
        <w:div w:id="1507747161">
          <w:marLeft w:val="274"/>
          <w:marRight w:val="0"/>
          <w:marTop w:val="0"/>
          <w:marBottom w:val="0"/>
          <w:divBdr>
            <w:top w:val="none" w:sz="0" w:space="0" w:color="auto"/>
            <w:left w:val="none" w:sz="0" w:space="0" w:color="auto"/>
            <w:bottom w:val="none" w:sz="0" w:space="0" w:color="auto"/>
            <w:right w:val="none" w:sz="0" w:space="0" w:color="auto"/>
          </w:divBdr>
        </w:div>
        <w:div w:id="1837842148">
          <w:marLeft w:val="274"/>
          <w:marRight w:val="0"/>
          <w:marTop w:val="0"/>
          <w:marBottom w:val="0"/>
          <w:divBdr>
            <w:top w:val="none" w:sz="0" w:space="0" w:color="auto"/>
            <w:left w:val="none" w:sz="0" w:space="0" w:color="auto"/>
            <w:bottom w:val="none" w:sz="0" w:space="0" w:color="auto"/>
            <w:right w:val="none" w:sz="0" w:space="0" w:color="auto"/>
          </w:divBdr>
        </w:div>
        <w:div w:id="1857305851">
          <w:marLeft w:val="274"/>
          <w:marRight w:val="0"/>
          <w:marTop w:val="0"/>
          <w:marBottom w:val="0"/>
          <w:divBdr>
            <w:top w:val="none" w:sz="0" w:space="0" w:color="auto"/>
            <w:left w:val="none" w:sz="0" w:space="0" w:color="auto"/>
            <w:bottom w:val="none" w:sz="0" w:space="0" w:color="auto"/>
            <w:right w:val="none" w:sz="0" w:space="0" w:color="auto"/>
          </w:divBdr>
        </w:div>
        <w:div w:id="963075665">
          <w:marLeft w:val="274"/>
          <w:marRight w:val="0"/>
          <w:marTop w:val="0"/>
          <w:marBottom w:val="0"/>
          <w:divBdr>
            <w:top w:val="none" w:sz="0" w:space="0" w:color="auto"/>
            <w:left w:val="none" w:sz="0" w:space="0" w:color="auto"/>
            <w:bottom w:val="none" w:sz="0" w:space="0" w:color="auto"/>
            <w:right w:val="none" w:sz="0" w:space="0" w:color="auto"/>
          </w:divBdr>
        </w:div>
        <w:div w:id="1045370612">
          <w:marLeft w:val="274"/>
          <w:marRight w:val="0"/>
          <w:marTop w:val="0"/>
          <w:marBottom w:val="0"/>
          <w:divBdr>
            <w:top w:val="none" w:sz="0" w:space="0" w:color="auto"/>
            <w:left w:val="none" w:sz="0" w:space="0" w:color="auto"/>
            <w:bottom w:val="none" w:sz="0" w:space="0" w:color="auto"/>
            <w:right w:val="none" w:sz="0" w:space="0" w:color="auto"/>
          </w:divBdr>
        </w:div>
        <w:div w:id="940838219">
          <w:marLeft w:val="274"/>
          <w:marRight w:val="0"/>
          <w:marTop w:val="0"/>
          <w:marBottom w:val="0"/>
          <w:divBdr>
            <w:top w:val="none" w:sz="0" w:space="0" w:color="auto"/>
            <w:left w:val="none" w:sz="0" w:space="0" w:color="auto"/>
            <w:bottom w:val="none" w:sz="0" w:space="0" w:color="auto"/>
            <w:right w:val="none" w:sz="0" w:space="0" w:color="auto"/>
          </w:divBdr>
        </w:div>
      </w:divsChild>
    </w:div>
    <w:div w:id="1990551668">
      <w:bodyDiv w:val="1"/>
      <w:marLeft w:val="0"/>
      <w:marRight w:val="0"/>
      <w:marTop w:val="0"/>
      <w:marBottom w:val="0"/>
      <w:divBdr>
        <w:top w:val="none" w:sz="0" w:space="0" w:color="auto"/>
        <w:left w:val="none" w:sz="0" w:space="0" w:color="auto"/>
        <w:bottom w:val="none" w:sz="0" w:space="0" w:color="auto"/>
        <w:right w:val="none" w:sz="0" w:space="0" w:color="auto"/>
      </w:divBdr>
    </w:div>
    <w:div w:id="2032490716">
      <w:bodyDiv w:val="1"/>
      <w:marLeft w:val="0"/>
      <w:marRight w:val="0"/>
      <w:marTop w:val="0"/>
      <w:marBottom w:val="0"/>
      <w:divBdr>
        <w:top w:val="none" w:sz="0" w:space="0" w:color="auto"/>
        <w:left w:val="none" w:sz="0" w:space="0" w:color="auto"/>
        <w:bottom w:val="none" w:sz="0" w:space="0" w:color="auto"/>
        <w:right w:val="none" w:sz="0" w:space="0" w:color="auto"/>
      </w:divBdr>
    </w:div>
    <w:div w:id="2038849123">
      <w:bodyDiv w:val="1"/>
      <w:marLeft w:val="0"/>
      <w:marRight w:val="0"/>
      <w:marTop w:val="0"/>
      <w:marBottom w:val="0"/>
      <w:divBdr>
        <w:top w:val="none" w:sz="0" w:space="0" w:color="auto"/>
        <w:left w:val="none" w:sz="0" w:space="0" w:color="auto"/>
        <w:bottom w:val="none" w:sz="0" w:space="0" w:color="auto"/>
        <w:right w:val="none" w:sz="0" w:space="0" w:color="auto"/>
      </w:divBdr>
    </w:div>
    <w:div w:id="2041927363">
      <w:bodyDiv w:val="1"/>
      <w:marLeft w:val="0"/>
      <w:marRight w:val="0"/>
      <w:marTop w:val="0"/>
      <w:marBottom w:val="0"/>
      <w:divBdr>
        <w:top w:val="none" w:sz="0" w:space="0" w:color="auto"/>
        <w:left w:val="none" w:sz="0" w:space="0" w:color="auto"/>
        <w:bottom w:val="none" w:sz="0" w:space="0" w:color="auto"/>
        <w:right w:val="none" w:sz="0" w:space="0" w:color="auto"/>
      </w:divBdr>
    </w:div>
    <w:div w:id="2043551507">
      <w:bodyDiv w:val="1"/>
      <w:marLeft w:val="0"/>
      <w:marRight w:val="0"/>
      <w:marTop w:val="0"/>
      <w:marBottom w:val="0"/>
      <w:divBdr>
        <w:top w:val="none" w:sz="0" w:space="0" w:color="auto"/>
        <w:left w:val="none" w:sz="0" w:space="0" w:color="auto"/>
        <w:bottom w:val="none" w:sz="0" w:space="0" w:color="auto"/>
        <w:right w:val="none" w:sz="0" w:space="0" w:color="auto"/>
      </w:divBdr>
    </w:div>
    <w:div w:id="2077631121">
      <w:bodyDiv w:val="1"/>
      <w:marLeft w:val="0"/>
      <w:marRight w:val="0"/>
      <w:marTop w:val="0"/>
      <w:marBottom w:val="0"/>
      <w:divBdr>
        <w:top w:val="none" w:sz="0" w:space="0" w:color="auto"/>
        <w:left w:val="none" w:sz="0" w:space="0" w:color="auto"/>
        <w:bottom w:val="none" w:sz="0" w:space="0" w:color="auto"/>
        <w:right w:val="none" w:sz="0" w:space="0" w:color="auto"/>
      </w:divBdr>
    </w:div>
    <w:div w:id="2081250305">
      <w:bodyDiv w:val="1"/>
      <w:marLeft w:val="0"/>
      <w:marRight w:val="0"/>
      <w:marTop w:val="0"/>
      <w:marBottom w:val="0"/>
      <w:divBdr>
        <w:top w:val="none" w:sz="0" w:space="0" w:color="auto"/>
        <w:left w:val="none" w:sz="0" w:space="0" w:color="auto"/>
        <w:bottom w:val="none" w:sz="0" w:space="0" w:color="auto"/>
        <w:right w:val="none" w:sz="0" w:space="0" w:color="auto"/>
      </w:divBdr>
    </w:div>
    <w:div w:id="2106536742">
      <w:bodyDiv w:val="1"/>
      <w:marLeft w:val="0"/>
      <w:marRight w:val="0"/>
      <w:marTop w:val="0"/>
      <w:marBottom w:val="0"/>
      <w:divBdr>
        <w:top w:val="none" w:sz="0" w:space="0" w:color="auto"/>
        <w:left w:val="none" w:sz="0" w:space="0" w:color="auto"/>
        <w:bottom w:val="none" w:sz="0" w:space="0" w:color="auto"/>
        <w:right w:val="none" w:sz="0" w:space="0" w:color="auto"/>
      </w:divBdr>
    </w:div>
    <w:div w:id="2116828333">
      <w:bodyDiv w:val="1"/>
      <w:marLeft w:val="0"/>
      <w:marRight w:val="0"/>
      <w:marTop w:val="0"/>
      <w:marBottom w:val="0"/>
      <w:divBdr>
        <w:top w:val="none" w:sz="0" w:space="0" w:color="auto"/>
        <w:left w:val="none" w:sz="0" w:space="0" w:color="auto"/>
        <w:bottom w:val="none" w:sz="0" w:space="0" w:color="auto"/>
        <w:right w:val="none" w:sz="0" w:space="0" w:color="auto"/>
      </w:divBdr>
    </w:div>
    <w:div w:id="2124768481">
      <w:bodyDiv w:val="1"/>
      <w:marLeft w:val="0"/>
      <w:marRight w:val="0"/>
      <w:marTop w:val="0"/>
      <w:marBottom w:val="0"/>
      <w:divBdr>
        <w:top w:val="none" w:sz="0" w:space="0" w:color="auto"/>
        <w:left w:val="none" w:sz="0" w:space="0" w:color="auto"/>
        <w:bottom w:val="none" w:sz="0" w:space="0" w:color="auto"/>
        <w:right w:val="none" w:sz="0" w:space="0" w:color="auto"/>
      </w:divBdr>
    </w:div>
    <w:div w:id="2132047218">
      <w:bodyDiv w:val="1"/>
      <w:marLeft w:val="0"/>
      <w:marRight w:val="0"/>
      <w:marTop w:val="0"/>
      <w:marBottom w:val="0"/>
      <w:divBdr>
        <w:top w:val="none" w:sz="0" w:space="0" w:color="auto"/>
        <w:left w:val="none" w:sz="0" w:space="0" w:color="auto"/>
        <w:bottom w:val="none" w:sz="0" w:space="0" w:color="auto"/>
        <w:right w:val="none" w:sz="0" w:space="0" w:color="auto"/>
      </w:divBdr>
    </w:div>
    <w:div w:id="2137094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emf"/><Relationship Id="rId21" Type="http://schemas.openxmlformats.org/officeDocument/2006/relationships/image" Target="media/image8.emf"/><Relationship Id="rId42" Type="http://schemas.openxmlformats.org/officeDocument/2006/relationships/oleObject" Target="embeddings/oleObject12.bin"/><Relationship Id="rId47" Type="http://schemas.openxmlformats.org/officeDocument/2006/relationships/image" Target="media/image21.emf"/><Relationship Id="rId63" Type="http://schemas.openxmlformats.org/officeDocument/2006/relationships/chart" Target="charts/chart6.xml"/><Relationship Id="rId68" Type="http://schemas.openxmlformats.org/officeDocument/2006/relationships/image" Target="media/image32.emf"/><Relationship Id="rId84" Type="http://schemas.openxmlformats.org/officeDocument/2006/relationships/package" Target="embeddings/Microsoft_Excel_Worksheet11.xlsx"/><Relationship Id="rId89" Type="http://schemas.openxmlformats.org/officeDocument/2006/relationships/image" Target="media/image44.emf"/><Relationship Id="rId112" Type="http://schemas.openxmlformats.org/officeDocument/2006/relationships/package" Target="embeddings/Microsoft_Excel_Worksheet12.xlsx"/><Relationship Id="rId16" Type="http://schemas.openxmlformats.org/officeDocument/2006/relationships/chart" Target="charts/chart3.xml"/><Relationship Id="rId107" Type="http://schemas.openxmlformats.org/officeDocument/2006/relationships/image" Target="media/image53.emf"/><Relationship Id="rId11" Type="http://schemas.openxmlformats.org/officeDocument/2006/relationships/image" Target="media/image3.png"/><Relationship Id="rId32" Type="http://schemas.openxmlformats.org/officeDocument/2006/relationships/oleObject" Target="embeddings/oleObject7.bin"/><Relationship Id="rId37"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oleObject" Target="embeddings/oleObject20.bin"/><Relationship Id="rId74" Type="http://schemas.openxmlformats.org/officeDocument/2006/relationships/image" Target="media/image35.png"/><Relationship Id="rId79" Type="http://schemas.openxmlformats.org/officeDocument/2006/relationships/image" Target="media/image39.emf"/><Relationship Id="rId102" Type="http://schemas.openxmlformats.org/officeDocument/2006/relationships/oleObject" Target="embeddings/Microsoft_Word_97_-_2003_Document.doc"/><Relationship Id="rId123" Type="http://schemas.openxmlformats.org/officeDocument/2006/relationships/image" Target="media/image61.emf"/><Relationship Id="rId128" Type="http://schemas.openxmlformats.org/officeDocument/2006/relationships/package" Target="embeddings/Microsoft_Word_Document.docx"/><Relationship Id="rId5" Type="http://schemas.openxmlformats.org/officeDocument/2006/relationships/webSettings" Target="webSettings.xml"/><Relationship Id="rId90" Type="http://schemas.openxmlformats.org/officeDocument/2006/relationships/oleObject" Target="embeddings/oleObject24.bin"/><Relationship Id="rId95" Type="http://schemas.openxmlformats.org/officeDocument/2006/relationships/image" Target="media/image47.emf"/><Relationship Id="rId22" Type="http://schemas.openxmlformats.org/officeDocument/2006/relationships/oleObject" Target="embeddings/oleObject2.bin"/><Relationship Id="rId27" Type="http://schemas.openxmlformats.org/officeDocument/2006/relationships/image" Target="media/image11.emf"/><Relationship Id="rId43" Type="http://schemas.openxmlformats.org/officeDocument/2006/relationships/image" Target="media/image19.emf"/><Relationship Id="rId48" Type="http://schemas.openxmlformats.org/officeDocument/2006/relationships/oleObject" Target="embeddings/oleObject15.bin"/><Relationship Id="rId64" Type="http://schemas.openxmlformats.org/officeDocument/2006/relationships/chart" Target="charts/chart7.xml"/><Relationship Id="rId69" Type="http://schemas.openxmlformats.org/officeDocument/2006/relationships/footer" Target="footer2.xml"/><Relationship Id="rId113" Type="http://schemas.openxmlformats.org/officeDocument/2006/relationships/image" Target="media/image56.emf"/><Relationship Id="rId118" Type="http://schemas.openxmlformats.org/officeDocument/2006/relationships/oleObject" Target="embeddings/oleObject33.bin"/><Relationship Id="rId80" Type="http://schemas.openxmlformats.org/officeDocument/2006/relationships/package" Target="embeddings/Microsoft_Excel_Worksheet10.xlsx"/><Relationship Id="rId85" Type="http://schemas.openxmlformats.org/officeDocument/2006/relationships/image" Target="media/image42.emf"/><Relationship Id="rId12" Type="http://schemas.openxmlformats.org/officeDocument/2006/relationships/image" Target="media/image4.png"/><Relationship Id="rId17" Type="http://schemas.openxmlformats.org/officeDocument/2006/relationships/chart" Target="charts/chart4.xml"/><Relationship Id="rId33" Type="http://schemas.openxmlformats.org/officeDocument/2006/relationships/image" Target="media/image14.emf"/><Relationship Id="rId38" Type="http://schemas.openxmlformats.org/officeDocument/2006/relationships/oleObject" Target="embeddings/oleObject10.bin"/><Relationship Id="rId59" Type="http://schemas.openxmlformats.org/officeDocument/2006/relationships/image" Target="media/image27.emf"/><Relationship Id="rId103" Type="http://schemas.openxmlformats.org/officeDocument/2006/relationships/image" Target="media/image51.emf"/><Relationship Id="rId108" Type="http://schemas.openxmlformats.org/officeDocument/2006/relationships/oleObject" Target="embeddings/oleObject32.bin"/><Relationship Id="rId124" Type="http://schemas.openxmlformats.org/officeDocument/2006/relationships/oleObject" Target="embeddings/oleObject36.bin"/><Relationship Id="rId129" Type="http://schemas.openxmlformats.org/officeDocument/2006/relationships/fontTable" Target="fontTable.xml"/><Relationship Id="rId54" Type="http://schemas.openxmlformats.org/officeDocument/2006/relationships/oleObject" Target="embeddings/oleObject18.bin"/><Relationship Id="rId70" Type="http://schemas.openxmlformats.org/officeDocument/2006/relationships/chart" Target="charts/chart9.xml"/><Relationship Id="rId75" Type="http://schemas.openxmlformats.org/officeDocument/2006/relationships/image" Target="media/image36.png"/><Relationship Id="rId91" Type="http://schemas.openxmlformats.org/officeDocument/2006/relationships/image" Target="media/image45.emf"/><Relationship Id="rId96" Type="http://schemas.openxmlformats.org/officeDocument/2006/relationships/oleObject" Target="embeddings/oleObject27.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emf"/><Relationship Id="rId28" Type="http://schemas.openxmlformats.org/officeDocument/2006/relationships/oleObject" Target="embeddings/oleObject5.bin"/><Relationship Id="rId49" Type="http://schemas.openxmlformats.org/officeDocument/2006/relationships/image" Target="media/image22.emf"/><Relationship Id="rId114" Type="http://schemas.openxmlformats.org/officeDocument/2006/relationships/package" Target="embeddings/Microsoft_Excel_Worksheet13.xlsx"/><Relationship Id="rId119" Type="http://schemas.openxmlformats.org/officeDocument/2006/relationships/image" Target="media/image59.emf"/><Relationship Id="rId44" Type="http://schemas.openxmlformats.org/officeDocument/2006/relationships/oleObject" Target="embeddings/oleObject13.bin"/><Relationship Id="rId60" Type="http://schemas.openxmlformats.org/officeDocument/2006/relationships/image" Target="media/image28.png"/><Relationship Id="rId65" Type="http://schemas.openxmlformats.org/officeDocument/2006/relationships/chart" Target="charts/chart8.xml"/><Relationship Id="rId81" Type="http://schemas.openxmlformats.org/officeDocument/2006/relationships/image" Target="media/image40.emf"/><Relationship Id="rId86" Type="http://schemas.openxmlformats.org/officeDocument/2006/relationships/oleObject" Target="embeddings/oleObject22.bin"/><Relationship Id="rId130" Type="http://schemas.openxmlformats.org/officeDocument/2006/relationships/theme" Target="theme/theme1.xml"/><Relationship Id="rId13" Type="http://schemas.openxmlformats.org/officeDocument/2006/relationships/chart" Target="charts/chart1.xml"/><Relationship Id="rId18" Type="http://schemas.openxmlformats.org/officeDocument/2006/relationships/chart" Target="charts/chart5.xml"/><Relationship Id="rId39" Type="http://schemas.openxmlformats.org/officeDocument/2006/relationships/image" Target="media/image17.emf"/><Relationship Id="rId109" Type="http://schemas.openxmlformats.org/officeDocument/2006/relationships/image" Target="media/image54.emf"/><Relationship Id="rId34" Type="http://schemas.openxmlformats.org/officeDocument/2006/relationships/oleObject" Target="embeddings/oleObject8.bin"/><Relationship Id="rId50" Type="http://schemas.openxmlformats.org/officeDocument/2006/relationships/oleObject" Target="embeddings/oleObject16.bin"/><Relationship Id="rId55" Type="http://schemas.openxmlformats.org/officeDocument/2006/relationships/image" Target="media/image25.emf"/><Relationship Id="rId76" Type="http://schemas.openxmlformats.org/officeDocument/2006/relationships/hyperlink" Target="https://gestionhumana.poder-judicial.go.cr/index.php/indice-salarial" TargetMode="External"/><Relationship Id="rId97" Type="http://schemas.openxmlformats.org/officeDocument/2006/relationships/image" Target="media/image48.emf"/><Relationship Id="rId104" Type="http://schemas.openxmlformats.org/officeDocument/2006/relationships/oleObject" Target="embeddings/oleObject30.bin"/><Relationship Id="rId120" Type="http://schemas.openxmlformats.org/officeDocument/2006/relationships/oleObject" Target="embeddings/oleObject34.bin"/><Relationship Id="rId125" Type="http://schemas.openxmlformats.org/officeDocument/2006/relationships/image" Target="media/image62.emf"/><Relationship Id="rId7" Type="http://schemas.openxmlformats.org/officeDocument/2006/relationships/endnotes" Target="endnotes.xml"/><Relationship Id="rId71" Type="http://schemas.openxmlformats.org/officeDocument/2006/relationships/image" Target="media/image33.emf"/><Relationship Id="rId92" Type="http://schemas.openxmlformats.org/officeDocument/2006/relationships/oleObject" Target="embeddings/oleObject25.bin"/><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oleObject" Target="embeddings/oleObject3.bin"/><Relationship Id="rId40" Type="http://schemas.openxmlformats.org/officeDocument/2006/relationships/oleObject" Target="embeddings/oleObject11.bin"/><Relationship Id="rId45" Type="http://schemas.openxmlformats.org/officeDocument/2006/relationships/image" Target="media/image20.emf"/><Relationship Id="rId66" Type="http://schemas.openxmlformats.org/officeDocument/2006/relationships/hyperlink" Target="http://intranet/gestionhumana/index.php/manual-perfiles" TargetMode="External"/><Relationship Id="rId87" Type="http://schemas.openxmlformats.org/officeDocument/2006/relationships/image" Target="media/image43.emf"/><Relationship Id="rId110" Type="http://schemas.openxmlformats.org/officeDocument/2006/relationships/oleObject" Target="embeddings/Microsoft_Excel_97-2003_Worksheet.xls"/><Relationship Id="rId115" Type="http://schemas.openxmlformats.org/officeDocument/2006/relationships/image" Target="media/image57.emf"/><Relationship Id="rId61" Type="http://schemas.openxmlformats.org/officeDocument/2006/relationships/image" Target="media/image29.png"/><Relationship Id="rId82" Type="http://schemas.openxmlformats.org/officeDocument/2006/relationships/oleObject" Target="embeddings/oleObject21.bin"/><Relationship Id="rId19" Type="http://schemas.openxmlformats.org/officeDocument/2006/relationships/image" Target="media/image6.png"/><Relationship Id="rId14" Type="http://schemas.openxmlformats.org/officeDocument/2006/relationships/image" Target="media/image5.png"/><Relationship Id="rId30" Type="http://schemas.openxmlformats.org/officeDocument/2006/relationships/oleObject" Target="embeddings/oleObject6.bin"/><Relationship Id="rId35" Type="http://schemas.openxmlformats.org/officeDocument/2006/relationships/image" Target="media/image15.emf"/><Relationship Id="rId56" Type="http://schemas.openxmlformats.org/officeDocument/2006/relationships/oleObject" Target="embeddings/oleObject19.bin"/><Relationship Id="rId77" Type="http://schemas.openxmlformats.org/officeDocument/2006/relationships/image" Target="media/image37.jpeg"/><Relationship Id="rId100" Type="http://schemas.openxmlformats.org/officeDocument/2006/relationships/oleObject" Target="embeddings/oleObject29.bin"/><Relationship Id="rId105" Type="http://schemas.openxmlformats.org/officeDocument/2006/relationships/image" Target="media/image52.emf"/><Relationship Id="rId126" Type="http://schemas.openxmlformats.org/officeDocument/2006/relationships/oleObject" Target="embeddings/oleObject37.bin"/><Relationship Id="rId8" Type="http://schemas.openxmlformats.org/officeDocument/2006/relationships/header" Target="header1.xml"/><Relationship Id="rId51" Type="http://schemas.openxmlformats.org/officeDocument/2006/relationships/image" Target="media/image23.emf"/><Relationship Id="rId72" Type="http://schemas.openxmlformats.org/officeDocument/2006/relationships/package" Target="embeddings/Microsoft_Excel_Worksheet9.xlsx"/><Relationship Id="rId93" Type="http://schemas.openxmlformats.org/officeDocument/2006/relationships/image" Target="media/image46.emf"/><Relationship Id="rId98" Type="http://schemas.openxmlformats.org/officeDocument/2006/relationships/oleObject" Target="embeddings/oleObject28.bin"/><Relationship Id="rId121" Type="http://schemas.openxmlformats.org/officeDocument/2006/relationships/image" Target="media/image60.emf"/><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oleObject" Target="embeddings/oleObject14.bin"/><Relationship Id="rId67" Type="http://schemas.openxmlformats.org/officeDocument/2006/relationships/image" Target="media/image31.png"/><Relationship Id="rId116" Type="http://schemas.openxmlformats.org/officeDocument/2006/relationships/package" Target="embeddings/Microsoft_Excel_Worksheet14.xlsx"/><Relationship Id="rId20" Type="http://schemas.openxmlformats.org/officeDocument/2006/relationships/image" Target="media/image7.png"/><Relationship Id="rId41" Type="http://schemas.openxmlformats.org/officeDocument/2006/relationships/image" Target="media/image18.emf"/><Relationship Id="rId62" Type="http://schemas.openxmlformats.org/officeDocument/2006/relationships/image" Target="media/image30.png"/><Relationship Id="rId83" Type="http://schemas.openxmlformats.org/officeDocument/2006/relationships/image" Target="media/image41.emf"/><Relationship Id="rId88" Type="http://schemas.openxmlformats.org/officeDocument/2006/relationships/oleObject" Target="embeddings/oleObject23.bin"/><Relationship Id="rId111" Type="http://schemas.openxmlformats.org/officeDocument/2006/relationships/image" Target="media/image55.emf"/><Relationship Id="rId15" Type="http://schemas.openxmlformats.org/officeDocument/2006/relationships/chart" Target="charts/chart2.xml"/><Relationship Id="rId36" Type="http://schemas.openxmlformats.org/officeDocument/2006/relationships/oleObject" Target="embeddings/oleObject9.bin"/><Relationship Id="rId57" Type="http://schemas.openxmlformats.org/officeDocument/2006/relationships/image" Target="media/image26.emf"/><Relationship Id="rId106" Type="http://schemas.openxmlformats.org/officeDocument/2006/relationships/oleObject" Target="embeddings/oleObject31.bin"/><Relationship Id="rId127" Type="http://schemas.openxmlformats.org/officeDocument/2006/relationships/image" Target="media/image63.emf"/><Relationship Id="rId10" Type="http://schemas.openxmlformats.org/officeDocument/2006/relationships/image" Target="media/image2.jpeg"/><Relationship Id="rId31" Type="http://schemas.openxmlformats.org/officeDocument/2006/relationships/image" Target="media/image13.emf"/><Relationship Id="rId52" Type="http://schemas.openxmlformats.org/officeDocument/2006/relationships/oleObject" Target="embeddings/oleObject17.bin"/><Relationship Id="rId73" Type="http://schemas.openxmlformats.org/officeDocument/2006/relationships/image" Target="media/image34.png"/><Relationship Id="rId78" Type="http://schemas.openxmlformats.org/officeDocument/2006/relationships/image" Target="media/image38.emf"/><Relationship Id="rId94" Type="http://schemas.openxmlformats.org/officeDocument/2006/relationships/oleObject" Target="embeddings/oleObject26.bin"/><Relationship Id="rId99" Type="http://schemas.openxmlformats.org/officeDocument/2006/relationships/image" Target="media/image49.emf"/><Relationship Id="rId101" Type="http://schemas.openxmlformats.org/officeDocument/2006/relationships/image" Target="media/image50.emf"/><Relationship Id="rId122" Type="http://schemas.openxmlformats.org/officeDocument/2006/relationships/oleObject" Target="embeddings/oleObject35.bin"/><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oleObject" Target="embeddings/oleObject4.bin"/></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y Reentrados'!$B$3</c:f>
              <c:strCache>
                <c:ptCount val="1"/>
                <c:pt idx="0">
                  <c:v>Entrada</c:v>
                </c:pt>
              </c:strCache>
            </c:strRef>
          </c:tx>
          <c:spPr>
            <a:solidFill>
              <a:schemeClr val="accent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589D-4080-B2A6-DE66911E9DD9}"/>
              </c:ext>
            </c:extLst>
          </c:dPt>
          <c:dPt>
            <c:idx val="1"/>
            <c:invertIfNegative val="0"/>
            <c:bubble3D val="0"/>
            <c:extLst>
              <c:ext xmlns:c16="http://schemas.microsoft.com/office/drawing/2014/chart" uri="{C3380CC4-5D6E-409C-BE32-E72D297353CC}">
                <c16:uniqueId val="{00000003-589D-4080-B2A6-DE66911E9DD9}"/>
              </c:ext>
            </c:extLst>
          </c:dPt>
          <c:dPt>
            <c:idx val="2"/>
            <c:invertIfNegative val="0"/>
            <c:bubble3D val="0"/>
            <c:extLst>
              <c:ext xmlns:c16="http://schemas.microsoft.com/office/drawing/2014/chart" uri="{C3380CC4-5D6E-409C-BE32-E72D297353CC}">
                <c16:uniqueId val="{00000005-589D-4080-B2A6-DE66911E9DD9}"/>
              </c:ext>
            </c:extLst>
          </c:dPt>
          <c:dPt>
            <c:idx val="3"/>
            <c:invertIfNegative val="0"/>
            <c:bubble3D val="0"/>
            <c:extLst>
              <c:ext xmlns:c16="http://schemas.microsoft.com/office/drawing/2014/chart" uri="{C3380CC4-5D6E-409C-BE32-E72D297353CC}">
                <c16:uniqueId val="{00000007-589D-4080-B2A6-DE66911E9DD9}"/>
              </c:ext>
            </c:extLst>
          </c:dPt>
          <c:dPt>
            <c:idx val="4"/>
            <c:invertIfNegative val="0"/>
            <c:bubble3D val="0"/>
            <c:extLst>
              <c:ext xmlns:c16="http://schemas.microsoft.com/office/drawing/2014/chart" uri="{C3380CC4-5D6E-409C-BE32-E72D297353CC}">
                <c16:uniqueId val="{00000009-589D-4080-B2A6-DE66911E9DD9}"/>
              </c:ext>
            </c:extLst>
          </c:dPt>
          <c:dLbls>
            <c:dLbl>
              <c:idx val="4"/>
              <c:tx>
                <c:rich>
                  <a:bodyPr/>
                  <a:lstStyle/>
                  <a:p>
                    <a:r>
                      <a:rPr lang="en-US"/>
                      <a:t>24095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589D-4080-B2A6-DE66911E9DD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'Entrada y Reentrados'!$C$2:$G$2</c:f>
              <c:numCache>
                <c:formatCode>General</c:formatCode>
                <c:ptCount val="5"/>
                <c:pt idx="0">
                  <c:v>2017</c:v>
                </c:pt>
                <c:pt idx="1">
                  <c:v>2018</c:v>
                </c:pt>
                <c:pt idx="2">
                  <c:v>2019</c:v>
                </c:pt>
                <c:pt idx="3">
                  <c:v>2020</c:v>
                </c:pt>
                <c:pt idx="4">
                  <c:v>2021</c:v>
                </c:pt>
              </c:numCache>
            </c:numRef>
          </c:cat>
          <c:val>
            <c:numRef>
              <c:f>'Entrada y Reentrados'!$C$3:$G$3</c:f>
              <c:numCache>
                <c:formatCode>General</c:formatCode>
                <c:ptCount val="5"/>
                <c:pt idx="0">
                  <c:v>22432</c:v>
                </c:pt>
                <c:pt idx="1">
                  <c:v>21385</c:v>
                </c:pt>
                <c:pt idx="2">
                  <c:v>23529</c:v>
                </c:pt>
                <c:pt idx="3">
                  <c:v>20244</c:v>
                </c:pt>
                <c:pt idx="4">
                  <c:v>24096</c:v>
                </c:pt>
              </c:numCache>
            </c:numRef>
          </c:val>
          <c:extLst>
            <c:ext xmlns:c16="http://schemas.microsoft.com/office/drawing/2014/chart" uri="{C3380CC4-5D6E-409C-BE32-E72D297353CC}">
              <c16:uniqueId val="{0000000A-589D-4080-B2A6-DE66911E9DD9}"/>
            </c:ext>
          </c:extLst>
        </c:ser>
        <c:ser>
          <c:idx val="1"/>
          <c:order val="1"/>
          <c:tx>
            <c:strRef>
              <c:f>'Entrada y Reentrados'!$B$4</c:f>
              <c:strCache>
                <c:ptCount val="1"/>
                <c:pt idx="0">
                  <c:v>Reentrados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'Entrada y Reentrados'!$C$2:$G$2</c:f>
              <c:numCache>
                <c:formatCode>General</c:formatCode>
                <c:ptCount val="5"/>
                <c:pt idx="0">
                  <c:v>2017</c:v>
                </c:pt>
                <c:pt idx="1">
                  <c:v>2018</c:v>
                </c:pt>
                <c:pt idx="2">
                  <c:v>2019</c:v>
                </c:pt>
                <c:pt idx="3">
                  <c:v>2020</c:v>
                </c:pt>
                <c:pt idx="4">
                  <c:v>2021</c:v>
                </c:pt>
              </c:numCache>
            </c:numRef>
          </c:cat>
          <c:val>
            <c:numRef>
              <c:f>'Entrada y Reentrados'!$C$4:$G$4</c:f>
              <c:numCache>
                <c:formatCode>General</c:formatCode>
                <c:ptCount val="5"/>
                <c:pt idx="0">
                  <c:v>1305</c:v>
                </c:pt>
                <c:pt idx="1">
                  <c:v>1664</c:v>
                </c:pt>
                <c:pt idx="2">
                  <c:v>1556</c:v>
                </c:pt>
                <c:pt idx="3">
                  <c:v>1120</c:v>
                </c:pt>
                <c:pt idx="4">
                  <c:v>1144</c:v>
                </c:pt>
              </c:numCache>
            </c:numRef>
          </c:val>
          <c:extLst>
            <c:ext xmlns:c16="http://schemas.microsoft.com/office/drawing/2014/chart" uri="{C3380CC4-5D6E-409C-BE32-E72D297353CC}">
              <c16:uniqueId val="{0000000B-589D-4080-B2A6-DE66911E9DD9}"/>
            </c:ext>
          </c:extLst>
        </c:ser>
        <c:dLbls>
          <c:showLegendKey val="0"/>
          <c:showVal val="0"/>
          <c:showCatName val="0"/>
          <c:showSerName val="0"/>
          <c:showPercent val="0"/>
          <c:showBubbleSize val="0"/>
        </c:dLbls>
        <c:gapWidth val="219"/>
        <c:overlap val="-27"/>
        <c:axId val="1349351311"/>
        <c:axId val="1349352143"/>
      </c:barChart>
      <c:catAx>
        <c:axId val="134935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349352143"/>
        <c:crosses val="autoZero"/>
        <c:auto val="1"/>
        <c:lblAlgn val="ctr"/>
        <c:lblOffset val="100"/>
        <c:noMultiLvlLbl val="0"/>
      </c:catAx>
      <c:valAx>
        <c:axId val="1349352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4935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'Entrada Incident y II Instancia'!$B$4</c:f>
              <c:strCache>
                <c:ptCount val="1"/>
                <c:pt idx="0">
                  <c:v>2018</c:v>
                </c:pt>
              </c:strCache>
            </c:strRef>
          </c:tx>
          <c:spPr>
            <a:solidFill>
              <a:schemeClr val="accent5">
                <a:lumMod val="75000"/>
              </a:schemeClr>
            </a:solidFill>
            <a:ln>
              <a:noFill/>
            </a:ln>
            <a:effectLst/>
          </c:spPr>
          <c:invertIfNegative val="0"/>
          <c:dPt>
            <c:idx val="0"/>
            <c:invertIfNegative val="0"/>
            <c:bubble3D val="0"/>
            <c:extLst>
              <c:ext xmlns:c16="http://schemas.microsoft.com/office/drawing/2014/chart" uri="{C3380CC4-5D6E-409C-BE32-E72D297353CC}">
                <c16:uniqueId val="{00000001-0C11-4158-81B7-70686574C947}"/>
              </c:ext>
            </c:extLst>
          </c:dPt>
          <c:dPt>
            <c:idx val="1"/>
            <c:invertIfNegative val="0"/>
            <c:bubble3D val="0"/>
            <c:extLst>
              <c:ext xmlns:c16="http://schemas.microsoft.com/office/drawing/2014/chart" uri="{C3380CC4-5D6E-409C-BE32-E72D297353CC}">
                <c16:uniqueId val="{00000003-0C11-4158-81B7-70686574C94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 y II Instancia'!$C$3:$D$3</c:f>
              <c:strCache>
                <c:ptCount val="2"/>
                <c:pt idx="0">
                  <c:v>Incidentes</c:v>
                </c:pt>
                <c:pt idx="1">
                  <c:v>Segunda Instancia</c:v>
                </c:pt>
              </c:strCache>
            </c:strRef>
          </c:cat>
          <c:val>
            <c:numRef>
              <c:f>'Entrada Incident y II Instancia'!$C$4:$D$4</c:f>
              <c:numCache>
                <c:formatCode>General</c:formatCode>
                <c:ptCount val="2"/>
                <c:pt idx="0">
                  <c:v>425</c:v>
                </c:pt>
                <c:pt idx="1">
                  <c:v>4536</c:v>
                </c:pt>
              </c:numCache>
            </c:numRef>
          </c:val>
          <c:extLst>
            <c:ext xmlns:c16="http://schemas.microsoft.com/office/drawing/2014/chart" uri="{C3380CC4-5D6E-409C-BE32-E72D297353CC}">
              <c16:uniqueId val="{00000004-0C11-4158-81B7-70686574C947}"/>
            </c:ext>
          </c:extLst>
        </c:ser>
        <c:ser>
          <c:idx val="1"/>
          <c:order val="1"/>
          <c:tx>
            <c:strRef>
              <c:f>'Entrada Incident y II Instancia'!$B$5</c:f>
              <c:strCache>
                <c:ptCount val="1"/>
                <c:pt idx="0">
                  <c:v>2019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 y II Instancia'!$C$3:$D$3</c:f>
              <c:strCache>
                <c:ptCount val="2"/>
                <c:pt idx="0">
                  <c:v>Incidentes</c:v>
                </c:pt>
                <c:pt idx="1">
                  <c:v>Segunda Instancia</c:v>
                </c:pt>
              </c:strCache>
            </c:strRef>
          </c:cat>
          <c:val>
            <c:numRef>
              <c:f>'Entrada Incident y II Instancia'!$C$5:$D$5</c:f>
              <c:numCache>
                <c:formatCode>General</c:formatCode>
                <c:ptCount val="2"/>
                <c:pt idx="0">
                  <c:v>579</c:v>
                </c:pt>
                <c:pt idx="1">
                  <c:v>4622</c:v>
                </c:pt>
              </c:numCache>
            </c:numRef>
          </c:val>
          <c:extLst>
            <c:ext xmlns:c16="http://schemas.microsoft.com/office/drawing/2014/chart" uri="{C3380CC4-5D6E-409C-BE32-E72D297353CC}">
              <c16:uniqueId val="{00000005-0C11-4158-81B7-70686574C947}"/>
            </c:ext>
          </c:extLst>
        </c:ser>
        <c:ser>
          <c:idx val="2"/>
          <c:order val="2"/>
          <c:tx>
            <c:strRef>
              <c:f>'Entrada Incident y II Instancia'!$B$6</c:f>
              <c:strCache>
                <c:ptCount val="1"/>
                <c:pt idx="0">
                  <c:v>2020</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 y II Instancia'!$C$3:$D$3</c:f>
              <c:strCache>
                <c:ptCount val="2"/>
                <c:pt idx="0">
                  <c:v>Incidentes</c:v>
                </c:pt>
                <c:pt idx="1">
                  <c:v>Segunda Instancia</c:v>
                </c:pt>
              </c:strCache>
            </c:strRef>
          </c:cat>
          <c:val>
            <c:numRef>
              <c:f>'Entrada Incident y II Instancia'!$C$6:$D$6</c:f>
              <c:numCache>
                <c:formatCode>General</c:formatCode>
                <c:ptCount val="2"/>
                <c:pt idx="0">
                  <c:v>448</c:v>
                </c:pt>
                <c:pt idx="1">
                  <c:v>4413</c:v>
                </c:pt>
              </c:numCache>
            </c:numRef>
          </c:val>
          <c:extLst>
            <c:ext xmlns:c16="http://schemas.microsoft.com/office/drawing/2014/chart" uri="{C3380CC4-5D6E-409C-BE32-E72D297353CC}">
              <c16:uniqueId val="{00000006-0C11-4158-81B7-70686574C947}"/>
            </c:ext>
          </c:extLst>
        </c:ser>
        <c:ser>
          <c:idx val="3"/>
          <c:order val="3"/>
          <c:tx>
            <c:strRef>
              <c:f>'Entrada Incident y II Instancia'!$B$7</c:f>
              <c:strCache>
                <c:ptCount val="1"/>
                <c:pt idx="0">
                  <c:v>2021</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 y II Instancia'!$C$3:$D$3</c:f>
              <c:strCache>
                <c:ptCount val="2"/>
                <c:pt idx="0">
                  <c:v>Incidentes</c:v>
                </c:pt>
                <c:pt idx="1">
                  <c:v>Segunda Instancia</c:v>
                </c:pt>
              </c:strCache>
            </c:strRef>
          </c:cat>
          <c:val>
            <c:numRef>
              <c:f>'Entrada Incident y II Instancia'!$C$7:$D$7</c:f>
              <c:numCache>
                <c:formatCode>General</c:formatCode>
                <c:ptCount val="2"/>
                <c:pt idx="0">
                  <c:v>421</c:v>
                </c:pt>
                <c:pt idx="1">
                  <c:v>4058</c:v>
                </c:pt>
              </c:numCache>
            </c:numRef>
          </c:val>
          <c:extLst>
            <c:ext xmlns:c16="http://schemas.microsoft.com/office/drawing/2014/chart" uri="{C3380CC4-5D6E-409C-BE32-E72D297353CC}">
              <c16:uniqueId val="{00000007-0C11-4158-81B7-70686574C947}"/>
            </c:ext>
          </c:extLst>
        </c:ser>
        <c:dLbls>
          <c:showLegendKey val="0"/>
          <c:showVal val="0"/>
          <c:showCatName val="0"/>
          <c:showSerName val="0"/>
          <c:showPercent val="0"/>
          <c:showBubbleSize val="0"/>
        </c:dLbls>
        <c:gapWidth val="219"/>
        <c:overlap val="-27"/>
        <c:axId val="1349351311"/>
        <c:axId val="1349352143"/>
      </c:barChart>
      <c:catAx>
        <c:axId val="134935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349352143"/>
        <c:crosses val="autoZero"/>
        <c:auto val="1"/>
        <c:lblAlgn val="ctr"/>
        <c:lblOffset val="100"/>
        <c:noMultiLvlLbl val="0"/>
      </c:catAx>
      <c:valAx>
        <c:axId val="1349352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4935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'Salida &amp; Inactivos'!$B$3</c:f>
              <c:strCache>
                <c:ptCount val="1"/>
                <c:pt idx="0">
                  <c:v>Terminados</c:v>
                </c:pt>
              </c:strCache>
            </c:strRef>
          </c:tx>
          <c:spPr>
            <a:solidFill>
              <a:srgbClr val="19B2CB"/>
            </a:solidFill>
            <a:ln>
              <a:noFill/>
            </a:ln>
            <a:effectLst/>
          </c:spPr>
          <c:invertIfNegative val="0"/>
          <c:dPt>
            <c:idx val="0"/>
            <c:invertIfNegative val="0"/>
            <c:bubble3D val="0"/>
            <c:spPr>
              <a:solidFill>
                <a:srgbClr val="19B2CB"/>
              </a:solidFill>
              <a:ln>
                <a:noFill/>
              </a:ln>
              <a:effectLst/>
            </c:spPr>
            <c:extLst>
              <c:ext xmlns:c16="http://schemas.microsoft.com/office/drawing/2014/chart" uri="{C3380CC4-5D6E-409C-BE32-E72D297353CC}">
                <c16:uniqueId val="{00000001-718D-4818-BBF1-74D3E3C9BC45}"/>
              </c:ext>
            </c:extLst>
          </c:dPt>
          <c:dPt>
            <c:idx val="1"/>
            <c:invertIfNegative val="0"/>
            <c:bubble3D val="0"/>
            <c:extLst>
              <c:ext xmlns:c16="http://schemas.microsoft.com/office/drawing/2014/chart" uri="{C3380CC4-5D6E-409C-BE32-E72D297353CC}">
                <c16:uniqueId val="{00000003-718D-4818-BBF1-74D3E3C9BC45}"/>
              </c:ext>
            </c:extLst>
          </c:dPt>
          <c:dPt>
            <c:idx val="2"/>
            <c:invertIfNegative val="0"/>
            <c:bubble3D val="0"/>
            <c:extLst>
              <c:ext xmlns:c16="http://schemas.microsoft.com/office/drawing/2014/chart" uri="{C3380CC4-5D6E-409C-BE32-E72D297353CC}">
                <c16:uniqueId val="{00000005-718D-4818-BBF1-74D3E3C9BC45}"/>
              </c:ext>
            </c:extLst>
          </c:dPt>
          <c:dPt>
            <c:idx val="3"/>
            <c:invertIfNegative val="0"/>
            <c:bubble3D val="0"/>
            <c:extLst>
              <c:ext xmlns:c16="http://schemas.microsoft.com/office/drawing/2014/chart" uri="{C3380CC4-5D6E-409C-BE32-E72D297353CC}">
                <c16:uniqueId val="{00000007-718D-4818-BBF1-74D3E3C9BC45}"/>
              </c:ext>
            </c:extLst>
          </c:dPt>
          <c:dPt>
            <c:idx val="4"/>
            <c:invertIfNegative val="0"/>
            <c:bubble3D val="0"/>
            <c:extLst>
              <c:ext xmlns:c16="http://schemas.microsoft.com/office/drawing/2014/chart" uri="{C3380CC4-5D6E-409C-BE32-E72D297353CC}">
                <c16:uniqueId val="{00000009-718D-4818-BBF1-74D3E3C9BC4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'Salida &amp; Inactivos'!$C$2:$G$2</c:f>
              <c:numCache>
                <c:formatCode>General</c:formatCode>
                <c:ptCount val="5"/>
                <c:pt idx="0">
                  <c:v>2017</c:v>
                </c:pt>
                <c:pt idx="1">
                  <c:v>2018</c:v>
                </c:pt>
                <c:pt idx="2">
                  <c:v>2019</c:v>
                </c:pt>
                <c:pt idx="3">
                  <c:v>2020</c:v>
                </c:pt>
                <c:pt idx="4">
                  <c:v>2021</c:v>
                </c:pt>
              </c:numCache>
            </c:numRef>
          </c:cat>
          <c:val>
            <c:numRef>
              <c:f>'Salida &amp; Inactivos'!$C$3:$G$3</c:f>
              <c:numCache>
                <c:formatCode>General</c:formatCode>
                <c:ptCount val="5"/>
                <c:pt idx="0">
                  <c:v>21443</c:v>
                </c:pt>
                <c:pt idx="1">
                  <c:v>20435</c:v>
                </c:pt>
                <c:pt idx="2">
                  <c:v>23141</c:v>
                </c:pt>
                <c:pt idx="3">
                  <c:v>19903</c:v>
                </c:pt>
                <c:pt idx="4">
                  <c:v>24299</c:v>
                </c:pt>
              </c:numCache>
            </c:numRef>
          </c:val>
          <c:extLst>
            <c:ext xmlns:c16="http://schemas.microsoft.com/office/drawing/2014/chart" uri="{C3380CC4-5D6E-409C-BE32-E72D297353CC}">
              <c16:uniqueId val="{0000000A-718D-4818-BBF1-74D3E3C9BC45}"/>
            </c:ext>
          </c:extLst>
        </c:ser>
        <c:ser>
          <c:idx val="1"/>
          <c:order val="1"/>
          <c:tx>
            <c:strRef>
              <c:f>'Salida &amp; Inactivos'!$B$4</c:f>
              <c:strCache>
                <c:ptCount val="1"/>
                <c:pt idx="0">
                  <c:v>Inactivos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'Salida &amp; Inactivos'!$C$2:$G$2</c:f>
              <c:numCache>
                <c:formatCode>General</c:formatCode>
                <c:ptCount val="5"/>
                <c:pt idx="0">
                  <c:v>2017</c:v>
                </c:pt>
                <c:pt idx="1">
                  <c:v>2018</c:v>
                </c:pt>
                <c:pt idx="2">
                  <c:v>2019</c:v>
                </c:pt>
                <c:pt idx="3">
                  <c:v>2020</c:v>
                </c:pt>
                <c:pt idx="4">
                  <c:v>2021</c:v>
                </c:pt>
              </c:numCache>
            </c:numRef>
          </c:cat>
          <c:val>
            <c:numRef>
              <c:f>'Salida &amp; Inactivos'!$C$4:$G$4</c:f>
              <c:numCache>
                <c:formatCode>General</c:formatCode>
                <c:ptCount val="5"/>
                <c:pt idx="0">
                  <c:v>1858</c:v>
                </c:pt>
                <c:pt idx="1">
                  <c:v>1725</c:v>
                </c:pt>
                <c:pt idx="2">
                  <c:v>1767</c:v>
                </c:pt>
                <c:pt idx="3">
                  <c:v>1678</c:v>
                </c:pt>
                <c:pt idx="4">
                  <c:v>1667</c:v>
                </c:pt>
              </c:numCache>
            </c:numRef>
          </c:val>
          <c:extLst>
            <c:ext xmlns:c16="http://schemas.microsoft.com/office/drawing/2014/chart" uri="{C3380CC4-5D6E-409C-BE32-E72D297353CC}">
              <c16:uniqueId val="{0000000B-718D-4818-BBF1-74D3E3C9BC45}"/>
            </c:ext>
          </c:extLst>
        </c:ser>
        <c:dLbls>
          <c:showLegendKey val="0"/>
          <c:showVal val="0"/>
          <c:showCatName val="0"/>
          <c:showSerName val="0"/>
          <c:showPercent val="0"/>
          <c:showBubbleSize val="0"/>
        </c:dLbls>
        <c:gapWidth val="219"/>
        <c:overlap val="-27"/>
        <c:axId val="1349351311"/>
        <c:axId val="1349352143"/>
      </c:barChart>
      <c:catAx>
        <c:axId val="134935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349352143"/>
        <c:crosses val="autoZero"/>
        <c:auto val="1"/>
        <c:lblAlgn val="ctr"/>
        <c:lblOffset val="100"/>
        <c:noMultiLvlLbl val="0"/>
      </c:catAx>
      <c:valAx>
        <c:axId val="1349352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4935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'Salida Incident y II Instancia'!$B$3</c:f>
              <c:strCache>
                <c:ptCount val="1"/>
                <c:pt idx="0">
                  <c:v>2018</c:v>
                </c:pt>
              </c:strCache>
            </c:strRef>
          </c:tx>
          <c:spPr>
            <a:solidFill>
              <a:schemeClr val="accent5">
                <a:lumMod val="75000"/>
              </a:schemeClr>
            </a:solidFill>
            <a:ln>
              <a:noFill/>
            </a:ln>
            <a:effectLst/>
          </c:spPr>
          <c:invertIfNegative val="0"/>
          <c:dPt>
            <c:idx val="0"/>
            <c:invertIfNegative val="0"/>
            <c:bubble3D val="0"/>
            <c:extLst>
              <c:ext xmlns:c16="http://schemas.microsoft.com/office/drawing/2014/chart" uri="{C3380CC4-5D6E-409C-BE32-E72D297353CC}">
                <c16:uniqueId val="{00000001-3F55-4E5E-9B86-46E0DD1BFAD1}"/>
              </c:ext>
            </c:extLst>
          </c:dPt>
          <c:dPt>
            <c:idx val="1"/>
            <c:invertIfNegative val="0"/>
            <c:bubble3D val="0"/>
            <c:extLst>
              <c:ext xmlns:c16="http://schemas.microsoft.com/office/drawing/2014/chart" uri="{C3380CC4-5D6E-409C-BE32-E72D297353CC}">
                <c16:uniqueId val="{00000003-3F55-4E5E-9B86-46E0DD1BFAD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'Salida Incident y II Instancia'!$C$2:$D$2</c:f>
              <c:strCache>
                <c:ptCount val="2"/>
                <c:pt idx="0">
                  <c:v>Incidentes</c:v>
                </c:pt>
                <c:pt idx="1">
                  <c:v>Segunda Instancia</c:v>
                </c:pt>
              </c:strCache>
            </c:strRef>
          </c:cat>
          <c:val>
            <c:numRef>
              <c:f>'Salida Incident y II Instancia'!$C$3:$D$3</c:f>
              <c:numCache>
                <c:formatCode>General</c:formatCode>
                <c:ptCount val="2"/>
                <c:pt idx="0">
                  <c:v>335</c:v>
                </c:pt>
                <c:pt idx="1">
                  <c:v>5298</c:v>
                </c:pt>
              </c:numCache>
            </c:numRef>
          </c:val>
          <c:extLst>
            <c:ext xmlns:c16="http://schemas.microsoft.com/office/drawing/2014/chart" uri="{C3380CC4-5D6E-409C-BE32-E72D297353CC}">
              <c16:uniqueId val="{00000004-3F55-4E5E-9B86-46E0DD1BFAD1}"/>
            </c:ext>
          </c:extLst>
        </c:ser>
        <c:ser>
          <c:idx val="1"/>
          <c:order val="1"/>
          <c:tx>
            <c:strRef>
              <c:f>'Salida Incident y II Instancia'!$B$4</c:f>
              <c:strCache>
                <c:ptCount val="1"/>
                <c:pt idx="0">
                  <c:v>2019</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'Salida Incident y II Instancia'!$C$2:$D$2</c:f>
              <c:strCache>
                <c:ptCount val="2"/>
                <c:pt idx="0">
                  <c:v>Incidentes</c:v>
                </c:pt>
                <c:pt idx="1">
                  <c:v>Segunda Instancia</c:v>
                </c:pt>
              </c:strCache>
            </c:strRef>
          </c:cat>
          <c:val>
            <c:numRef>
              <c:f>'Salida Incident y II Instancia'!$C$4:$D$4</c:f>
              <c:numCache>
                <c:formatCode>General</c:formatCode>
                <c:ptCount val="2"/>
                <c:pt idx="0">
                  <c:v>655</c:v>
                </c:pt>
                <c:pt idx="1">
                  <c:v>5685</c:v>
                </c:pt>
              </c:numCache>
            </c:numRef>
          </c:val>
          <c:extLst>
            <c:ext xmlns:c16="http://schemas.microsoft.com/office/drawing/2014/chart" uri="{C3380CC4-5D6E-409C-BE32-E72D297353CC}">
              <c16:uniqueId val="{00000005-3F55-4E5E-9B86-46E0DD1BFAD1}"/>
            </c:ext>
          </c:extLst>
        </c:ser>
        <c:ser>
          <c:idx val="2"/>
          <c:order val="2"/>
          <c:tx>
            <c:strRef>
              <c:f>'Salida Incident y II Instancia'!$B$5</c:f>
              <c:strCache>
                <c:ptCount val="1"/>
                <c:pt idx="0">
                  <c:v>2020</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'Salida Incident y II Instancia'!$C$2:$D$2</c:f>
              <c:strCache>
                <c:ptCount val="2"/>
                <c:pt idx="0">
                  <c:v>Incidentes</c:v>
                </c:pt>
                <c:pt idx="1">
                  <c:v>Segunda Instancia</c:v>
                </c:pt>
              </c:strCache>
            </c:strRef>
          </c:cat>
          <c:val>
            <c:numRef>
              <c:f>'Salida Incident y II Instancia'!$C$5:$D$5</c:f>
              <c:numCache>
                <c:formatCode>General</c:formatCode>
                <c:ptCount val="2"/>
                <c:pt idx="0">
                  <c:v>783</c:v>
                </c:pt>
                <c:pt idx="1">
                  <c:v>4891</c:v>
                </c:pt>
              </c:numCache>
            </c:numRef>
          </c:val>
          <c:extLst>
            <c:ext xmlns:c16="http://schemas.microsoft.com/office/drawing/2014/chart" uri="{C3380CC4-5D6E-409C-BE32-E72D297353CC}">
              <c16:uniqueId val="{00000006-3F55-4E5E-9B86-46E0DD1BFAD1}"/>
            </c:ext>
          </c:extLst>
        </c:ser>
        <c:ser>
          <c:idx val="3"/>
          <c:order val="3"/>
          <c:tx>
            <c:strRef>
              <c:f>'Salida Incident y II Instancia'!$B$6</c:f>
              <c:strCache>
                <c:ptCount val="1"/>
                <c:pt idx="0">
                  <c:v>2021</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'Salida Incident y II Instancia'!$C$2:$D$2</c:f>
              <c:strCache>
                <c:ptCount val="2"/>
                <c:pt idx="0">
                  <c:v>Incidentes</c:v>
                </c:pt>
                <c:pt idx="1">
                  <c:v>Segunda Instancia</c:v>
                </c:pt>
              </c:strCache>
            </c:strRef>
          </c:cat>
          <c:val>
            <c:numRef>
              <c:f>'Salida Incident y II Instancia'!$C$6:$D$6</c:f>
              <c:numCache>
                <c:formatCode>General</c:formatCode>
                <c:ptCount val="2"/>
                <c:pt idx="0">
                  <c:v>416</c:v>
                </c:pt>
                <c:pt idx="1">
                  <c:v>5054</c:v>
                </c:pt>
              </c:numCache>
            </c:numRef>
          </c:val>
          <c:extLst>
            <c:ext xmlns:c16="http://schemas.microsoft.com/office/drawing/2014/chart" uri="{C3380CC4-5D6E-409C-BE32-E72D297353CC}">
              <c16:uniqueId val="{00000007-3F55-4E5E-9B86-46E0DD1BFAD1}"/>
            </c:ext>
          </c:extLst>
        </c:ser>
        <c:dLbls>
          <c:showLegendKey val="0"/>
          <c:showVal val="0"/>
          <c:showCatName val="0"/>
          <c:showSerName val="0"/>
          <c:showPercent val="0"/>
          <c:showBubbleSize val="0"/>
        </c:dLbls>
        <c:gapWidth val="219"/>
        <c:overlap val="-27"/>
        <c:axId val="1349351311"/>
        <c:axId val="1349352143"/>
      </c:barChart>
      <c:catAx>
        <c:axId val="134935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349352143"/>
        <c:crosses val="autoZero"/>
        <c:auto val="1"/>
        <c:lblAlgn val="ctr"/>
        <c:lblOffset val="100"/>
        <c:noMultiLvlLbl val="0"/>
      </c:catAx>
      <c:valAx>
        <c:axId val="1349352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493513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'Total Ent -Sal y Cir'!$B$5</c:f>
              <c:strCache>
                <c:ptCount val="1"/>
                <c:pt idx="0">
                  <c:v>Entrados Totales</c:v>
                </c:pt>
              </c:strCache>
            </c:strRef>
          </c:tx>
          <c:spPr>
            <a:ln w="28575" cap="rnd">
              <a:solidFill>
                <a:schemeClr val="accent1"/>
              </a:solidFill>
              <a:round/>
            </a:ln>
            <a:effectLst/>
          </c:spPr>
          <c:marker>
            <c:symbol val="none"/>
          </c:marker>
          <c:cat>
            <c:numRef>
              <c:f>'Total Ent -Sal y Cir'!$C$4:$G$4</c:f>
              <c:numCache>
                <c:formatCode>General</c:formatCode>
                <c:ptCount val="5"/>
                <c:pt idx="0">
                  <c:v>2017</c:v>
                </c:pt>
                <c:pt idx="1">
                  <c:v>2018</c:v>
                </c:pt>
                <c:pt idx="2">
                  <c:v>2019</c:v>
                </c:pt>
                <c:pt idx="3">
                  <c:v>2020</c:v>
                </c:pt>
                <c:pt idx="4">
                  <c:v>2021</c:v>
                </c:pt>
              </c:numCache>
            </c:numRef>
          </c:cat>
          <c:val>
            <c:numRef>
              <c:f>'Total Ent -Sal y Cir'!$C$5:$G$5</c:f>
              <c:numCache>
                <c:formatCode>General</c:formatCode>
                <c:ptCount val="5"/>
                <c:pt idx="0">
                  <c:v>23737</c:v>
                </c:pt>
                <c:pt idx="1">
                  <c:v>23049</c:v>
                </c:pt>
                <c:pt idx="2">
                  <c:v>25085</c:v>
                </c:pt>
                <c:pt idx="3">
                  <c:v>21364</c:v>
                </c:pt>
                <c:pt idx="4">
                  <c:v>25239</c:v>
                </c:pt>
              </c:numCache>
            </c:numRef>
          </c:val>
          <c:smooth val="0"/>
          <c:extLst>
            <c:ext xmlns:c16="http://schemas.microsoft.com/office/drawing/2014/chart" uri="{C3380CC4-5D6E-409C-BE32-E72D297353CC}">
              <c16:uniqueId val="{00000005-CF45-42FB-9E63-395B68FA142C}"/>
            </c:ext>
          </c:extLst>
        </c:ser>
        <c:ser>
          <c:idx val="1"/>
          <c:order val="1"/>
          <c:tx>
            <c:strRef>
              <c:f>'Total Ent -Sal y Cir'!$B$6</c:f>
              <c:strCache>
                <c:ptCount val="1"/>
                <c:pt idx="0">
                  <c:v>Terminados Totales</c:v>
                </c:pt>
              </c:strCache>
            </c:strRef>
          </c:tx>
          <c:spPr>
            <a:ln w="28575" cap="rnd">
              <a:solidFill>
                <a:schemeClr val="accent2"/>
              </a:solidFill>
              <a:round/>
            </a:ln>
            <a:effectLst/>
          </c:spPr>
          <c:marker>
            <c:symbol val="none"/>
          </c:marker>
          <c:cat>
            <c:numRef>
              <c:f>'Total Ent -Sal y Cir'!$C$4:$G$4</c:f>
              <c:numCache>
                <c:formatCode>General</c:formatCode>
                <c:ptCount val="5"/>
                <c:pt idx="0">
                  <c:v>2017</c:v>
                </c:pt>
                <c:pt idx="1">
                  <c:v>2018</c:v>
                </c:pt>
                <c:pt idx="2">
                  <c:v>2019</c:v>
                </c:pt>
                <c:pt idx="3">
                  <c:v>2020</c:v>
                </c:pt>
                <c:pt idx="4">
                  <c:v>2021</c:v>
                </c:pt>
              </c:numCache>
            </c:numRef>
          </c:cat>
          <c:val>
            <c:numRef>
              <c:f>'Total Ent -Sal y Cir'!$C$6:$G$6</c:f>
              <c:numCache>
                <c:formatCode>General</c:formatCode>
                <c:ptCount val="5"/>
                <c:pt idx="0">
                  <c:v>23301</c:v>
                </c:pt>
                <c:pt idx="1">
                  <c:v>22160</c:v>
                </c:pt>
                <c:pt idx="2">
                  <c:v>24908</c:v>
                </c:pt>
                <c:pt idx="3">
                  <c:v>21581</c:v>
                </c:pt>
                <c:pt idx="4">
                  <c:v>25966</c:v>
                </c:pt>
              </c:numCache>
            </c:numRef>
          </c:val>
          <c:smooth val="0"/>
          <c:extLst>
            <c:ext xmlns:c16="http://schemas.microsoft.com/office/drawing/2014/chart" uri="{C3380CC4-5D6E-409C-BE32-E72D297353CC}">
              <c16:uniqueId val="{0000000B-CF45-42FB-9E63-395B68FA142C}"/>
            </c:ext>
          </c:extLst>
        </c:ser>
        <c:ser>
          <c:idx val="2"/>
          <c:order val="2"/>
          <c:tx>
            <c:strRef>
              <c:f>'Total Ent -Sal y Cir'!$B$7</c:f>
              <c:strCache>
                <c:ptCount val="1"/>
                <c:pt idx="0">
                  <c:v>Circulante al finalizar el periodo</c:v>
                </c:pt>
              </c:strCache>
            </c:strRef>
          </c:tx>
          <c:spPr>
            <a:ln w="28575" cap="rnd">
              <a:solidFill>
                <a:schemeClr val="accent3"/>
              </a:solidFill>
              <a:round/>
            </a:ln>
            <a:effectLst/>
          </c:spPr>
          <c:marker>
            <c:symbol val="none"/>
          </c:marker>
          <c:cat>
            <c:numRef>
              <c:f>'Total Ent -Sal y Cir'!$C$4:$G$4</c:f>
              <c:numCache>
                <c:formatCode>General</c:formatCode>
                <c:ptCount val="5"/>
                <c:pt idx="0">
                  <c:v>2017</c:v>
                </c:pt>
                <c:pt idx="1">
                  <c:v>2018</c:v>
                </c:pt>
                <c:pt idx="2">
                  <c:v>2019</c:v>
                </c:pt>
                <c:pt idx="3">
                  <c:v>2020</c:v>
                </c:pt>
                <c:pt idx="4">
                  <c:v>2021</c:v>
                </c:pt>
              </c:numCache>
            </c:numRef>
          </c:cat>
          <c:val>
            <c:numRef>
              <c:f>'Total Ent -Sal y Cir'!$C$7:$G$7</c:f>
              <c:numCache>
                <c:formatCode>General</c:formatCode>
                <c:ptCount val="5"/>
                <c:pt idx="0">
                  <c:v>13698</c:v>
                </c:pt>
                <c:pt idx="1">
                  <c:v>14443</c:v>
                </c:pt>
                <c:pt idx="2">
                  <c:v>14424</c:v>
                </c:pt>
                <c:pt idx="3">
                  <c:v>14446</c:v>
                </c:pt>
                <c:pt idx="4">
                  <c:v>13471</c:v>
                </c:pt>
              </c:numCache>
            </c:numRef>
          </c:val>
          <c:smooth val="0"/>
          <c:extLst>
            <c:ext xmlns:c16="http://schemas.microsoft.com/office/drawing/2014/chart" uri="{C3380CC4-5D6E-409C-BE32-E72D297353CC}">
              <c16:uniqueId val="{00000010-CF45-42FB-9E63-395B68FA142C}"/>
            </c:ext>
          </c:extLst>
        </c:ser>
        <c:dLbls>
          <c:showLegendKey val="0"/>
          <c:showVal val="0"/>
          <c:showCatName val="0"/>
          <c:showSerName val="0"/>
          <c:showPercent val="0"/>
          <c:showBubbleSize val="0"/>
        </c:dLbls>
        <c:smooth val="0"/>
        <c:axId val="2001536943"/>
        <c:axId val="2001542351"/>
      </c:lineChart>
      <c:catAx>
        <c:axId val="20015369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2001542351"/>
        <c:crosses val="autoZero"/>
        <c:auto val="1"/>
        <c:lblAlgn val="ctr"/>
        <c:lblOffset val="100"/>
        <c:noMultiLvlLbl val="0"/>
      </c:catAx>
      <c:valAx>
        <c:axId val="2001542351"/>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00153694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CR"/>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'Trab Social y Psic'!$C$52</c:f>
              <c:strCache>
                <c:ptCount val="1"/>
                <c:pt idx="0">
                  <c:v>2020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 Social y Psic'!$B$53:$B$56</c:f>
              <c:strCache>
                <c:ptCount val="4"/>
                <c:pt idx="0">
                  <c:v>Casos Ingresados Psicología</c:v>
                </c:pt>
                <c:pt idx="1">
                  <c:v>Casos Ingresados Trabajo Social</c:v>
                </c:pt>
                <c:pt idx="2">
                  <c:v>Atención Inmediata Psicología</c:v>
                </c:pt>
                <c:pt idx="3">
                  <c:v>Atención Inmediata Trabajo Social</c:v>
                </c:pt>
              </c:strCache>
            </c:strRef>
          </c:cat>
          <c:val>
            <c:numRef>
              <c:f>'Trab Social y Psic'!$C$53:$C$56</c:f>
              <c:numCache>
                <c:formatCode>General</c:formatCode>
                <c:ptCount val="4"/>
                <c:pt idx="0">
                  <c:v>9273</c:v>
                </c:pt>
                <c:pt idx="1">
                  <c:v>14836</c:v>
                </c:pt>
                <c:pt idx="2">
                  <c:v>1775</c:v>
                </c:pt>
                <c:pt idx="3">
                  <c:v>2048</c:v>
                </c:pt>
              </c:numCache>
            </c:numRef>
          </c:val>
          <c:extLst>
            <c:ext xmlns:c16="http://schemas.microsoft.com/office/drawing/2014/chart" uri="{C3380CC4-5D6E-409C-BE32-E72D297353CC}">
              <c16:uniqueId val="{00000000-8560-4C3B-B4F9-65D2B659D840}"/>
            </c:ext>
          </c:extLst>
        </c:ser>
        <c:ser>
          <c:idx val="1"/>
          <c:order val="1"/>
          <c:tx>
            <c:strRef>
              <c:f>'Trab Social y Psic'!$D$52</c:f>
              <c:strCache>
                <c:ptCount val="1"/>
                <c:pt idx="0">
                  <c:v>2021</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 Social y Psic'!$B$53:$B$56</c:f>
              <c:strCache>
                <c:ptCount val="4"/>
                <c:pt idx="0">
                  <c:v>Casos Ingresados Psicología</c:v>
                </c:pt>
                <c:pt idx="1">
                  <c:v>Casos Ingresados Trabajo Social</c:v>
                </c:pt>
                <c:pt idx="2">
                  <c:v>Atención Inmediata Psicología</c:v>
                </c:pt>
                <c:pt idx="3">
                  <c:v>Atención Inmediata Trabajo Social</c:v>
                </c:pt>
              </c:strCache>
            </c:strRef>
          </c:cat>
          <c:val>
            <c:numRef>
              <c:f>'Trab Social y Psic'!$D$53:$D$56</c:f>
              <c:numCache>
                <c:formatCode>General</c:formatCode>
                <c:ptCount val="4"/>
                <c:pt idx="0">
                  <c:v>10425</c:v>
                </c:pt>
                <c:pt idx="1">
                  <c:v>15959</c:v>
                </c:pt>
                <c:pt idx="2">
                  <c:v>993</c:v>
                </c:pt>
                <c:pt idx="3">
                  <c:v>1570</c:v>
                </c:pt>
              </c:numCache>
            </c:numRef>
          </c:val>
          <c:extLst>
            <c:ext xmlns:c16="http://schemas.microsoft.com/office/drawing/2014/chart" uri="{C3380CC4-5D6E-409C-BE32-E72D297353CC}">
              <c16:uniqueId val="{00000001-8560-4C3B-B4F9-65D2B659D840}"/>
            </c:ext>
          </c:extLst>
        </c:ser>
        <c:dLbls>
          <c:showLegendKey val="0"/>
          <c:showVal val="0"/>
          <c:showCatName val="0"/>
          <c:showSerName val="0"/>
          <c:showPercent val="0"/>
          <c:showBubbleSize val="0"/>
        </c:dLbls>
        <c:gapWidth val="219"/>
        <c:overlap val="-27"/>
        <c:axId val="131597216"/>
        <c:axId val="131598464"/>
      </c:barChart>
      <c:catAx>
        <c:axId val="131597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31598464"/>
        <c:crosses val="autoZero"/>
        <c:auto val="1"/>
        <c:lblAlgn val="ctr"/>
        <c:lblOffset val="100"/>
        <c:noMultiLvlLbl val="0"/>
      </c:catAx>
      <c:valAx>
        <c:axId val="131598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1597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'Trab Social y Psic'!$C$33</c:f>
              <c:strCache>
                <c:ptCount val="1"/>
                <c:pt idx="0">
                  <c:v>2020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 Social y Psic'!$B$34:$B$35</c:f>
              <c:strCache>
                <c:ptCount val="2"/>
                <c:pt idx="0">
                  <c:v>Casos Cerrados Psicología</c:v>
                </c:pt>
                <c:pt idx="1">
                  <c:v>Casos Cerrados Trabajo Social</c:v>
                </c:pt>
              </c:strCache>
            </c:strRef>
          </c:cat>
          <c:val>
            <c:numRef>
              <c:f>'Trab Social y Psic'!$C$34:$C$35</c:f>
              <c:numCache>
                <c:formatCode>General</c:formatCode>
                <c:ptCount val="2"/>
                <c:pt idx="0">
                  <c:v>8918</c:v>
                </c:pt>
                <c:pt idx="1">
                  <c:v>14067</c:v>
                </c:pt>
              </c:numCache>
            </c:numRef>
          </c:val>
          <c:extLst>
            <c:ext xmlns:c16="http://schemas.microsoft.com/office/drawing/2014/chart" uri="{C3380CC4-5D6E-409C-BE32-E72D297353CC}">
              <c16:uniqueId val="{00000000-FD5C-4FBA-B282-1B83FD2430B0}"/>
            </c:ext>
          </c:extLst>
        </c:ser>
        <c:ser>
          <c:idx val="1"/>
          <c:order val="1"/>
          <c:tx>
            <c:strRef>
              <c:f>'Trab Social y Psic'!$D$33</c:f>
              <c:strCache>
                <c:ptCount val="1"/>
                <c:pt idx="0">
                  <c:v>2021</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'Trab Social y Psic'!$B$34:$B$35</c:f>
              <c:strCache>
                <c:ptCount val="2"/>
                <c:pt idx="0">
                  <c:v>Casos Cerrados Psicología</c:v>
                </c:pt>
                <c:pt idx="1">
                  <c:v>Casos Cerrados Trabajo Social</c:v>
                </c:pt>
              </c:strCache>
            </c:strRef>
          </c:cat>
          <c:val>
            <c:numRef>
              <c:f>'Trab Social y Psic'!$D$34:$D$35</c:f>
              <c:numCache>
                <c:formatCode>General</c:formatCode>
                <c:ptCount val="2"/>
                <c:pt idx="0">
                  <c:v>10122</c:v>
                </c:pt>
                <c:pt idx="1">
                  <c:v>15211</c:v>
                </c:pt>
              </c:numCache>
            </c:numRef>
          </c:val>
          <c:extLst>
            <c:ext xmlns:c16="http://schemas.microsoft.com/office/drawing/2014/chart" uri="{C3380CC4-5D6E-409C-BE32-E72D297353CC}">
              <c16:uniqueId val="{00000001-FD5C-4FBA-B282-1B83FD2430B0}"/>
            </c:ext>
          </c:extLst>
        </c:ser>
        <c:dLbls>
          <c:showLegendKey val="0"/>
          <c:showVal val="0"/>
          <c:showCatName val="0"/>
          <c:showSerName val="0"/>
          <c:showPercent val="0"/>
          <c:showBubbleSize val="0"/>
        </c:dLbls>
        <c:gapWidth val="219"/>
        <c:overlap val="-27"/>
        <c:axId val="554422831"/>
        <c:axId val="554425327"/>
      </c:barChart>
      <c:catAx>
        <c:axId val="554422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554425327"/>
        <c:crosses val="autoZero"/>
        <c:auto val="1"/>
        <c:lblAlgn val="ctr"/>
        <c:lblOffset val="100"/>
        <c:noMultiLvlLbl val="0"/>
      </c:catAx>
      <c:valAx>
        <c:axId val="5544253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544228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025371828521428E-2"/>
          <c:y val="4.1666666666666664E-2"/>
          <c:w val="0.87753018372703417"/>
          <c:h val="0.73577136191309422"/>
        </c:manualLayout>
      </c:layout>
      <c:barChart>
        <c:barDir val="col"/>
        <c:grouping val="stacked"/>
        <c:varyColors val="0"/>
        <c:ser>
          <c:idx val="0"/>
          <c:order val="0"/>
          <c:tx>
            <c:strRef>
              <c:f>'Datos Niñez y Adolesc.'!$B$17</c:f>
              <c:strCache>
                <c:ptCount val="1"/>
                <c:pt idx="0">
                  <c:v>Entrados Totales</c:v>
                </c:pt>
              </c:strCache>
            </c:strRef>
          </c:tx>
          <c:spPr>
            <a:solidFill>
              <a:srgbClr val="4472C4">
                <a:lumMod val="60000"/>
                <a:lumOff val="40000"/>
              </a:srgbClr>
            </a:solidFill>
            <a:ln>
              <a:noFill/>
            </a:ln>
            <a:effectLst/>
          </c:spPr>
          <c:invertIfNegative val="0"/>
          <c:dLbls>
            <c:dLbl>
              <c:idx val="0"/>
              <c:layout>
                <c:manualLayout>
                  <c:x val="-2.5462668816039986E-17"/>
                  <c:y val="-5.55555555555556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AB-4445-90FE-6CABA07F82FB}"/>
                </c:ext>
              </c:extLst>
            </c:dLbl>
            <c:dLbl>
              <c:idx val="1"/>
              <c:layout>
                <c:manualLayout>
                  <c:x val="0"/>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BAB-4445-90FE-6CABA07F82FB}"/>
                </c:ext>
              </c:extLst>
            </c:dLbl>
            <c:dLbl>
              <c:idx val="2"/>
              <c:layout>
                <c:manualLayout>
                  <c:x val="5.5555555555555558E-3"/>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BAB-4445-90FE-6CABA07F82FB}"/>
                </c:ext>
              </c:extLst>
            </c:dLbl>
            <c:dLbl>
              <c:idx val="3"/>
              <c:layout>
                <c:manualLayout>
                  <c:x val="2.7777777777777779E-3"/>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BAB-4445-90FE-6CABA07F82F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'Datos Niñez y Adolesc.'!$C$16:$G$16</c:f>
              <c:numCache>
                <c:formatCode>General</c:formatCode>
                <c:ptCount val="5"/>
                <c:pt idx="0">
                  <c:v>2017</c:v>
                </c:pt>
                <c:pt idx="1">
                  <c:v>2018</c:v>
                </c:pt>
                <c:pt idx="2">
                  <c:v>2019</c:v>
                </c:pt>
                <c:pt idx="3">
                  <c:v>2020</c:v>
                </c:pt>
                <c:pt idx="4">
                  <c:v>2021</c:v>
                </c:pt>
              </c:numCache>
            </c:numRef>
          </c:cat>
          <c:val>
            <c:numRef>
              <c:f>'Datos Niñez y Adolesc.'!$C$17:$G$17</c:f>
              <c:numCache>
                <c:formatCode>General</c:formatCode>
                <c:ptCount val="5"/>
                <c:pt idx="0">
                  <c:v>1053</c:v>
                </c:pt>
                <c:pt idx="1">
                  <c:v>1045</c:v>
                </c:pt>
                <c:pt idx="2">
                  <c:v>1189</c:v>
                </c:pt>
                <c:pt idx="3">
                  <c:v>1083</c:v>
                </c:pt>
                <c:pt idx="4">
                  <c:v>1145</c:v>
                </c:pt>
              </c:numCache>
            </c:numRef>
          </c:val>
          <c:extLst>
            <c:ext xmlns:c16="http://schemas.microsoft.com/office/drawing/2014/chart" uri="{C3380CC4-5D6E-409C-BE32-E72D297353CC}">
              <c16:uniqueId val="{00000004-2BAB-4445-90FE-6CABA07F82FB}"/>
            </c:ext>
          </c:extLst>
        </c:ser>
        <c:ser>
          <c:idx val="1"/>
          <c:order val="1"/>
          <c:tx>
            <c:strRef>
              <c:f>'Datos Niñez y Adolesc.'!$B$18</c:f>
              <c:strCache>
                <c:ptCount val="1"/>
                <c:pt idx="0">
                  <c:v>Terminados Totales</c:v>
                </c:pt>
              </c:strCache>
            </c:strRef>
          </c:tx>
          <c:spPr>
            <a:solidFill>
              <a:srgbClr val="FFFF00"/>
            </a:solidFill>
            <a:ln>
              <a:noFill/>
            </a:ln>
            <a:effectLst/>
          </c:spPr>
          <c:invertIfNegative val="0"/>
          <c:dLbls>
            <c:dLbl>
              <c:idx val="0"/>
              <c:layout>
                <c:manualLayout>
                  <c:x val="-2.7777777777777779E-3"/>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BAB-4445-90FE-6CABA07F82FB}"/>
                </c:ext>
              </c:extLst>
            </c:dLbl>
            <c:dLbl>
              <c:idx val="1"/>
              <c:layout>
                <c:manualLayout>
                  <c:x val="0"/>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BAB-4445-90FE-6CABA07F82FB}"/>
                </c:ext>
              </c:extLst>
            </c:dLbl>
            <c:dLbl>
              <c:idx val="2"/>
              <c:layout>
                <c:manualLayout>
                  <c:x val="-1.0185067526415994E-16"/>
                  <c:y val="3.24074074074073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BAB-4445-90FE-6CABA07F82FB}"/>
                </c:ext>
              </c:extLst>
            </c:dLbl>
            <c:dLbl>
              <c:idx val="3"/>
              <c:layout>
                <c:manualLayout>
                  <c:x val="0"/>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BAB-4445-90FE-6CABA07F82F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'Datos Niñez y Adolesc.'!$C$16:$G$16</c:f>
              <c:numCache>
                <c:formatCode>General</c:formatCode>
                <c:ptCount val="5"/>
                <c:pt idx="0">
                  <c:v>2017</c:v>
                </c:pt>
                <c:pt idx="1">
                  <c:v>2018</c:v>
                </c:pt>
                <c:pt idx="2">
                  <c:v>2019</c:v>
                </c:pt>
                <c:pt idx="3">
                  <c:v>2020</c:v>
                </c:pt>
                <c:pt idx="4">
                  <c:v>2021</c:v>
                </c:pt>
              </c:numCache>
            </c:numRef>
          </c:cat>
          <c:val>
            <c:numRef>
              <c:f>'Datos Niñez y Adolesc.'!$C$18:$G$18</c:f>
              <c:numCache>
                <c:formatCode>General</c:formatCode>
                <c:ptCount val="5"/>
                <c:pt idx="0">
                  <c:v>761</c:v>
                </c:pt>
                <c:pt idx="1">
                  <c:v>887</c:v>
                </c:pt>
                <c:pt idx="2">
                  <c:v>985</c:v>
                </c:pt>
                <c:pt idx="3">
                  <c:v>1099</c:v>
                </c:pt>
                <c:pt idx="4">
                  <c:v>803</c:v>
                </c:pt>
              </c:numCache>
            </c:numRef>
          </c:val>
          <c:extLst>
            <c:ext xmlns:c16="http://schemas.microsoft.com/office/drawing/2014/chart" uri="{C3380CC4-5D6E-409C-BE32-E72D297353CC}">
              <c16:uniqueId val="{00000009-2BAB-4445-90FE-6CABA07F82FB}"/>
            </c:ext>
          </c:extLst>
        </c:ser>
        <c:ser>
          <c:idx val="2"/>
          <c:order val="2"/>
          <c:tx>
            <c:strRef>
              <c:f>'Datos Niñez y Adolesc.'!$B$19</c:f>
              <c:strCache>
                <c:ptCount val="1"/>
                <c:pt idx="0">
                  <c:v>Circulante al finalizar el periodo</c:v>
                </c:pt>
              </c:strCache>
            </c:strRef>
          </c:tx>
          <c:spPr>
            <a:solidFill>
              <a:srgbClr val="92D050"/>
            </a:solidFill>
            <a:ln>
              <a:noFill/>
            </a:ln>
            <a:effectLst/>
          </c:spPr>
          <c:invertIfNegative val="0"/>
          <c:dLbls>
            <c:dLbl>
              <c:idx val="0"/>
              <c:layout>
                <c:manualLayout>
                  <c:x val="-2.5462668816039986E-17"/>
                  <c:y val="-3.70370370370370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BAB-4445-90FE-6CABA07F82FB}"/>
                </c:ext>
              </c:extLst>
            </c:dLbl>
            <c:dLbl>
              <c:idx val="2"/>
              <c:layout>
                <c:manualLayout>
                  <c:x val="0"/>
                  <c:y val="-3.2407407407407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BAB-4445-90FE-6CABA07F82F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'Datos Niñez y Adolesc.'!$C$16:$G$16</c:f>
              <c:numCache>
                <c:formatCode>General</c:formatCode>
                <c:ptCount val="5"/>
                <c:pt idx="0">
                  <c:v>2017</c:v>
                </c:pt>
                <c:pt idx="1">
                  <c:v>2018</c:v>
                </c:pt>
                <c:pt idx="2">
                  <c:v>2019</c:v>
                </c:pt>
                <c:pt idx="3">
                  <c:v>2020</c:v>
                </c:pt>
                <c:pt idx="4">
                  <c:v>2021</c:v>
                </c:pt>
              </c:numCache>
            </c:numRef>
          </c:cat>
          <c:val>
            <c:numRef>
              <c:f>'Datos Niñez y Adolesc.'!$C$19:$G$19</c:f>
              <c:numCache>
                <c:formatCode>General</c:formatCode>
                <c:ptCount val="5"/>
                <c:pt idx="0">
                  <c:v>840</c:v>
                </c:pt>
                <c:pt idx="1">
                  <c:v>998</c:v>
                </c:pt>
                <c:pt idx="2">
                  <c:v>1202</c:v>
                </c:pt>
                <c:pt idx="3">
                  <c:v>1187</c:v>
                </c:pt>
                <c:pt idx="4">
                  <c:v>1529</c:v>
                </c:pt>
              </c:numCache>
            </c:numRef>
          </c:val>
          <c:extLst>
            <c:ext xmlns:c16="http://schemas.microsoft.com/office/drawing/2014/chart" uri="{C3380CC4-5D6E-409C-BE32-E72D297353CC}">
              <c16:uniqueId val="{0000000C-2BAB-4445-90FE-6CABA07F82FB}"/>
            </c:ext>
          </c:extLst>
        </c:ser>
        <c:dLbls>
          <c:showLegendKey val="0"/>
          <c:showVal val="0"/>
          <c:showCatName val="0"/>
          <c:showSerName val="0"/>
          <c:showPercent val="0"/>
          <c:showBubbleSize val="0"/>
        </c:dLbls>
        <c:gapWidth val="150"/>
        <c:overlap val="100"/>
        <c:axId val="19243567"/>
        <c:axId val="19245231"/>
      </c:barChart>
      <c:catAx>
        <c:axId val="1924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9245231"/>
        <c:crosses val="autoZero"/>
        <c:auto val="1"/>
        <c:lblAlgn val="ctr"/>
        <c:lblOffset val="100"/>
        <c:noMultiLvlLbl val="0"/>
      </c:catAx>
      <c:valAx>
        <c:axId val="192452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2435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Hoja1!$H$6</c:f>
              <c:strCache>
                <c:ptCount val="1"/>
                <c:pt idx="0">
                  <c:v>Demanda+Demostrativa+Conclusiva</c:v>
                </c:pt>
              </c:strCache>
            </c:strRef>
          </c:tx>
          <c:spPr>
            <a:ln w="28575" cap="rnd">
              <a:solidFill>
                <a:schemeClr val="accent1"/>
              </a:solidFill>
              <a:round/>
            </a:ln>
            <a:effectLst/>
          </c:spPr>
          <c:marker>
            <c:symbol val="none"/>
          </c:marker>
          <c:dLbls>
            <c:dLbl>
              <c:idx val="0"/>
              <c:layout>
                <c:manualLayout>
                  <c:x val="8.3333333333333332E-3"/>
                  <c:y val="3.7037037037036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974-44B0-82D1-93546EDCC10F}"/>
                </c:ext>
              </c:extLst>
            </c:dLbl>
            <c:dLbl>
              <c:idx val="1"/>
              <c:layout>
                <c:manualLayout>
                  <c:x val="-1.1111111111111112E-2"/>
                  <c:y val="3.7037037037036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974-44B0-82D1-93546EDCC10F}"/>
                </c:ext>
              </c:extLst>
            </c:dLbl>
            <c:dLbl>
              <c:idx val="2"/>
              <c:layout>
                <c:manualLayout>
                  <c:x val="1.1111111111111112E-2"/>
                  <c:y val="4.16666666666665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974-44B0-82D1-93546EDCC10F}"/>
                </c:ext>
              </c:extLst>
            </c:dLbl>
            <c:dLbl>
              <c:idx val="3"/>
              <c:layout>
                <c:manualLayout>
                  <c:x val="0"/>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974-44B0-82D1-93546EDCC10F}"/>
                </c:ext>
              </c:extLst>
            </c:dLbl>
            <c:dLbl>
              <c:idx val="4"/>
              <c:layout>
                <c:manualLayout>
                  <c:x val="-8.3333333333334356E-3"/>
                  <c:y val="4.6296296296296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974-44B0-82D1-93546EDCC10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Hoja1!$D$7:$D$11</c:f>
              <c:numCache>
                <c:formatCode>General</c:formatCode>
                <c:ptCount val="5"/>
                <c:pt idx="0">
                  <c:v>2017</c:v>
                </c:pt>
                <c:pt idx="1">
                  <c:v>2018</c:v>
                </c:pt>
                <c:pt idx="2">
                  <c:v>2019</c:v>
                </c:pt>
                <c:pt idx="3">
                  <c:v>2020</c:v>
                </c:pt>
                <c:pt idx="4">
                  <c:v>2021</c:v>
                </c:pt>
              </c:numCache>
            </c:numRef>
          </c:cat>
          <c:val>
            <c:numRef>
              <c:f>Hoja1!$H$7:$H$11</c:f>
              <c:numCache>
                <c:formatCode>General</c:formatCode>
                <c:ptCount val="5"/>
                <c:pt idx="0">
                  <c:v>7659</c:v>
                </c:pt>
                <c:pt idx="1">
                  <c:v>7903</c:v>
                </c:pt>
                <c:pt idx="2">
                  <c:v>7452</c:v>
                </c:pt>
                <c:pt idx="3">
                  <c:v>5855</c:v>
                </c:pt>
                <c:pt idx="4">
                  <c:v>5328</c:v>
                </c:pt>
              </c:numCache>
            </c:numRef>
          </c:val>
          <c:smooth val="0"/>
          <c:extLst>
            <c:ext xmlns:c16="http://schemas.microsoft.com/office/drawing/2014/chart" uri="{C3380CC4-5D6E-409C-BE32-E72D297353CC}">
              <c16:uniqueId val="{00000005-C974-44B0-82D1-93546EDCC10F}"/>
            </c:ext>
          </c:extLst>
        </c:ser>
        <c:ser>
          <c:idx val="1"/>
          <c:order val="1"/>
          <c:tx>
            <c:strRef>
              <c:f>Hoja1!$K$6</c:f>
              <c:strCache>
                <c:ptCount val="1"/>
                <c:pt idx="0">
                  <c:v>Ejec. Activa+Ejec. Pasiva</c:v>
                </c:pt>
              </c:strCache>
            </c:strRef>
          </c:tx>
          <c:spPr>
            <a:ln w="28575" cap="rnd">
              <a:solidFill>
                <a:schemeClr val="accent2"/>
              </a:solidFill>
              <a:round/>
            </a:ln>
            <a:effectLst/>
          </c:spPr>
          <c:marker>
            <c:symbol val="none"/>
          </c:marker>
          <c:dLbls>
            <c:dLbl>
              <c:idx val="0"/>
              <c:layout>
                <c:manualLayout>
                  <c:x val="-8.3333333333333332E-3"/>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974-44B0-82D1-93546EDCC10F}"/>
                </c:ext>
              </c:extLst>
            </c:dLbl>
            <c:dLbl>
              <c:idx val="1"/>
              <c:layout>
                <c:manualLayout>
                  <c:x val="0"/>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974-44B0-82D1-93546EDCC10F}"/>
                </c:ext>
              </c:extLst>
            </c:dLbl>
            <c:dLbl>
              <c:idx val="2"/>
              <c:layout>
                <c:manualLayout>
                  <c:x val="2.777777777777676E-3"/>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974-44B0-82D1-93546EDCC10F}"/>
                </c:ext>
              </c:extLst>
            </c:dLbl>
            <c:dLbl>
              <c:idx val="3"/>
              <c:layout>
                <c:manualLayout>
                  <c:x val="5.5555555555555558E-3"/>
                  <c:y val="1.85185185185184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974-44B0-82D1-93546EDCC10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Hoja1!$D$7:$D$11</c:f>
              <c:numCache>
                <c:formatCode>General</c:formatCode>
                <c:ptCount val="5"/>
                <c:pt idx="0">
                  <c:v>2017</c:v>
                </c:pt>
                <c:pt idx="1">
                  <c:v>2018</c:v>
                </c:pt>
                <c:pt idx="2">
                  <c:v>2019</c:v>
                </c:pt>
                <c:pt idx="3">
                  <c:v>2020</c:v>
                </c:pt>
                <c:pt idx="4">
                  <c:v>2021</c:v>
                </c:pt>
              </c:numCache>
            </c:numRef>
          </c:cat>
          <c:val>
            <c:numRef>
              <c:f>Hoja1!$K$7:$K$11</c:f>
              <c:numCache>
                <c:formatCode>General</c:formatCode>
                <c:ptCount val="5"/>
                <c:pt idx="0">
                  <c:v>71323</c:v>
                </c:pt>
                <c:pt idx="1">
                  <c:v>75336</c:v>
                </c:pt>
                <c:pt idx="2">
                  <c:v>77418</c:v>
                </c:pt>
                <c:pt idx="3">
                  <c:v>71263</c:v>
                </c:pt>
                <c:pt idx="4">
                  <c:v>80567</c:v>
                </c:pt>
              </c:numCache>
            </c:numRef>
          </c:val>
          <c:smooth val="0"/>
          <c:extLst>
            <c:ext xmlns:c16="http://schemas.microsoft.com/office/drawing/2014/chart" uri="{C3380CC4-5D6E-409C-BE32-E72D297353CC}">
              <c16:uniqueId val="{0000000A-C974-44B0-82D1-93546EDCC10F}"/>
            </c:ext>
          </c:extLst>
        </c:ser>
        <c:dLbls>
          <c:showLegendKey val="0"/>
          <c:showVal val="0"/>
          <c:showCatName val="0"/>
          <c:showSerName val="0"/>
          <c:showPercent val="0"/>
          <c:showBubbleSize val="0"/>
        </c:dLbls>
        <c:smooth val="0"/>
        <c:axId val="1615736656"/>
        <c:axId val="1615735824"/>
      </c:lineChart>
      <c:catAx>
        <c:axId val="161573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615735824"/>
        <c:crosses val="autoZero"/>
        <c:auto val="1"/>
        <c:lblAlgn val="ctr"/>
        <c:lblOffset val="100"/>
        <c:noMultiLvlLbl val="0"/>
      </c:catAx>
      <c:valAx>
        <c:axId val="1615735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61573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D68B0C-533C-42FB-B330-075E481490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329</Pages>
  <Words>90110</Words>
  <Characters>495609</Characters>
  <Application>Microsoft Office Word</Application>
  <DocSecurity>0</DocSecurity>
  <Lines>4130</Lines>
  <Paragraphs>1169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584550</CharactersWithSpaces>
  <SharedDoc>false</SharedDoc>
  <HLinks>
    <vt:vector size="12" baseType="variant">
      <vt:variant>
        <vt:i4>1835085</vt:i4>
      </vt:variant>
      <vt:variant>
        <vt:i4>401</vt:i4>
      </vt:variant>
      <vt:variant>
        <vt:i4>0</vt:i4>
      </vt:variant>
      <vt:variant>
        <vt:i4>5</vt:i4>
      </vt:variant>
      <vt:variant>
        <vt:lpwstr>https://gestionhumana.poder-judicial.go.cr/index.php/indice-salarial</vt:lpwstr>
      </vt:variant>
      <vt:variant>
        <vt:lpwstr/>
      </vt:variant>
      <vt:variant>
        <vt:i4>3342396</vt:i4>
      </vt:variant>
      <vt:variant>
        <vt:i4>204</vt:i4>
      </vt:variant>
      <vt:variant>
        <vt:i4>0</vt:i4>
      </vt:variant>
      <vt:variant>
        <vt:i4>5</vt:i4>
      </vt:variant>
      <vt:variant>
        <vt:lpwstr>http://intranet/gestionhumana/index.php/manual-perfiles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Yahaira Meléndez Benavides</cp:lastModifiedBy>
  <cp:revision>2</cp:revision>
  <cp:lastPrinted>2022-03-11T16:25:00Z</cp:lastPrinted>
  <dcterms:created xsi:type="dcterms:W3CDTF">2022-06-30T15:29:00Z</dcterms:created>
  <dcterms:modified xsi:type="dcterms:W3CDTF">2022-06-30T15:29:00Z</dcterms:modified>
</cp:coreProperties>
</file>